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8634B">
      <w:pPr>
        <w:spacing w:line="300" w:lineRule="auto"/>
        <w:jc w:val="center"/>
        <w:rPr>
          <w:rFonts w:hint="eastAsia" w:ascii="宋体" w:hAnsi="宋体" w:eastAsia="宋体" w:cs="宋体"/>
          <w:b/>
          <w:color w:val="000000" w:themeColor="text1"/>
          <w:sz w:val="40"/>
          <w:szCs w:val="52"/>
          <w14:textFill>
            <w14:solidFill>
              <w14:schemeClr w14:val="tx1"/>
            </w14:solidFill>
          </w14:textFill>
        </w:rPr>
      </w:pPr>
      <w:r>
        <w:rPr>
          <w:rFonts w:hint="eastAsia" w:ascii="宋体" w:hAnsi="宋体" w:eastAsia="宋体" w:cs="宋体"/>
          <w:b/>
          <w:color w:val="000000" w:themeColor="text1"/>
          <w:sz w:val="40"/>
          <w:szCs w:val="52"/>
          <w14:textFill>
            <w14:solidFill>
              <w14:schemeClr w14:val="tx1"/>
            </w14:solidFill>
          </w14:textFill>
        </w:rPr>
        <w:t>2025年上海市静安区市场监管局公示信息经费第三方抽查审计服务项目</w:t>
      </w:r>
    </w:p>
    <w:p w14:paraId="18962949">
      <w:pPr>
        <w:pStyle w:val="3"/>
        <w:spacing w:line="300" w:lineRule="auto"/>
        <w:ind w:firstLine="0"/>
        <w:outlineLvl w:val="0"/>
        <w:rPr>
          <w:rFonts w:hint="eastAsia"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上海市静安区政府采购中心，请贵单位按下列相关要求进行采购：</w:t>
      </w:r>
    </w:p>
    <w:p w14:paraId="53BAA4DE">
      <w:pPr>
        <w:pStyle w:val="3"/>
        <w:spacing w:line="300" w:lineRule="auto"/>
        <w:ind w:firstLine="0"/>
        <w:outlineLvl w:val="0"/>
        <w:rPr>
          <w:rFonts w:hint="eastAsia" w:hAnsi="宋体" w:cs="宋体"/>
          <w:b/>
          <w:color w:val="000000" w:themeColor="text1"/>
          <w:sz w:val="24"/>
          <w:szCs w:val="24"/>
          <w14:textFill>
            <w14:solidFill>
              <w14:schemeClr w14:val="tx1"/>
            </w14:solidFill>
          </w14:textFill>
        </w:rPr>
      </w:pPr>
    </w:p>
    <w:p w14:paraId="3A53C033">
      <w:pPr>
        <w:pStyle w:val="3"/>
        <w:spacing w:line="420" w:lineRule="exact"/>
        <w:ind w:firstLine="0"/>
        <w:outlineLvl w:val="0"/>
        <w:rPr>
          <w:rFonts w:hint="eastAsia" w:hAnsi="宋体" w:cs="宋体"/>
          <w:b/>
          <w:sz w:val="24"/>
          <w:szCs w:val="24"/>
        </w:rPr>
      </w:pPr>
      <w:r>
        <w:rPr>
          <w:rFonts w:hint="eastAsia" w:hAnsi="宋体" w:cs="宋体"/>
          <w:b/>
          <w:color w:val="000000" w:themeColor="text1"/>
          <w:sz w:val="24"/>
          <w:szCs w:val="24"/>
          <w14:textFill>
            <w14:solidFill>
              <w14:schemeClr w14:val="tx1"/>
            </w14:solidFill>
          </w14:textFill>
        </w:rPr>
        <w:t>一、</w:t>
      </w:r>
      <w:r>
        <w:rPr>
          <w:rFonts w:hint="eastAsia" w:hAnsi="宋体" w:cs="宋体"/>
          <w:b/>
          <w:sz w:val="24"/>
          <w:szCs w:val="24"/>
        </w:rPr>
        <w:t>投标人（供应商）</w:t>
      </w:r>
      <w:r>
        <w:rPr>
          <w:rFonts w:hint="eastAsia" w:hAnsi="宋体" w:cs="宋体"/>
          <w:b/>
          <w:sz w:val="24"/>
          <w:szCs w:val="24"/>
          <w:lang w:eastAsia="zh-CN"/>
        </w:rPr>
        <w:t>资格</w:t>
      </w:r>
      <w:r>
        <w:rPr>
          <w:rFonts w:hint="eastAsia" w:hAnsi="宋体" w:cs="宋体"/>
          <w:b/>
          <w:sz w:val="24"/>
          <w:szCs w:val="24"/>
        </w:rPr>
        <w:t>要求</w:t>
      </w:r>
    </w:p>
    <w:p w14:paraId="3A013F6B">
      <w:pPr>
        <w:pStyle w:val="3"/>
        <w:spacing w:line="420" w:lineRule="exact"/>
        <w:outlineLvl w:val="0"/>
        <w:rPr>
          <w:rFonts w:hint="eastAsia" w:hAnsi="宋体" w:cs="宋体"/>
          <w:kern w:val="2"/>
          <w:sz w:val="24"/>
          <w:szCs w:val="24"/>
        </w:rPr>
      </w:pPr>
      <w:r>
        <w:rPr>
          <w:rFonts w:hint="eastAsia" w:hAnsi="宋体" w:cs="宋体"/>
          <w:kern w:val="2"/>
          <w:sz w:val="24"/>
          <w:szCs w:val="24"/>
        </w:rPr>
        <w:t>1.具备《中华人民共和国政府采购法》第二十二条规定的条件，具有相应的经营范围；</w:t>
      </w:r>
    </w:p>
    <w:p w14:paraId="5CEAAC02">
      <w:pPr>
        <w:pStyle w:val="3"/>
        <w:spacing w:line="420" w:lineRule="exact"/>
        <w:outlineLvl w:val="0"/>
        <w:rPr>
          <w:rFonts w:hint="eastAsia" w:hAnsi="宋体" w:cs="宋体"/>
          <w:kern w:val="2"/>
          <w:sz w:val="24"/>
          <w:szCs w:val="24"/>
        </w:rPr>
      </w:pPr>
      <w:r>
        <w:rPr>
          <w:rFonts w:hint="eastAsia" w:hAnsi="宋体" w:cs="宋体"/>
          <w:kern w:val="2"/>
          <w:sz w:val="24"/>
          <w:szCs w:val="24"/>
        </w:rPr>
        <w:t>2.根据《上海政府采购供应商登记及诚信管理办法》已登记入库的供应商；</w:t>
      </w:r>
    </w:p>
    <w:p w14:paraId="31D5B526">
      <w:pPr>
        <w:pStyle w:val="3"/>
        <w:spacing w:line="420" w:lineRule="exact"/>
        <w:outlineLvl w:val="0"/>
        <w:rPr>
          <w:rFonts w:hint="eastAsia" w:hAnsi="宋体" w:cs="宋体"/>
          <w:kern w:val="2"/>
          <w:sz w:val="24"/>
          <w:szCs w:val="24"/>
        </w:rPr>
      </w:pPr>
      <w:r>
        <w:rPr>
          <w:rFonts w:hint="eastAsia" w:hAnsi="宋体" w:cs="宋体"/>
          <w:kern w:val="2"/>
          <w:sz w:val="24"/>
          <w:szCs w:val="24"/>
        </w:rPr>
        <w:t>3.具有良好的商业信誉和健全的财务会计制度、依法缴纳税收和社会保障资金的良好记录；</w:t>
      </w:r>
    </w:p>
    <w:p w14:paraId="38E263F9">
      <w:pPr>
        <w:pStyle w:val="3"/>
        <w:spacing w:line="420" w:lineRule="exact"/>
        <w:outlineLvl w:val="0"/>
        <w:rPr>
          <w:rFonts w:hint="default" w:hAnsi="宋体" w:cs="宋体"/>
          <w:color w:val="000000"/>
          <w:kern w:val="2"/>
          <w:sz w:val="24"/>
          <w:szCs w:val="24"/>
          <w:lang w:val="en-US" w:eastAsia="zh-CN"/>
        </w:rPr>
      </w:pPr>
      <w:r>
        <w:rPr>
          <w:rFonts w:hint="eastAsia" w:hAnsi="宋体" w:cs="宋体"/>
          <w:color w:val="000000"/>
          <w:kern w:val="2"/>
          <w:sz w:val="24"/>
          <w:szCs w:val="24"/>
        </w:rPr>
        <w:t>4.具有财政部门颁发的《会计师事务所执业证书》</w:t>
      </w:r>
      <w:r>
        <w:rPr>
          <w:rFonts w:hint="eastAsia" w:hAnsi="宋体" w:cs="宋体"/>
          <w:color w:val="000000"/>
          <w:kern w:val="2"/>
          <w:sz w:val="24"/>
          <w:szCs w:val="24"/>
          <w:lang w:eastAsia="zh-CN"/>
        </w:rPr>
        <w:t>，</w:t>
      </w:r>
      <w:r>
        <w:rPr>
          <w:rFonts w:hint="eastAsia" w:hAnsi="宋体" w:cs="宋体"/>
          <w:color w:val="000000"/>
          <w:kern w:val="2"/>
          <w:sz w:val="24"/>
          <w:szCs w:val="24"/>
        </w:rPr>
        <w:t>若分所参与投标必须提供总所的唯一授权委托书，总所和分所不能同时参与本项目投标（2021年7月1日后在自由贸易试验区所在县、不设区的市、市辖区实行审批改备案改革的会计师事务所分支机构，提供已完成向财政部门备案手续的证明材料）。</w:t>
      </w:r>
    </w:p>
    <w:p w14:paraId="7CDB70E3">
      <w:pPr>
        <w:pStyle w:val="3"/>
        <w:spacing w:line="420" w:lineRule="exact"/>
        <w:outlineLvl w:val="0"/>
        <w:rPr>
          <w:rFonts w:hint="eastAsia" w:hAnsi="宋体" w:cs="宋体"/>
          <w:kern w:val="2"/>
          <w:sz w:val="24"/>
          <w:szCs w:val="24"/>
        </w:rPr>
      </w:pPr>
      <w:r>
        <w:rPr>
          <w:rFonts w:hint="eastAsia" w:hAnsi="宋体" w:cs="宋体"/>
          <w:kern w:val="2"/>
          <w:sz w:val="24"/>
          <w:szCs w:val="24"/>
          <w:lang w:val="en-US" w:eastAsia="zh-CN"/>
        </w:rPr>
        <w:t>5.</w:t>
      </w:r>
      <w:r>
        <w:rPr>
          <w:rFonts w:hint="eastAsia" w:hAnsi="宋体" w:cs="宋体"/>
          <w:kern w:val="2"/>
          <w:sz w:val="24"/>
          <w:szCs w:val="24"/>
        </w:rPr>
        <w:t>未被信用中国网站（www.creditchina.gov.cn）列入失信被执行人、重大税收违法案件当事人名单，未被中国政府采购网（www.ccgp.gov.cn）列入政府采购严重违法失信行为记录名单；未被国家企业信用信息公示系统（www.gsxt.gov.cn）列入经营异常名录或者严重违法失信名单，前三年无重大违法记录。</w:t>
      </w:r>
    </w:p>
    <w:p w14:paraId="2BE3979E">
      <w:pPr>
        <w:pStyle w:val="3"/>
        <w:spacing w:line="420" w:lineRule="exact"/>
        <w:outlineLvl w:val="0"/>
        <w:rPr>
          <w:rFonts w:hint="eastAsia" w:hAnsi="宋体" w:cs="宋体"/>
          <w:kern w:val="2"/>
          <w:sz w:val="24"/>
          <w:szCs w:val="24"/>
        </w:rPr>
      </w:pPr>
      <w:r>
        <w:rPr>
          <w:rFonts w:hint="eastAsia" w:hAnsi="宋体" w:cs="宋体"/>
          <w:kern w:val="2"/>
          <w:sz w:val="24"/>
          <w:szCs w:val="24"/>
          <w:lang w:val="en-US" w:eastAsia="zh-CN"/>
        </w:rPr>
        <w:t>6</w:t>
      </w:r>
      <w:r>
        <w:rPr>
          <w:rFonts w:hint="eastAsia" w:hAnsi="宋体" w:cs="宋体"/>
          <w:kern w:val="2"/>
          <w:sz w:val="24"/>
          <w:szCs w:val="24"/>
        </w:rPr>
        <w:t>.本次招标不接受联合投标，投标人入围后不得转包经营；</w:t>
      </w:r>
    </w:p>
    <w:p w14:paraId="40F459FA">
      <w:pPr>
        <w:pStyle w:val="3"/>
        <w:spacing w:line="420" w:lineRule="exact"/>
        <w:outlineLvl w:val="0"/>
        <w:rPr>
          <w:rFonts w:hint="eastAsia" w:hAnsi="宋体" w:cs="宋体"/>
          <w:kern w:val="2"/>
          <w:sz w:val="24"/>
          <w:szCs w:val="24"/>
        </w:rPr>
      </w:pPr>
      <w:r>
        <w:rPr>
          <w:rFonts w:hint="eastAsia" w:hAnsi="宋体" w:cs="宋体"/>
          <w:kern w:val="2"/>
          <w:sz w:val="24"/>
          <w:szCs w:val="24"/>
          <w:lang w:val="en-US" w:eastAsia="zh-CN"/>
        </w:rPr>
        <w:t>7</w:t>
      </w:r>
      <w:r>
        <w:rPr>
          <w:rFonts w:hint="eastAsia" w:hAnsi="宋体" w:cs="宋体"/>
          <w:kern w:val="2"/>
          <w:sz w:val="24"/>
          <w:szCs w:val="24"/>
        </w:rPr>
        <w:t>.本项目面向中小微企业采购。</w:t>
      </w:r>
    </w:p>
    <w:p w14:paraId="0ED01640">
      <w:pPr>
        <w:pStyle w:val="3"/>
        <w:spacing w:line="420" w:lineRule="exact"/>
        <w:outlineLvl w:val="0"/>
        <w:rPr>
          <w:rFonts w:hint="eastAsia" w:hAnsi="宋体" w:cs="宋体"/>
          <w:kern w:val="2"/>
          <w:sz w:val="24"/>
          <w:szCs w:val="24"/>
        </w:rPr>
      </w:pPr>
    </w:p>
    <w:p w14:paraId="7F16F893">
      <w:pPr>
        <w:pStyle w:val="3"/>
        <w:spacing w:line="420" w:lineRule="exact"/>
        <w:ind w:firstLine="0"/>
        <w:outlineLvl w:val="0"/>
        <w:rPr>
          <w:rFonts w:hint="eastAsia" w:hAnsi="宋体" w:cs="宋体"/>
          <w:kern w:val="2"/>
          <w:sz w:val="24"/>
          <w:szCs w:val="24"/>
        </w:rPr>
      </w:pPr>
      <w:r>
        <w:rPr>
          <w:rFonts w:hint="eastAsia" w:hAnsi="宋体" w:cs="宋体"/>
          <w:b/>
          <w:color w:val="000000" w:themeColor="text1"/>
          <w:sz w:val="24"/>
          <w:szCs w:val="24"/>
          <w:lang w:eastAsia="zh-CN"/>
          <w14:textFill>
            <w14:solidFill>
              <w14:schemeClr w14:val="tx1"/>
            </w14:solidFill>
          </w14:textFill>
        </w:rPr>
        <w:t>二</w:t>
      </w:r>
      <w:r>
        <w:rPr>
          <w:rFonts w:hint="eastAsia" w:hAnsi="宋体" w:cs="宋体"/>
          <w:b/>
          <w:color w:val="000000" w:themeColor="text1"/>
          <w:sz w:val="24"/>
          <w:szCs w:val="24"/>
          <w14:textFill>
            <w14:solidFill>
              <w14:schemeClr w14:val="tx1"/>
            </w14:solidFill>
          </w14:textFill>
        </w:rPr>
        <w:t>、</w:t>
      </w:r>
      <w:r>
        <w:rPr>
          <w:rFonts w:hint="eastAsia" w:hAnsi="宋体" w:cs="宋体"/>
          <w:b/>
          <w:sz w:val="24"/>
          <w:szCs w:val="24"/>
        </w:rPr>
        <w:t>投标人（供应商）</w:t>
      </w:r>
      <w:r>
        <w:rPr>
          <w:rFonts w:hint="eastAsia" w:hAnsi="宋体" w:cs="宋体"/>
          <w:b/>
          <w:sz w:val="24"/>
          <w:szCs w:val="24"/>
          <w:lang w:eastAsia="zh-CN"/>
        </w:rPr>
        <w:t>其它</w:t>
      </w:r>
      <w:r>
        <w:rPr>
          <w:rFonts w:hint="eastAsia" w:hAnsi="宋体" w:cs="宋体"/>
          <w:b/>
          <w:sz w:val="24"/>
          <w:szCs w:val="24"/>
        </w:rPr>
        <w:t>要求</w:t>
      </w:r>
    </w:p>
    <w:p w14:paraId="6E934646">
      <w:pPr>
        <w:pStyle w:val="3"/>
        <w:spacing w:line="420" w:lineRule="exact"/>
        <w:outlineLvl w:val="0"/>
        <w:rPr>
          <w:rFonts w:hint="eastAsia" w:hAnsi="宋体" w:cs="宋体"/>
          <w:color w:val="auto"/>
          <w:kern w:val="2"/>
          <w:sz w:val="24"/>
          <w:szCs w:val="24"/>
        </w:rPr>
      </w:pPr>
      <w:r>
        <w:rPr>
          <w:rFonts w:hint="eastAsia" w:hAnsi="宋体" w:cs="宋体"/>
          <w:color w:val="auto"/>
          <w:kern w:val="2"/>
          <w:sz w:val="24"/>
          <w:szCs w:val="24"/>
          <w:lang w:val="en-US" w:eastAsia="zh-CN"/>
        </w:rPr>
        <w:t>1.</w:t>
      </w:r>
      <w:r>
        <w:rPr>
          <w:rFonts w:hint="eastAsia" w:hAnsi="宋体" w:cs="宋体"/>
          <w:color w:val="auto"/>
          <w:kern w:val="2"/>
          <w:sz w:val="24"/>
          <w:szCs w:val="24"/>
        </w:rPr>
        <w:t>具备财政部门颁发的《会计师事务所执业证书》及上海市会计师事务所分类管理类别证书，A级资质</w:t>
      </w:r>
      <w:bookmarkStart w:id="0" w:name="_GoBack"/>
      <w:bookmarkEnd w:id="0"/>
      <w:r>
        <w:rPr>
          <w:rFonts w:hint="eastAsia" w:hAnsi="宋体" w:cs="宋体"/>
          <w:color w:val="auto"/>
          <w:kern w:val="2"/>
          <w:sz w:val="24"/>
          <w:szCs w:val="24"/>
          <w:lang w:eastAsia="zh-CN"/>
        </w:rPr>
        <w:t>或其它省市同级别优先考量</w:t>
      </w:r>
      <w:r>
        <w:rPr>
          <w:rFonts w:hint="eastAsia" w:hAnsi="宋体" w:cs="宋体"/>
          <w:color w:val="auto"/>
          <w:kern w:val="2"/>
          <w:sz w:val="24"/>
          <w:szCs w:val="24"/>
        </w:rPr>
        <w:t>；若分所参与投标必须提供总所的委托书，总所和分所不能同时参与本项目投标；</w:t>
      </w:r>
    </w:p>
    <w:p w14:paraId="22FBD29C">
      <w:pPr>
        <w:pStyle w:val="3"/>
        <w:spacing w:line="420" w:lineRule="exact"/>
        <w:outlineLvl w:val="0"/>
        <w:rPr>
          <w:rFonts w:hint="eastAsia" w:hAnsi="宋体" w:cs="宋体"/>
          <w:kern w:val="2"/>
          <w:sz w:val="24"/>
          <w:szCs w:val="24"/>
        </w:rPr>
      </w:pPr>
      <w:r>
        <w:rPr>
          <w:rFonts w:hint="eastAsia" w:hAnsi="宋体" w:cs="宋体"/>
          <w:kern w:val="2"/>
          <w:sz w:val="24"/>
          <w:szCs w:val="24"/>
          <w:lang w:val="en-US" w:eastAsia="zh-CN"/>
        </w:rPr>
        <w:t>2</w:t>
      </w:r>
      <w:r>
        <w:rPr>
          <w:rFonts w:hint="eastAsia" w:hAnsi="宋体" w:cs="宋体"/>
          <w:kern w:val="2"/>
          <w:sz w:val="24"/>
          <w:szCs w:val="24"/>
        </w:rPr>
        <w:t>.项目负责人具有较好文化水平、</w:t>
      </w:r>
      <w:r>
        <w:rPr>
          <w:rFonts w:hAnsi="宋体" w:cs="宋体"/>
          <w:kern w:val="2"/>
          <w:sz w:val="24"/>
          <w:szCs w:val="24"/>
        </w:rPr>
        <w:t>资质</w:t>
      </w:r>
      <w:r>
        <w:rPr>
          <w:rFonts w:hint="eastAsia" w:hAnsi="宋体" w:cs="宋体"/>
          <w:kern w:val="2"/>
          <w:sz w:val="24"/>
          <w:szCs w:val="24"/>
        </w:rPr>
        <w:t>条件、管理能力和相关从业经验优先。项目组人员应合理配备，项目组人员有相应专业背景、专业职称和工作经验优先；</w:t>
      </w:r>
      <w:r>
        <w:rPr>
          <w:rFonts w:hint="eastAsia" w:hAnsi="宋体" w:cs="宋体"/>
          <w:kern w:val="2"/>
          <w:sz w:val="24"/>
          <w:szCs w:val="24"/>
          <w:lang w:eastAsia="zh-CN"/>
        </w:rPr>
        <w:t>人员需符相关证明材料和近一季度的社保证明；</w:t>
      </w:r>
    </w:p>
    <w:p w14:paraId="70B01107">
      <w:pPr>
        <w:pStyle w:val="3"/>
        <w:spacing w:line="420" w:lineRule="exact"/>
        <w:ind w:left="0" w:leftChars="0" w:firstLine="480" w:firstLineChars="200"/>
        <w:outlineLvl w:val="0"/>
        <w:rPr>
          <w:rFonts w:hint="eastAsia" w:hAnsi="宋体" w:eastAsia="宋体" w:cs="宋体"/>
          <w:kern w:val="2"/>
          <w:sz w:val="24"/>
          <w:szCs w:val="24"/>
          <w:lang w:eastAsia="zh-CN"/>
        </w:rPr>
      </w:pPr>
      <w:r>
        <w:rPr>
          <w:rFonts w:hint="eastAsia" w:hAnsi="宋体" w:cs="宋体"/>
          <w:kern w:val="2"/>
          <w:sz w:val="24"/>
          <w:szCs w:val="24"/>
          <w:lang w:val="en-US" w:eastAsia="zh-CN"/>
        </w:rPr>
        <w:t>3</w:t>
      </w:r>
      <w:r>
        <w:rPr>
          <w:rFonts w:hint="eastAsia" w:hAnsi="宋体" w:cs="宋体"/>
          <w:kern w:val="2"/>
          <w:sz w:val="24"/>
          <w:szCs w:val="24"/>
        </w:rPr>
        <w:t>.投标人在近三年以来完成过类似项目业绩</w:t>
      </w:r>
      <w:r>
        <w:rPr>
          <w:rFonts w:hint="eastAsia" w:hAnsi="宋体" w:cs="宋体"/>
          <w:kern w:val="2"/>
          <w:sz w:val="24"/>
          <w:szCs w:val="24"/>
          <w:lang w:eastAsia="zh-CN"/>
        </w:rPr>
        <w:t>及业主方评价</w:t>
      </w:r>
      <w:r>
        <w:rPr>
          <w:rFonts w:hint="eastAsia" w:hAnsi="宋体" w:cs="宋体"/>
          <w:kern w:val="2"/>
          <w:sz w:val="24"/>
          <w:szCs w:val="24"/>
        </w:rPr>
        <w:t>、能提供会计服务培训支持优先</w:t>
      </w:r>
      <w:r>
        <w:rPr>
          <w:rFonts w:hint="eastAsia" w:hAnsi="宋体" w:cs="宋体"/>
          <w:kern w:val="2"/>
          <w:sz w:val="24"/>
          <w:szCs w:val="24"/>
          <w:lang w:eastAsia="zh-CN"/>
        </w:rPr>
        <w:t>；</w:t>
      </w:r>
    </w:p>
    <w:p w14:paraId="1EF06418">
      <w:pPr>
        <w:pStyle w:val="3"/>
        <w:spacing w:line="420" w:lineRule="exact"/>
        <w:ind w:left="0" w:leftChars="0" w:firstLine="480" w:firstLineChars="200"/>
        <w:outlineLvl w:val="0"/>
        <w:rPr>
          <w:rFonts w:hint="eastAsia" w:hAnsi="宋体" w:eastAsia="宋体" w:cs="宋体"/>
          <w:kern w:val="2"/>
          <w:sz w:val="24"/>
          <w:szCs w:val="24"/>
          <w:lang w:eastAsia="zh-CN"/>
        </w:rPr>
      </w:pPr>
    </w:p>
    <w:p w14:paraId="5E812EEA">
      <w:pPr>
        <w:pStyle w:val="3"/>
        <w:spacing w:line="420" w:lineRule="exact"/>
        <w:ind w:left="0" w:leftChars="0" w:firstLine="480" w:firstLineChars="200"/>
        <w:outlineLvl w:val="0"/>
        <w:rPr>
          <w:rFonts w:hint="eastAsia" w:hAnsi="宋体" w:cs="宋体"/>
          <w:kern w:val="2"/>
          <w:sz w:val="24"/>
          <w:szCs w:val="24"/>
        </w:rPr>
      </w:pPr>
      <w:r>
        <w:rPr>
          <w:rFonts w:hint="eastAsia" w:hAnsi="宋体" w:cs="宋体"/>
          <w:kern w:val="2"/>
          <w:sz w:val="24"/>
          <w:szCs w:val="24"/>
          <w:lang w:val="en-US" w:eastAsia="zh-CN"/>
        </w:rPr>
        <w:t>4</w:t>
      </w:r>
      <w:r>
        <w:rPr>
          <w:rFonts w:hint="eastAsia" w:hAnsi="宋体" w:cs="宋体"/>
          <w:kern w:val="2"/>
          <w:sz w:val="24"/>
          <w:szCs w:val="24"/>
        </w:rPr>
        <w:t>.供应商与采购人或代理单位等项目参与各方不存在控股、管理等厉害关系；</w:t>
      </w:r>
    </w:p>
    <w:p w14:paraId="5651AE27">
      <w:pPr>
        <w:widowControl/>
        <w:numPr>
          <w:ilvl w:val="0"/>
          <w:numId w:val="0"/>
        </w:numPr>
        <w:spacing w:line="360" w:lineRule="atLeast"/>
        <w:ind w:firstLine="480" w:firstLineChars="200"/>
        <w:jc w:val="left"/>
        <w:rPr>
          <w:rFonts w:hint="eastAsia" w:ascii="宋体" w:hAnsi="宋体" w:eastAsia="宋体" w:cs="宋体"/>
          <w:snapToGrid w:val="0"/>
          <w:color w:val="000000"/>
          <w:kern w:val="2"/>
          <w:sz w:val="24"/>
          <w:szCs w:val="24"/>
          <w:lang w:val="en-US" w:eastAsia="zh-CN" w:bidi="ar-SA"/>
        </w:rPr>
      </w:pPr>
      <w:r>
        <w:rPr>
          <w:rFonts w:hint="eastAsia" w:ascii="宋体" w:hAnsi="宋体" w:eastAsia="宋体" w:cs="宋体"/>
          <w:snapToGrid w:val="0"/>
          <w:color w:val="000000"/>
          <w:kern w:val="2"/>
          <w:sz w:val="24"/>
          <w:szCs w:val="24"/>
          <w:lang w:val="en-US" w:eastAsia="zh-CN" w:bidi="ar-SA"/>
        </w:rPr>
        <w:t>5.提供针对本项目的需求的分析、理解以及合理化建议和风险防控。</w:t>
      </w:r>
    </w:p>
    <w:p w14:paraId="0CE1FA60">
      <w:pPr>
        <w:widowControl/>
        <w:numPr>
          <w:ilvl w:val="0"/>
          <w:numId w:val="0"/>
        </w:numPr>
        <w:spacing w:line="360" w:lineRule="atLeast"/>
        <w:ind w:firstLine="480" w:firstLineChars="200"/>
        <w:jc w:val="left"/>
        <w:rPr>
          <w:rFonts w:hint="eastAsia" w:ascii="宋体" w:hAnsi="宋体" w:eastAsia="宋体" w:cs="宋体"/>
          <w:snapToGrid w:val="0"/>
          <w:color w:val="000000"/>
          <w:kern w:val="2"/>
          <w:sz w:val="24"/>
          <w:szCs w:val="24"/>
          <w:lang w:val="en-US" w:eastAsia="zh-CN" w:bidi="ar-SA"/>
        </w:rPr>
      </w:pPr>
      <w:r>
        <w:rPr>
          <w:rFonts w:hint="eastAsia" w:ascii="宋体" w:hAnsi="宋体" w:eastAsia="宋体" w:cs="宋体"/>
          <w:snapToGrid w:val="0"/>
          <w:color w:val="000000"/>
          <w:kern w:val="2"/>
          <w:sz w:val="24"/>
          <w:szCs w:val="24"/>
          <w:lang w:val="en-US" w:eastAsia="zh-CN" w:bidi="ar-SA"/>
        </w:rPr>
        <w:t>6.提供审计内部控制、质量控制、进度控制、责任管理和保密管理措施等方案；</w:t>
      </w:r>
    </w:p>
    <w:p w14:paraId="14CB15A0">
      <w:pPr>
        <w:widowControl/>
        <w:numPr>
          <w:ilvl w:val="0"/>
          <w:numId w:val="0"/>
        </w:numPr>
        <w:spacing w:line="360" w:lineRule="atLeast"/>
        <w:ind w:firstLine="480" w:firstLineChars="200"/>
        <w:jc w:val="left"/>
        <w:rPr>
          <w:rFonts w:hint="eastAsia" w:ascii="宋体" w:hAnsi="宋体" w:eastAsia="宋体" w:cs="宋体"/>
          <w:snapToGrid w:val="0"/>
          <w:color w:val="000000"/>
          <w:kern w:val="2"/>
          <w:sz w:val="24"/>
          <w:szCs w:val="24"/>
          <w:lang w:val="en-US" w:eastAsia="zh-CN" w:bidi="ar-SA"/>
        </w:rPr>
      </w:pPr>
      <w:r>
        <w:rPr>
          <w:rFonts w:hint="eastAsia" w:ascii="宋体" w:hAnsi="宋体" w:eastAsia="宋体" w:cs="宋体"/>
          <w:snapToGrid w:val="0"/>
          <w:color w:val="000000"/>
          <w:kern w:val="2"/>
          <w:sz w:val="24"/>
          <w:szCs w:val="24"/>
          <w:lang w:val="en-US" w:eastAsia="zh-CN" w:bidi="ar-SA"/>
        </w:rPr>
        <w:t>7.提供本项目服务响应时间、确保项目组人员、保密承诺和特色服务等相关服务承诺；</w:t>
      </w:r>
    </w:p>
    <w:p w14:paraId="1C62DE2D">
      <w:pPr>
        <w:widowControl/>
        <w:numPr>
          <w:ilvl w:val="0"/>
          <w:numId w:val="0"/>
        </w:numPr>
        <w:spacing w:line="360" w:lineRule="atLeast"/>
        <w:ind w:firstLine="480" w:firstLineChars="200"/>
        <w:jc w:val="left"/>
        <w:rPr>
          <w:rFonts w:hint="eastAsia" w:ascii="宋体" w:hAnsi="宋体" w:eastAsia="宋体" w:cs="宋体"/>
          <w:snapToGrid w:val="0"/>
          <w:color w:val="000000"/>
          <w:kern w:val="2"/>
          <w:sz w:val="24"/>
          <w:szCs w:val="24"/>
          <w:lang w:val="en-US" w:eastAsia="zh-CN" w:bidi="ar-SA"/>
        </w:rPr>
      </w:pPr>
      <w:r>
        <w:rPr>
          <w:rFonts w:hint="eastAsia" w:ascii="宋体" w:hAnsi="宋体" w:eastAsia="宋体" w:cs="宋体"/>
          <w:snapToGrid w:val="0"/>
          <w:color w:val="000000"/>
          <w:kern w:val="2"/>
          <w:sz w:val="24"/>
          <w:szCs w:val="24"/>
          <w:lang w:val="en-US" w:eastAsia="zh-CN" w:bidi="ar-SA"/>
        </w:rPr>
        <w:t>8.提供本项目的其它增值服务方案，如：相关人员会计培训、政策培训等；</w:t>
      </w:r>
    </w:p>
    <w:p w14:paraId="36CE2823">
      <w:pPr>
        <w:widowControl/>
        <w:numPr>
          <w:ilvl w:val="0"/>
          <w:numId w:val="0"/>
        </w:numPr>
        <w:spacing w:line="360" w:lineRule="atLeast"/>
        <w:ind w:firstLine="480" w:firstLineChars="200"/>
        <w:jc w:val="left"/>
        <w:rPr>
          <w:rFonts w:hint="eastAsia" w:ascii="宋体" w:hAnsi="宋体" w:eastAsia="宋体" w:cs="宋体"/>
          <w:snapToGrid w:val="0"/>
          <w:color w:val="000000"/>
          <w:kern w:val="2"/>
          <w:sz w:val="24"/>
          <w:szCs w:val="24"/>
          <w:lang w:val="en-US" w:eastAsia="zh-CN" w:bidi="ar-SA"/>
        </w:rPr>
      </w:pPr>
      <w:r>
        <w:rPr>
          <w:rFonts w:hint="eastAsia" w:ascii="宋体" w:hAnsi="宋体" w:eastAsia="宋体" w:cs="宋体"/>
          <w:snapToGrid w:val="0"/>
          <w:color w:val="000000"/>
          <w:kern w:val="2"/>
          <w:sz w:val="24"/>
          <w:szCs w:val="24"/>
          <w:lang w:val="en-US" w:eastAsia="zh-CN" w:bidi="ar-SA"/>
        </w:rPr>
        <w:t>9.提供企业综合实力根据从获奖情况、履约能力、信誉度、相关资质证书等。</w:t>
      </w:r>
    </w:p>
    <w:p w14:paraId="45F2A388">
      <w:pPr>
        <w:pStyle w:val="3"/>
        <w:spacing w:line="420" w:lineRule="exact"/>
        <w:ind w:firstLine="0"/>
        <w:outlineLvl w:val="0"/>
        <w:rPr>
          <w:rFonts w:hint="eastAsia" w:hAnsi="宋体" w:cs="宋体"/>
          <w:kern w:val="2"/>
          <w:sz w:val="24"/>
          <w:szCs w:val="24"/>
        </w:rPr>
      </w:pPr>
    </w:p>
    <w:p w14:paraId="087881D6">
      <w:pPr>
        <w:pStyle w:val="3"/>
        <w:spacing w:line="420" w:lineRule="exact"/>
        <w:ind w:firstLine="0"/>
        <w:outlineLvl w:val="0"/>
        <w:rPr>
          <w:rFonts w:hint="eastAsia"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lang w:eastAsia="zh-CN"/>
          <w14:textFill>
            <w14:solidFill>
              <w14:schemeClr w14:val="tx1"/>
            </w14:solidFill>
          </w14:textFill>
        </w:rPr>
        <w:t>三</w:t>
      </w:r>
      <w:r>
        <w:rPr>
          <w:rFonts w:hint="eastAsia" w:hAnsi="宋体" w:cs="宋体"/>
          <w:b/>
          <w:color w:val="000000" w:themeColor="text1"/>
          <w:sz w:val="24"/>
          <w:szCs w:val="24"/>
          <w14:textFill>
            <w14:solidFill>
              <w14:schemeClr w14:val="tx1"/>
            </w14:solidFill>
          </w14:textFill>
        </w:rPr>
        <w:t>、项目要求</w:t>
      </w:r>
    </w:p>
    <w:p w14:paraId="121991A9">
      <w:pPr>
        <w:spacing w:line="420" w:lineRule="exact"/>
        <w:rPr>
          <w:rFonts w:hint="eastAsia" w:ascii="宋体" w:hAnsi="宋体" w:eastAsia="宋体" w:cs="宋体"/>
          <w:b/>
          <w:sz w:val="24"/>
        </w:rPr>
      </w:pPr>
      <w:r>
        <w:rPr>
          <w:rFonts w:hint="eastAsia" w:ascii="宋体" w:hAnsi="宋体" w:eastAsia="宋体" w:cs="宋体"/>
          <w:b/>
          <w:sz w:val="24"/>
        </w:rPr>
        <w:t>（一）、项目概述</w:t>
      </w:r>
    </w:p>
    <w:p w14:paraId="79F5CC98">
      <w:pPr>
        <w:spacing w:line="420" w:lineRule="exact"/>
        <w:ind w:firstLine="480" w:firstLineChars="200"/>
        <w:rPr>
          <w:rFonts w:hint="eastAsia" w:ascii="宋体" w:hAnsi="宋体" w:eastAsia="宋体" w:cs="宋体"/>
          <w:bCs/>
          <w:iCs/>
          <w:sz w:val="24"/>
        </w:rPr>
      </w:pPr>
      <w:r>
        <w:rPr>
          <w:rFonts w:hint="eastAsia" w:ascii="宋体" w:hAnsi="宋体" w:eastAsia="宋体" w:cs="宋体"/>
          <w:bCs/>
          <w:iCs/>
          <w:sz w:val="24"/>
        </w:rPr>
        <w:t>1、项目主要内容：</w:t>
      </w:r>
    </w:p>
    <w:p w14:paraId="65B6D901">
      <w:pPr>
        <w:spacing w:line="420" w:lineRule="exact"/>
        <w:ind w:firstLine="480" w:firstLineChars="200"/>
        <w:rPr>
          <w:rFonts w:hint="eastAsia" w:ascii="宋体" w:hAnsi="宋体" w:eastAsia="宋体" w:cs="宋体"/>
          <w:bCs/>
          <w:iCs/>
          <w:sz w:val="24"/>
        </w:rPr>
      </w:pPr>
      <w:r>
        <w:rPr>
          <w:rFonts w:hint="eastAsia" w:ascii="宋体" w:hAnsi="宋体" w:eastAsia="宋体" w:cs="宋体"/>
          <w:bCs/>
          <w:iCs/>
          <w:sz w:val="24"/>
        </w:rPr>
        <w:t>对发生于2025年静安区企业信息公示抽查项目的</w:t>
      </w:r>
      <w:r>
        <w:rPr>
          <w:rFonts w:hint="eastAsia" w:ascii="宋体" w:hAnsi="宋体" w:eastAsia="宋体" w:cs="宋体"/>
          <w:sz w:val="24"/>
        </w:rPr>
        <w:t>专项审计和复核工作</w:t>
      </w:r>
      <w:r>
        <w:rPr>
          <w:rFonts w:hint="eastAsia" w:ascii="宋体" w:hAnsi="宋体" w:eastAsia="宋体" w:cs="宋体"/>
          <w:bCs/>
          <w:iCs/>
          <w:sz w:val="24"/>
        </w:rPr>
        <w:t>择优确定一批合格供应商。</w:t>
      </w:r>
    </w:p>
    <w:p w14:paraId="32AFE9E2">
      <w:pPr>
        <w:spacing w:line="420" w:lineRule="exact"/>
        <w:ind w:firstLine="480" w:firstLineChars="200"/>
        <w:rPr>
          <w:rFonts w:hint="eastAsia" w:ascii="宋体" w:hAnsi="宋体" w:eastAsia="宋体" w:cs="宋体"/>
          <w:bCs/>
          <w:iCs/>
          <w:sz w:val="24"/>
        </w:rPr>
      </w:pPr>
      <w:r>
        <w:rPr>
          <w:rFonts w:hint="eastAsia" w:ascii="宋体" w:hAnsi="宋体" w:eastAsia="宋体" w:cs="宋体"/>
          <w:bCs/>
          <w:iCs/>
          <w:sz w:val="24"/>
        </w:rPr>
        <w:t>2、服务方式：本次招标将确定不超过9家投标人。根据需求，签订单项单次服务合同。</w:t>
      </w:r>
    </w:p>
    <w:p w14:paraId="21AC59DF">
      <w:pPr>
        <w:spacing w:line="420" w:lineRule="exact"/>
        <w:ind w:firstLine="480" w:firstLineChars="200"/>
        <w:outlineLvl w:val="0"/>
        <w:rPr>
          <w:rFonts w:hint="eastAsia" w:ascii="宋体" w:hAnsi="宋体" w:eastAsia="宋体" w:cs="宋体"/>
          <w:bCs/>
          <w:iCs/>
          <w:sz w:val="24"/>
        </w:rPr>
      </w:pPr>
      <w:r>
        <w:rPr>
          <w:rFonts w:hint="eastAsia" w:ascii="宋体" w:hAnsi="宋体" w:eastAsia="宋体" w:cs="宋体"/>
          <w:bCs/>
          <w:iCs/>
          <w:sz w:val="24"/>
        </w:rPr>
        <w:t>3、服务区域：本项目分为9个包件，服务区域包含整个静安区，按照企业属地管理对应15个市场监管所，具体实施项目由采购人签订合同后提供项目清单。市场监管所名单如下：南京西路市场监督管理所、曹家渡市场监督管理所、静安寺市场监督管理所、石门二路市场监督管理所、江宁路市场监督管理所、天目西路市场监督管理所、北站市场监督管理所、宝山路市场监督管理所、芷江西路市场监督管理所、共和新路市场监督管理所、大宁路市场监督管理所、彭浦新村市场监督管理所、临汾路市场监督管理所、彭浦市场监督管理所、市北高新园区市场监督管理所。</w:t>
      </w:r>
    </w:p>
    <w:p w14:paraId="6C008086">
      <w:pPr>
        <w:spacing w:line="420" w:lineRule="exact"/>
        <w:ind w:firstLine="480" w:firstLineChars="200"/>
        <w:rPr>
          <w:rFonts w:hint="eastAsia" w:ascii="宋体" w:hAnsi="宋体" w:eastAsia="宋体" w:cs="宋体"/>
          <w:bCs/>
          <w:iCs/>
          <w:sz w:val="24"/>
        </w:rPr>
      </w:pPr>
      <w:r>
        <w:rPr>
          <w:rFonts w:hint="eastAsia" w:ascii="宋体" w:hAnsi="宋体" w:eastAsia="宋体" w:cs="宋体"/>
          <w:bCs/>
          <w:iCs/>
          <w:sz w:val="24"/>
        </w:rPr>
        <w:t>4、服务期限：受托项目验收结束，提交符合要求的成果报告。</w:t>
      </w:r>
    </w:p>
    <w:p w14:paraId="6A4F7D94">
      <w:pPr>
        <w:spacing w:line="420" w:lineRule="exact"/>
        <w:ind w:firstLine="480" w:firstLineChars="200"/>
        <w:outlineLvl w:val="0"/>
        <w:rPr>
          <w:rFonts w:hint="eastAsia" w:ascii="宋体" w:hAnsi="宋体" w:eastAsia="宋体" w:cs="宋体"/>
          <w:bCs/>
          <w:iCs/>
          <w:sz w:val="24"/>
        </w:rPr>
      </w:pPr>
      <w:r>
        <w:rPr>
          <w:rFonts w:hint="eastAsia" w:ascii="宋体" w:hAnsi="宋体" w:eastAsia="宋体" w:cs="宋体"/>
          <w:bCs/>
          <w:iCs/>
          <w:sz w:val="24"/>
        </w:rPr>
        <w:t>5、招标项目有效期：1年</w:t>
      </w:r>
    </w:p>
    <w:p w14:paraId="06917BFF">
      <w:pPr>
        <w:spacing w:line="420" w:lineRule="exact"/>
        <w:rPr>
          <w:rFonts w:hint="eastAsia" w:ascii="宋体" w:hAnsi="宋体" w:eastAsia="宋体" w:cs="宋体"/>
          <w:b/>
          <w:sz w:val="24"/>
        </w:rPr>
      </w:pPr>
      <w:r>
        <w:rPr>
          <w:rFonts w:hint="eastAsia" w:ascii="宋体" w:hAnsi="宋体" w:eastAsia="宋体" w:cs="宋体"/>
          <w:b/>
          <w:sz w:val="24"/>
        </w:rPr>
        <w:t>（二）、工作目标</w:t>
      </w:r>
    </w:p>
    <w:p w14:paraId="164EA853">
      <w:pPr>
        <w:spacing w:line="420" w:lineRule="exact"/>
        <w:ind w:firstLine="480" w:firstLineChars="200"/>
        <w:rPr>
          <w:rFonts w:hint="eastAsia" w:ascii="宋体" w:hAnsi="宋体" w:eastAsia="宋体" w:cs="宋体"/>
          <w:bCs/>
          <w:iCs/>
          <w:sz w:val="24"/>
        </w:rPr>
      </w:pPr>
      <w:r>
        <w:rPr>
          <w:rFonts w:hint="eastAsia" w:ascii="宋体" w:hAnsi="宋体" w:eastAsia="宋体" w:cs="宋体"/>
          <w:bCs/>
          <w:iCs/>
          <w:sz w:val="24"/>
        </w:rPr>
        <w:t>对静安区登记的已报送年报的企业，按照约3%的比例随机抽取并筛选审计复核对象，对其截止2024年12月31日在全国企业信用信息公示系统中公示的企业股东/发起人认缴和实缴的出资额、出资方式及2025年6月30日前的股权变更信息等即时信息进行专项审计，对企业填报的2024年度报告财务信息进行专项复核。</w:t>
      </w:r>
    </w:p>
    <w:p w14:paraId="629C44F4">
      <w:pPr>
        <w:spacing w:line="420" w:lineRule="exact"/>
        <w:ind w:firstLine="480" w:firstLineChars="200"/>
        <w:rPr>
          <w:rFonts w:hint="eastAsia" w:ascii="宋体" w:hAnsi="宋体" w:eastAsia="宋体" w:cs="宋体"/>
          <w:bCs/>
          <w:iCs/>
          <w:sz w:val="24"/>
        </w:rPr>
      </w:pPr>
      <w:r>
        <w:rPr>
          <w:rFonts w:hint="eastAsia" w:ascii="宋体" w:hAnsi="宋体" w:eastAsia="宋体" w:cs="宋体"/>
          <w:bCs/>
          <w:iCs/>
          <w:sz w:val="24"/>
        </w:rPr>
        <w:t>达到保障公平竞争，促进企业诚信自律，规范企业信息公示，强化企业信用约束，维护交易安全，提高政府监管效能，扩大社会监督的目标。</w:t>
      </w:r>
    </w:p>
    <w:p w14:paraId="200E2573">
      <w:pPr>
        <w:spacing w:line="420" w:lineRule="exact"/>
        <w:rPr>
          <w:rFonts w:hint="eastAsia" w:ascii="宋体" w:hAnsi="宋体" w:eastAsia="宋体" w:cs="宋体"/>
          <w:b/>
          <w:sz w:val="24"/>
        </w:rPr>
      </w:pPr>
      <w:r>
        <w:rPr>
          <w:rFonts w:hint="eastAsia" w:ascii="宋体" w:hAnsi="宋体" w:eastAsia="宋体" w:cs="宋体"/>
          <w:b/>
          <w:sz w:val="24"/>
        </w:rPr>
        <w:t>（三）、工作内容</w:t>
      </w:r>
    </w:p>
    <w:p w14:paraId="59BF7A54">
      <w:pPr>
        <w:spacing w:line="420" w:lineRule="exact"/>
        <w:ind w:firstLine="480" w:firstLineChars="200"/>
        <w:outlineLvl w:val="0"/>
        <w:rPr>
          <w:rFonts w:hint="eastAsia" w:ascii="宋体" w:hAnsi="宋体" w:eastAsia="宋体" w:cs="宋体"/>
          <w:sz w:val="24"/>
        </w:rPr>
      </w:pPr>
      <w:r>
        <w:rPr>
          <w:rFonts w:hint="eastAsia" w:ascii="宋体" w:hAnsi="宋体" w:eastAsia="宋体" w:cs="宋体"/>
          <w:sz w:val="24"/>
        </w:rPr>
        <w:t>（一）专项审计的主要内容</w:t>
      </w:r>
    </w:p>
    <w:p w14:paraId="21C4C248">
      <w:pPr>
        <w:shd w:val="clear" w:color="auto" w:fill="FFFFFF"/>
        <w:spacing w:after="180" w:line="420" w:lineRule="exact"/>
        <w:rPr>
          <w:rFonts w:hint="eastAsia" w:ascii="宋体" w:hAnsi="宋体" w:eastAsia="宋体" w:cs="宋体"/>
          <w:sz w:val="24"/>
        </w:rPr>
      </w:pPr>
      <w:r>
        <w:rPr>
          <w:rFonts w:hint="eastAsia" w:ascii="宋体" w:hAnsi="宋体" w:eastAsia="宋体" w:cs="宋体"/>
          <w:sz w:val="24"/>
        </w:rPr>
        <w:t xml:space="preserve">    企业截止抽查指定日期的企业股东/发起人认缴和实缴的出资额、出资时间、出资方式及抽查指定日期前的股权变更信息等。 </w:t>
      </w:r>
    </w:p>
    <w:p w14:paraId="145E0EDD">
      <w:pPr>
        <w:shd w:val="clear" w:color="auto" w:fill="FFFFFF"/>
        <w:spacing w:after="180" w:line="420" w:lineRule="exact"/>
        <w:ind w:firstLine="465"/>
        <w:outlineLvl w:val="0"/>
        <w:rPr>
          <w:rFonts w:hint="eastAsia" w:ascii="宋体" w:hAnsi="宋体" w:eastAsia="宋体" w:cs="宋体"/>
          <w:sz w:val="24"/>
        </w:rPr>
      </w:pPr>
      <w:r>
        <w:rPr>
          <w:rFonts w:hint="eastAsia" w:ascii="宋体" w:hAnsi="宋体" w:eastAsia="宋体" w:cs="宋体"/>
          <w:sz w:val="24"/>
        </w:rPr>
        <w:t>（二）复核的主要内容</w:t>
      </w:r>
    </w:p>
    <w:p w14:paraId="776CEB6E">
      <w:pPr>
        <w:spacing w:line="420" w:lineRule="exact"/>
        <w:ind w:firstLine="480" w:firstLineChars="200"/>
        <w:rPr>
          <w:rFonts w:hint="eastAsia" w:ascii="宋体" w:hAnsi="宋体" w:eastAsia="宋体" w:cs="宋体"/>
          <w:sz w:val="24"/>
        </w:rPr>
      </w:pPr>
      <w:r>
        <w:rPr>
          <w:rFonts w:hint="eastAsia" w:ascii="宋体" w:hAnsi="宋体" w:eastAsia="宋体" w:cs="宋体"/>
          <w:sz w:val="24"/>
        </w:rPr>
        <w:t>1、企业截止2024年12月31日的资产总额、负债总额、对外担保金额、所有者权益合计；2024年度的营业总收入、主营业务收入、利润总额、净利润、纳税总额等信息。</w:t>
      </w:r>
    </w:p>
    <w:p w14:paraId="2890CF2D">
      <w:pPr>
        <w:spacing w:line="420" w:lineRule="exact"/>
        <w:ind w:firstLine="480" w:firstLineChars="200"/>
        <w:rPr>
          <w:rFonts w:hint="eastAsia" w:ascii="宋体" w:hAnsi="宋体" w:eastAsia="宋体" w:cs="宋体"/>
          <w:sz w:val="24"/>
        </w:rPr>
      </w:pPr>
      <w:r>
        <w:rPr>
          <w:rFonts w:hint="eastAsia" w:ascii="宋体" w:hAnsi="宋体" w:eastAsia="宋体" w:cs="宋体"/>
          <w:sz w:val="24"/>
        </w:rPr>
        <w:t>2、企业投资设立企业和购买股权企业的名称及注册号信息。</w:t>
      </w:r>
    </w:p>
    <w:p w14:paraId="5668C0B2">
      <w:pPr>
        <w:spacing w:line="420" w:lineRule="exact"/>
        <w:ind w:firstLine="480" w:firstLineChars="200"/>
        <w:rPr>
          <w:rFonts w:hint="eastAsia" w:ascii="宋体" w:hAnsi="宋体" w:eastAsia="宋体" w:cs="宋体"/>
          <w:sz w:val="24"/>
        </w:rPr>
      </w:pPr>
      <w:r>
        <w:rPr>
          <w:rFonts w:hint="eastAsia" w:ascii="宋体" w:hAnsi="宋体" w:eastAsia="宋体" w:cs="宋体"/>
          <w:sz w:val="24"/>
        </w:rPr>
        <w:t>3、企业受到行政处罚信息。</w:t>
      </w:r>
    </w:p>
    <w:p w14:paraId="0BB55438">
      <w:pPr>
        <w:spacing w:line="420" w:lineRule="exact"/>
        <w:rPr>
          <w:rFonts w:hint="eastAsia" w:ascii="宋体" w:hAnsi="宋体" w:eastAsia="宋体" w:cs="宋体"/>
          <w:b/>
          <w:sz w:val="24"/>
        </w:rPr>
      </w:pPr>
      <w:r>
        <w:rPr>
          <w:rFonts w:hint="eastAsia" w:ascii="宋体" w:hAnsi="宋体" w:eastAsia="宋体" w:cs="宋体"/>
          <w:b/>
          <w:sz w:val="24"/>
        </w:rPr>
        <w:t>（四）、工作要求：</w:t>
      </w:r>
    </w:p>
    <w:p w14:paraId="466C9CDE">
      <w:pPr>
        <w:spacing w:line="420" w:lineRule="exact"/>
        <w:ind w:firstLine="480" w:firstLineChars="200"/>
        <w:outlineLvl w:val="0"/>
        <w:rPr>
          <w:rFonts w:hint="eastAsia" w:ascii="宋体" w:hAnsi="宋体" w:eastAsia="宋体" w:cs="宋体"/>
          <w:sz w:val="24"/>
        </w:rPr>
      </w:pPr>
      <w:r>
        <w:rPr>
          <w:rFonts w:hint="eastAsia" w:ascii="宋体" w:hAnsi="宋体" w:eastAsia="宋体" w:cs="宋体"/>
          <w:sz w:val="24"/>
        </w:rPr>
        <w:t>一）专项审计程序</w:t>
      </w:r>
    </w:p>
    <w:p w14:paraId="4FCAD726">
      <w:pPr>
        <w:spacing w:line="420" w:lineRule="exact"/>
        <w:ind w:firstLine="480" w:firstLineChars="200"/>
        <w:rPr>
          <w:rFonts w:hint="eastAsia" w:ascii="宋体" w:hAnsi="宋体" w:eastAsia="宋体" w:cs="宋体"/>
          <w:sz w:val="24"/>
        </w:rPr>
      </w:pPr>
      <w:r>
        <w:rPr>
          <w:rFonts w:hint="eastAsia" w:ascii="宋体" w:hAnsi="宋体" w:eastAsia="宋体" w:cs="宋体"/>
          <w:sz w:val="24"/>
        </w:rPr>
        <w:t>1.  股东/发起人及出资信息</w:t>
      </w:r>
    </w:p>
    <w:p w14:paraId="33ACB93A">
      <w:pPr>
        <w:spacing w:line="420" w:lineRule="exact"/>
        <w:ind w:firstLine="480" w:firstLineChars="200"/>
        <w:rPr>
          <w:rFonts w:hint="eastAsia" w:ascii="宋体" w:hAnsi="宋体" w:eastAsia="宋体" w:cs="宋体"/>
          <w:sz w:val="24"/>
        </w:rPr>
      </w:pPr>
      <w:r>
        <w:rPr>
          <w:rFonts w:hint="eastAsia" w:ascii="宋体" w:hAnsi="宋体" w:eastAsia="宋体" w:cs="宋体"/>
          <w:sz w:val="24"/>
        </w:rPr>
        <w:t>（1）获取企业（法人）营业执照、企业章程等有关资料，查阅股东认缴资本额的情况。</w:t>
      </w:r>
    </w:p>
    <w:p w14:paraId="044AB98B">
      <w:pPr>
        <w:spacing w:line="420" w:lineRule="exact"/>
        <w:ind w:firstLine="480" w:firstLineChars="200"/>
        <w:rPr>
          <w:rFonts w:hint="eastAsia" w:ascii="宋体" w:hAnsi="宋体" w:eastAsia="宋体" w:cs="宋体"/>
          <w:sz w:val="24"/>
        </w:rPr>
      </w:pPr>
      <w:r>
        <w:rPr>
          <w:rFonts w:hint="eastAsia" w:ascii="宋体" w:hAnsi="宋体" w:eastAsia="宋体" w:cs="宋体"/>
          <w:sz w:val="24"/>
        </w:rPr>
        <w:t>（2）获取验资报告、相关会计凭证，审查股东实缴出资额情况；若执行新公司法后无需验资报告，审查相关会计凭证的实际出资人名称、款项用途、实缴时间等信息是否与公示信息相符。</w:t>
      </w:r>
    </w:p>
    <w:p w14:paraId="41BCCA4F">
      <w:pPr>
        <w:spacing w:line="420" w:lineRule="exact"/>
        <w:ind w:firstLine="480" w:firstLineChars="200"/>
        <w:rPr>
          <w:rFonts w:hint="eastAsia" w:ascii="宋体" w:hAnsi="宋体" w:eastAsia="宋体" w:cs="宋体"/>
          <w:sz w:val="24"/>
        </w:rPr>
      </w:pPr>
      <w:r>
        <w:rPr>
          <w:rFonts w:hint="eastAsia" w:ascii="宋体" w:hAnsi="宋体" w:eastAsia="宋体" w:cs="宋体"/>
          <w:sz w:val="24"/>
        </w:rPr>
        <w:t>（3）审查应收（含应付）款项分户明细账和清单，检查应收对象中是否有投资人欠款存在。如存在，则应获取该款项发生时的入账凭证及相关资料，查明欠款性质。</w:t>
      </w:r>
    </w:p>
    <w:p w14:paraId="02AA171D">
      <w:pPr>
        <w:spacing w:line="420" w:lineRule="exact"/>
        <w:ind w:firstLine="480" w:firstLineChars="200"/>
        <w:rPr>
          <w:rFonts w:hint="eastAsia" w:ascii="宋体" w:hAnsi="宋体" w:eastAsia="宋体" w:cs="宋体"/>
          <w:sz w:val="24"/>
        </w:rPr>
      </w:pPr>
      <w:r>
        <w:rPr>
          <w:rFonts w:hint="eastAsia" w:ascii="宋体" w:hAnsi="宋体" w:eastAsia="宋体" w:cs="宋体"/>
          <w:sz w:val="24"/>
        </w:rPr>
        <w:t>（4）出资者如有以固定资产和无形资产投入，应审查投入财产现存状况；如其中涉及须办理权证过户变更手续的，则应进一步获取验资报告、评估报告等计价依据及股东会决议等相关资料。</w:t>
      </w:r>
    </w:p>
    <w:p w14:paraId="524561EA">
      <w:pPr>
        <w:spacing w:line="420" w:lineRule="exact"/>
        <w:ind w:firstLine="480" w:firstLineChars="200"/>
        <w:rPr>
          <w:rFonts w:hint="eastAsia" w:ascii="宋体" w:hAnsi="宋体" w:eastAsia="宋体" w:cs="宋体"/>
          <w:sz w:val="24"/>
        </w:rPr>
      </w:pPr>
      <w:r>
        <w:rPr>
          <w:rFonts w:hint="eastAsia" w:ascii="宋体" w:hAnsi="宋体" w:eastAsia="宋体" w:cs="宋体"/>
          <w:sz w:val="24"/>
        </w:rPr>
        <w:t>（5）对企业截止2025年6月30日以前的股东/发起人认缴和实缴的出资额、出资时间、出资方式等信息是否及时通过企业信用信息公示系统向社会公示进行逐一检查。即时变更是指股东出资信息2014年3月1日至9月30日期间发生变动的，企业应当于2014年12月31日之前通过企业信用信息公示系统向社会公示；2014年10月1日以后发生变动的，企业应在20个工作日内通过企业信用信息公示系统向社会公示。</w:t>
      </w:r>
    </w:p>
    <w:p w14:paraId="4ACA388F">
      <w:pPr>
        <w:spacing w:line="420" w:lineRule="exact"/>
        <w:ind w:firstLine="480" w:firstLineChars="200"/>
        <w:rPr>
          <w:rFonts w:hint="eastAsia" w:ascii="宋体" w:hAnsi="宋体" w:eastAsia="宋体" w:cs="宋体"/>
          <w:sz w:val="24"/>
        </w:rPr>
      </w:pPr>
      <w:r>
        <w:rPr>
          <w:rFonts w:hint="eastAsia" w:ascii="宋体" w:hAnsi="宋体" w:eastAsia="宋体" w:cs="宋体"/>
          <w:sz w:val="24"/>
        </w:rPr>
        <w:t>2.股权变更信息</w:t>
      </w:r>
    </w:p>
    <w:p w14:paraId="4AE89BAB">
      <w:pPr>
        <w:spacing w:line="420" w:lineRule="exact"/>
        <w:ind w:firstLine="480" w:firstLineChars="200"/>
        <w:rPr>
          <w:rFonts w:hint="eastAsia" w:ascii="宋体" w:hAnsi="宋体" w:eastAsia="宋体" w:cs="宋体"/>
          <w:sz w:val="24"/>
        </w:rPr>
      </w:pPr>
      <w:r>
        <w:rPr>
          <w:rFonts w:hint="eastAsia" w:ascii="宋体" w:hAnsi="宋体" w:eastAsia="宋体" w:cs="宋体"/>
          <w:sz w:val="24"/>
        </w:rPr>
        <w:t>（1） 获取修订后企业章程、股权转让协议、相关股东会决议。</w:t>
      </w:r>
    </w:p>
    <w:p w14:paraId="58A8C12B">
      <w:pPr>
        <w:spacing w:line="420" w:lineRule="exact"/>
        <w:ind w:firstLine="480" w:firstLineChars="200"/>
        <w:rPr>
          <w:rFonts w:hint="eastAsia" w:ascii="宋体" w:hAnsi="宋体" w:eastAsia="宋体" w:cs="宋体"/>
          <w:sz w:val="24"/>
        </w:rPr>
      </w:pPr>
      <w:r>
        <w:rPr>
          <w:rFonts w:hint="eastAsia" w:ascii="宋体" w:hAnsi="宋体" w:eastAsia="宋体" w:cs="宋体"/>
          <w:sz w:val="24"/>
        </w:rPr>
        <w:t>（2） 获取股权变更市场监管备案机读材料。</w:t>
      </w:r>
    </w:p>
    <w:p w14:paraId="5D07647D">
      <w:pPr>
        <w:spacing w:line="420" w:lineRule="exact"/>
        <w:ind w:firstLine="480" w:firstLineChars="200"/>
        <w:rPr>
          <w:rFonts w:hint="eastAsia" w:ascii="宋体" w:hAnsi="宋体" w:eastAsia="宋体" w:cs="宋体"/>
          <w:sz w:val="24"/>
        </w:rPr>
      </w:pPr>
      <w:r>
        <w:rPr>
          <w:rFonts w:hint="eastAsia" w:ascii="宋体" w:hAnsi="宋体" w:eastAsia="宋体" w:cs="宋体"/>
          <w:sz w:val="24"/>
        </w:rPr>
        <w:t>（3） 审查股权转让的有关会计凭证。</w:t>
      </w:r>
    </w:p>
    <w:p w14:paraId="7FA6EF64">
      <w:pPr>
        <w:spacing w:line="420" w:lineRule="exact"/>
        <w:ind w:firstLine="480" w:firstLineChars="200"/>
        <w:rPr>
          <w:rFonts w:hint="eastAsia" w:ascii="宋体" w:hAnsi="宋体" w:eastAsia="宋体" w:cs="宋体"/>
          <w:sz w:val="24"/>
        </w:rPr>
      </w:pPr>
      <w:r>
        <w:rPr>
          <w:rFonts w:hint="eastAsia" w:ascii="宋体" w:hAnsi="宋体" w:eastAsia="宋体" w:cs="宋体"/>
          <w:sz w:val="24"/>
        </w:rPr>
        <w:t>（4） 对企业近2年的股权变更信息是否在20个工作日内通过企业信用信息公示系统向社会公示进行逐一检查。</w:t>
      </w:r>
    </w:p>
    <w:p w14:paraId="423AC351">
      <w:pPr>
        <w:spacing w:line="420" w:lineRule="exact"/>
        <w:ind w:firstLine="480" w:firstLineChars="200"/>
        <w:outlineLvl w:val="0"/>
        <w:rPr>
          <w:rFonts w:hint="eastAsia" w:ascii="宋体" w:hAnsi="宋体" w:eastAsia="宋体" w:cs="宋体"/>
          <w:sz w:val="24"/>
        </w:rPr>
      </w:pPr>
      <w:r>
        <w:rPr>
          <w:rFonts w:hint="eastAsia" w:ascii="宋体" w:hAnsi="宋体" w:eastAsia="宋体" w:cs="宋体"/>
          <w:sz w:val="24"/>
        </w:rPr>
        <w:t>二）复核程序</w:t>
      </w:r>
    </w:p>
    <w:p w14:paraId="6363DB28">
      <w:pPr>
        <w:spacing w:line="420" w:lineRule="exact"/>
        <w:ind w:firstLine="480" w:firstLineChars="200"/>
        <w:rPr>
          <w:rFonts w:hint="eastAsia" w:ascii="宋体" w:hAnsi="宋体" w:eastAsia="宋体" w:cs="宋体"/>
          <w:sz w:val="24"/>
        </w:rPr>
      </w:pPr>
      <w:r>
        <w:rPr>
          <w:rFonts w:hint="eastAsia" w:ascii="宋体" w:hAnsi="宋体" w:eastAsia="宋体" w:cs="宋体"/>
          <w:sz w:val="24"/>
        </w:rPr>
        <w:t>1．有关财务信息</w:t>
      </w:r>
    </w:p>
    <w:p w14:paraId="08DB7A7B">
      <w:pPr>
        <w:spacing w:line="420" w:lineRule="exact"/>
        <w:ind w:firstLine="480" w:firstLineChars="200"/>
        <w:rPr>
          <w:rFonts w:hint="eastAsia" w:ascii="宋体" w:hAnsi="宋体" w:eastAsia="宋体" w:cs="宋体"/>
          <w:sz w:val="24"/>
        </w:rPr>
      </w:pPr>
      <w:r>
        <w:rPr>
          <w:rFonts w:hint="eastAsia" w:ascii="宋体" w:hAnsi="宋体" w:eastAsia="宋体" w:cs="宋体"/>
          <w:sz w:val="24"/>
        </w:rPr>
        <w:t>获取企业财务报表及会计科目余额明细清单、相关帐簿、纳税申报资料以及账面记录等；复核收入和应交税金项目，核对纳税相关资料，核实纳税总额信息；核对资产总额、负债总额及所有者权益合计等需要上报的公示信息。</w:t>
      </w:r>
    </w:p>
    <w:p w14:paraId="66F67834">
      <w:pPr>
        <w:spacing w:line="420" w:lineRule="exact"/>
        <w:ind w:firstLine="480" w:firstLineChars="200"/>
        <w:outlineLvl w:val="0"/>
        <w:rPr>
          <w:rFonts w:hint="eastAsia" w:ascii="宋体" w:hAnsi="宋体" w:eastAsia="宋体" w:cs="宋体"/>
          <w:sz w:val="24"/>
        </w:rPr>
      </w:pPr>
      <w:r>
        <w:rPr>
          <w:rFonts w:hint="eastAsia" w:ascii="宋体" w:hAnsi="宋体" w:eastAsia="宋体" w:cs="宋体"/>
          <w:sz w:val="24"/>
        </w:rPr>
        <w:t>2．对外投资信息</w:t>
      </w:r>
    </w:p>
    <w:p w14:paraId="186E5396">
      <w:pPr>
        <w:spacing w:line="420" w:lineRule="exact"/>
        <w:ind w:firstLine="480" w:firstLineChars="200"/>
        <w:rPr>
          <w:rFonts w:hint="eastAsia" w:ascii="宋体" w:hAnsi="宋体" w:eastAsia="宋体" w:cs="宋体"/>
          <w:sz w:val="24"/>
        </w:rPr>
      </w:pPr>
      <w:r>
        <w:rPr>
          <w:rFonts w:hint="eastAsia" w:ascii="宋体" w:hAnsi="宋体" w:eastAsia="宋体" w:cs="宋体"/>
          <w:sz w:val="24"/>
        </w:rPr>
        <w:t>（1） 获取企业投资设立企业或购买股权的协议或合同、股东会决议等相关资料，复核企业投资设立企业或购买股权的账目、相关原始凭证和记账凭证，与公示信息核对。</w:t>
      </w:r>
    </w:p>
    <w:p w14:paraId="5B895C29">
      <w:pPr>
        <w:spacing w:line="420" w:lineRule="exact"/>
        <w:ind w:firstLine="480" w:firstLineChars="200"/>
        <w:rPr>
          <w:rFonts w:hint="eastAsia" w:ascii="宋体" w:hAnsi="宋体" w:eastAsia="宋体" w:cs="宋体"/>
          <w:sz w:val="24"/>
        </w:rPr>
      </w:pPr>
      <w:r>
        <w:rPr>
          <w:rFonts w:hint="eastAsia" w:ascii="宋体" w:hAnsi="宋体" w:eastAsia="宋体" w:cs="宋体"/>
          <w:sz w:val="24"/>
        </w:rPr>
        <w:t>（2） 获取被投资设立企业或购买股权企业的营业执照及工商登记信息。</w:t>
      </w:r>
    </w:p>
    <w:p w14:paraId="3FA1735A">
      <w:pPr>
        <w:spacing w:line="420" w:lineRule="exact"/>
        <w:ind w:firstLine="480" w:firstLineChars="200"/>
        <w:outlineLvl w:val="0"/>
        <w:rPr>
          <w:rFonts w:hint="eastAsia" w:ascii="宋体" w:hAnsi="宋体" w:eastAsia="宋体" w:cs="宋体"/>
          <w:sz w:val="24"/>
        </w:rPr>
      </w:pPr>
      <w:r>
        <w:rPr>
          <w:rFonts w:hint="eastAsia" w:ascii="宋体" w:hAnsi="宋体" w:eastAsia="宋体" w:cs="宋体"/>
          <w:sz w:val="24"/>
        </w:rPr>
        <w:t>3. 对外提供保证担保信息</w:t>
      </w:r>
    </w:p>
    <w:p w14:paraId="2FD31119">
      <w:pPr>
        <w:spacing w:line="420" w:lineRule="exact"/>
        <w:ind w:firstLine="480" w:firstLineChars="200"/>
        <w:rPr>
          <w:rFonts w:hint="eastAsia" w:ascii="宋体" w:hAnsi="宋体" w:eastAsia="宋体" w:cs="宋体"/>
          <w:sz w:val="24"/>
        </w:rPr>
      </w:pPr>
      <w:r>
        <w:rPr>
          <w:rFonts w:hint="eastAsia" w:ascii="宋体" w:hAnsi="宋体" w:eastAsia="宋体" w:cs="宋体"/>
          <w:sz w:val="24"/>
        </w:rPr>
        <w:t>（1） 获取由企业关于对外提供保证担保信息真实性、完整性的《声明书》，明确企业责任。</w:t>
      </w:r>
    </w:p>
    <w:p w14:paraId="4F43B7E9">
      <w:pPr>
        <w:spacing w:line="420" w:lineRule="exact"/>
        <w:ind w:firstLine="480" w:firstLineChars="200"/>
        <w:rPr>
          <w:rFonts w:hint="eastAsia" w:ascii="宋体" w:hAnsi="宋体" w:eastAsia="宋体" w:cs="宋体"/>
          <w:sz w:val="24"/>
        </w:rPr>
      </w:pPr>
      <w:r>
        <w:rPr>
          <w:rFonts w:hint="eastAsia" w:ascii="宋体" w:hAnsi="宋体" w:eastAsia="宋体" w:cs="宋体"/>
          <w:sz w:val="24"/>
        </w:rPr>
        <w:t>（2）获取企业编制的2024年12月31日以前的对外保证担保明细清单，由其签字盖章确认后，与公示信息进行核对。</w:t>
      </w:r>
    </w:p>
    <w:p w14:paraId="73F33896">
      <w:pPr>
        <w:spacing w:line="420" w:lineRule="exact"/>
        <w:ind w:firstLine="480" w:firstLineChars="200"/>
        <w:rPr>
          <w:rFonts w:hint="eastAsia" w:ascii="宋体" w:hAnsi="宋体" w:eastAsia="宋体" w:cs="宋体"/>
          <w:sz w:val="24"/>
        </w:rPr>
      </w:pPr>
      <w:r>
        <w:rPr>
          <w:rFonts w:hint="eastAsia" w:ascii="宋体" w:hAnsi="宋体" w:eastAsia="宋体" w:cs="宋体"/>
          <w:sz w:val="24"/>
        </w:rPr>
        <w:t>（3）获取企业对外提供保证担保的合同等法律文件，并与明细清单的各项内容逐一进行核对。</w:t>
      </w:r>
    </w:p>
    <w:p w14:paraId="54CED59E">
      <w:pPr>
        <w:spacing w:line="420" w:lineRule="exact"/>
        <w:ind w:firstLine="480" w:firstLineChars="200"/>
        <w:rPr>
          <w:rFonts w:hint="eastAsia" w:ascii="宋体" w:hAnsi="宋体" w:eastAsia="宋体" w:cs="宋体"/>
          <w:sz w:val="24"/>
        </w:rPr>
      </w:pPr>
      <w:r>
        <w:rPr>
          <w:rFonts w:hint="eastAsia" w:ascii="宋体" w:hAnsi="宋体" w:eastAsia="宋体" w:cs="宋体"/>
          <w:sz w:val="24"/>
        </w:rPr>
        <w:t>（4）行政处罚</w:t>
      </w:r>
    </w:p>
    <w:p w14:paraId="1DE5E372">
      <w:pPr>
        <w:pStyle w:val="3"/>
        <w:spacing w:line="420" w:lineRule="exact"/>
        <w:ind w:firstLine="480" w:firstLineChars="200"/>
        <w:rPr>
          <w:rFonts w:hint="eastAsia" w:hAnsi="宋体" w:cs="宋体"/>
          <w:sz w:val="24"/>
        </w:rPr>
      </w:pPr>
      <w:r>
        <w:rPr>
          <w:rFonts w:hint="eastAsia" w:hAnsi="宋体" w:cs="宋体"/>
          <w:sz w:val="24"/>
        </w:rPr>
        <w:t>三）报告要求</w:t>
      </w:r>
    </w:p>
    <w:p w14:paraId="1753461D">
      <w:pPr>
        <w:spacing w:line="420" w:lineRule="exact"/>
        <w:ind w:firstLine="480" w:firstLineChars="200"/>
        <w:rPr>
          <w:rFonts w:ascii="宋体" w:hAnsi="宋体" w:eastAsia="宋体" w:cs="宋体"/>
          <w:snapToGrid w:val="0"/>
          <w:color w:val="000000"/>
          <w:kern w:val="28"/>
          <w:sz w:val="24"/>
          <w:szCs w:val="20"/>
        </w:rPr>
      </w:pPr>
      <w:r>
        <w:rPr>
          <w:rFonts w:hint="eastAsia" w:ascii="宋体" w:hAnsi="宋体" w:eastAsia="宋体" w:cs="宋体"/>
          <w:snapToGrid w:val="0"/>
          <w:color w:val="000000"/>
          <w:kern w:val="28"/>
          <w:sz w:val="24"/>
          <w:szCs w:val="20"/>
        </w:rPr>
        <w:t>供应商应遵循注册会计师执业准则和质量控制准则的有关要求，对企业提供的财务及相关资料严格审核，认真审计，确保工作质量，对提交的专项审计和复核报告的准确性负责。供应商应在</w:t>
      </w:r>
      <w:r>
        <w:rPr>
          <w:rFonts w:ascii="宋体" w:hAnsi="宋体" w:eastAsia="宋体" w:cs="宋体"/>
          <w:snapToGrid w:val="0"/>
          <w:color w:val="000000"/>
          <w:kern w:val="28"/>
          <w:sz w:val="24"/>
          <w:szCs w:val="20"/>
        </w:rPr>
        <w:t>202</w:t>
      </w:r>
      <w:r>
        <w:rPr>
          <w:rFonts w:hint="eastAsia" w:ascii="宋体" w:hAnsi="宋体" w:eastAsia="宋体" w:cs="宋体"/>
          <w:snapToGrid w:val="0"/>
          <w:color w:val="000000"/>
          <w:kern w:val="28"/>
          <w:sz w:val="24"/>
          <w:szCs w:val="20"/>
        </w:rPr>
        <w:t>5年</w:t>
      </w:r>
      <w:r>
        <w:rPr>
          <w:rFonts w:ascii="宋体" w:hAnsi="宋体" w:eastAsia="宋体" w:cs="宋体"/>
          <w:snapToGrid w:val="0"/>
          <w:color w:val="000000"/>
          <w:kern w:val="28"/>
          <w:sz w:val="24"/>
          <w:szCs w:val="20"/>
        </w:rPr>
        <w:t>11</w:t>
      </w:r>
      <w:r>
        <w:rPr>
          <w:rFonts w:hint="eastAsia" w:ascii="宋体" w:hAnsi="宋体" w:eastAsia="宋体" w:cs="宋体"/>
          <w:snapToGrid w:val="0"/>
          <w:color w:val="000000"/>
          <w:kern w:val="28"/>
          <w:sz w:val="24"/>
          <w:szCs w:val="20"/>
        </w:rPr>
        <w:t>月</w:t>
      </w:r>
      <w:r>
        <w:rPr>
          <w:rFonts w:ascii="宋体" w:hAnsi="宋体" w:eastAsia="宋体" w:cs="宋体"/>
          <w:snapToGrid w:val="0"/>
          <w:color w:val="000000"/>
          <w:kern w:val="28"/>
          <w:sz w:val="24"/>
          <w:szCs w:val="20"/>
        </w:rPr>
        <w:t>5</w:t>
      </w:r>
      <w:r>
        <w:rPr>
          <w:rFonts w:hint="eastAsia" w:ascii="宋体" w:hAnsi="宋体" w:eastAsia="宋体" w:cs="宋体"/>
          <w:snapToGrid w:val="0"/>
          <w:color w:val="000000"/>
          <w:kern w:val="28"/>
          <w:sz w:val="24"/>
          <w:szCs w:val="20"/>
        </w:rPr>
        <w:t>日前向甲方提供报告。</w:t>
      </w:r>
    </w:p>
    <w:p w14:paraId="70B574C3">
      <w:pPr>
        <w:pStyle w:val="3"/>
        <w:spacing w:line="420" w:lineRule="exact"/>
        <w:ind w:firstLine="480" w:firstLineChars="200"/>
        <w:rPr>
          <w:rFonts w:hint="eastAsia" w:hAnsi="宋体" w:cs="宋体"/>
          <w:sz w:val="24"/>
        </w:rPr>
      </w:pPr>
      <w:r>
        <w:rPr>
          <w:rFonts w:hint="eastAsia" w:hAnsi="宋体" w:cs="宋体"/>
          <w:sz w:val="24"/>
        </w:rPr>
        <w:t>四）其他</w:t>
      </w:r>
    </w:p>
    <w:p w14:paraId="7C4D5FD0">
      <w:pPr>
        <w:pStyle w:val="3"/>
        <w:spacing w:line="420" w:lineRule="exact"/>
        <w:ind w:firstLine="480" w:firstLineChars="200"/>
        <w:rPr>
          <w:rFonts w:hint="eastAsia" w:hAnsi="宋体" w:cs="宋体"/>
          <w:sz w:val="24"/>
        </w:rPr>
      </w:pPr>
      <w:r>
        <w:rPr>
          <w:rFonts w:hint="eastAsia" w:hAnsi="宋体" w:cs="宋体"/>
          <w:sz w:val="24"/>
        </w:rPr>
        <w:t>1.供应商应提供业务承诺书，对审计报告完成时间、人员应急预案等内容作出承诺。中标后，项目人员未经采购方同意不得随意变更，如有特殊情况需要变更的，需经采购方同意方可变更。</w:t>
      </w:r>
    </w:p>
    <w:p w14:paraId="3F619BE2">
      <w:pPr>
        <w:pStyle w:val="3"/>
        <w:spacing w:line="420" w:lineRule="exact"/>
        <w:ind w:firstLine="480" w:firstLineChars="200"/>
        <w:rPr>
          <w:rFonts w:hint="eastAsia" w:hAnsi="宋体" w:cs="宋体"/>
          <w:kern w:val="2"/>
          <w:sz w:val="24"/>
          <w:szCs w:val="24"/>
        </w:rPr>
      </w:pPr>
      <w:r>
        <w:rPr>
          <w:rFonts w:hint="eastAsia" w:hAnsi="宋体" w:cs="宋体"/>
          <w:sz w:val="24"/>
        </w:rPr>
        <w:t>2. 供应商如果能定期组织相关政策培训、提供行业案例情况分析汇总、提供《管理建议书》等延伸服务可</w:t>
      </w:r>
      <w:r>
        <w:rPr>
          <w:rFonts w:hint="eastAsia" w:hAnsi="宋体" w:cs="宋体"/>
          <w:kern w:val="2"/>
          <w:sz w:val="24"/>
          <w:szCs w:val="24"/>
        </w:rPr>
        <w:t>优先考量。</w:t>
      </w:r>
    </w:p>
    <w:p w14:paraId="627C1C30">
      <w:pPr>
        <w:spacing w:line="420" w:lineRule="exact"/>
        <w:outlineLvl w:val="9"/>
        <w:rPr>
          <w:rFonts w:hint="eastAsia" w:ascii="宋体" w:hAnsi="宋体" w:eastAsia="宋体" w:cs="宋体"/>
          <w:b/>
          <w:sz w:val="24"/>
        </w:rPr>
      </w:pPr>
      <w:r>
        <w:rPr>
          <w:rFonts w:hint="eastAsia" w:ascii="宋体" w:hAnsi="宋体" w:eastAsia="宋体" w:cs="宋体"/>
          <w:b/>
          <w:sz w:val="24"/>
        </w:rPr>
        <w:t>（</w:t>
      </w:r>
      <w:r>
        <w:rPr>
          <w:rFonts w:hint="eastAsia" w:hAnsi="宋体" w:cs="宋体"/>
          <w:b/>
          <w:sz w:val="24"/>
        </w:rPr>
        <w:t>五</w:t>
      </w:r>
      <w:r>
        <w:rPr>
          <w:rFonts w:hint="eastAsia" w:ascii="宋体" w:hAnsi="宋体" w:eastAsia="宋体" w:cs="宋体"/>
          <w:b/>
          <w:sz w:val="24"/>
        </w:rPr>
        <w:t>）、供应商人员要求</w:t>
      </w:r>
    </w:p>
    <w:p w14:paraId="4E523C39">
      <w:pPr>
        <w:spacing w:line="420" w:lineRule="exact"/>
        <w:ind w:firstLine="480" w:firstLineChars="200"/>
        <w:rPr>
          <w:rFonts w:hint="eastAsia" w:ascii="宋体" w:hAnsi="宋体" w:eastAsia="宋体" w:cs="宋体"/>
          <w:sz w:val="24"/>
        </w:rPr>
      </w:pPr>
      <w:r>
        <w:rPr>
          <w:rFonts w:hint="eastAsia" w:ascii="宋体" w:hAnsi="宋体" w:eastAsia="宋体" w:cs="宋体"/>
          <w:sz w:val="24"/>
        </w:rPr>
        <w:t>1、本项目供应商应配备满足项目需要的有足够胜任能力的项目负责人和团队，团队人数不低于13人，团队中注册会计师人数不少于7名。</w:t>
      </w:r>
    </w:p>
    <w:p w14:paraId="1651AB68">
      <w:pPr>
        <w:pStyle w:val="3"/>
        <w:spacing w:line="420" w:lineRule="exact"/>
        <w:ind w:firstLine="480" w:firstLineChars="200"/>
        <w:rPr>
          <w:rFonts w:hint="eastAsia" w:hAnsi="宋体" w:cs="宋体"/>
          <w:sz w:val="24"/>
        </w:rPr>
      </w:pPr>
      <w:r>
        <w:rPr>
          <w:rFonts w:hint="eastAsia" w:hAnsi="宋体" w:cs="宋体"/>
          <w:sz w:val="24"/>
        </w:rPr>
        <w:t>2、本项目供应商的负责人需要有相关资质证书、学历证书、工作经验、工作业绩等。项目负责人有高等学历、从事相关行业经验10年以上优先考量。</w:t>
      </w:r>
    </w:p>
    <w:p w14:paraId="5629755E">
      <w:pPr>
        <w:pStyle w:val="3"/>
        <w:spacing w:line="420" w:lineRule="exact"/>
        <w:ind w:firstLine="480" w:firstLineChars="200"/>
        <w:rPr>
          <w:rFonts w:hint="eastAsia" w:hAnsi="宋体" w:cs="宋体"/>
          <w:sz w:val="24"/>
        </w:rPr>
      </w:pPr>
      <w:r>
        <w:rPr>
          <w:rFonts w:hint="eastAsia" w:hAnsi="宋体" w:cs="宋体"/>
          <w:sz w:val="24"/>
        </w:rPr>
        <w:t>3、本项目供应商</w:t>
      </w:r>
      <w:r>
        <w:rPr>
          <w:rFonts w:hint="eastAsia" w:hAnsi="宋体" w:cs="宋体"/>
          <w:sz w:val="24"/>
          <w:szCs w:val="24"/>
        </w:rPr>
        <w:t>做过类似项目案例</w:t>
      </w:r>
      <w:r>
        <w:rPr>
          <w:rFonts w:hint="eastAsia" w:hAnsi="宋体" w:cs="宋体"/>
          <w:sz w:val="24"/>
        </w:rPr>
        <w:t>优先考量。</w:t>
      </w:r>
    </w:p>
    <w:p w14:paraId="02483429">
      <w:pPr>
        <w:spacing w:line="420" w:lineRule="exact"/>
        <w:outlineLvl w:val="9"/>
        <w:rPr>
          <w:rFonts w:hint="eastAsia" w:ascii="宋体" w:hAnsi="宋体" w:eastAsia="宋体" w:cs="宋体"/>
          <w:b/>
          <w:sz w:val="24"/>
        </w:rPr>
      </w:pPr>
      <w:r>
        <w:rPr>
          <w:rFonts w:hint="eastAsia" w:ascii="宋体" w:hAnsi="宋体" w:eastAsia="宋体" w:cs="宋体"/>
          <w:b/>
          <w:sz w:val="24"/>
        </w:rPr>
        <w:t>（六）、报价要求</w:t>
      </w:r>
    </w:p>
    <w:p w14:paraId="2705AEBC">
      <w:pPr>
        <w:spacing w:line="420" w:lineRule="exact"/>
        <w:ind w:firstLine="480" w:firstLineChars="200"/>
        <w:rPr>
          <w:rFonts w:hint="eastAsia" w:ascii="宋体" w:hAnsi="宋体" w:eastAsia="宋体" w:cs="宋体"/>
          <w:sz w:val="24"/>
        </w:rPr>
      </w:pPr>
      <w:r>
        <w:rPr>
          <w:rFonts w:hint="eastAsia" w:ascii="宋体" w:hAnsi="宋体" w:eastAsia="宋体" w:cs="宋体"/>
          <w:sz w:val="24"/>
        </w:rPr>
        <w:t>1、报价依据：本文明确的工作内容、工作范围和要求。报价需明确单份报告金额以及包件总金额（单价*预计工作量）。</w:t>
      </w:r>
    </w:p>
    <w:p w14:paraId="200D31BA">
      <w:pPr>
        <w:spacing w:line="420" w:lineRule="exact"/>
        <w:ind w:firstLine="480" w:firstLineChars="200"/>
        <w:rPr>
          <w:rFonts w:hint="eastAsia" w:ascii="宋体" w:hAnsi="宋体" w:eastAsia="宋体" w:cs="宋体"/>
          <w:b w:val="0"/>
          <w:bCs/>
          <w:sz w:val="24"/>
        </w:rPr>
      </w:pPr>
      <w:r>
        <w:rPr>
          <w:rFonts w:hint="eastAsia" w:ascii="宋体" w:hAnsi="宋体" w:eastAsia="宋体" w:cs="宋体"/>
          <w:sz w:val="24"/>
          <w:highlight w:val="none"/>
        </w:rPr>
        <w:t>2、</w:t>
      </w:r>
      <w:r>
        <w:rPr>
          <w:rFonts w:hint="eastAsia" w:ascii="宋体" w:hAnsi="宋体" w:eastAsia="宋体" w:cs="宋体"/>
          <w:b w:val="0"/>
          <w:bCs/>
          <w:sz w:val="24"/>
          <w:highlight w:val="none"/>
        </w:rPr>
        <w:t>参考</w:t>
      </w:r>
      <w:r>
        <w:rPr>
          <w:rFonts w:hint="eastAsia" w:ascii="宋体" w:hAnsi="宋体" w:eastAsia="宋体" w:cs="宋体"/>
          <w:bCs/>
          <w:sz w:val="24"/>
        </w:rPr>
        <w:t>原</w:t>
      </w:r>
      <w:r>
        <w:rPr>
          <w:rFonts w:hint="eastAsia" w:ascii="宋体" w:hAnsi="宋体" w:eastAsia="宋体" w:cs="宋体"/>
          <w:b w:val="0"/>
          <w:bCs/>
          <w:sz w:val="24"/>
          <w:highlight w:val="none"/>
        </w:rPr>
        <w:t>市工商局指导费用标准并结合自身实力报出本单位能够承受的报价；</w:t>
      </w:r>
    </w:p>
    <w:p w14:paraId="75F294D9">
      <w:pPr>
        <w:spacing w:line="420" w:lineRule="exact"/>
        <w:ind w:firstLine="480" w:firstLineChars="200"/>
        <w:rPr>
          <w:rFonts w:hint="eastAsia" w:ascii="宋体" w:hAnsi="宋体" w:eastAsia="宋体" w:cs="宋体"/>
          <w:b w:val="0"/>
          <w:bCs/>
          <w:sz w:val="24"/>
          <w:highlight w:val="none"/>
        </w:rPr>
      </w:pPr>
      <w:r>
        <w:rPr>
          <w:rFonts w:ascii="宋体" w:hAnsi="宋体" w:eastAsia="宋体" w:cs="宋体"/>
          <w:sz w:val="24"/>
        </w:rPr>
        <w:t>3</w:t>
      </w:r>
      <w:r>
        <w:rPr>
          <w:rFonts w:hint="eastAsia" w:ascii="宋体" w:hAnsi="宋体" w:eastAsia="宋体" w:cs="宋体"/>
          <w:sz w:val="24"/>
        </w:rPr>
        <w:t>、</w:t>
      </w:r>
      <w:r>
        <w:rPr>
          <w:rFonts w:hint="eastAsia" w:ascii="宋体" w:hAnsi="宋体" w:eastAsia="宋体" w:cs="宋体"/>
          <w:b w:val="0"/>
          <w:bCs/>
          <w:sz w:val="24"/>
          <w:highlight w:val="none"/>
        </w:rPr>
        <w:t>项目采取兼中不兼得。</w:t>
      </w:r>
    </w:p>
    <w:p w14:paraId="76453088">
      <w:pPr>
        <w:spacing w:line="420" w:lineRule="exact"/>
        <w:ind w:firstLine="480" w:firstLineChars="200"/>
        <w:rPr>
          <w:rFonts w:hint="eastAsia" w:ascii="宋体" w:hAnsi="宋体" w:eastAsia="宋体" w:cs="宋体"/>
          <w:sz w:val="24"/>
        </w:rPr>
      </w:pPr>
      <w:r>
        <w:rPr>
          <w:rFonts w:hint="eastAsia" w:ascii="宋体" w:hAnsi="宋体" w:eastAsia="宋体" w:cs="宋体"/>
          <w:sz w:val="24"/>
        </w:rPr>
        <w:t>4、投标人提供的专项审计和复核工作服务，应当符合国家有关法律、法规和标准规范，满足合同约定的服务内容和质量等要求。报价过低是不利于专项审计和复核工作服务质量的，投标人不得违反有关规定和合同约定，通过降低服务质量、减少服务内容等手段进行恶性竞争，扰乱正常市场秩序。</w:t>
      </w:r>
    </w:p>
    <w:p w14:paraId="5763BA3B">
      <w:pPr>
        <w:spacing w:line="420" w:lineRule="exact"/>
        <w:outlineLvl w:val="0"/>
        <w:rPr>
          <w:rFonts w:hint="eastAsia" w:ascii="宋体" w:hAnsi="宋体" w:eastAsia="宋体" w:cs="宋体"/>
          <w:b/>
          <w:sz w:val="24"/>
        </w:rPr>
      </w:pPr>
      <w:r>
        <w:rPr>
          <w:rFonts w:hint="eastAsia" w:ascii="宋体" w:hAnsi="宋体" w:eastAsia="宋体" w:cs="宋体"/>
          <w:b/>
          <w:sz w:val="24"/>
        </w:rPr>
        <w:t>（七）、考评要求</w:t>
      </w:r>
    </w:p>
    <w:p w14:paraId="27EC47C5">
      <w:pPr>
        <w:widowControl w:val="0"/>
        <w:adjustRightInd/>
        <w:snapToGrid/>
        <w:spacing w:line="420" w:lineRule="exact"/>
        <w:ind w:firstLine="480" w:firstLineChars="200"/>
        <w:rPr>
          <w:rFonts w:hint="eastAsia" w:ascii="宋体" w:hAnsi="宋体" w:eastAsia="宋体"/>
          <w:sz w:val="24"/>
          <w:szCs w:val="24"/>
        </w:rPr>
      </w:pPr>
      <w:r>
        <w:rPr>
          <w:rFonts w:hint="eastAsia" w:ascii="宋体" w:hAnsi="宋体" w:eastAsia="宋体"/>
          <w:sz w:val="24"/>
          <w:szCs w:val="24"/>
        </w:rPr>
        <w:t>为提升企业公示信息“双随机、一公开”监管效能，规范会计师事务所参与企业公示信息审计和复核工作，根据《企业信息公示暂行条例》、《企业公示信息抽查暂行办法》和市场监管总局有关企业公示信息抽查的工作要求，参照《上海市市场监督管理局会计师事务所审计和复核工作考评办法（试行）》，对于考评结果为四等，以及连续两次考评结果为三等的会计师事务所，不再委托其参加下一年度的企业公示信息审计复核工作。</w:t>
      </w:r>
    </w:p>
    <w:p w14:paraId="32EE0822">
      <w:pPr>
        <w:pStyle w:val="3"/>
        <w:spacing w:line="420" w:lineRule="exact"/>
        <w:ind w:firstLine="0"/>
        <w:rPr>
          <w:rFonts w:hint="eastAsia" w:hAnsi="宋体" w:cs="宋体"/>
          <w:b/>
          <w:color w:val="000000" w:themeColor="text1"/>
          <w:sz w:val="24"/>
          <w:szCs w:val="24"/>
          <w14:textFill>
            <w14:solidFill>
              <w14:schemeClr w14:val="tx1"/>
            </w14:solidFill>
          </w14:textFill>
        </w:rPr>
      </w:pPr>
    </w:p>
    <w:p w14:paraId="70BADEFC">
      <w:pPr>
        <w:pStyle w:val="3"/>
        <w:spacing w:line="420" w:lineRule="exact"/>
        <w:ind w:firstLine="0"/>
        <w:outlineLvl w:val="0"/>
        <w:rPr>
          <w:rFonts w:hint="eastAsia"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lang w:eastAsia="zh-CN"/>
          <w14:textFill>
            <w14:solidFill>
              <w14:schemeClr w14:val="tx1"/>
            </w14:solidFill>
          </w14:textFill>
        </w:rPr>
        <w:t>四</w:t>
      </w:r>
      <w:r>
        <w:rPr>
          <w:rFonts w:hint="eastAsia" w:hAnsi="宋体" w:cs="宋体"/>
          <w:b/>
          <w:color w:val="000000" w:themeColor="text1"/>
          <w:sz w:val="24"/>
          <w:szCs w:val="24"/>
          <w14:textFill>
            <w14:solidFill>
              <w14:schemeClr w14:val="tx1"/>
            </w14:solidFill>
          </w14:textFill>
        </w:rPr>
        <w:t>、采购范围</w:t>
      </w:r>
    </w:p>
    <w:p w14:paraId="4C095332">
      <w:pPr>
        <w:spacing w:after="0" w:line="420" w:lineRule="exact"/>
        <w:ind w:firstLine="480" w:firstLineChars="200"/>
        <w:jc w:val="both"/>
        <w:rPr>
          <w:rFonts w:hint="eastAsia" w:ascii="宋体" w:hAnsi="宋体" w:eastAsia="宋体" w:cs="宋体"/>
          <w:snapToGrid w:val="0"/>
          <w:color w:val="000000"/>
          <w:kern w:val="28"/>
          <w:sz w:val="24"/>
          <w:szCs w:val="20"/>
        </w:rPr>
      </w:pPr>
      <w:r>
        <w:rPr>
          <w:rFonts w:hint="eastAsia" w:ascii="宋体" w:hAnsi="宋体" w:eastAsia="宋体" w:cs="宋体"/>
          <w:kern w:val="2"/>
          <w:sz w:val="24"/>
          <w:szCs w:val="24"/>
        </w:rPr>
        <w:t>本次采购范围为</w:t>
      </w:r>
      <w:r>
        <w:rPr>
          <w:rFonts w:hint="eastAsia" w:ascii="宋体" w:hAnsi="宋体" w:eastAsia="宋体" w:cs="宋体"/>
          <w:snapToGrid w:val="0"/>
          <w:color w:val="000000"/>
          <w:kern w:val="28"/>
          <w:sz w:val="24"/>
          <w:szCs w:val="20"/>
        </w:rPr>
        <w:t>“2025年度</w:t>
      </w:r>
      <w:r>
        <w:rPr>
          <w:rFonts w:hint="eastAsia" w:ascii="宋体" w:hAnsi="宋体" w:eastAsia="宋体" w:cs="宋体"/>
          <w:color w:val="000000"/>
          <w:sz w:val="24"/>
        </w:rPr>
        <w:t>上海市静安区市场监管局公示信息经费第三方抽查审计服务项目</w:t>
      </w:r>
      <w:r>
        <w:rPr>
          <w:rFonts w:hint="eastAsia" w:ascii="宋体" w:hAnsi="宋体" w:eastAsia="宋体" w:cs="宋体"/>
          <w:kern w:val="2"/>
          <w:sz w:val="24"/>
          <w:szCs w:val="24"/>
        </w:rPr>
        <w:t>”</w:t>
      </w:r>
      <w:r>
        <w:rPr>
          <w:rFonts w:hint="eastAsia" w:ascii="宋体" w:hAnsi="宋体" w:eastAsia="宋体" w:cs="宋体"/>
          <w:snapToGrid w:val="0"/>
          <w:color w:val="000000"/>
          <w:kern w:val="28"/>
          <w:sz w:val="24"/>
          <w:szCs w:val="20"/>
        </w:rPr>
        <w:t>的招标代理（服务）工作。</w:t>
      </w:r>
    </w:p>
    <w:p w14:paraId="1CC98380">
      <w:pPr>
        <w:pStyle w:val="3"/>
        <w:spacing w:line="420" w:lineRule="exact"/>
        <w:ind w:firstLine="0"/>
        <w:rPr>
          <w:rFonts w:hint="eastAsia"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lang w:eastAsia="zh-CN"/>
          <w14:textFill>
            <w14:solidFill>
              <w14:schemeClr w14:val="tx1"/>
            </w14:solidFill>
          </w14:textFill>
        </w:rPr>
        <w:t>五</w:t>
      </w:r>
      <w:r>
        <w:rPr>
          <w:rFonts w:hint="eastAsia" w:hAnsi="宋体" w:cs="宋体"/>
          <w:b/>
          <w:color w:val="000000" w:themeColor="text1"/>
          <w:sz w:val="24"/>
          <w:szCs w:val="24"/>
          <w14:textFill>
            <w14:solidFill>
              <w14:schemeClr w14:val="tx1"/>
            </w14:solidFill>
          </w14:textFill>
        </w:rPr>
        <w:t>、预算金额</w:t>
      </w:r>
    </w:p>
    <w:p w14:paraId="79C69346">
      <w:pPr>
        <w:spacing w:after="0" w:line="420" w:lineRule="exact"/>
        <w:jc w:val="both"/>
        <w:rPr>
          <w:rFonts w:hint="eastAsia" w:ascii="宋体" w:hAnsi="宋体" w:eastAsia="宋体" w:cs="宋体"/>
          <w:snapToGrid w:val="0"/>
          <w:color w:val="000000"/>
          <w:kern w:val="28"/>
          <w:sz w:val="24"/>
          <w:szCs w:val="20"/>
        </w:rPr>
      </w:pPr>
      <w:r>
        <w:rPr>
          <w:rFonts w:hint="eastAsia" w:ascii="宋体" w:hAnsi="宋体" w:eastAsia="宋体" w:cs="宋体"/>
          <w:snapToGrid w:val="0"/>
          <w:color w:val="000000"/>
          <w:kern w:val="28"/>
          <w:sz w:val="24"/>
          <w:szCs w:val="20"/>
        </w:rPr>
        <w:t xml:space="preserve">   2880000元（含9个包件，具体见表格）</w:t>
      </w:r>
    </w:p>
    <w:tbl>
      <w:tblPr>
        <w:tblStyle w:val="12"/>
        <w:tblW w:w="8784" w:type="dxa"/>
        <w:tblInd w:w="113" w:type="dxa"/>
        <w:tblLayout w:type="autofit"/>
        <w:tblCellMar>
          <w:top w:w="0" w:type="dxa"/>
          <w:left w:w="108" w:type="dxa"/>
          <w:bottom w:w="0" w:type="dxa"/>
          <w:right w:w="108" w:type="dxa"/>
        </w:tblCellMar>
      </w:tblPr>
      <w:tblGrid>
        <w:gridCol w:w="720"/>
        <w:gridCol w:w="3760"/>
        <w:gridCol w:w="1760"/>
        <w:gridCol w:w="1640"/>
        <w:gridCol w:w="904"/>
      </w:tblGrid>
      <w:tr w14:paraId="2386B4C0">
        <w:tblPrEx>
          <w:tblCellMar>
            <w:top w:w="0" w:type="dxa"/>
            <w:left w:w="108" w:type="dxa"/>
            <w:bottom w:w="0" w:type="dxa"/>
            <w:right w:w="108" w:type="dxa"/>
          </w:tblCellMar>
        </w:tblPrEx>
        <w:trPr>
          <w:trHeight w:val="516" w:hRule="atLeast"/>
        </w:trPr>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A5C432">
            <w:pPr>
              <w:adjustRightInd/>
              <w:snapToGrid/>
              <w:spacing w:after="0"/>
              <w:jc w:val="center"/>
              <w:rPr>
                <w:rFonts w:ascii="黑体" w:hAnsi="黑体" w:eastAsia="黑体" w:cs="宋体"/>
                <w:color w:val="000000"/>
              </w:rPr>
            </w:pPr>
            <w:r>
              <w:rPr>
                <w:rFonts w:hint="eastAsia" w:ascii="黑体" w:hAnsi="黑体" w:eastAsia="黑体" w:cs="宋体"/>
                <w:color w:val="000000"/>
              </w:rPr>
              <w:t>　</w:t>
            </w:r>
          </w:p>
        </w:tc>
        <w:tc>
          <w:tcPr>
            <w:tcW w:w="3760" w:type="dxa"/>
            <w:tcBorders>
              <w:top w:val="single" w:color="auto" w:sz="4" w:space="0"/>
              <w:left w:val="nil"/>
              <w:bottom w:val="single" w:color="auto" w:sz="4" w:space="0"/>
              <w:right w:val="single" w:color="auto" w:sz="4" w:space="0"/>
            </w:tcBorders>
            <w:shd w:val="clear" w:color="auto" w:fill="auto"/>
            <w:noWrap/>
            <w:vAlign w:val="center"/>
          </w:tcPr>
          <w:p w14:paraId="5864814A">
            <w:pPr>
              <w:adjustRightInd/>
              <w:snapToGrid/>
              <w:spacing w:after="0"/>
              <w:jc w:val="center"/>
              <w:rPr>
                <w:rFonts w:hint="eastAsia" w:ascii="黑体" w:hAnsi="黑体" w:eastAsia="黑体" w:cs="宋体"/>
                <w:color w:val="000000"/>
              </w:rPr>
            </w:pPr>
            <w:r>
              <w:rPr>
                <w:rFonts w:hint="eastAsia" w:ascii="黑体" w:hAnsi="黑体" w:eastAsia="黑体" w:cs="宋体"/>
                <w:color w:val="000000"/>
              </w:rPr>
              <w:t>三级项目名称</w:t>
            </w:r>
          </w:p>
        </w:tc>
        <w:tc>
          <w:tcPr>
            <w:tcW w:w="1760" w:type="dxa"/>
            <w:tcBorders>
              <w:top w:val="single" w:color="auto" w:sz="4" w:space="0"/>
              <w:left w:val="nil"/>
              <w:bottom w:val="single" w:color="auto" w:sz="4" w:space="0"/>
              <w:right w:val="single" w:color="auto" w:sz="4" w:space="0"/>
            </w:tcBorders>
            <w:shd w:val="clear" w:color="auto" w:fill="auto"/>
            <w:noWrap/>
            <w:vAlign w:val="center"/>
          </w:tcPr>
          <w:p w14:paraId="22C0C688">
            <w:pPr>
              <w:adjustRightInd/>
              <w:snapToGrid/>
              <w:spacing w:after="0"/>
              <w:jc w:val="center"/>
              <w:rPr>
                <w:rFonts w:hint="eastAsia" w:ascii="黑体" w:hAnsi="黑体" w:eastAsia="黑体" w:cs="宋体"/>
                <w:color w:val="000000"/>
              </w:rPr>
            </w:pPr>
            <w:r>
              <w:rPr>
                <w:rFonts w:hint="eastAsia" w:ascii="黑体" w:hAnsi="黑体" w:eastAsia="黑体" w:cs="宋体"/>
                <w:color w:val="000000"/>
              </w:rPr>
              <w:t>金额</w:t>
            </w:r>
          </w:p>
        </w:tc>
        <w:tc>
          <w:tcPr>
            <w:tcW w:w="1640" w:type="dxa"/>
            <w:tcBorders>
              <w:top w:val="single" w:color="auto" w:sz="4" w:space="0"/>
              <w:left w:val="nil"/>
              <w:bottom w:val="single" w:color="auto" w:sz="4" w:space="0"/>
              <w:right w:val="single" w:color="auto" w:sz="4" w:space="0"/>
            </w:tcBorders>
            <w:shd w:val="clear" w:color="auto" w:fill="auto"/>
            <w:vAlign w:val="center"/>
          </w:tcPr>
          <w:p w14:paraId="588D104B">
            <w:pPr>
              <w:adjustRightInd/>
              <w:snapToGrid/>
              <w:spacing w:after="0"/>
              <w:jc w:val="center"/>
              <w:rPr>
                <w:rFonts w:hint="eastAsia" w:ascii="等线" w:hAnsi="等线" w:eastAsia="等线" w:cs="宋体"/>
                <w:color w:val="000000"/>
              </w:rPr>
            </w:pPr>
            <w:r>
              <w:rPr>
                <w:rFonts w:hint="eastAsia" w:ascii="等线" w:hAnsi="等线" w:eastAsia="等线" w:cs="宋体"/>
                <w:color w:val="000000"/>
              </w:rPr>
              <w:t>采购明细编号</w:t>
            </w:r>
          </w:p>
        </w:tc>
        <w:tc>
          <w:tcPr>
            <w:tcW w:w="904" w:type="dxa"/>
            <w:tcBorders>
              <w:top w:val="single" w:color="auto" w:sz="4" w:space="0"/>
              <w:left w:val="nil"/>
              <w:bottom w:val="single" w:color="auto" w:sz="4" w:space="0"/>
              <w:right w:val="single" w:color="auto" w:sz="4" w:space="0"/>
            </w:tcBorders>
            <w:shd w:val="clear" w:color="auto" w:fill="auto"/>
            <w:noWrap/>
            <w:vAlign w:val="center"/>
          </w:tcPr>
          <w:p w14:paraId="36B6F2A0">
            <w:pPr>
              <w:adjustRightInd/>
              <w:snapToGrid/>
              <w:spacing w:after="0"/>
              <w:jc w:val="center"/>
              <w:rPr>
                <w:rFonts w:hint="eastAsia" w:ascii="等线" w:hAnsi="等线" w:eastAsia="等线" w:cs="宋体"/>
                <w:color w:val="000000"/>
              </w:rPr>
            </w:pPr>
            <w:r>
              <w:rPr>
                <w:rFonts w:hint="eastAsia" w:ascii="等线" w:hAnsi="等线" w:eastAsia="等线" w:cs="宋体"/>
                <w:color w:val="000000"/>
              </w:rPr>
              <w:t>预计工作量</w:t>
            </w:r>
          </w:p>
        </w:tc>
      </w:tr>
      <w:tr w14:paraId="3F1FEECD">
        <w:tblPrEx>
          <w:tblCellMar>
            <w:top w:w="0" w:type="dxa"/>
            <w:left w:w="108" w:type="dxa"/>
            <w:bottom w:w="0" w:type="dxa"/>
            <w:right w:w="108" w:type="dxa"/>
          </w:tblCellMar>
        </w:tblPrEx>
        <w:trPr>
          <w:trHeight w:val="720" w:hRule="atLeast"/>
        </w:trPr>
        <w:tc>
          <w:tcPr>
            <w:tcW w:w="720" w:type="dxa"/>
            <w:tcBorders>
              <w:top w:val="nil"/>
              <w:left w:val="single" w:color="auto" w:sz="4" w:space="0"/>
              <w:bottom w:val="single" w:color="auto" w:sz="4" w:space="0"/>
              <w:right w:val="single" w:color="auto" w:sz="4" w:space="0"/>
            </w:tcBorders>
            <w:shd w:val="clear" w:color="auto" w:fill="auto"/>
            <w:noWrap/>
            <w:vAlign w:val="center"/>
          </w:tcPr>
          <w:p w14:paraId="01D0EE50">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1</w:t>
            </w:r>
          </w:p>
        </w:tc>
        <w:tc>
          <w:tcPr>
            <w:tcW w:w="3760" w:type="dxa"/>
            <w:tcBorders>
              <w:top w:val="nil"/>
              <w:left w:val="nil"/>
              <w:bottom w:val="single" w:color="auto" w:sz="4" w:space="0"/>
              <w:right w:val="single" w:color="auto" w:sz="4" w:space="0"/>
            </w:tcBorders>
            <w:shd w:val="clear" w:color="auto" w:fill="auto"/>
            <w:vAlign w:val="center"/>
          </w:tcPr>
          <w:p w14:paraId="47532E41">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企业公示信息第三方抽查审计费曹家渡街道等</w:t>
            </w:r>
          </w:p>
        </w:tc>
        <w:tc>
          <w:tcPr>
            <w:tcW w:w="1760" w:type="dxa"/>
            <w:tcBorders>
              <w:top w:val="nil"/>
              <w:left w:val="nil"/>
              <w:bottom w:val="single" w:color="auto" w:sz="4" w:space="0"/>
              <w:right w:val="single" w:color="auto" w:sz="4" w:space="0"/>
            </w:tcBorders>
            <w:shd w:val="clear" w:color="auto" w:fill="auto"/>
            <w:noWrap/>
            <w:vAlign w:val="center"/>
          </w:tcPr>
          <w:p w14:paraId="5D22607C">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300,000.00</w:t>
            </w:r>
          </w:p>
        </w:tc>
        <w:tc>
          <w:tcPr>
            <w:tcW w:w="1640" w:type="dxa"/>
            <w:tcBorders>
              <w:top w:val="nil"/>
              <w:left w:val="nil"/>
              <w:bottom w:val="single" w:color="auto" w:sz="4" w:space="0"/>
              <w:right w:val="single" w:color="auto" w:sz="4" w:space="0"/>
            </w:tcBorders>
            <w:shd w:val="clear" w:color="auto" w:fill="auto"/>
            <w:vAlign w:val="center"/>
          </w:tcPr>
          <w:p w14:paraId="0ADC62F8">
            <w:pPr>
              <w:adjustRightInd/>
              <w:snapToGrid/>
              <w:spacing w:after="0"/>
              <w:jc w:val="center"/>
              <w:rPr>
                <w:rFonts w:hint="eastAsia" w:ascii="等线" w:hAnsi="等线" w:eastAsia="等线" w:cs="宋体"/>
                <w:color w:val="000000"/>
              </w:rPr>
            </w:pPr>
            <w:r>
              <w:rPr>
                <w:rFonts w:hint="eastAsia" w:ascii="等线" w:hAnsi="等线" w:eastAsia="等线" w:cs="宋体"/>
                <w:color w:val="000000"/>
              </w:rPr>
              <w:t>0625-00003337</w:t>
            </w:r>
          </w:p>
        </w:tc>
        <w:tc>
          <w:tcPr>
            <w:tcW w:w="904" w:type="dxa"/>
            <w:tcBorders>
              <w:top w:val="nil"/>
              <w:left w:val="nil"/>
              <w:bottom w:val="single" w:color="auto" w:sz="4" w:space="0"/>
              <w:right w:val="single" w:color="auto" w:sz="4" w:space="0"/>
            </w:tcBorders>
            <w:shd w:val="clear" w:color="auto" w:fill="auto"/>
            <w:noWrap/>
            <w:vAlign w:val="center"/>
          </w:tcPr>
          <w:p w14:paraId="43CD897A">
            <w:pPr>
              <w:adjustRightInd/>
              <w:snapToGrid/>
              <w:spacing w:after="0"/>
              <w:jc w:val="center"/>
              <w:rPr>
                <w:rFonts w:hint="eastAsia" w:ascii="等线" w:hAnsi="等线" w:eastAsia="等线" w:cs="宋体"/>
                <w:color w:val="000000"/>
              </w:rPr>
            </w:pPr>
            <w:r>
              <w:rPr>
                <w:rFonts w:hint="eastAsia" w:ascii="等线" w:hAnsi="等线" w:eastAsia="等线" w:cs="宋体"/>
                <w:color w:val="000000"/>
              </w:rPr>
              <w:t>115</w:t>
            </w:r>
          </w:p>
        </w:tc>
      </w:tr>
      <w:tr w14:paraId="10537B02">
        <w:tblPrEx>
          <w:tblCellMar>
            <w:top w:w="0" w:type="dxa"/>
            <w:left w:w="108" w:type="dxa"/>
            <w:bottom w:w="0" w:type="dxa"/>
            <w:right w:w="108" w:type="dxa"/>
          </w:tblCellMar>
        </w:tblPrEx>
        <w:trPr>
          <w:trHeight w:val="720" w:hRule="atLeast"/>
        </w:trPr>
        <w:tc>
          <w:tcPr>
            <w:tcW w:w="720" w:type="dxa"/>
            <w:tcBorders>
              <w:top w:val="nil"/>
              <w:left w:val="single" w:color="auto" w:sz="4" w:space="0"/>
              <w:bottom w:val="single" w:color="auto" w:sz="4" w:space="0"/>
              <w:right w:val="single" w:color="auto" w:sz="4" w:space="0"/>
            </w:tcBorders>
            <w:shd w:val="clear" w:color="auto" w:fill="auto"/>
            <w:noWrap/>
            <w:vAlign w:val="center"/>
          </w:tcPr>
          <w:p w14:paraId="47191460">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2</w:t>
            </w:r>
          </w:p>
        </w:tc>
        <w:tc>
          <w:tcPr>
            <w:tcW w:w="3760" w:type="dxa"/>
            <w:tcBorders>
              <w:top w:val="nil"/>
              <w:left w:val="nil"/>
              <w:bottom w:val="single" w:color="auto" w:sz="4" w:space="0"/>
              <w:right w:val="single" w:color="auto" w:sz="4" w:space="0"/>
            </w:tcBorders>
            <w:shd w:val="clear" w:color="auto" w:fill="auto"/>
            <w:vAlign w:val="center"/>
          </w:tcPr>
          <w:p w14:paraId="282F81EA">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企业公示信息第三方抽查审计费天目西路街道等</w:t>
            </w:r>
          </w:p>
        </w:tc>
        <w:tc>
          <w:tcPr>
            <w:tcW w:w="1760" w:type="dxa"/>
            <w:tcBorders>
              <w:top w:val="nil"/>
              <w:left w:val="nil"/>
              <w:bottom w:val="single" w:color="auto" w:sz="4" w:space="0"/>
              <w:right w:val="single" w:color="auto" w:sz="4" w:space="0"/>
            </w:tcBorders>
            <w:shd w:val="clear" w:color="auto" w:fill="auto"/>
            <w:noWrap/>
            <w:vAlign w:val="center"/>
          </w:tcPr>
          <w:p w14:paraId="4197BC15">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300,000.00</w:t>
            </w:r>
          </w:p>
        </w:tc>
        <w:tc>
          <w:tcPr>
            <w:tcW w:w="1640" w:type="dxa"/>
            <w:tcBorders>
              <w:top w:val="nil"/>
              <w:left w:val="nil"/>
              <w:bottom w:val="single" w:color="auto" w:sz="4" w:space="0"/>
              <w:right w:val="single" w:color="auto" w:sz="4" w:space="0"/>
            </w:tcBorders>
            <w:shd w:val="clear" w:color="auto" w:fill="auto"/>
            <w:vAlign w:val="center"/>
          </w:tcPr>
          <w:p w14:paraId="751755CE">
            <w:pPr>
              <w:adjustRightInd/>
              <w:snapToGrid/>
              <w:spacing w:after="0"/>
              <w:jc w:val="center"/>
              <w:rPr>
                <w:rFonts w:hint="eastAsia" w:ascii="等线" w:hAnsi="等线" w:eastAsia="等线" w:cs="宋体"/>
                <w:color w:val="000000"/>
              </w:rPr>
            </w:pPr>
            <w:r>
              <w:rPr>
                <w:rFonts w:hint="eastAsia" w:ascii="等线" w:hAnsi="等线" w:eastAsia="等线" w:cs="宋体"/>
                <w:color w:val="000000"/>
              </w:rPr>
              <w:t>0625-00003323</w:t>
            </w:r>
          </w:p>
        </w:tc>
        <w:tc>
          <w:tcPr>
            <w:tcW w:w="904" w:type="dxa"/>
            <w:tcBorders>
              <w:top w:val="nil"/>
              <w:left w:val="nil"/>
              <w:bottom w:val="single" w:color="auto" w:sz="4" w:space="0"/>
              <w:right w:val="single" w:color="auto" w:sz="4" w:space="0"/>
            </w:tcBorders>
            <w:shd w:val="clear" w:color="auto" w:fill="auto"/>
            <w:noWrap/>
            <w:vAlign w:val="center"/>
          </w:tcPr>
          <w:p w14:paraId="1B43BA6C">
            <w:pPr>
              <w:adjustRightInd/>
              <w:snapToGrid/>
              <w:spacing w:after="0"/>
              <w:jc w:val="center"/>
              <w:rPr>
                <w:rFonts w:hint="eastAsia" w:ascii="等线" w:hAnsi="等线" w:eastAsia="等线" w:cs="宋体"/>
                <w:color w:val="000000"/>
              </w:rPr>
            </w:pPr>
            <w:r>
              <w:rPr>
                <w:rFonts w:hint="eastAsia" w:ascii="等线" w:hAnsi="等线" w:eastAsia="等线" w:cs="宋体"/>
                <w:color w:val="000000"/>
              </w:rPr>
              <w:t>115</w:t>
            </w:r>
          </w:p>
        </w:tc>
      </w:tr>
      <w:tr w14:paraId="2376AB33">
        <w:tblPrEx>
          <w:tblCellMar>
            <w:top w:w="0" w:type="dxa"/>
            <w:left w:w="108" w:type="dxa"/>
            <w:bottom w:w="0" w:type="dxa"/>
            <w:right w:w="108" w:type="dxa"/>
          </w:tblCellMar>
        </w:tblPrEx>
        <w:trPr>
          <w:trHeight w:val="720" w:hRule="atLeast"/>
        </w:trPr>
        <w:tc>
          <w:tcPr>
            <w:tcW w:w="720" w:type="dxa"/>
            <w:tcBorders>
              <w:top w:val="nil"/>
              <w:left w:val="single" w:color="auto" w:sz="4" w:space="0"/>
              <w:bottom w:val="single" w:color="auto" w:sz="4" w:space="0"/>
              <w:right w:val="single" w:color="auto" w:sz="4" w:space="0"/>
            </w:tcBorders>
            <w:shd w:val="clear" w:color="auto" w:fill="auto"/>
            <w:noWrap/>
            <w:vAlign w:val="center"/>
          </w:tcPr>
          <w:p w14:paraId="6DA2B0EC">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3</w:t>
            </w:r>
          </w:p>
        </w:tc>
        <w:tc>
          <w:tcPr>
            <w:tcW w:w="3760" w:type="dxa"/>
            <w:tcBorders>
              <w:top w:val="nil"/>
              <w:left w:val="nil"/>
              <w:bottom w:val="single" w:color="auto" w:sz="4" w:space="0"/>
              <w:right w:val="single" w:color="auto" w:sz="4" w:space="0"/>
            </w:tcBorders>
            <w:shd w:val="clear" w:color="auto" w:fill="auto"/>
            <w:vAlign w:val="center"/>
          </w:tcPr>
          <w:p w14:paraId="156A4C97">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企业公示信息第三方抽查审计费大宁路街道等</w:t>
            </w:r>
          </w:p>
        </w:tc>
        <w:tc>
          <w:tcPr>
            <w:tcW w:w="1760" w:type="dxa"/>
            <w:tcBorders>
              <w:top w:val="nil"/>
              <w:left w:val="nil"/>
              <w:bottom w:val="single" w:color="auto" w:sz="4" w:space="0"/>
              <w:right w:val="single" w:color="auto" w:sz="4" w:space="0"/>
            </w:tcBorders>
            <w:shd w:val="clear" w:color="auto" w:fill="auto"/>
            <w:noWrap/>
            <w:vAlign w:val="center"/>
          </w:tcPr>
          <w:p w14:paraId="2A090444">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300,000.00</w:t>
            </w:r>
          </w:p>
        </w:tc>
        <w:tc>
          <w:tcPr>
            <w:tcW w:w="1640" w:type="dxa"/>
            <w:tcBorders>
              <w:top w:val="nil"/>
              <w:left w:val="nil"/>
              <w:bottom w:val="single" w:color="auto" w:sz="4" w:space="0"/>
              <w:right w:val="single" w:color="auto" w:sz="4" w:space="0"/>
            </w:tcBorders>
            <w:shd w:val="clear" w:color="auto" w:fill="auto"/>
            <w:vAlign w:val="center"/>
          </w:tcPr>
          <w:p w14:paraId="36F55C27">
            <w:pPr>
              <w:adjustRightInd/>
              <w:snapToGrid/>
              <w:spacing w:after="0"/>
              <w:jc w:val="center"/>
              <w:rPr>
                <w:rFonts w:hint="eastAsia" w:ascii="等线" w:hAnsi="等线" w:eastAsia="等线" w:cs="宋体"/>
                <w:color w:val="000000"/>
              </w:rPr>
            </w:pPr>
            <w:r>
              <w:rPr>
                <w:rFonts w:hint="eastAsia" w:ascii="等线" w:hAnsi="等线" w:eastAsia="等线" w:cs="宋体"/>
                <w:color w:val="000000"/>
              </w:rPr>
              <w:t>0625-00003331</w:t>
            </w:r>
          </w:p>
        </w:tc>
        <w:tc>
          <w:tcPr>
            <w:tcW w:w="904" w:type="dxa"/>
            <w:tcBorders>
              <w:top w:val="nil"/>
              <w:left w:val="nil"/>
              <w:bottom w:val="single" w:color="auto" w:sz="4" w:space="0"/>
              <w:right w:val="single" w:color="auto" w:sz="4" w:space="0"/>
            </w:tcBorders>
            <w:shd w:val="clear" w:color="auto" w:fill="auto"/>
            <w:noWrap/>
            <w:vAlign w:val="center"/>
          </w:tcPr>
          <w:p w14:paraId="7DDD0786">
            <w:pPr>
              <w:adjustRightInd/>
              <w:snapToGrid/>
              <w:spacing w:after="0"/>
              <w:jc w:val="center"/>
              <w:rPr>
                <w:rFonts w:hint="eastAsia" w:ascii="等线" w:hAnsi="等线" w:eastAsia="等线" w:cs="宋体"/>
                <w:color w:val="000000"/>
              </w:rPr>
            </w:pPr>
            <w:r>
              <w:rPr>
                <w:rFonts w:hint="eastAsia" w:ascii="等线" w:hAnsi="等线" w:eastAsia="等线" w:cs="宋体"/>
                <w:color w:val="000000"/>
              </w:rPr>
              <w:t>115</w:t>
            </w:r>
          </w:p>
        </w:tc>
      </w:tr>
      <w:tr w14:paraId="587BEEAA">
        <w:tblPrEx>
          <w:tblCellMar>
            <w:top w:w="0" w:type="dxa"/>
            <w:left w:w="108" w:type="dxa"/>
            <w:bottom w:w="0" w:type="dxa"/>
            <w:right w:w="108" w:type="dxa"/>
          </w:tblCellMar>
        </w:tblPrEx>
        <w:trPr>
          <w:trHeight w:val="720" w:hRule="atLeast"/>
        </w:trPr>
        <w:tc>
          <w:tcPr>
            <w:tcW w:w="720" w:type="dxa"/>
            <w:tcBorders>
              <w:top w:val="nil"/>
              <w:left w:val="single" w:color="auto" w:sz="4" w:space="0"/>
              <w:bottom w:val="single" w:color="auto" w:sz="4" w:space="0"/>
              <w:right w:val="single" w:color="auto" w:sz="4" w:space="0"/>
            </w:tcBorders>
            <w:shd w:val="clear" w:color="auto" w:fill="auto"/>
            <w:noWrap/>
            <w:vAlign w:val="center"/>
          </w:tcPr>
          <w:p w14:paraId="1A927F66">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4</w:t>
            </w:r>
          </w:p>
        </w:tc>
        <w:tc>
          <w:tcPr>
            <w:tcW w:w="3760" w:type="dxa"/>
            <w:tcBorders>
              <w:top w:val="nil"/>
              <w:left w:val="nil"/>
              <w:bottom w:val="single" w:color="auto" w:sz="4" w:space="0"/>
              <w:right w:val="single" w:color="auto" w:sz="4" w:space="0"/>
            </w:tcBorders>
            <w:shd w:val="clear" w:color="auto" w:fill="auto"/>
            <w:vAlign w:val="center"/>
          </w:tcPr>
          <w:p w14:paraId="012E248E">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企业公示信息第三方抽查审计费江宁路街道等</w:t>
            </w:r>
          </w:p>
        </w:tc>
        <w:tc>
          <w:tcPr>
            <w:tcW w:w="1760" w:type="dxa"/>
            <w:tcBorders>
              <w:top w:val="nil"/>
              <w:left w:val="nil"/>
              <w:bottom w:val="single" w:color="auto" w:sz="4" w:space="0"/>
              <w:right w:val="single" w:color="auto" w:sz="4" w:space="0"/>
            </w:tcBorders>
            <w:shd w:val="clear" w:color="auto" w:fill="auto"/>
            <w:noWrap/>
            <w:vAlign w:val="center"/>
          </w:tcPr>
          <w:p w14:paraId="623D0D69">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300,000.00</w:t>
            </w:r>
          </w:p>
        </w:tc>
        <w:tc>
          <w:tcPr>
            <w:tcW w:w="1640" w:type="dxa"/>
            <w:tcBorders>
              <w:top w:val="nil"/>
              <w:left w:val="nil"/>
              <w:bottom w:val="single" w:color="auto" w:sz="4" w:space="0"/>
              <w:right w:val="single" w:color="auto" w:sz="4" w:space="0"/>
            </w:tcBorders>
            <w:shd w:val="clear" w:color="auto" w:fill="auto"/>
            <w:vAlign w:val="center"/>
          </w:tcPr>
          <w:p w14:paraId="5B386D54">
            <w:pPr>
              <w:adjustRightInd/>
              <w:snapToGrid/>
              <w:spacing w:after="0"/>
              <w:jc w:val="center"/>
              <w:rPr>
                <w:rFonts w:hint="eastAsia" w:ascii="等线" w:hAnsi="等线" w:eastAsia="等线" w:cs="宋体"/>
                <w:color w:val="000000"/>
              </w:rPr>
            </w:pPr>
            <w:r>
              <w:rPr>
                <w:rFonts w:hint="eastAsia" w:ascii="等线" w:hAnsi="等线" w:eastAsia="等线" w:cs="宋体"/>
                <w:color w:val="000000"/>
              </w:rPr>
              <w:t>0625-00003335</w:t>
            </w:r>
          </w:p>
        </w:tc>
        <w:tc>
          <w:tcPr>
            <w:tcW w:w="904" w:type="dxa"/>
            <w:tcBorders>
              <w:top w:val="nil"/>
              <w:left w:val="nil"/>
              <w:bottom w:val="single" w:color="auto" w:sz="4" w:space="0"/>
              <w:right w:val="single" w:color="auto" w:sz="4" w:space="0"/>
            </w:tcBorders>
            <w:shd w:val="clear" w:color="auto" w:fill="auto"/>
            <w:noWrap/>
            <w:vAlign w:val="center"/>
          </w:tcPr>
          <w:p w14:paraId="1EC7224F">
            <w:pPr>
              <w:adjustRightInd/>
              <w:snapToGrid/>
              <w:spacing w:after="0"/>
              <w:jc w:val="center"/>
              <w:rPr>
                <w:rFonts w:hint="eastAsia" w:ascii="等线" w:hAnsi="等线" w:eastAsia="等线" w:cs="宋体"/>
                <w:color w:val="000000"/>
              </w:rPr>
            </w:pPr>
            <w:r>
              <w:rPr>
                <w:rFonts w:hint="eastAsia" w:ascii="等线" w:hAnsi="等线" w:eastAsia="等线" w:cs="宋体"/>
                <w:color w:val="000000"/>
              </w:rPr>
              <w:t>115</w:t>
            </w:r>
          </w:p>
        </w:tc>
      </w:tr>
      <w:tr w14:paraId="300AF644">
        <w:tblPrEx>
          <w:tblCellMar>
            <w:top w:w="0" w:type="dxa"/>
            <w:left w:w="108" w:type="dxa"/>
            <w:bottom w:w="0" w:type="dxa"/>
            <w:right w:w="108" w:type="dxa"/>
          </w:tblCellMar>
        </w:tblPrEx>
        <w:trPr>
          <w:trHeight w:val="720" w:hRule="atLeast"/>
        </w:trPr>
        <w:tc>
          <w:tcPr>
            <w:tcW w:w="720" w:type="dxa"/>
            <w:tcBorders>
              <w:top w:val="nil"/>
              <w:left w:val="single" w:color="auto" w:sz="4" w:space="0"/>
              <w:bottom w:val="single" w:color="auto" w:sz="4" w:space="0"/>
              <w:right w:val="single" w:color="auto" w:sz="4" w:space="0"/>
            </w:tcBorders>
            <w:shd w:val="clear" w:color="auto" w:fill="auto"/>
            <w:noWrap/>
            <w:vAlign w:val="center"/>
          </w:tcPr>
          <w:p w14:paraId="257FD1EA">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5</w:t>
            </w:r>
          </w:p>
        </w:tc>
        <w:tc>
          <w:tcPr>
            <w:tcW w:w="3760" w:type="dxa"/>
            <w:tcBorders>
              <w:top w:val="nil"/>
              <w:left w:val="nil"/>
              <w:bottom w:val="single" w:color="auto" w:sz="4" w:space="0"/>
              <w:right w:val="single" w:color="auto" w:sz="4" w:space="0"/>
            </w:tcBorders>
            <w:shd w:val="clear" w:color="auto" w:fill="auto"/>
            <w:vAlign w:val="center"/>
          </w:tcPr>
          <w:p w14:paraId="33A4D5E6">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企业公示信息第三方抽查审计费南京西路街道等</w:t>
            </w:r>
          </w:p>
        </w:tc>
        <w:tc>
          <w:tcPr>
            <w:tcW w:w="1760" w:type="dxa"/>
            <w:tcBorders>
              <w:top w:val="nil"/>
              <w:left w:val="nil"/>
              <w:bottom w:val="single" w:color="auto" w:sz="4" w:space="0"/>
              <w:right w:val="single" w:color="auto" w:sz="4" w:space="0"/>
            </w:tcBorders>
            <w:shd w:val="clear" w:color="auto" w:fill="auto"/>
            <w:noWrap/>
            <w:vAlign w:val="center"/>
          </w:tcPr>
          <w:p w14:paraId="55AEB4DE">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300,000.00</w:t>
            </w:r>
          </w:p>
        </w:tc>
        <w:tc>
          <w:tcPr>
            <w:tcW w:w="1640" w:type="dxa"/>
            <w:tcBorders>
              <w:top w:val="nil"/>
              <w:left w:val="nil"/>
              <w:bottom w:val="single" w:color="auto" w:sz="4" w:space="0"/>
              <w:right w:val="single" w:color="auto" w:sz="4" w:space="0"/>
            </w:tcBorders>
            <w:shd w:val="clear" w:color="auto" w:fill="auto"/>
            <w:vAlign w:val="center"/>
          </w:tcPr>
          <w:p w14:paraId="2A5D7A19">
            <w:pPr>
              <w:adjustRightInd/>
              <w:snapToGrid/>
              <w:spacing w:after="0"/>
              <w:jc w:val="center"/>
              <w:rPr>
                <w:rFonts w:hint="eastAsia" w:ascii="等线" w:hAnsi="等线" w:eastAsia="等线" w:cs="宋体"/>
                <w:color w:val="000000"/>
              </w:rPr>
            </w:pPr>
            <w:r>
              <w:rPr>
                <w:rFonts w:hint="eastAsia" w:ascii="等线" w:hAnsi="等线" w:eastAsia="等线" w:cs="宋体"/>
                <w:color w:val="000000"/>
              </w:rPr>
              <w:t>0625-00003333</w:t>
            </w:r>
          </w:p>
        </w:tc>
        <w:tc>
          <w:tcPr>
            <w:tcW w:w="904" w:type="dxa"/>
            <w:tcBorders>
              <w:top w:val="nil"/>
              <w:left w:val="nil"/>
              <w:bottom w:val="single" w:color="auto" w:sz="4" w:space="0"/>
              <w:right w:val="single" w:color="auto" w:sz="4" w:space="0"/>
            </w:tcBorders>
            <w:shd w:val="clear" w:color="auto" w:fill="auto"/>
            <w:noWrap/>
            <w:vAlign w:val="center"/>
          </w:tcPr>
          <w:p w14:paraId="5F21D591">
            <w:pPr>
              <w:adjustRightInd/>
              <w:snapToGrid/>
              <w:spacing w:after="0"/>
              <w:jc w:val="center"/>
              <w:rPr>
                <w:rFonts w:hint="eastAsia" w:ascii="等线" w:hAnsi="等线" w:eastAsia="等线" w:cs="宋体"/>
                <w:color w:val="000000"/>
              </w:rPr>
            </w:pPr>
            <w:r>
              <w:rPr>
                <w:rFonts w:hint="eastAsia" w:ascii="等线" w:hAnsi="等线" w:eastAsia="等线" w:cs="宋体"/>
                <w:color w:val="000000"/>
              </w:rPr>
              <w:t>115</w:t>
            </w:r>
          </w:p>
        </w:tc>
      </w:tr>
      <w:tr w14:paraId="50C3DAAF">
        <w:tblPrEx>
          <w:tblCellMar>
            <w:top w:w="0" w:type="dxa"/>
            <w:left w:w="108" w:type="dxa"/>
            <w:bottom w:w="0" w:type="dxa"/>
            <w:right w:w="108" w:type="dxa"/>
          </w:tblCellMar>
        </w:tblPrEx>
        <w:trPr>
          <w:trHeight w:val="720" w:hRule="atLeast"/>
        </w:trPr>
        <w:tc>
          <w:tcPr>
            <w:tcW w:w="720" w:type="dxa"/>
            <w:tcBorders>
              <w:top w:val="nil"/>
              <w:left w:val="single" w:color="auto" w:sz="4" w:space="0"/>
              <w:bottom w:val="single" w:color="auto" w:sz="4" w:space="0"/>
              <w:right w:val="single" w:color="auto" w:sz="4" w:space="0"/>
            </w:tcBorders>
            <w:shd w:val="clear" w:color="auto" w:fill="auto"/>
            <w:noWrap/>
            <w:vAlign w:val="center"/>
          </w:tcPr>
          <w:p w14:paraId="2F965955">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6</w:t>
            </w:r>
          </w:p>
        </w:tc>
        <w:tc>
          <w:tcPr>
            <w:tcW w:w="3760" w:type="dxa"/>
            <w:tcBorders>
              <w:top w:val="nil"/>
              <w:left w:val="nil"/>
              <w:bottom w:val="single" w:color="auto" w:sz="4" w:space="0"/>
              <w:right w:val="single" w:color="auto" w:sz="4" w:space="0"/>
            </w:tcBorders>
            <w:shd w:val="clear" w:color="auto" w:fill="auto"/>
            <w:vAlign w:val="center"/>
          </w:tcPr>
          <w:p w14:paraId="35EDE86C">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企业公示信息第三方抽查审计费彭浦镇等</w:t>
            </w:r>
          </w:p>
        </w:tc>
        <w:tc>
          <w:tcPr>
            <w:tcW w:w="1760" w:type="dxa"/>
            <w:tcBorders>
              <w:top w:val="nil"/>
              <w:left w:val="nil"/>
              <w:bottom w:val="single" w:color="auto" w:sz="4" w:space="0"/>
              <w:right w:val="single" w:color="auto" w:sz="4" w:space="0"/>
            </w:tcBorders>
            <w:shd w:val="clear" w:color="auto" w:fill="auto"/>
            <w:noWrap/>
            <w:vAlign w:val="center"/>
          </w:tcPr>
          <w:p w14:paraId="02FA4936">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390,000.00</w:t>
            </w:r>
          </w:p>
        </w:tc>
        <w:tc>
          <w:tcPr>
            <w:tcW w:w="1640" w:type="dxa"/>
            <w:tcBorders>
              <w:top w:val="nil"/>
              <w:left w:val="nil"/>
              <w:bottom w:val="single" w:color="auto" w:sz="4" w:space="0"/>
              <w:right w:val="single" w:color="auto" w:sz="4" w:space="0"/>
            </w:tcBorders>
            <w:shd w:val="clear" w:color="auto" w:fill="auto"/>
            <w:vAlign w:val="center"/>
          </w:tcPr>
          <w:p w14:paraId="56D74527">
            <w:pPr>
              <w:adjustRightInd/>
              <w:snapToGrid/>
              <w:spacing w:after="0"/>
              <w:jc w:val="center"/>
              <w:rPr>
                <w:rFonts w:hint="eastAsia" w:ascii="等线" w:hAnsi="等线" w:eastAsia="等线" w:cs="宋体"/>
                <w:color w:val="000000"/>
              </w:rPr>
            </w:pPr>
            <w:r>
              <w:rPr>
                <w:rFonts w:hint="eastAsia" w:ascii="等线" w:hAnsi="等线" w:eastAsia="等线" w:cs="宋体"/>
                <w:color w:val="000000"/>
              </w:rPr>
              <w:t>0625-00003320</w:t>
            </w:r>
          </w:p>
        </w:tc>
        <w:tc>
          <w:tcPr>
            <w:tcW w:w="904" w:type="dxa"/>
            <w:tcBorders>
              <w:top w:val="nil"/>
              <w:left w:val="nil"/>
              <w:bottom w:val="single" w:color="auto" w:sz="4" w:space="0"/>
              <w:right w:val="single" w:color="auto" w:sz="4" w:space="0"/>
            </w:tcBorders>
            <w:shd w:val="clear" w:color="auto" w:fill="auto"/>
            <w:noWrap/>
            <w:vAlign w:val="center"/>
          </w:tcPr>
          <w:p w14:paraId="1B84CD47">
            <w:pPr>
              <w:adjustRightInd/>
              <w:snapToGrid/>
              <w:spacing w:after="0"/>
              <w:jc w:val="center"/>
              <w:rPr>
                <w:rFonts w:hint="eastAsia" w:ascii="等线" w:hAnsi="等线" w:eastAsia="等线" w:cs="宋体"/>
                <w:color w:val="000000"/>
              </w:rPr>
            </w:pPr>
            <w:r>
              <w:rPr>
                <w:rFonts w:hint="eastAsia" w:ascii="等线" w:hAnsi="等线" w:eastAsia="等线" w:cs="宋体"/>
                <w:color w:val="000000"/>
              </w:rPr>
              <w:t>150</w:t>
            </w:r>
          </w:p>
        </w:tc>
      </w:tr>
      <w:tr w14:paraId="1A8E2E59">
        <w:tblPrEx>
          <w:tblCellMar>
            <w:top w:w="0" w:type="dxa"/>
            <w:left w:w="108" w:type="dxa"/>
            <w:bottom w:w="0" w:type="dxa"/>
            <w:right w:w="108" w:type="dxa"/>
          </w:tblCellMar>
        </w:tblPrEx>
        <w:trPr>
          <w:trHeight w:val="720" w:hRule="atLeast"/>
        </w:trPr>
        <w:tc>
          <w:tcPr>
            <w:tcW w:w="720" w:type="dxa"/>
            <w:tcBorders>
              <w:top w:val="nil"/>
              <w:left w:val="single" w:color="auto" w:sz="4" w:space="0"/>
              <w:bottom w:val="single" w:color="auto" w:sz="4" w:space="0"/>
              <w:right w:val="single" w:color="auto" w:sz="4" w:space="0"/>
            </w:tcBorders>
            <w:shd w:val="clear" w:color="auto" w:fill="auto"/>
            <w:noWrap/>
            <w:vAlign w:val="center"/>
          </w:tcPr>
          <w:p w14:paraId="04A946C4">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7</w:t>
            </w:r>
          </w:p>
        </w:tc>
        <w:tc>
          <w:tcPr>
            <w:tcW w:w="3760" w:type="dxa"/>
            <w:tcBorders>
              <w:top w:val="nil"/>
              <w:left w:val="nil"/>
              <w:bottom w:val="single" w:color="auto" w:sz="4" w:space="0"/>
              <w:right w:val="single" w:color="auto" w:sz="4" w:space="0"/>
            </w:tcBorders>
            <w:shd w:val="clear" w:color="auto" w:fill="auto"/>
            <w:vAlign w:val="center"/>
          </w:tcPr>
          <w:p w14:paraId="6D0C82D9">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企业公示信息第三方抽查审计费静安寺街道等</w:t>
            </w:r>
          </w:p>
        </w:tc>
        <w:tc>
          <w:tcPr>
            <w:tcW w:w="1760" w:type="dxa"/>
            <w:tcBorders>
              <w:top w:val="nil"/>
              <w:left w:val="nil"/>
              <w:bottom w:val="single" w:color="auto" w:sz="4" w:space="0"/>
              <w:right w:val="single" w:color="auto" w:sz="4" w:space="0"/>
            </w:tcBorders>
            <w:shd w:val="clear" w:color="auto" w:fill="auto"/>
            <w:noWrap/>
            <w:vAlign w:val="center"/>
          </w:tcPr>
          <w:p w14:paraId="1404C123">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300,000.00</w:t>
            </w:r>
          </w:p>
        </w:tc>
        <w:tc>
          <w:tcPr>
            <w:tcW w:w="1640" w:type="dxa"/>
            <w:tcBorders>
              <w:top w:val="nil"/>
              <w:left w:val="nil"/>
              <w:bottom w:val="single" w:color="auto" w:sz="4" w:space="0"/>
              <w:right w:val="single" w:color="auto" w:sz="4" w:space="0"/>
            </w:tcBorders>
            <w:shd w:val="clear" w:color="auto" w:fill="auto"/>
            <w:vAlign w:val="center"/>
          </w:tcPr>
          <w:p w14:paraId="15720A66">
            <w:pPr>
              <w:adjustRightInd/>
              <w:snapToGrid/>
              <w:spacing w:after="0"/>
              <w:jc w:val="center"/>
              <w:rPr>
                <w:rFonts w:hint="eastAsia" w:ascii="等线" w:hAnsi="等线" w:eastAsia="等线" w:cs="宋体"/>
                <w:color w:val="000000"/>
              </w:rPr>
            </w:pPr>
            <w:r>
              <w:rPr>
                <w:rFonts w:hint="eastAsia" w:ascii="等线" w:hAnsi="等线" w:eastAsia="等线" w:cs="宋体"/>
                <w:color w:val="000000"/>
              </w:rPr>
              <w:t>0625-00003327</w:t>
            </w:r>
          </w:p>
        </w:tc>
        <w:tc>
          <w:tcPr>
            <w:tcW w:w="904" w:type="dxa"/>
            <w:tcBorders>
              <w:top w:val="nil"/>
              <w:left w:val="nil"/>
              <w:bottom w:val="single" w:color="auto" w:sz="4" w:space="0"/>
              <w:right w:val="single" w:color="auto" w:sz="4" w:space="0"/>
            </w:tcBorders>
            <w:shd w:val="clear" w:color="auto" w:fill="auto"/>
            <w:noWrap/>
            <w:vAlign w:val="center"/>
          </w:tcPr>
          <w:p w14:paraId="5305A4C0">
            <w:pPr>
              <w:adjustRightInd/>
              <w:snapToGrid/>
              <w:spacing w:after="0"/>
              <w:jc w:val="center"/>
              <w:rPr>
                <w:rFonts w:hint="eastAsia" w:ascii="等线" w:hAnsi="等线" w:eastAsia="等线" w:cs="宋体"/>
                <w:color w:val="000000"/>
              </w:rPr>
            </w:pPr>
            <w:r>
              <w:rPr>
                <w:rFonts w:hint="eastAsia" w:ascii="等线" w:hAnsi="等线" w:eastAsia="等线" w:cs="宋体"/>
                <w:color w:val="000000"/>
              </w:rPr>
              <w:t>115</w:t>
            </w:r>
          </w:p>
        </w:tc>
      </w:tr>
      <w:tr w14:paraId="23F40AF7">
        <w:tblPrEx>
          <w:tblCellMar>
            <w:top w:w="0" w:type="dxa"/>
            <w:left w:w="108" w:type="dxa"/>
            <w:bottom w:w="0" w:type="dxa"/>
            <w:right w:w="108" w:type="dxa"/>
          </w:tblCellMar>
        </w:tblPrEx>
        <w:trPr>
          <w:trHeight w:val="720" w:hRule="atLeast"/>
        </w:trPr>
        <w:tc>
          <w:tcPr>
            <w:tcW w:w="720" w:type="dxa"/>
            <w:tcBorders>
              <w:top w:val="nil"/>
              <w:left w:val="single" w:color="auto" w:sz="4" w:space="0"/>
              <w:bottom w:val="single" w:color="auto" w:sz="4" w:space="0"/>
              <w:right w:val="single" w:color="auto" w:sz="4" w:space="0"/>
            </w:tcBorders>
            <w:shd w:val="clear" w:color="auto" w:fill="auto"/>
            <w:noWrap/>
            <w:vAlign w:val="center"/>
          </w:tcPr>
          <w:p w14:paraId="5B94C294">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8</w:t>
            </w:r>
          </w:p>
        </w:tc>
        <w:tc>
          <w:tcPr>
            <w:tcW w:w="3760" w:type="dxa"/>
            <w:tcBorders>
              <w:top w:val="nil"/>
              <w:left w:val="nil"/>
              <w:bottom w:val="single" w:color="auto" w:sz="4" w:space="0"/>
              <w:right w:val="single" w:color="auto" w:sz="4" w:space="0"/>
            </w:tcBorders>
            <w:shd w:val="clear" w:color="auto" w:fill="auto"/>
            <w:vAlign w:val="center"/>
          </w:tcPr>
          <w:p w14:paraId="74F99515">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企业公示信息第三方抽查审计费共和新路街道等</w:t>
            </w:r>
          </w:p>
        </w:tc>
        <w:tc>
          <w:tcPr>
            <w:tcW w:w="1760" w:type="dxa"/>
            <w:tcBorders>
              <w:top w:val="nil"/>
              <w:left w:val="nil"/>
              <w:bottom w:val="single" w:color="auto" w:sz="4" w:space="0"/>
              <w:right w:val="single" w:color="auto" w:sz="4" w:space="0"/>
            </w:tcBorders>
            <w:shd w:val="clear" w:color="auto" w:fill="auto"/>
            <w:noWrap/>
            <w:vAlign w:val="center"/>
          </w:tcPr>
          <w:p w14:paraId="25D9475C">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300,000.00</w:t>
            </w:r>
          </w:p>
        </w:tc>
        <w:tc>
          <w:tcPr>
            <w:tcW w:w="1640" w:type="dxa"/>
            <w:tcBorders>
              <w:top w:val="nil"/>
              <w:left w:val="nil"/>
              <w:bottom w:val="single" w:color="auto" w:sz="4" w:space="0"/>
              <w:right w:val="single" w:color="auto" w:sz="4" w:space="0"/>
            </w:tcBorders>
            <w:shd w:val="clear" w:color="auto" w:fill="auto"/>
            <w:vAlign w:val="center"/>
          </w:tcPr>
          <w:p w14:paraId="1B934A4C">
            <w:pPr>
              <w:adjustRightInd/>
              <w:snapToGrid/>
              <w:spacing w:after="0"/>
              <w:jc w:val="center"/>
              <w:rPr>
                <w:rFonts w:hint="eastAsia" w:ascii="等线" w:hAnsi="等线" w:eastAsia="等线" w:cs="宋体"/>
                <w:color w:val="000000"/>
              </w:rPr>
            </w:pPr>
            <w:r>
              <w:rPr>
                <w:rFonts w:hint="eastAsia" w:ascii="等线" w:hAnsi="等线" w:eastAsia="等线" w:cs="宋体"/>
                <w:color w:val="000000"/>
              </w:rPr>
              <w:t>0625-00003329</w:t>
            </w:r>
          </w:p>
        </w:tc>
        <w:tc>
          <w:tcPr>
            <w:tcW w:w="904" w:type="dxa"/>
            <w:tcBorders>
              <w:top w:val="nil"/>
              <w:left w:val="nil"/>
              <w:bottom w:val="single" w:color="auto" w:sz="4" w:space="0"/>
              <w:right w:val="single" w:color="auto" w:sz="4" w:space="0"/>
            </w:tcBorders>
            <w:shd w:val="clear" w:color="auto" w:fill="auto"/>
            <w:noWrap/>
            <w:vAlign w:val="center"/>
          </w:tcPr>
          <w:p w14:paraId="7C961016">
            <w:pPr>
              <w:adjustRightInd/>
              <w:snapToGrid/>
              <w:spacing w:after="0"/>
              <w:jc w:val="center"/>
              <w:rPr>
                <w:rFonts w:hint="eastAsia" w:ascii="等线" w:hAnsi="等线" w:eastAsia="等线" w:cs="宋体"/>
                <w:color w:val="000000"/>
              </w:rPr>
            </w:pPr>
            <w:r>
              <w:rPr>
                <w:rFonts w:hint="eastAsia" w:ascii="等线" w:hAnsi="等线" w:eastAsia="等线" w:cs="宋体"/>
                <w:color w:val="000000"/>
              </w:rPr>
              <w:t>115</w:t>
            </w:r>
          </w:p>
        </w:tc>
      </w:tr>
      <w:tr w14:paraId="374E0883">
        <w:tblPrEx>
          <w:tblCellMar>
            <w:top w:w="0" w:type="dxa"/>
            <w:left w:w="108" w:type="dxa"/>
            <w:bottom w:w="0" w:type="dxa"/>
            <w:right w:w="108" w:type="dxa"/>
          </w:tblCellMar>
        </w:tblPrEx>
        <w:trPr>
          <w:trHeight w:val="720" w:hRule="atLeast"/>
        </w:trPr>
        <w:tc>
          <w:tcPr>
            <w:tcW w:w="720" w:type="dxa"/>
            <w:tcBorders>
              <w:top w:val="nil"/>
              <w:left w:val="single" w:color="auto" w:sz="4" w:space="0"/>
              <w:bottom w:val="single" w:color="auto" w:sz="4" w:space="0"/>
              <w:right w:val="single" w:color="auto" w:sz="4" w:space="0"/>
            </w:tcBorders>
            <w:shd w:val="clear" w:color="auto" w:fill="auto"/>
            <w:noWrap/>
            <w:vAlign w:val="center"/>
          </w:tcPr>
          <w:p w14:paraId="645559A7">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9</w:t>
            </w:r>
          </w:p>
        </w:tc>
        <w:tc>
          <w:tcPr>
            <w:tcW w:w="3760" w:type="dxa"/>
            <w:tcBorders>
              <w:top w:val="nil"/>
              <w:left w:val="nil"/>
              <w:bottom w:val="single" w:color="auto" w:sz="4" w:space="0"/>
              <w:right w:val="single" w:color="auto" w:sz="4" w:space="0"/>
            </w:tcBorders>
            <w:shd w:val="clear" w:color="auto" w:fill="auto"/>
            <w:vAlign w:val="center"/>
          </w:tcPr>
          <w:p w14:paraId="395D5727">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企业公示信息第三方抽查审计费市北高新园区等</w:t>
            </w:r>
          </w:p>
        </w:tc>
        <w:tc>
          <w:tcPr>
            <w:tcW w:w="1760" w:type="dxa"/>
            <w:tcBorders>
              <w:top w:val="nil"/>
              <w:left w:val="nil"/>
              <w:bottom w:val="single" w:color="auto" w:sz="4" w:space="0"/>
              <w:right w:val="single" w:color="auto" w:sz="4" w:space="0"/>
            </w:tcBorders>
            <w:shd w:val="clear" w:color="auto" w:fill="auto"/>
            <w:noWrap/>
            <w:vAlign w:val="center"/>
          </w:tcPr>
          <w:p w14:paraId="4CE533D5">
            <w:pPr>
              <w:adjustRightInd/>
              <w:snapToGrid/>
              <w:spacing w:after="0"/>
              <w:jc w:val="center"/>
              <w:rPr>
                <w:rFonts w:hint="eastAsia" w:ascii="宋体" w:hAnsi="宋体" w:eastAsia="宋体" w:cs="宋体"/>
                <w:color w:val="000000"/>
              </w:rPr>
            </w:pPr>
            <w:r>
              <w:rPr>
                <w:rFonts w:hint="eastAsia" w:ascii="宋体" w:hAnsi="宋体" w:eastAsia="宋体" w:cs="宋体"/>
                <w:color w:val="000000"/>
              </w:rPr>
              <w:t>390,000.00</w:t>
            </w:r>
          </w:p>
        </w:tc>
        <w:tc>
          <w:tcPr>
            <w:tcW w:w="1640" w:type="dxa"/>
            <w:tcBorders>
              <w:top w:val="nil"/>
              <w:left w:val="nil"/>
              <w:bottom w:val="single" w:color="auto" w:sz="4" w:space="0"/>
              <w:right w:val="single" w:color="auto" w:sz="4" w:space="0"/>
            </w:tcBorders>
            <w:shd w:val="clear" w:color="auto" w:fill="auto"/>
            <w:vAlign w:val="center"/>
          </w:tcPr>
          <w:p w14:paraId="100242DB">
            <w:pPr>
              <w:adjustRightInd/>
              <w:snapToGrid/>
              <w:spacing w:after="0"/>
              <w:jc w:val="center"/>
              <w:rPr>
                <w:rFonts w:hint="eastAsia" w:ascii="等线" w:hAnsi="等线" w:eastAsia="等线" w:cs="宋体"/>
                <w:color w:val="000000"/>
              </w:rPr>
            </w:pPr>
            <w:r>
              <w:rPr>
                <w:rFonts w:hint="eastAsia" w:ascii="等线" w:hAnsi="等线" w:eastAsia="等线" w:cs="宋体"/>
                <w:color w:val="000000"/>
              </w:rPr>
              <w:t>0625-00003318</w:t>
            </w:r>
          </w:p>
        </w:tc>
        <w:tc>
          <w:tcPr>
            <w:tcW w:w="904" w:type="dxa"/>
            <w:tcBorders>
              <w:top w:val="nil"/>
              <w:left w:val="nil"/>
              <w:bottom w:val="single" w:color="auto" w:sz="4" w:space="0"/>
              <w:right w:val="single" w:color="auto" w:sz="4" w:space="0"/>
            </w:tcBorders>
            <w:shd w:val="clear" w:color="auto" w:fill="auto"/>
            <w:noWrap/>
            <w:vAlign w:val="center"/>
          </w:tcPr>
          <w:p w14:paraId="41CB822E">
            <w:pPr>
              <w:adjustRightInd/>
              <w:snapToGrid/>
              <w:spacing w:after="0"/>
              <w:jc w:val="center"/>
              <w:rPr>
                <w:rFonts w:hint="eastAsia" w:ascii="等线" w:hAnsi="等线" w:eastAsia="等线" w:cs="宋体"/>
                <w:color w:val="000000"/>
              </w:rPr>
            </w:pPr>
            <w:r>
              <w:rPr>
                <w:rFonts w:hint="eastAsia" w:ascii="等线" w:hAnsi="等线" w:eastAsia="等线" w:cs="宋体"/>
                <w:color w:val="000000"/>
              </w:rPr>
              <w:t>150</w:t>
            </w:r>
          </w:p>
        </w:tc>
      </w:tr>
    </w:tbl>
    <w:p w14:paraId="2B743B29">
      <w:pPr>
        <w:pStyle w:val="3"/>
        <w:spacing w:line="420" w:lineRule="exact"/>
      </w:pPr>
    </w:p>
    <w:p w14:paraId="250E5349">
      <w:pPr>
        <w:pStyle w:val="3"/>
        <w:spacing w:line="420" w:lineRule="exact"/>
        <w:ind w:firstLine="0"/>
        <w:rPr>
          <w:rFonts w:hint="eastAsia"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lang w:eastAsia="zh-CN"/>
          <w14:textFill>
            <w14:solidFill>
              <w14:schemeClr w14:val="tx1"/>
            </w14:solidFill>
          </w14:textFill>
        </w:rPr>
        <w:t>六</w:t>
      </w:r>
      <w:r>
        <w:rPr>
          <w:rFonts w:hint="eastAsia" w:hAnsi="宋体" w:cs="宋体"/>
          <w:b/>
          <w:color w:val="000000" w:themeColor="text1"/>
          <w:sz w:val="24"/>
          <w:szCs w:val="24"/>
          <w14:textFill>
            <w14:solidFill>
              <w14:schemeClr w14:val="tx1"/>
            </w14:solidFill>
          </w14:textFill>
        </w:rPr>
        <w:t>、付款方式</w:t>
      </w:r>
    </w:p>
    <w:p w14:paraId="319DE49F">
      <w:pPr>
        <w:pStyle w:val="3"/>
        <w:spacing w:line="420" w:lineRule="exact"/>
        <w:ind w:firstLine="480" w:firstLineChars="200"/>
        <w:rPr>
          <w:rFonts w:hint="eastAsia" w:hAnsi="宋体" w:cs="宋体"/>
          <w:b w:val="0"/>
          <w:snapToGrid/>
          <w:color w:val="auto"/>
          <w:kern w:val="2"/>
          <w:sz w:val="24"/>
          <w:szCs w:val="24"/>
        </w:rPr>
      </w:pPr>
      <w:r>
        <w:rPr>
          <w:rFonts w:hint="eastAsia" w:hAnsi="宋体" w:cs="宋体"/>
          <w:b w:val="0"/>
          <w:snapToGrid/>
          <w:color w:val="auto"/>
          <w:kern w:val="2"/>
          <w:sz w:val="24"/>
          <w:szCs w:val="24"/>
        </w:rPr>
        <w:t>签订合同后，</w:t>
      </w:r>
      <w:r>
        <w:rPr>
          <w:rFonts w:hint="eastAsia" w:hAnsi="宋体" w:cs="宋体"/>
          <w:snapToGrid/>
          <w:color w:val="auto"/>
          <w:kern w:val="2"/>
          <w:sz w:val="24"/>
          <w:szCs w:val="24"/>
        </w:rPr>
        <w:t>分两期结算。第一期签订合同后</w:t>
      </w:r>
      <w:r>
        <w:rPr>
          <w:rFonts w:hint="eastAsia" w:hAnsi="宋体" w:cs="宋体"/>
          <w:b w:val="0"/>
          <w:snapToGrid/>
          <w:color w:val="auto"/>
          <w:kern w:val="2"/>
          <w:sz w:val="24"/>
          <w:szCs w:val="24"/>
        </w:rPr>
        <w:t>按照中标金额支付20%，</w:t>
      </w:r>
      <w:r>
        <w:rPr>
          <w:rFonts w:hint="eastAsia" w:hAnsi="宋体" w:cs="宋体"/>
          <w:snapToGrid/>
          <w:color w:val="auto"/>
          <w:kern w:val="2"/>
          <w:sz w:val="24"/>
          <w:szCs w:val="24"/>
        </w:rPr>
        <w:t>第二期</w:t>
      </w:r>
      <w:r>
        <w:rPr>
          <w:rFonts w:hint="eastAsia" w:hAnsi="宋体" w:cs="宋体"/>
          <w:b w:val="0"/>
          <w:snapToGrid/>
          <w:color w:val="auto"/>
          <w:kern w:val="2"/>
          <w:sz w:val="24"/>
          <w:szCs w:val="24"/>
        </w:rPr>
        <w:t>根据</w:t>
      </w:r>
      <w:r>
        <w:rPr>
          <w:rFonts w:hint="eastAsia" w:hAnsi="宋体" w:cs="宋体"/>
          <w:snapToGrid/>
          <w:color w:val="auto"/>
          <w:kern w:val="2"/>
          <w:sz w:val="24"/>
          <w:szCs w:val="24"/>
        </w:rPr>
        <w:t>“中标价/预计工作量*实际工作量-第一期款项”</w:t>
      </w:r>
      <w:r>
        <w:rPr>
          <w:rFonts w:hint="eastAsia" w:hAnsi="宋体" w:cs="宋体"/>
          <w:b w:val="0"/>
          <w:snapToGrid/>
          <w:color w:val="auto"/>
          <w:kern w:val="2"/>
          <w:sz w:val="24"/>
          <w:szCs w:val="24"/>
        </w:rPr>
        <w:t>行结算。</w:t>
      </w:r>
    </w:p>
    <w:p w14:paraId="0ECAE049">
      <w:pPr>
        <w:pStyle w:val="3"/>
        <w:numPr>
          <w:ilvl w:val="0"/>
          <w:numId w:val="0"/>
        </w:numPr>
        <w:spacing w:line="420" w:lineRule="exact"/>
        <w:rPr>
          <w:rFonts w:hint="eastAsia" w:hAnsi="宋体" w:cs="宋体"/>
          <w:b w:val="0"/>
          <w:snapToGrid/>
          <w:color w:val="auto"/>
          <w:kern w:val="2"/>
          <w:sz w:val="24"/>
          <w:szCs w:val="24"/>
          <w:lang w:eastAsia="zh-CN"/>
        </w:rPr>
      </w:pPr>
    </w:p>
    <w:p w14:paraId="11587E15">
      <w:pPr>
        <w:pStyle w:val="3"/>
        <w:spacing w:line="420" w:lineRule="exact"/>
        <w:ind w:firstLine="0"/>
        <w:rPr>
          <w:rFonts w:hint="eastAsia" w:hAnsi="宋体" w:cs="宋体"/>
          <w:b/>
          <w:color w:val="000000" w:themeColor="text1"/>
          <w:sz w:val="24"/>
          <w:szCs w:val="24"/>
          <w14:textFill>
            <w14:solidFill>
              <w14:schemeClr w14:val="tx1"/>
            </w14:solidFill>
          </w14:textFill>
        </w:rPr>
      </w:pPr>
    </w:p>
    <w:p w14:paraId="3AF78907">
      <w:pPr>
        <w:pStyle w:val="3"/>
        <w:spacing w:line="420" w:lineRule="exact"/>
        <w:ind w:firstLine="480" w:firstLineChars="200"/>
        <w:rPr>
          <w:rFonts w:hint="eastAsia" w:hAnsi="宋体" w:cs="宋体"/>
          <w:color w:val="222222"/>
          <w:sz w:val="24"/>
          <w:szCs w:val="24"/>
        </w:rPr>
      </w:pPr>
    </w:p>
    <w:p w14:paraId="2D0C8287">
      <w:pPr>
        <w:spacing w:line="420" w:lineRule="exact"/>
        <w:jc w:val="right"/>
        <w:rPr>
          <w:rFonts w:hint="eastAsia" w:ascii="宋体" w:hAnsi="宋体" w:eastAsia="宋体" w:cs="宋体"/>
          <w:snapToGrid w:val="0"/>
          <w:color w:val="000000"/>
          <w:kern w:val="28"/>
          <w:sz w:val="24"/>
          <w:szCs w:val="20"/>
        </w:rPr>
      </w:pPr>
      <w:r>
        <w:rPr>
          <w:rFonts w:hint="eastAsia" w:ascii="宋体" w:hAnsi="宋体" w:eastAsia="宋体" w:cs="宋体"/>
          <w:snapToGrid w:val="0"/>
          <w:color w:val="000000"/>
          <w:kern w:val="28"/>
          <w:sz w:val="24"/>
          <w:szCs w:val="20"/>
        </w:rPr>
        <w:t>上海市静安区市场监督管理局</w:t>
      </w:r>
    </w:p>
    <w:p w14:paraId="53F849B6">
      <w:pPr>
        <w:spacing w:line="420" w:lineRule="exact"/>
        <w:jc w:val="right"/>
        <w:rPr>
          <w:rFonts w:hint="eastAsia" w:ascii="宋体" w:hAnsi="宋体" w:eastAsia="宋体" w:cs="宋体"/>
          <w:b/>
          <w:bCs/>
          <w:kern w:val="44"/>
          <w:sz w:val="36"/>
          <w:szCs w:val="44"/>
        </w:rPr>
      </w:pPr>
      <w:r>
        <w:rPr>
          <w:rFonts w:hint="eastAsia" w:ascii="宋体" w:hAnsi="宋体" w:eastAsia="宋体" w:cs="宋体"/>
          <w:sz w:val="24"/>
          <w:szCs w:val="21"/>
        </w:rPr>
        <w:t>2025年5月</w:t>
      </w:r>
    </w:p>
    <w:sectPr>
      <w:headerReference r:id="rId4" w:type="default"/>
      <w:footerReference r:id="rId5" w:type="default"/>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9433D">
    <w:pPr>
      <w:pStyle w:val="8"/>
      <w:framePr w:wrap="around" w:vAnchor="text" w:hAnchor="margin" w:xAlign="center" w:y="1"/>
      <w:rPr>
        <w:rStyle w:val="15"/>
      </w:rPr>
    </w:pPr>
    <w:r>
      <w:fldChar w:fldCharType="begin"/>
    </w:r>
    <w:r>
      <w:rPr>
        <w:rStyle w:val="15"/>
      </w:rPr>
      <w:instrText xml:space="preserve">PAGE  </w:instrText>
    </w:r>
    <w:r>
      <w:fldChar w:fldCharType="separate"/>
    </w:r>
    <w:r>
      <w:rPr>
        <w:rStyle w:val="15"/>
      </w:rPr>
      <w:t>3</w:t>
    </w:r>
    <w:r>
      <w:fldChar w:fldCharType="end"/>
    </w:r>
  </w:p>
  <w:p w14:paraId="05255228">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994FE">
    <w:pPr>
      <w:pStyle w:val="9"/>
      <w:pBdr>
        <w:bottom w:val="none" w:color="auto" w:sz="0" w:space="1"/>
      </w:pBdr>
      <w:tabs>
        <w:tab w:val="center" w:pos="4706"/>
        <w:tab w:val="right" w:pos="9412"/>
        <w:tab w:val="clear" w:pos="4153"/>
        <w:tab w:val="clear" w:pos="8306"/>
      </w:tabs>
      <w:jc w:val="right"/>
      <w:rPr>
        <w:rFonts w:hint="eastAsia" w:ascii="仿宋" w:hAnsi="仿宋" w:eastAsia="仿宋"/>
      </w:rPr>
    </w:pPr>
    <w:r>
      <w:rPr>
        <w:rFonts w:ascii="仿宋" w:hAnsi="仿宋" w:eastAsia="仿宋"/>
      </w:rPr>
      <w:tab/>
    </w:r>
    <w:r>
      <w:rPr>
        <w:rFonts w:ascii="仿宋" w:hAnsi="仿宋" w:eastAsia="仿宋"/>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0NzBkMGI4ODVkYmZmZjk0Y2ZiMTgyM2VjMzc4ZmQifQ=="/>
  </w:docVars>
  <w:rsids>
    <w:rsidRoot w:val="00D31D50"/>
    <w:rsid w:val="000074C4"/>
    <w:rsid w:val="0001235D"/>
    <w:rsid w:val="00023CF4"/>
    <w:rsid w:val="00043AD6"/>
    <w:rsid w:val="000736D6"/>
    <w:rsid w:val="00087693"/>
    <w:rsid w:val="0009586C"/>
    <w:rsid w:val="000A2C33"/>
    <w:rsid w:val="000D75DA"/>
    <w:rsid w:val="000E60E6"/>
    <w:rsid w:val="00133A09"/>
    <w:rsid w:val="001F2374"/>
    <w:rsid w:val="002142F0"/>
    <w:rsid w:val="002145E3"/>
    <w:rsid w:val="0021759B"/>
    <w:rsid w:val="00221E0B"/>
    <w:rsid w:val="00224EDA"/>
    <w:rsid w:val="00240C19"/>
    <w:rsid w:val="0024202A"/>
    <w:rsid w:val="00256958"/>
    <w:rsid w:val="002A7838"/>
    <w:rsid w:val="002C5534"/>
    <w:rsid w:val="002E3D8A"/>
    <w:rsid w:val="0031184F"/>
    <w:rsid w:val="003157E3"/>
    <w:rsid w:val="00323B43"/>
    <w:rsid w:val="00337059"/>
    <w:rsid w:val="00342DD4"/>
    <w:rsid w:val="00367243"/>
    <w:rsid w:val="00380E4B"/>
    <w:rsid w:val="003B4D85"/>
    <w:rsid w:val="003D37D8"/>
    <w:rsid w:val="003F5C4E"/>
    <w:rsid w:val="00426133"/>
    <w:rsid w:val="004358AB"/>
    <w:rsid w:val="00457E8A"/>
    <w:rsid w:val="00473338"/>
    <w:rsid w:val="0048618E"/>
    <w:rsid w:val="004B0AA4"/>
    <w:rsid w:val="004D1DCB"/>
    <w:rsid w:val="004F5BB4"/>
    <w:rsid w:val="00513998"/>
    <w:rsid w:val="0059505C"/>
    <w:rsid w:val="005A1064"/>
    <w:rsid w:val="005A35E6"/>
    <w:rsid w:val="005C20F6"/>
    <w:rsid w:val="005D2976"/>
    <w:rsid w:val="005D7CC6"/>
    <w:rsid w:val="005E119F"/>
    <w:rsid w:val="005F03B8"/>
    <w:rsid w:val="006319A2"/>
    <w:rsid w:val="00661C40"/>
    <w:rsid w:val="0066774D"/>
    <w:rsid w:val="00671329"/>
    <w:rsid w:val="006829B5"/>
    <w:rsid w:val="006D0474"/>
    <w:rsid w:val="006E1C05"/>
    <w:rsid w:val="006E3ADA"/>
    <w:rsid w:val="00717E13"/>
    <w:rsid w:val="00725C4D"/>
    <w:rsid w:val="00750D45"/>
    <w:rsid w:val="00766795"/>
    <w:rsid w:val="0077340D"/>
    <w:rsid w:val="007B1712"/>
    <w:rsid w:val="007C52BF"/>
    <w:rsid w:val="007D0BCE"/>
    <w:rsid w:val="00811235"/>
    <w:rsid w:val="008702F0"/>
    <w:rsid w:val="008B562E"/>
    <w:rsid w:val="008B7726"/>
    <w:rsid w:val="008E0B7A"/>
    <w:rsid w:val="00940FBC"/>
    <w:rsid w:val="00945F1E"/>
    <w:rsid w:val="0097371C"/>
    <w:rsid w:val="00982D87"/>
    <w:rsid w:val="0098732F"/>
    <w:rsid w:val="00A4289B"/>
    <w:rsid w:val="00A50A4A"/>
    <w:rsid w:val="00A65F5C"/>
    <w:rsid w:val="00A7437E"/>
    <w:rsid w:val="00AF79EB"/>
    <w:rsid w:val="00B22C6D"/>
    <w:rsid w:val="00B24C34"/>
    <w:rsid w:val="00BA3C08"/>
    <w:rsid w:val="00BB7C0B"/>
    <w:rsid w:val="00BD04AF"/>
    <w:rsid w:val="00BD2C9A"/>
    <w:rsid w:val="00C041B1"/>
    <w:rsid w:val="00C1784D"/>
    <w:rsid w:val="00C469C6"/>
    <w:rsid w:val="00C557E0"/>
    <w:rsid w:val="00C851C4"/>
    <w:rsid w:val="00C85605"/>
    <w:rsid w:val="00CB4314"/>
    <w:rsid w:val="00CC7E51"/>
    <w:rsid w:val="00CD2182"/>
    <w:rsid w:val="00CE2961"/>
    <w:rsid w:val="00CF48E8"/>
    <w:rsid w:val="00D21146"/>
    <w:rsid w:val="00D31D50"/>
    <w:rsid w:val="00D33A49"/>
    <w:rsid w:val="00D97749"/>
    <w:rsid w:val="00DA4696"/>
    <w:rsid w:val="00DA4B22"/>
    <w:rsid w:val="00DB59D6"/>
    <w:rsid w:val="00E31DB9"/>
    <w:rsid w:val="00E52F55"/>
    <w:rsid w:val="00E53FCE"/>
    <w:rsid w:val="00EE2D4C"/>
    <w:rsid w:val="00F026F3"/>
    <w:rsid w:val="00F02C6F"/>
    <w:rsid w:val="00F06F24"/>
    <w:rsid w:val="00F30DB9"/>
    <w:rsid w:val="00F437E9"/>
    <w:rsid w:val="00F45CB5"/>
    <w:rsid w:val="00F463DD"/>
    <w:rsid w:val="00F54195"/>
    <w:rsid w:val="00F94F04"/>
    <w:rsid w:val="00FB6441"/>
    <w:rsid w:val="00FC2426"/>
    <w:rsid w:val="00FF27A1"/>
    <w:rsid w:val="09CA5E0B"/>
    <w:rsid w:val="0E5139F9"/>
    <w:rsid w:val="0EB0193C"/>
    <w:rsid w:val="0F433FBF"/>
    <w:rsid w:val="12C244E9"/>
    <w:rsid w:val="14804594"/>
    <w:rsid w:val="16A66139"/>
    <w:rsid w:val="193D065F"/>
    <w:rsid w:val="1AC34665"/>
    <w:rsid w:val="22B775F7"/>
    <w:rsid w:val="25925ADB"/>
    <w:rsid w:val="3B9613C6"/>
    <w:rsid w:val="41FD0B1C"/>
    <w:rsid w:val="468C717A"/>
    <w:rsid w:val="4BFD7A65"/>
    <w:rsid w:val="4FBE2067"/>
    <w:rsid w:val="525162A7"/>
    <w:rsid w:val="53380807"/>
    <w:rsid w:val="5A062E08"/>
    <w:rsid w:val="5BE54DDA"/>
    <w:rsid w:val="5C440E31"/>
    <w:rsid w:val="5F1024F8"/>
    <w:rsid w:val="63090B08"/>
    <w:rsid w:val="66BB0F39"/>
    <w:rsid w:val="67026F0E"/>
    <w:rsid w:val="71B21CC8"/>
    <w:rsid w:val="76D336FD"/>
    <w:rsid w:val="7FAE6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2"/>
    <w:basedOn w:val="1"/>
    <w:next w:val="1"/>
    <w:qFormat/>
    <w:uiPriority w:val="0"/>
    <w:pPr>
      <w:keepNext/>
      <w:keepLines/>
      <w:widowControl w:val="0"/>
      <w:tabs>
        <w:tab w:val="left" w:pos="1473"/>
      </w:tabs>
      <w:snapToGrid/>
      <w:spacing w:before="260" w:after="260" w:line="416" w:lineRule="atLeast"/>
      <w:ind w:left="1473" w:hanging="720"/>
      <w:jc w:val="both"/>
      <w:textAlignment w:val="baseline"/>
      <w:outlineLvl w:val="1"/>
    </w:pPr>
    <w:rPr>
      <w:rFonts w:ascii="Arial" w:hAnsi="Arial" w:eastAsia="黑体" w:cs="Times New Roman"/>
      <w:b/>
      <w:sz w:val="32"/>
      <w:szCs w:val="20"/>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7"/>
    <w:qFormat/>
    <w:uiPriority w:val="0"/>
    <w:pPr>
      <w:spacing w:after="0" w:line="480" w:lineRule="exact"/>
      <w:ind w:firstLine="567"/>
      <w:jc w:val="both"/>
    </w:pPr>
    <w:rPr>
      <w:rFonts w:ascii="宋体" w:hAnsi="Times New Roman" w:eastAsia="宋体" w:cs="Times New Roman"/>
      <w:snapToGrid w:val="0"/>
      <w:color w:val="000000"/>
      <w:kern w:val="28"/>
      <w:sz w:val="28"/>
      <w:szCs w:val="20"/>
    </w:rPr>
  </w:style>
  <w:style w:type="paragraph" w:styleId="4">
    <w:name w:val="Document Map"/>
    <w:basedOn w:val="1"/>
    <w:link w:val="18"/>
    <w:semiHidden/>
    <w:unhideWhenUsed/>
    <w:qFormat/>
    <w:uiPriority w:val="99"/>
    <w:rPr>
      <w:rFonts w:ascii="宋体" w:eastAsia="宋体"/>
      <w:sz w:val="18"/>
      <w:szCs w:val="18"/>
    </w:rPr>
  </w:style>
  <w:style w:type="paragraph" w:styleId="5">
    <w:name w:val="Body Text"/>
    <w:basedOn w:val="1"/>
    <w:qFormat/>
    <w:uiPriority w:val="0"/>
    <w:pPr>
      <w:spacing w:line="360" w:lineRule="auto"/>
    </w:pPr>
    <w:rPr>
      <w:sz w:val="24"/>
      <w:szCs w:val="20"/>
    </w:rPr>
  </w:style>
  <w:style w:type="paragraph" w:styleId="6">
    <w:name w:val="Body Text Indent"/>
    <w:basedOn w:val="1"/>
    <w:qFormat/>
    <w:uiPriority w:val="99"/>
    <w:pPr>
      <w:widowControl w:val="0"/>
      <w:adjustRightInd/>
      <w:snapToGrid/>
      <w:spacing w:after="120"/>
      <w:ind w:left="420" w:leftChars="200"/>
      <w:jc w:val="both"/>
    </w:pPr>
    <w:rPr>
      <w:rFonts w:ascii="Times New Roman" w:hAnsi="Times New Roman" w:eastAsia="宋体"/>
      <w:kern w:val="2"/>
      <w:sz w:val="21"/>
      <w:szCs w:val="24"/>
    </w:rPr>
  </w:style>
  <w:style w:type="paragraph" w:styleId="7">
    <w:name w:val="Plain Text"/>
    <w:basedOn w:val="1"/>
    <w:link w:val="21"/>
    <w:qFormat/>
    <w:uiPriority w:val="0"/>
    <w:pPr>
      <w:widowControl w:val="0"/>
      <w:adjustRightInd/>
      <w:snapToGrid/>
      <w:spacing w:after="0"/>
      <w:jc w:val="both"/>
    </w:pPr>
    <w:rPr>
      <w:rFonts w:ascii="宋体" w:hAnsi="Courier New" w:eastAsia="宋体" w:cs="Times New Roman"/>
      <w:kern w:val="2"/>
      <w:sz w:val="21"/>
      <w:szCs w:val="20"/>
    </w:rPr>
  </w:style>
  <w:style w:type="paragraph" w:styleId="8">
    <w:name w:val="footer"/>
    <w:basedOn w:val="1"/>
    <w:link w:val="20"/>
    <w:unhideWhenUsed/>
    <w:qFormat/>
    <w:uiPriority w:val="99"/>
    <w:pPr>
      <w:tabs>
        <w:tab w:val="center" w:pos="4153"/>
        <w:tab w:val="right" w:pos="8306"/>
      </w:tabs>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10">
    <w:name w:val="Normal (Web)"/>
    <w:basedOn w:val="1"/>
    <w:qFormat/>
    <w:uiPriority w:val="0"/>
    <w:pPr>
      <w:spacing w:before="100" w:beforeAutospacing="1" w:after="100" w:afterAutospacing="1" w:line="360" w:lineRule="auto"/>
      <w:ind w:firstLine="316"/>
    </w:pPr>
    <w:rPr>
      <w:rFonts w:ascii="宋体" w:hAnsi="宋体" w:cs="宋体"/>
    </w:rPr>
  </w:style>
  <w:style w:type="paragraph" w:styleId="11">
    <w:name w:val="Body Text First Indent 2"/>
    <w:basedOn w:val="6"/>
    <w:unhideWhenUsed/>
    <w:qFormat/>
    <w:uiPriority w:val="0"/>
    <w:pPr>
      <w:ind w:firstLine="420" w:firstLineChars="200"/>
    </w:pPr>
    <w:rPr>
      <w:sz w:val="30"/>
      <w:szCs w:val="20"/>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unhideWhenUsed/>
    <w:qFormat/>
    <w:uiPriority w:val="0"/>
    <w:rPr>
      <w:color w:val="000066"/>
      <w:sz w:val="18"/>
      <w:szCs w:val="18"/>
      <w:u w:val="none"/>
    </w:rPr>
  </w:style>
  <w:style w:type="character" w:customStyle="1" w:styleId="17">
    <w:name w:val="正文缩进 字符"/>
    <w:link w:val="3"/>
    <w:qFormat/>
    <w:uiPriority w:val="0"/>
    <w:rPr>
      <w:rFonts w:ascii="宋体" w:hAnsi="Times New Roman" w:eastAsia="宋体" w:cs="Times New Roman"/>
      <w:snapToGrid w:val="0"/>
      <w:color w:val="000000"/>
      <w:kern w:val="28"/>
      <w:sz w:val="28"/>
      <w:szCs w:val="20"/>
    </w:rPr>
  </w:style>
  <w:style w:type="character" w:customStyle="1" w:styleId="18">
    <w:name w:val="文档结构图 字符"/>
    <w:basedOn w:val="14"/>
    <w:link w:val="4"/>
    <w:semiHidden/>
    <w:qFormat/>
    <w:uiPriority w:val="99"/>
    <w:rPr>
      <w:rFonts w:ascii="宋体" w:hAnsi="Tahoma" w:eastAsia="宋体"/>
      <w:sz w:val="18"/>
      <w:szCs w:val="18"/>
    </w:rPr>
  </w:style>
  <w:style w:type="character" w:customStyle="1" w:styleId="19">
    <w:name w:val="页眉 字符"/>
    <w:basedOn w:val="14"/>
    <w:link w:val="9"/>
    <w:qFormat/>
    <w:uiPriority w:val="99"/>
    <w:rPr>
      <w:rFonts w:ascii="Tahoma" w:hAnsi="Tahoma"/>
      <w:sz w:val="18"/>
      <w:szCs w:val="18"/>
    </w:rPr>
  </w:style>
  <w:style w:type="character" w:customStyle="1" w:styleId="20">
    <w:name w:val="页脚 字符"/>
    <w:basedOn w:val="14"/>
    <w:link w:val="8"/>
    <w:qFormat/>
    <w:uiPriority w:val="99"/>
    <w:rPr>
      <w:rFonts w:ascii="Tahoma" w:hAnsi="Tahoma"/>
      <w:sz w:val="18"/>
      <w:szCs w:val="18"/>
    </w:rPr>
  </w:style>
  <w:style w:type="character" w:customStyle="1" w:styleId="21">
    <w:name w:val="纯文本 字符"/>
    <w:basedOn w:val="14"/>
    <w:link w:val="7"/>
    <w:qFormat/>
    <w:uiPriority w:val="0"/>
    <w:rPr>
      <w:rFonts w:ascii="宋体" w:hAnsi="Courier New" w:eastAsia="宋体" w:cs="Times New Roman"/>
      <w:kern w:val="2"/>
      <w:sz w:val="21"/>
      <w:szCs w:val="20"/>
    </w:rPr>
  </w:style>
  <w:style w:type="paragraph" w:styleId="22">
    <w:name w:val="List Paragraph"/>
    <w:basedOn w:val="1"/>
    <w:qFormat/>
    <w:uiPriority w:val="34"/>
    <w:pPr>
      <w:widowControl w:val="0"/>
      <w:adjustRightInd/>
      <w:snapToGrid/>
      <w:spacing w:after="0"/>
      <w:ind w:firstLine="420" w:firstLineChars="200"/>
      <w:jc w:val="both"/>
    </w:pPr>
    <w:rPr>
      <w:rFonts w:ascii="Times New Roman" w:hAnsi="Times New Roman" w:eastAsia="宋体" w:cs="Times New Roman"/>
      <w:kern w:val="2"/>
      <w:sz w:val="21"/>
      <w:szCs w:val="24"/>
    </w:rPr>
  </w:style>
  <w:style w:type="paragraph" w:customStyle="1" w:styleId="23">
    <w:name w:val="列出段落1"/>
    <w:basedOn w:val="1"/>
    <w:qFormat/>
    <w:uiPriority w:val="34"/>
    <w:pPr>
      <w:widowControl w:val="0"/>
      <w:adjustRightInd/>
      <w:snapToGrid/>
      <w:spacing w:after="0"/>
      <w:ind w:firstLine="420" w:firstLineChars="200"/>
      <w:jc w:val="both"/>
    </w:pPr>
    <w:rPr>
      <w:rFonts w:ascii="Calibri" w:hAnsi="Calibri" w:eastAsia="宋体" w:cs="Times New Roman"/>
      <w:kern w:val="2"/>
      <w:sz w:val="21"/>
    </w:rPr>
  </w:style>
  <w:style w:type="paragraph" w:customStyle="1" w:styleId="24">
    <w:name w:val="列出段落111"/>
    <w:basedOn w:val="1"/>
    <w:qFormat/>
    <w:uiPriority w:val="0"/>
    <w:pPr>
      <w:ind w:firstLine="420" w:firstLineChars="200"/>
    </w:pPr>
    <w:rPr>
      <w:rFonts w:ascii="Calibri" w:hAnsi="Calibri" w:eastAsia="宋体" w:cs="Calibri"/>
      <w:sz w:val="21"/>
      <w:szCs w:val="21"/>
    </w:rPr>
  </w:style>
  <w:style w:type="character" w:customStyle="1" w:styleId="25">
    <w:name w:val="未处理的提及1"/>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6581F1-9A03-4FEC-A612-40341F89B36A}">
  <ds:schemaRefs/>
</ds:datastoreItem>
</file>

<file path=docProps/app.xml><?xml version="1.0" encoding="utf-8"?>
<Properties xmlns="http://schemas.openxmlformats.org/officeDocument/2006/extended-properties" xmlns:vt="http://schemas.openxmlformats.org/officeDocument/2006/docPropsVTypes">
  <Template>Normal</Template>
  <Pages>7</Pages>
  <Words>3646</Words>
  <Characters>3809</Characters>
  <Lines>47</Lines>
  <Paragraphs>137</Paragraphs>
  <TotalTime>2</TotalTime>
  <ScaleCrop>false</ScaleCrop>
  <LinksUpToDate>false</LinksUpToDate>
  <CharactersWithSpaces>3829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2025-04-28T02:42:00Z</dcterms:created>
  <dc:creator>Administrator</dc:creator>
  <cp:lastModifiedBy>待到尘埃落定时</cp:lastModifiedBy>
  <cp:lastPrinted>2025-04-27T07:53:00Z</cp:lastPrinted>
  <dcterms:modified xsi:type="dcterms:W3CDTF">2025-05-16T03:03:43Z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794CFFE65E7F42DB9DA2E5B6FC2AD67E_13</vt:lpwstr>
  </property>
  <property fmtid="{D5CDD505-2E9C-101B-9397-08002B2CF9AE}" pid="4" name="KSOTemplateDocerSaveRecord">
    <vt:lpwstr>eyJoZGlkIjoiNDNjYTQ2YWNiNzgyOWI1ZWExNjQ2NWQ3Y2I3ZWNlOGMiLCJ1c2VySWQiOiI1NDYxNjc0MDMifQ==</vt:lpwstr>
  </property>
</Properties>
</file>