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rPr>
      </w:pPr>
      <w:r>
        <w:rPr>
          <w:rFonts w:hint="eastAsia" w:ascii="黑体" w:hAnsi="黑体" w:eastAsia="黑体"/>
          <w:b/>
        </w:rPr>
        <w:t>包5</w:t>
      </w:r>
    </w:p>
    <w:p>
      <w:pPr>
        <w:jc w:val="center"/>
        <w:rPr>
          <w:rFonts w:hAnsi="宋体" w:cs="宋体"/>
          <w:b/>
          <w:szCs w:val="24"/>
        </w:rPr>
      </w:pPr>
      <w:r>
        <w:rPr>
          <w:rFonts w:hint="eastAsia" w:hAnsi="宋体" w:cs="宋体"/>
          <w:b/>
          <w:szCs w:val="24"/>
        </w:rPr>
        <w:t>苏河贯通绿化养护</w:t>
      </w:r>
    </w:p>
    <w:p>
      <w:pPr>
        <w:jc w:val="center"/>
        <w:rPr>
          <w:rFonts w:ascii="黑体" w:hAnsi="黑体" w:eastAsia="黑体"/>
          <w:b/>
        </w:rPr>
      </w:pPr>
      <w:r>
        <w:rPr>
          <w:rFonts w:hint="eastAsia" w:ascii="黑体" w:hAnsi="黑体" w:eastAsia="黑体"/>
          <w:b/>
        </w:rPr>
        <w:t>采购需求</w:t>
      </w:r>
    </w:p>
    <w:p>
      <w:pPr>
        <w:ind w:firstLine="480" w:firstLineChars="200"/>
        <w:rPr>
          <w:rFonts w:ascii="仿宋_GB2312" w:eastAsia="仿宋_GB2312"/>
          <w:szCs w:val="24"/>
        </w:rPr>
      </w:pPr>
      <w:r>
        <w:rPr>
          <w:rFonts w:hint="eastAsia" w:ascii="仿宋_GB2312" w:eastAsia="仿宋_GB2312"/>
          <w:szCs w:val="24"/>
        </w:rPr>
        <w:t>一、合格的投标人必须具备以下条件：</w:t>
      </w:r>
    </w:p>
    <w:p>
      <w:pPr>
        <w:ind w:firstLine="480" w:firstLineChars="200"/>
        <w:rPr>
          <w:rFonts w:ascii="仿宋_GB2312" w:eastAsia="仿宋_GB2312"/>
          <w:szCs w:val="24"/>
        </w:rPr>
      </w:pPr>
      <w:r>
        <w:rPr>
          <w:rFonts w:hint="eastAsia" w:ascii="仿宋_GB2312" w:eastAsia="仿宋_GB2312"/>
          <w:szCs w:val="24"/>
        </w:rPr>
        <w:t>1、符合《中华人民共和国政府采购法》第二十二条规定的供应商。</w:t>
      </w:r>
    </w:p>
    <w:p>
      <w:pPr>
        <w:ind w:firstLine="480" w:firstLineChars="200"/>
        <w:rPr>
          <w:rFonts w:ascii="仿宋_GB2312" w:eastAsia="仿宋_GB2312"/>
          <w:szCs w:val="24"/>
        </w:rPr>
      </w:pPr>
      <w:r>
        <w:rPr>
          <w:rFonts w:hint="eastAsia" w:ascii="仿宋_GB2312" w:eastAsia="仿宋_GB2312"/>
          <w:szCs w:val="24"/>
        </w:rPr>
        <w:t>2、根据《上海市政府采购供应商登记及诚信管理办法》已登记入库的供应商。</w:t>
      </w:r>
    </w:p>
    <w:p>
      <w:pPr>
        <w:tabs>
          <w:tab w:val="left" w:pos="6480"/>
        </w:tabs>
        <w:ind w:firstLine="480" w:firstLineChars="200"/>
        <w:rPr>
          <w:rFonts w:ascii="仿宋_GB2312" w:eastAsia="仿宋_GB2312"/>
          <w:szCs w:val="24"/>
        </w:rPr>
      </w:pPr>
      <w:r>
        <w:rPr>
          <w:rFonts w:hint="eastAsia" w:ascii="仿宋_GB2312" w:eastAsia="仿宋_GB2312"/>
          <w:szCs w:val="24"/>
        </w:rPr>
        <w:t>3、其他资质要求：</w:t>
      </w:r>
      <w:r>
        <w:rPr>
          <w:rFonts w:hint="eastAsia" w:ascii="仿宋_GB2312" w:eastAsia="仿宋_GB2312"/>
          <w:szCs w:val="24"/>
        </w:rPr>
        <w:tab/>
      </w:r>
    </w:p>
    <w:p>
      <w:pPr>
        <w:ind w:firstLine="480" w:firstLineChars="200"/>
        <w:rPr>
          <w:rFonts w:ascii="仿宋_GB2312" w:eastAsia="仿宋_GB2312"/>
          <w:szCs w:val="24"/>
        </w:rPr>
      </w:pPr>
      <w:r>
        <w:rPr>
          <w:rFonts w:hint="eastAsia" w:ascii="仿宋_GB2312" w:eastAsia="仿宋_GB2312"/>
          <w:szCs w:val="24"/>
        </w:rPr>
        <w:t>（1）投标供应商必须具有独立法人资格；</w:t>
      </w:r>
    </w:p>
    <w:p>
      <w:pPr>
        <w:ind w:firstLine="480" w:firstLineChars="200"/>
        <w:rPr>
          <w:rFonts w:ascii="仿宋_GB2312" w:eastAsia="仿宋_GB2312"/>
          <w:szCs w:val="24"/>
        </w:rPr>
      </w:pPr>
      <w:r>
        <w:rPr>
          <w:rFonts w:hint="eastAsia" w:ascii="仿宋_GB2312" w:eastAsia="仿宋_GB2312"/>
          <w:szCs w:val="24"/>
        </w:rPr>
        <w:t>（2）本项目不接受联合体投标；</w:t>
      </w:r>
    </w:p>
    <w:p>
      <w:pPr>
        <w:ind w:firstLine="480" w:firstLineChars="200"/>
        <w:rPr>
          <w:rFonts w:ascii="仿宋_GB2312" w:eastAsia="仿宋_GB2312"/>
          <w:szCs w:val="24"/>
        </w:rPr>
      </w:pPr>
      <w:r>
        <w:rPr>
          <w:rFonts w:hint="eastAsia" w:ascii="仿宋_GB2312" w:eastAsia="仿宋_GB2312"/>
          <w:szCs w:val="24"/>
        </w:rPr>
        <w:t>（3）本项目仅面向中小企业投标；</w:t>
      </w:r>
    </w:p>
    <w:p>
      <w:pPr>
        <w:ind w:firstLine="480" w:firstLineChars="200"/>
        <w:rPr>
          <w:rFonts w:ascii="仿宋_GB2312" w:eastAsia="仿宋_GB2312"/>
          <w:szCs w:val="24"/>
        </w:rPr>
      </w:pPr>
      <w:r>
        <w:rPr>
          <w:rFonts w:hint="eastAsia" w:ascii="仿宋_GB2312" w:eastAsia="仿宋_GB2312"/>
          <w:szCs w:val="24"/>
        </w:rPr>
        <w:t>（4）具有固定的经营场所及维修、维护人员，且能提供良好的技术支持的优先；</w:t>
      </w:r>
    </w:p>
    <w:p>
      <w:pPr>
        <w:ind w:firstLine="480" w:firstLineChars="200"/>
        <w:rPr>
          <w:rFonts w:ascii="仿宋_GB2312" w:eastAsia="仿宋_GB2312"/>
          <w:szCs w:val="24"/>
        </w:rPr>
      </w:pPr>
      <w:r>
        <w:rPr>
          <w:rFonts w:hint="eastAsia" w:ascii="仿宋_GB2312" w:eastAsia="仿宋_GB2312"/>
          <w:szCs w:val="24"/>
        </w:rPr>
        <w:t>（5）有近三年类似规模同类项目业绩的优先。</w:t>
      </w:r>
    </w:p>
    <w:p>
      <w:pPr>
        <w:ind w:firstLine="480" w:firstLineChars="200"/>
        <w:rPr>
          <w:rFonts w:ascii="仿宋_GB2312" w:eastAsia="仿宋_GB2312"/>
          <w:szCs w:val="24"/>
        </w:rPr>
      </w:pPr>
      <w:r>
        <w:rPr>
          <w:rFonts w:hint="eastAsia" w:ascii="仿宋_GB2312" w:eastAsia="仿宋_GB2312"/>
          <w:szCs w:val="24"/>
        </w:rPr>
        <w:t>二、项目概况：</w:t>
      </w:r>
    </w:p>
    <w:p>
      <w:pPr>
        <w:ind w:firstLine="480" w:firstLineChars="200"/>
        <w:rPr>
          <w:rFonts w:ascii="仿宋_GB2312" w:eastAsia="仿宋_GB2312"/>
          <w:szCs w:val="24"/>
        </w:rPr>
      </w:pPr>
      <w:r>
        <w:rPr>
          <w:rFonts w:hint="eastAsia" w:ascii="仿宋_GB2312" w:eastAsia="仿宋_GB2312"/>
          <w:szCs w:val="24"/>
        </w:rPr>
        <w:t>1、包5：苏河贯通绿化养护</w:t>
      </w:r>
    </w:p>
    <w:p>
      <w:pPr>
        <w:ind w:firstLine="480" w:firstLineChars="200"/>
        <w:rPr>
          <w:rFonts w:ascii="仿宋_GB2312" w:eastAsia="仿宋_GB2312"/>
          <w:szCs w:val="24"/>
        </w:rPr>
      </w:pPr>
      <w:r>
        <w:rPr>
          <w:rFonts w:hint="eastAsia" w:ascii="仿宋_GB2312" w:eastAsia="仿宋_GB2312"/>
          <w:szCs w:val="24"/>
        </w:rPr>
        <w:t>2、采购编号：0624-00065676</w:t>
      </w:r>
    </w:p>
    <w:p>
      <w:pPr>
        <w:ind w:firstLine="480" w:firstLineChars="200"/>
        <w:rPr>
          <w:rFonts w:ascii="仿宋_GB2312" w:eastAsia="仿宋_GB2312"/>
          <w:szCs w:val="24"/>
        </w:rPr>
      </w:pPr>
      <w:r>
        <w:rPr>
          <w:rFonts w:hint="eastAsia" w:ascii="仿宋_GB2312" w:eastAsia="仿宋_GB2312"/>
          <w:szCs w:val="24"/>
        </w:rPr>
        <w:t>3、项目主要内容、数量及要求：</w:t>
      </w:r>
    </w:p>
    <w:p>
      <w:pPr>
        <w:ind w:firstLine="480" w:firstLineChars="200"/>
        <w:rPr>
          <w:rFonts w:ascii="仿宋_GB2312" w:eastAsia="仿宋_GB2312"/>
          <w:szCs w:val="24"/>
        </w:rPr>
      </w:pPr>
      <w:r>
        <w:rPr>
          <w:rFonts w:hint="eastAsia" w:ascii="仿宋_GB2312" w:eastAsia="仿宋_GB2312"/>
          <w:szCs w:val="24"/>
        </w:rPr>
        <w:t>3.1  本包件预算金额为</w:t>
      </w:r>
      <w:r>
        <w:rPr>
          <w:rFonts w:ascii="仿宋_GB2312" w:eastAsia="仿宋_GB2312"/>
          <w:szCs w:val="24"/>
        </w:rPr>
        <w:t>547.33</w:t>
      </w:r>
      <w:r>
        <w:rPr>
          <w:rFonts w:hint="eastAsia" w:ascii="仿宋_GB2312" w:eastAsia="仿宋_GB2312"/>
          <w:szCs w:val="24"/>
        </w:rPr>
        <w:t>万元。</w:t>
      </w:r>
    </w:p>
    <w:p>
      <w:pPr>
        <w:ind w:firstLine="480" w:firstLineChars="200"/>
        <w:rPr>
          <w:rFonts w:ascii="仿宋_GB2312" w:eastAsia="仿宋_GB2312"/>
          <w:szCs w:val="24"/>
        </w:rPr>
      </w:pPr>
      <w:r>
        <w:rPr>
          <w:rFonts w:hint="eastAsia" w:ascii="仿宋_GB2312" w:eastAsia="仿宋_GB2312"/>
          <w:szCs w:val="24"/>
        </w:rPr>
        <w:t>3.2  项目内容：</w:t>
      </w:r>
    </w:p>
    <w:p>
      <w:pPr>
        <w:ind w:firstLine="480" w:firstLineChars="200"/>
        <w:rPr>
          <w:rFonts w:ascii="仿宋_GB2312" w:eastAsia="仿宋_GB2312"/>
          <w:szCs w:val="24"/>
        </w:rPr>
      </w:pPr>
      <w:r>
        <w:rPr>
          <w:rFonts w:hint="eastAsia" w:ascii="仿宋_GB2312" w:eastAsia="仿宋_GB2312"/>
          <w:szCs w:val="24"/>
        </w:rPr>
        <w:t>本养护工程面积：苏河贯通沿线公园、街区绿化、垂直绿墙养护，包含公共绿地</w:t>
      </w:r>
      <w:r>
        <w:rPr>
          <w:rFonts w:ascii="仿宋_GB2312" w:eastAsia="仿宋_GB2312"/>
          <w:szCs w:val="24"/>
        </w:rPr>
        <w:t>65070</w:t>
      </w:r>
      <w:r>
        <w:rPr>
          <w:rFonts w:hint="eastAsia" w:ascii="仿宋_GB2312" w:eastAsia="仿宋_GB2312"/>
          <w:szCs w:val="24"/>
        </w:rPr>
        <w:t>平方米；社会绿地</w:t>
      </w:r>
      <w:r>
        <w:rPr>
          <w:rFonts w:ascii="仿宋_GB2312" w:eastAsia="仿宋_GB2312"/>
          <w:szCs w:val="24"/>
        </w:rPr>
        <w:t>165</w:t>
      </w:r>
      <w:r>
        <w:rPr>
          <w:rFonts w:hint="eastAsia" w:ascii="仿宋_GB2312" w:eastAsia="仿宋_GB2312"/>
          <w:szCs w:val="24"/>
        </w:rPr>
        <w:t>平方米；蝴蝶湾公园1</w:t>
      </w:r>
      <w:r>
        <w:rPr>
          <w:rFonts w:ascii="仿宋_GB2312" w:eastAsia="仿宋_GB2312"/>
          <w:szCs w:val="24"/>
        </w:rPr>
        <w:t>4196</w:t>
      </w:r>
      <w:r>
        <w:rPr>
          <w:rFonts w:hint="eastAsia" w:ascii="仿宋_GB2312" w:eastAsia="仿宋_GB2312"/>
          <w:szCs w:val="24"/>
        </w:rPr>
        <w:t>平方米。苏州河沿线行道树养护</w:t>
      </w:r>
      <w:r>
        <w:rPr>
          <w:rFonts w:ascii="仿宋_GB2312" w:eastAsia="仿宋_GB2312"/>
          <w:szCs w:val="24"/>
        </w:rPr>
        <w:t>189</w:t>
      </w:r>
      <w:r>
        <w:rPr>
          <w:rFonts w:hint="eastAsia" w:ascii="仿宋_GB2312" w:eastAsia="仿宋_GB2312"/>
          <w:szCs w:val="24"/>
        </w:rPr>
        <w:t>棵。本次招标清单详见附件。（公共绿地和沿街社会绿地统称为街区绿地，以下简称绿地）</w:t>
      </w:r>
    </w:p>
    <w:p>
      <w:pPr>
        <w:ind w:firstLine="480" w:firstLineChars="200"/>
        <w:rPr>
          <w:rFonts w:ascii="仿宋_GB2312" w:eastAsia="仿宋_GB2312"/>
          <w:szCs w:val="24"/>
        </w:rPr>
      </w:pPr>
      <w:r>
        <w:rPr>
          <w:rFonts w:hint="eastAsia" w:ascii="仿宋_GB2312" w:eastAsia="仿宋_GB2312"/>
          <w:szCs w:val="24"/>
        </w:rPr>
        <w:t>本包件预算金额为</w:t>
      </w:r>
      <w:r>
        <w:rPr>
          <w:rFonts w:ascii="仿宋_GB2312" w:eastAsia="仿宋_GB2312"/>
          <w:szCs w:val="24"/>
        </w:rPr>
        <w:t>547.33</w:t>
      </w:r>
      <w:r>
        <w:rPr>
          <w:rFonts w:hint="eastAsia" w:ascii="仿宋_GB2312" w:eastAsia="仿宋_GB2312"/>
          <w:szCs w:val="24"/>
        </w:rPr>
        <w:t>万元，其中各养护分类建议不超过最高限价（见下表），具体金额如下：</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02"/>
        <w:gridCol w:w="2635"/>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2" w:type="dxa"/>
            <w:vAlign w:val="center"/>
          </w:tcPr>
          <w:p>
            <w:pPr>
              <w:ind w:firstLine="480" w:firstLineChars="200"/>
              <w:rPr>
                <w:rFonts w:ascii="仿宋_GB2312" w:eastAsia="仿宋_GB2312"/>
                <w:szCs w:val="24"/>
              </w:rPr>
            </w:pPr>
            <w:r>
              <w:rPr>
                <w:rFonts w:hint="eastAsia" w:ascii="仿宋_GB2312" w:eastAsia="仿宋_GB2312"/>
                <w:szCs w:val="24"/>
              </w:rPr>
              <w:t>养护分类</w:t>
            </w:r>
          </w:p>
        </w:tc>
        <w:tc>
          <w:tcPr>
            <w:tcW w:w="2635" w:type="dxa"/>
            <w:vAlign w:val="center"/>
          </w:tcPr>
          <w:p>
            <w:pPr>
              <w:ind w:firstLine="480" w:firstLineChars="200"/>
              <w:rPr>
                <w:rFonts w:ascii="仿宋_GB2312" w:eastAsia="仿宋_GB2312"/>
                <w:szCs w:val="24"/>
              </w:rPr>
            </w:pPr>
            <w:r>
              <w:rPr>
                <w:rFonts w:hint="eastAsia" w:ascii="仿宋_GB2312" w:eastAsia="仿宋_GB2312"/>
                <w:szCs w:val="24"/>
              </w:rPr>
              <w:t>最高限价（万元）</w:t>
            </w:r>
          </w:p>
        </w:tc>
        <w:tc>
          <w:tcPr>
            <w:tcW w:w="1701" w:type="dxa"/>
            <w:vAlign w:val="center"/>
          </w:tcPr>
          <w:p>
            <w:pPr>
              <w:ind w:firstLine="480" w:firstLineChars="200"/>
              <w:rPr>
                <w:rFonts w:ascii="仿宋_GB2312" w:eastAsia="仿宋_GB2312"/>
                <w:szCs w:val="24"/>
              </w:rPr>
            </w:pPr>
            <w:r>
              <w:rPr>
                <w:rFonts w:hint="eastAsia" w:ascii="仿宋_GB2312" w:eastAsia="仿宋_GB2312"/>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2" w:type="dxa"/>
            <w:vAlign w:val="center"/>
          </w:tcPr>
          <w:p>
            <w:pPr>
              <w:ind w:firstLine="480" w:firstLineChars="200"/>
              <w:rPr>
                <w:rFonts w:ascii="仿宋_GB2312" w:eastAsia="仿宋_GB2312"/>
                <w:szCs w:val="24"/>
              </w:rPr>
            </w:pPr>
            <w:r>
              <w:rPr>
                <w:rFonts w:hint="eastAsia" w:ascii="仿宋_GB2312" w:eastAsia="仿宋_GB2312"/>
                <w:szCs w:val="24"/>
              </w:rPr>
              <w:t>街区绿地养护费（绿化养护）</w:t>
            </w:r>
          </w:p>
        </w:tc>
        <w:tc>
          <w:tcPr>
            <w:tcW w:w="2635" w:type="dxa"/>
            <w:vAlign w:val="center"/>
          </w:tcPr>
          <w:p>
            <w:pPr>
              <w:ind w:firstLine="480" w:firstLineChars="200"/>
              <w:rPr>
                <w:rFonts w:ascii="仿宋_GB2312" w:eastAsia="仿宋_GB2312"/>
                <w:szCs w:val="24"/>
              </w:rPr>
            </w:pPr>
            <w:r>
              <w:rPr>
                <w:rFonts w:ascii="仿宋_GB2312" w:eastAsia="仿宋_GB2312"/>
                <w:szCs w:val="24"/>
              </w:rPr>
              <w:t>279.96</w:t>
            </w:r>
          </w:p>
        </w:tc>
        <w:tc>
          <w:tcPr>
            <w:tcW w:w="1701" w:type="dxa"/>
            <w:vAlign w:val="center"/>
          </w:tcPr>
          <w:p>
            <w:pPr>
              <w:ind w:firstLine="480" w:firstLineChars="200"/>
              <w:rPr>
                <w:rFonts w:ascii="仿宋_GB2312" w:eastAsia="仿宋_GB231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2" w:type="dxa"/>
            <w:vAlign w:val="center"/>
          </w:tcPr>
          <w:p>
            <w:pPr>
              <w:ind w:firstLine="480" w:firstLineChars="200"/>
              <w:rPr>
                <w:rFonts w:ascii="仿宋_GB2312" w:eastAsia="仿宋_GB2312"/>
                <w:szCs w:val="24"/>
              </w:rPr>
            </w:pPr>
            <w:r>
              <w:rPr>
                <w:rFonts w:hint="eastAsia" w:ascii="仿宋_GB2312" w:eastAsia="仿宋_GB2312"/>
                <w:szCs w:val="24"/>
              </w:rPr>
              <w:t>街区养护费（设施维护）</w:t>
            </w:r>
          </w:p>
        </w:tc>
        <w:tc>
          <w:tcPr>
            <w:tcW w:w="2635" w:type="dxa"/>
            <w:vAlign w:val="center"/>
          </w:tcPr>
          <w:p>
            <w:pPr>
              <w:ind w:firstLine="480" w:firstLineChars="200"/>
              <w:rPr>
                <w:rFonts w:ascii="仿宋_GB2312" w:eastAsia="仿宋_GB2312"/>
                <w:szCs w:val="24"/>
              </w:rPr>
            </w:pPr>
            <w:r>
              <w:rPr>
                <w:rFonts w:ascii="仿宋_GB2312" w:eastAsia="仿宋_GB2312"/>
                <w:szCs w:val="24"/>
              </w:rPr>
              <w:t>45.11</w:t>
            </w:r>
          </w:p>
        </w:tc>
        <w:tc>
          <w:tcPr>
            <w:tcW w:w="1701" w:type="dxa"/>
            <w:vAlign w:val="center"/>
          </w:tcPr>
          <w:p>
            <w:pPr>
              <w:ind w:firstLine="480" w:firstLineChars="200"/>
              <w:rPr>
                <w:rFonts w:ascii="仿宋_GB2312" w:eastAsia="仿宋_GB231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2" w:type="dxa"/>
            <w:vAlign w:val="center"/>
          </w:tcPr>
          <w:p>
            <w:pPr>
              <w:ind w:firstLine="480" w:firstLineChars="200"/>
              <w:rPr>
                <w:rFonts w:ascii="仿宋_GB2312" w:eastAsia="仿宋_GB2312"/>
                <w:szCs w:val="24"/>
              </w:rPr>
            </w:pPr>
            <w:r>
              <w:rPr>
                <w:rFonts w:hint="eastAsia" w:ascii="仿宋_GB2312" w:eastAsia="仿宋_GB2312"/>
                <w:szCs w:val="24"/>
              </w:rPr>
              <w:t>公园养护费</w:t>
            </w:r>
          </w:p>
        </w:tc>
        <w:tc>
          <w:tcPr>
            <w:tcW w:w="2635" w:type="dxa"/>
            <w:vAlign w:val="center"/>
          </w:tcPr>
          <w:p>
            <w:pPr>
              <w:ind w:firstLine="480" w:firstLineChars="200"/>
              <w:rPr>
                <w:rFonts w:ascii="仿宋_GB2312" w:eastAsia="仿宋_GB2312"/>
                <w:szCs w:val="24"/>
              </w:rPr>
            </w:pPr>
            <w:r>
              <w:rPr>
                <w:rFonts w:hint="eastAsia" w:ascii="仿宋_GB2312" w:eastAsia="仿宋_GB2312"/>
                <w:szCs w:val="24"/>
              </w:rPr>
              <w:t>9</w:t>
            </w:r>
            <w:r>
              <w:rPr>
                <w:rFonts w:ascii="仿宋_GB2312" w:eastAsia="仿宋_GB2312"/>
                <w:szCs w:val="24"/>
              </w:rPr>
              <w:t>3.18</w:t>
            </w:r>
          </w:p>
        </w:tc>
        <w:tc>
          <w:tcPr>
            <w:tcW w:w="1701" w:type="dxa"/>
            <w:vAlign w:val="center"/>
          </w:tcPr>
          <w:p>
            <w:pPr>
              <w:ind w:firstLine="480" w:firstLineChars="200"/>
              <w:rPr>
                <w:rFonts w:ascii="仿宋_GB2312" w:eastAsia="仿宋_GB231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2" w:type="dxa"/>
            <w:vAlign w:val="center"/>
          </w:tcPr>
          <w:p>
            <w:pPr>
              <w:ind w:firstLine="480" w:firstLineChars="200"/>
              <w:rPr>
                <w:rFonts w:ascii="仿宋_GB2312" w:eastAsia="仿宋_GB2312"/>
                <w:szCs w:val="24"/>
              </w:rPr>
            </w:pPr>
            <w:r>
              <w:rPr>
                <w:rFonts w:hint="eastAsia" w:ascii="仿宋_GB2312" w:eastAsia="仿宋_GB2312"/>
                <w:szCs w:val="24"/>
              </w:rPr>
              <w:t>公共绿地花卉费</w:t>
            </w:r>
          </w:p>
        </w:tc>
        <w:tc>
          <w:tcPr>
            <w:tcW w:w="2635" w:type="dxa"/>
            <w:vAlign w:val="center"/>
          </w:tcPr>
          <w:p>
            <w:pPr>
              <w:ind w:firstLine="480" w:firstLineChars="200"/>
              <w:rPr>
                <w:rFonts w:ascii="仿宋_GB2312" w:eastAsia="仿宋_GB2312"/>
                <w:szCs w:val="24"/>
              </w:rPr>
            </w:pPr>
            <w:r>
              <w:rPr>
                <w:rFonts w:ascii="仿宋_GB2312" w:eastAsia="仿宋_GB2312"/>
                <w:szCs w:val="24"/>
              </w:rPr>
              <w:t>103.32</w:t>
            </w:r>
          </w:p>
        </w:tc>
        <w:tc>
          <w:tcPr>
            <w:tcW w:w="1701" w:type="dxa"/>
            <w:vAlign w:val="center"/>
          </w:tcPr>
          <w:p>
            <w:pPr>
              <w:ind w:firstLine="480" w:firstLineChars="200"/>
              <w:rPr>
                <w:rFonts w:ascii="仿宋_GB2312" w:eastAsia="仿宋_GB231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2" w:type="dxa"/>
            <w:vAlign w:val="center"/>
          </w:tcPr>
          <w:p>
            <w:pPr>
              <w:ind w:firstLine="480" w:firstLineChars="200"/>
              <w:rPr>
                <w:rFonts w:ascii="仿宋_GB2312" w:eastAsia="仿宋_GB2312"/>
                <w:szCs w:val="24"/>
              </w:rPr>
            </w:pPr>
            <w:r>
              <w:rPr>
                <w:rFonts w:hint="eastAsia" w:ascii="仿宋_GB2312" w:eastAsia="仿宋_GB2312"/>
                <w:szCs w:val="24"/>
              </w:rPr>
              <w:t>公园花卉费</w:t>
            </w:r>
          </w:p>
        </w:tc>
        <w:tc>
          <w:tcPr>
            <w:tcW w:w="2635" w:type="dxa"/>
            <w:vAlign w:val="center"/>
          </w:tcPr>
          <w:p>
            <w:pPr>
              <w:ind w:firstLine="480" w:firstLineChars="200"/>
              <w:rPr>
                <w:rFonts w:ascii="仿宋_GB2312" w:eastAsia="仿宋_GB2312"/>
                <w:szCs w:val="24"/>
              </w:rPr>
            </w:pPr>
            <w:r>
              <w:rPr>
                <w:rFonts w:hint="eastAsia" w:ascii="仿宋_GB2312" w:eastAsia="仿宋_GB2312"/>
                <w:szCs w:val="24"/>
              </w:rPr>
              <w:t>1</w:t>
            </w:r>
            <w:r>
              <w:rPr>
                <w:rFonts w:ascii="仿宋_GB2312" w:eastAsia="仿宋_GB2312"/>
                <w:szCs w:val="24"/>
              </w:rPr>
              <w:t>5.86</w:t>
            </w:r>
          </w:p>
        </w:tc>
        <w:tc>
          <w:tcPr>
            <w:tcW w:w="1701" w:type="dxa"/>
            <w:vAlign w:val="center"/>
          </w:tcPr>
          <w:p>
            <w:pPr>
              <w:ind w:firstLine="480" w:firstLineChars="200"/>
              <w:rPr>
                <w:rFonts w:ascii="仿宋_GB2312" w:eastAsia="仿宋_GB231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2" w:type="dxa"/>
            <w:vAlign w:val="center"/>
          </w:tcPr>
          <w:p>
            <w:pPr>
              <w:ind w:firstLine="480" w:firstLineChars="200"/>
              <w:rPr>
                <w:rFonts w:ascii="仿宋_GB2312" w:eastAsia="仿宋_GB2312"/>
                <w:szCs w:val="24"/>
              </w:rPr>
            </w:pPr>
            <w:r>
              <w:rPr>
                <w:rFonts w:hint="eastAsia" w:ascii="仿宋_GB2312" w:eastAsia="仿宋_GB2312"/>
                <w:szCs w:val="24"/>
              </w:rPr>
              <w:t>行道树及其附属设施养护费</w:t>
            </w:r>
          </w:p>
        </w:tc>
        <w:tc>
          <w:tcPr>
            <w:tcW w:w="2635" w:type="dxa"/>
            <w:vAlign w:val="center"/>
          </w:tcPr>
          <w:p>
            <w:pPr>
              <w:ind w:firstLine="480" w:firstLineChars="200"/>
              <w:rPr>
                <w:rFonts w:ascii="仿宋_GB2312" w:eastAsia="仿宋_GB2312"/>
                <w:szCs w:val="24"/>
              </w:rPr>
            </w:pPr>
            <w:r>
              <w:rPr>
                <w:rFonts w:ascii="仿宋_GB2312" w:eastAsia="仿宋_GB2312"/>
                <w:szCs w:val="24"/>
              </w:rPr>
              <w:t>9.9</w:t>
            </w:r>
          </w:p>
        </w:tc>
        <w:tc>
          <w:tcPr>
            <w:tcW w:w="1701" w:type="dxa"/>
            <w:vAlign w:val="center"/>
          </w:tcPr>
          <w:p>
            <w:pPr>
              <w:ind w:firstLine="480" w:firstLineChars="200"/>
              <w:rPr>
                <w:rFonts w:ascii="仿宋_GB2312" w:eastAsia="仿宋_GB231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2" w:type="dxa"/>
            <w:vAlign w:val="center"/>
          </w:tcPr>
          <w:p>
            <w:pPr>
              <w:ind w:firstLine="480" w:firstLineChars="200"/>
              <w:rPr>
                <w:rFonts w:ascii="仿宋_GB2312" w:eastAsia="仿宋_GB2312"/>
                <w:szCs w:val="24"/>
              </w:rPr>
            </w:pPr>
            <w:r>
              <w:rPr>
                <w:rFonts w:hint="eastAsia" w:ascii="仿宋_GB2312" w:eastAsia="仿宋_GB2312"/>
                <w:szCs w:val="24"/>
              </w:rPr>
              <w:t>合计</w:t>
            </w:r>
          </w:p>
        </w:tc>
        <w:tc>
          <w:tcPr>
            <w:tcW w:w="2635" w:type="dxa"/>
            <w:vAlign w:val="center"/>
          </w:tcPr>
          <w:p>
            <w:pPr>
              <w:ind w:firstLine="480" w:firstLineChars="200"/>
              <w:rPr>
                <w:rFonts w:ascii="仿宋_GB2312" w:eastAsia="仿宋_GB2312"/>
                <w:szCs w:val="24"/>
              </w:rPr>
            </w:pPr>
            <w:r>
              <w:rPr>
                <w:rFonts w:ascii="仿宋_GB2312" w:eastAsia="仿宋_GB2312"/>
                <w:szCs w:val="24"/>
              </w:rPr>
              <w:t>547.33</w:t>
            </w:r>
          </w:p>
        </w:tc>
        <w:tc>
          <w:tcPr>
            <w:tcW w:w="1701" w:type="dxa"/>
            <w:vAlign w:val="center"/>
          </w:tcPr>
          <w:p>
            <w:pPr>
              <w:ind w:firstLine="480" w:firstLineChars="200"/>
              <w:rPr>
                <w:rFonts w:ascii="仿宋_GB2312" w:eastAsia="仿宋_GB2312"/>
                <w:szCs w:val="24"/>
              </w:rPr>
            </w:pPr>
          </w:p>
        </w:tc>
      </w:tr>
    </w:tbl>
    <w:p>
      <w:pPr>
        <w:ind w:firstLine="480" w:firstLineChars="200"/>
        <w:rPr>
          <w:rFonts w:ascii="仿宋_GB2312" w:eastAsia="仿宋_GB2312"/>
          <w:szCs w:val="24"/>
        </w:rPr>
      </w:pPr>
      <w:r>
        <w:rPr>
          <w:rFonts w:hint="eastAsia" w:ascii="仿宋_GB2312" w:eastAsia="仿宋_GB2312"/>
          <w:szCs w:val="24"/>
        </w:rPr>
        <w:t>投标单位需在投标文件中针对本标段养护的特点，对可能发生的交通、极端天气等紧急情况作出相应的应急预案响应，根据防台防汛工作要求做好防汛防台应急处置工作。</w:t>
      </w:r>
    </w:p>
    <w:p>
      <w:pPr>
        <w:ind w:firstLine="360" w:firstLineChars="150"/>
        <w:rPr>
          <w:rFonts w:ascii="仿宋_GB2312" w:eastAsia="仿宋_GB2312"/>
          <w:szCs w:val="24"/>
        </w:rPr>
      </w:pPr>
      <w:bookmarkStart w:id="0" w:name="_Toc301166389"/>
      <w:bookmarkStart w:id="1" w:name="_Toc301166787"/>
      <w:r>
        <w:rPr>
          <w:rFonts w:hint="eastAsia" w:ascii="仿宋_GB2312" w:eastAsia="仿宋_GB2312"/>
          <w:szCs w:val="24"/>
        </w:rPr>
        <w:t>3.3  现场条件</w:t>
      </w:r>
      <w:bookmarkEnd w:id="0"/>
      <w:bookmarkEnd w:id="1"/>
    </w:p>
    <w:p>
      <w:pPr>
        <w:ind w:firstLine="360" w:firstLineChars="150"/>
        <w:rPr>
          <w:rFonts w:ascii="仿宋_GB2312" w:eastAsia="仿宋_GB2312"/>
          <w:szCs w:val="24"/>
        </w:rPr>
      </w:pPr>
      <w:r>
        <w:rPr>
          <w:rFonts w:hint="eastAsia" w:ascii="仿宋_GB2312" w:eastAsia="仿宋_GB2312"/>
          <w:szCs w:val="24"/>
        </w:rPr>
        <w:t>3.3.1  采购人提供现有养护道班房，不提供办公场所等设施，投标单位自行安排。</w:t>
      </w:r>
    </w:p>
    <w:p>
      <w:pPr>
        <w:ind w:firstLine="360" w:firstLineChars="150"/>
        <w:rPr>
          <w:rFonts w:ascii="仿宋_GB2312" w:eastAsia="仿宋_GB2312"/>
          <w:szCs w:val="24"/>
        </w:rPr>
      </w:pPr>
      <w:r>
        <w:rPr>
          <w:rFonts w:hint="eastAsia" w:ascii="仿宋_GB2312" w:eastAsia="仿宋_GB2312"/>
          <w:szCs w:val="24"/>
        </w:rPr>
        <w:t>3.3.2  中标单位应十分重视养护工人在现场操作时的安全问题，进行上岗安全知识教育，采取必要的安全保障措施。</w:t>
      </w:r>
    </w:p>
    <w:p>
      <w:pPr>
        <w:ind w:firstLine="360" w:firstLineChars="150"/>
        <w:rPr>
          <w:rFonts w:ascii="仿宋_GB2312" w:eastAsia="仿宋_GB2312"/>
          <w:szCs w:val="24"/>
        </w:rPr>
      </w:pPr>
      <w:r>
        <w:rPr>
          <w:rFonts w:hint="eastAsia" w:ascii="仿宋_GB2312" w:eastAsia="仿宋_GB2312"/>
          <w:szCs w:val="24"/>
        </w:rPr>
        <w:t>3.3.3  养护用水、用电、工具等由中标方自行解决。</w:t>
      </w:r>
    </w:p>
    <w:p>
      <w:pPr>
        <w:ind w:firstLine="360" w:firstLineChars="150"/>
        <w:rPr>
          <w:rFonts w:ascii="仿宋_GB2312" w:eastAsia="仿宋_GB2312"/>
          <w:szCs w:val="24"/>
        </w:rPr>
      </w:pPr>
      <w:r>
        <w:rPr>
          <w:rFonts w:hint="eastAsia" w:ascii="仿宋_GB2312" w:eastAsia="仿宋_GB2312"/>
          <w:szCs w:val="24"/>
        </w:rPr>
        <w:t>3.3.4  养护工人需统一服装。</w:t>
      </w:r>
      <w:bookmarkStart w:id="2" w:name="_Toc301166390"/>
      <w:bookmarkStart w:id="3" w:name="_Toc301166788"/>
    </w:p>
    <w:p>
      <w:pPr>
        <w:ind w:firstLine="360" w:firstLineChars="150"/>
        <w:rPr>
          <w:rFonts w:ascii="仿宋_GB2312" w:eastAsia="仿宋_GB2312"/>
          <w:szCs w:val="24"/>
        </w:rPr>
      </w:pPr>
      <w:r>
        <w:rPr>
          <w:rFonts w:hint="eastAsia" w:ascii="仿宋_GB2312" w:eastAsia="仿宋_GB2312"/>
          <w:szCs w:val="24"/>
        </w:rPr>
        <w:t>3.3.5  岗位要求情况</w:t>
      </w:r>
    </w:p>
    <w:tbl>
      <w:tblPr>
        <w:tblStyle w:val="7"/>
        <w:tblW w:w="61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2228"/>
        <w:gridCol w:w="1010"/>
        <w:gridCol w:w="2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3"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序号</w:t>
            </w:r>
          </w:p>
        </w:tc>
        <w:tc>
          <w:tcPr>
            <w:tcW w:w="2228"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岗位名称</w:t>
            </w:r>
          </w:p>
        </w:tc>
        <w:tc>
          <w:tcPr>
            <w:tcW w:w="1010"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岗位数</w:t>
            </w:r>
          </w:p>
        </w:tc>
        <w:tc>
          <w:tcPr>
            <w:tcW w:w="2098"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3"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1</w:t>
            </w:r>
          </w:p>
        </w:tc>
        <w:tc>
          <w:tcPr>
            <w:tcW w:w="2228" w:type="dxa"/>
            <w:tcBorders>
              <w:top w:val="single" w:color="000000" w:sz="4" w:space="0"/>
              <w:left w:val="single" w:color="000000" w:sz="4" w:space="0"/>
              <w:bottom w:val="single" w:color="000000" w:sz="4" w:space="0"/>
              <w:right w:val="single" w:color="000000" w:sz="4" w:space="0"/>
            </w:tcBorders>
            <w:shd w:val="clear" w:color="auto" w:fill="FFFFFF"/>
          </w:tcPr>
          <w:p>
            <w:pPr>
              <w:jc w:val="both"/>
              <w:rPr>
                <w:rFonts w:ascii="仿宋_GB2312" w:eastAsia="仿宋_GB2312"/>
                <w:color w:val="000000"/>
                <w:szCs w:val="24"/>
              </w:rPr>
            </w:pPr>
            <w:r>
              <w:rPr>
                <w:rFonts w:hint="eastAsia" w:ascii="仿宋_GB2312" w:eastAsia="仿宋_GB2312"/>
                <w:color w:val="000000"/>
                <w:szCs w:val="24"/>
              </w:rPr>
              <w:t>项目负责人</w:t>
            </w:r>
          </w:p>
        </w:tc>
        <w:tc>
          <w:tcPr>
            <w:tcW w:w="1010"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1</w:t>
            </w:r>
          </w:p>
        </w:tc>
        <w:tc>
          <w:tcPr>
            <w:tcW w:w="2098" w:type="dxa"/>
            <w:tcBorders>
              <w:top w:val="single" w:color="000000" w:sz="4" w:space="0"/>
              <w:left w:val="single" w:color="000000" w:sz="4" w:space="0"/>
              <w:bottom w:val="single" w:color="000000" w:sz="4" w:space="0"/>
              <w:right w:val="single" w:color="000000" w:sz="4" w:space="0"/>
            </w:tcBorders>
            <w:shd w:val="clear" w:color="auto" w:fill="FFFFFF"/>
          </w:tcPr>
          <w:p>
            <w:pPr>
              <w:jc w:val="both"/>
              <w:rPr>
                <w:rFonts w:ascii="仿宋_GB2312" w:eastAsia="仿宋_GB2312"/>
                <w:color w:val="000000"/>
                <w:szCs w:val="24"/>
              </w:rPr>
            </w:pPr>
            <w:r>
              <w:rPr>
                <w:rFonts w:hint="eastAsia" w:ascii="仿宋_GB2312" w:eastAsia="仿宋_GB2312"/>
                <w:color w:val="000000"/>
                <w:szCs w:val="24"/>
              </w:rPr>
              <w:t>1、技师或绿化专业中级职称（含）以上职业资格；</w:t>
            </w:r>
          </w:p>
          <w:p>
            <w:pPr>
              <w:jc w:val="both"/>
              <w:rPr>
                <w:rFonts w:ascii="仿宋_GB2312" w:eastAsia="仿宋_GB2312"/>
                <w:color w:val="000000"/>
                <w:szCs w:val="24"/>
              </w:rPr>
            </w:pPr>
            <w:r>
              <w:rPr>
                <w:rFonts w:hint="eastAsia" w:ascii="仿宋_GB2312" w:eastAsia="仿宋_GB2312"/>
                <w:color w:val="000000"/>
                <w:szCs w:val="24"/>
              </w:rPr>
              <w:t>2、无在建项目承诺的优先；</w:t>
            </w:r>
          </w:p>
          <w:p>
            <w:pPr>
              <w:jc w:val="both"/>
              <w:rPr>
                <w:rFonts w:ascii="仿宋_GB2312" w:eastAsia="仿宋_GB2312"/>
                <w:color w:val="000000"/>
                <w:szCs w:val="24"/>
              </w:rPr>
            </w:pPr>
            <w:r>
              <w:rPr>
                <w:rFonts w:hint="eastAsia" w:ascii="仿宋_GB2312" w:eastAsia="仿宋_GB2312"/>
                <w:color w:val="000000"/>
                <w:szCs w:val="24"/>
              </w:rPr>
              <w:t>3、提供近3个月社保证明。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3"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2</w:t>
            </w:r>
          </w:p>
        </w:tc>
        <w:tc>
          <w:tcPr>
            <w:tcW w:w="2228" w:type="dxa"/>
            <w:tcBorders>
              <w:top w:val="single" w:color="000000" w:sz="4" w:space="0"/>
              <w:left w:val="single" w:color="000000" w:sz="4" w:space="0"/>
              <w:bottom w:val="single" w:color="000000" w:sz="4" w:space="0"/>
              <w:right w:val="single" w:color="000000" w:sz="4" w:space="0"/>
            </w:tcBorders>
            <w:shd w:val="clear" w:color="auto" w:fill="FFFFFF"/>
          </w:tcPr>
          <w:p>
            <w:pPr>
              <w:jc w:val="both"/>
              <w:rPr>
                <w:rFonts w:ascii="仿宋_GB2312" w:eastAsia="仿宋_GB2312"/>
                <w:color w:val="000000"/>
                <w:szCs w:val="24"/>
              </w:rPr>
            </w:pPr>
            <w:r>
              <w:rPr>
                <w:rFonts w:hint="eastAsia" w:ascii="仿宋_GB2312" w:eastAsia="仿宋_GB2312"/>
                <w:color w:val="000000"/>
                <w:szCs w:val="24"/>
              </w:rPr>
              <w:t>安全员</w:t>
            </w:r>
          </w:p>
        </w:tc>
        <w:tc>
          <w:tcPr>
            <w:tcW w:w="1010"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1</w:t>
            </w:r>
          </w:p>
        </w:tc>
        <w:tc>
          <w:tcPr>
            <w:tcW w:w="2098" w:type="dxa"/>
            <w:tcBorders>
              <w:top w:val="single" w:color="000000" w:sz="4" w:space="0"/>
              <w:left w:val="single" w:color="000000" w:sz="4" w:space="0"/>
              <w:bottom w:val="single" w:color="000000" w:sz="4" w:space="0"/>
              <w:right w:val="single" w:color="000000" w:sz="4" w:space="0"/>
            </w:tcBorders>
            <w:shd w:val="clear" w:color="auto" w:fill="FFFFFF"/>
          </w:tcPr>
          <w:p>
            <w:pPr>
              <w:jc w:val="both"/>
              <w:rPr>
                <w:rFonts w:ascii="仿宋_GB2312" w:eastAsia="仿宋_GB2312"/>
                <w:szCs w:val="24"/>
              </w:rPr>
            </w:pPr>
            <w:r>
              <w:rPr>
                <w:rFonts w:hint="eastAsia" w:ascii="仿宋_GB2312" w:eastAsia="仿宋_GB2312"/>
                <w:szCs w:val="24"/>
              </w:rPr>
              <w:t>持有安全员证书优先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3"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3</w:t>
            </w:r>
          </w:p>
        </w:tc>
        <w:tc>
          <w:tcPr>
            <w:tcW w:w="2228" w:type="dxa"/>
            <w:tcBorders>
              <w:top w:val="single" w:color="000000" w:sz="4" w:space="0"/>
              <w:left w:val="single" w:color="000000" w:sz="4" w:space="0"/>
              <w:bottom w:val="single" w:color="000000" w:sz="4" w:space="0"/>
              <w:right w:val="single" w:color="000000" w:sz="4" w:space="0"/>
            </w:tcBorders>
            <w:shd w:val="clear" w:color="auto" w:fill="FFFFFF"/>
          </w:tcPr>
          <w:p>
            <w:pPr>
              <w:jc w:val="both"/>
              <w:rPr>
                <w:rFonts w:ascii="仿宋_GB2312" w:eastAsia="仿宋_GB2312"/>
                <w:color w:val="000000"/>
                <w:szCs w:val="24"/>
              </w:rPr>
            </w:pPr>
            <w:r>
              <w:rPr>
                <w:rFonts w:hint="eastAsia" w:ascii="仿宋_GB2312" w:eastAsia="仿宋_GB2312"/>
                <w:color w:val="000000"/>
                <w:szCs w:val="24"/>
              </w:rPr>
              <w:t>质量员</w:t>
            </w:r>
          </w:p>
        </w:tc>
        <w:tc>
          <w:tcPr>
            <w:tcW w:w="1010"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1</w:t>
            </w:r>
          </w:p>
        </w:tc>
        <w:tc>
          <w:tcPr>
            <w:tcW w:w="2098" w:type="dxa"/>
            <w:tcBorders>
              <w:top w:val="single" w:color="000000" w:sz="4" w:space="0"/>
              <w:left w:val="single" w:color="000000" w:sz="4" w:space="0"/>
              <w:bottom w:val="single" w:color="000000" w:sz="4" w:space="0"/>
              <w:right w:val="single" w:color="000000" w:sz="4" w:space="0"/>
            </w:tcBorders>
            <w:shd w:val="clear" w:color="auto" w:fill="FFFFFF"/>
          </w:tcPr>
          <w:p>
            <w:pPr>
              <w:jc w:val="both"/>
              <w:rPr>
                <w:rFonts w:ascii="仿宋_GB2312" w:eastAsia="仿宋_GB2312"/>
                <w:szCs w:val="24"/>
              </w:rPr>
            </w:pPr>
            <w:r>
              <w:rPr>
                <w:rFonts w:hint="eastAsia" w:ascii="仿宋_GB2312" w:eastAsia="仿宋_GB2312"/>
                <w:szCs w:val="24"/>
              </w:rPr>
              <w:t>持有相关质量员证书优先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3"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4</w:t>
            </w:r>
          </w:p>
        </w:tc>
        <w:tc>
          <w:tcPr>
            <w:tcW w:w="2228" w:type="dxa"/>
            <w:tcBorders>
              <w:top w:val="single" w:color="000000" w:sz="4" w:space="0"/>
              <w:left w:val="single" w:color="000000" w:sz="4" w:space="0"/>
              <w:bottom w:val="single" w:color="000000" w:sz="4" w:space="0"/>
              <w:right w:val="single" w:color="000000" w:sz="4" w:space="0"/>
            </w:tcBorders>
            <w:shd w:val="clear" w:color="auto" w:fill="FFFFFF"/>
          </w:tcPr>
          <w:p>
            <w:pPr>
              <w:jc w:val="both"/>
              <w:rPr>
                <w:rFonts w:ascii="仿宋_GB2312" w:eastAsia="仿宋_GB2312"/>
                <w:color w:val="000000"/>
                <w:szCs w:val="24"/>
              </w:rPr>
            </w:pPr>
            <w:r>
              <w:rPr>
                <w:rFonts w:hint="eastAsia" w:ascii="仿宋_GB2312" w:eastAsia="仿宋_GB2312"/>
                <w:color w:val="000000"/>
                <w:szCs w:val="24"/>
              </w:rPr>
              <w:t>技术负责人</w:t>
            </w:r>
          </w:p>
        </w:tc>
        <w:tc>
          <w:tcPr>
            <w:tcW w:w="1010"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1</w:t>
            </w:r>
          </w:p>
        </w:tc>
        <w:tc>
          <w:tcPr>
            <w:tcW w:w="2098" w:type="dxa"/>
            <w:vMerge w:val="restart"/>
            <w:tcBorders>
              <w:top w:val="single" w:color="000000" w:sz="4" w:space="0"/>
              <w:left w:val="single" w:color="000000" w:sz="4" w:space="0"/>
              <w:right w:val="single" w:color="000000" w:sz="4" w:space="0"/>
            </w:tcBorders>
            <w:shd w:val="clear" w:color="auto" w:fill="FFFFFF"/>
          </w:tcPr>
          <w:p>
            <w:pPr>
              <w:jc w:val="both"/>
              <w:rPr>
                <w:rFonts w:ascii="仿宋_GB2312" w:eastAsia="仿宋_GB2312"/>
                <w:color w:val="000000"/>
                <w:szCs w:val="24"/>
              </w:rPr>
            </w:pPr>
            <w:r>
              <w:rPr>
                <w:rFonts w:hint="eastAsia" w:ascii="仿宋_GB2312" w:eastAsia="仿宋_GB2312"/>
                <w:color w:val="000000"/>
                <w:szCs w:val="24"/>
              </w:rPr>
              <w:t>1、技术负责人需提供近3个月的社保证明；</w:t>
            </w:r>
          </w:p>
          <w:p>
            <w:pPr>
              <w:jc w:val="both"/>
              <w:rPr>
                <w:rFonts w:ascii="仿宋_GB2312" w:eastAsia="仿宋_GB2312"/>
                <w:color w:val="000000"/>
                <w:szCs w:val="24"/>
              </w:rPr>
            </w:pPr>
            <w:r>
              <w:rPr>
                <w:rFonts w:hint="eastAsia" w:ascii="仿宋_GB2312" w:eastAsia="仿宋_GB2312"/>
                <w:color w:val="000000"/>
                <w:szCs w:val="24"/>
              </w:rPr>
              <w:t>2、其中具有技师或中级职称以上的专业技术人员不少以</w:t>
            </w:r>
            <w:r>
              <w:rPr>
                <w:rFonts w:ascii="仿宋_GB2312" w:eastAsia="仿宋_GB2312"/>
                <w:color w:val="000000"/>
                <w:szCs w:val="24"/>
              </w:rPr>
              <w:t>1</w:t>
            </w:r>
            <w:r>
              <w:rPr>
                <w:rFonts w:hint="eastAsia" w:ascii="仿宋_GB2312" w:eastAsia="仿宋_GB2312"/>
                <w:color w:val="000000"/>
                <w:szCs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3"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5</w:t>
            </w:r>
          </w:p>
        </w:tc>
        <w:tc>
          <w:tcPr>
            <w:tcW w:w="2228" w:type="dxa"/>
            <w:tcBorders>
              <w:top w:val="single" w:color="000000" w:sz="4" w:space="0"/>
              <w:left w:val="single" w:color="000000" w:sz="4" w:space="0"/>
              <w:bottom w:val="single" w:color="000000" w:sz="4" w:space="0"/>
              <w:right w:val="single" w:color="000000" w:sz="4" w:space="0"/>
            </w:tcBorders>
            <w:shd w:val="clear" w:color="auto" w:fill="FFFFFF"/>
          </w:tcPr>
          <w:p>
            <w:pPr>
              <w:jc w:val="both"/>
              <w:rPr>
                <w:rFonts w:ascii="仿宋_GB2312" w:eastAsia="仿宋_GB2312"/>
                <w:color w:val="000000"/>
                <w:szCs w:val="24"/>
              </w:rPr>
            </w:pPr>
            <w:r>
              <w:rPr>
                <w:rFonts w:hint="eastAsia" w:ascii="仿宋_GB2312" w:eastAsia="仿宋_GB2312"/>
                <w:color w:val="000000"/>
                <w:szCs w:val="24"/>
              </w:rPr>
              <w:t>绿地、公园养护工</w:t>
            </w:r>
          </w:p>
        </w:tc>
        <w:tc>
          <w:tcPr>
            <w:tcW w:w="1010"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20</w:t>
            </w:r>
          </w:p>
        </w:tc>
        <w:tc>
          <w:tcPr>
            <w:tcW w:w="2098" w:type="dxa"/>
            <w:vMerge w:val="continue"/>
            <w:tcBorders>
              <w:left w:val="single" w:color="000000" w:sz="4" w:space="0"/>
              <w:right w:val="single" w:color="000000" w:sz="4" w:space="0"/>
            </w:tcBorders>
            <w:shd w:val="clear" w:color="auto" w:fill="FFFFFF"/>
          </w:tcPr>
          <w:p>
            <w:pPr>
              <w:jc w:val="both"/>
              <w:rPr>
                <w:rFonts w:ascii="仿宋_GB2312" w:eastAsia="仿宋_GB2312"/>
                <w:color w:val="00000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3"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6</w:t>
            </w:r>
          </w:p>
        </w:tc>
        <w:tc>
          <w:tcPr>
            <w:tcW w:w="2228" w:type="dxa"/>
            <w:tcBorders>
              <w:top w:val="single" w:color="000000" w:sz="4" w:space="0"/>
              <w:left w:val="single" w:color="000000" w:sz="4" w:space="0"/>
              <w:bottom w:val="single" w:color="000000" w:sz="4" w:space="0"/>
              <w:right w:val="single" w:color="000000" w:sz="4" w:space="0"/>
            </w:tcBorders>
            <w:shd w:val="clear" w:color="auto" w:fill="FFFFFF"/>
          </w:tcPr>
          <w:p>
            <w:pPr>
              <w:jc w:val="both"/>
              <w:rPr>
                <w:rFonts w:ascii="仿宋_GB2312" w:eastAsia="仿宋_GB2312"/>
                <w:color w:val="000000"/>
                <w:szCs w:val="24"/>
              </w:rPr>
            </w:pPr>
            <w:r>
              <w:rPr>
                <w:rFonts w:hint="eastAsia" w:ascii="仿宋_GB2312" w:eastAsia="仿宋_GB2312"/>
                <w:color w:val="000000"/>
                <w:szCs w:val="24"/>
              </w:rPr>
              <w:t>行道树养护工（其中上树工不少于1人）</w:t>
            </w:r>
          </w:p>
        </w:tc>
        <w:tc>
          <w:tcPr>
            <w:tcW w:w="1010"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ascii="仿宋_GB2312" w:eastAsia="仿宋_GB2312"/>
                <w:color w:val="000000"/>
                <w:szCs w:val="24"/>
              </w:rPr>
              <w:t>3</w:t>
            </w:r>
          </w:p>
        </w:tc>
        <w:tc>
          <w:tcPr>
            <w:tcW w:w="2098" w:type="dxa"/>
            <w:vMerge w:val="continue"/>
            <w:tcBorders>
              <w:left w:val="single" w:color="000000" w:sz="4" w:space="0"/>
              <w:right w:val="single" w:color="000000" w:sz="4" w:space="0"/>
            </w:tcBorders>
            <w:shd w:val="clear" w:color="auto" w:fill="FFFFFF"/>
          </w:tcPr>
          <w:p>
            <w:pPr>
              <w:jc w:val="both"/>
              <w:rPr>
                <w:rFonts w:ascii="仿宋_GB2312" w:eastAsia="仿宋_GB2312"/>
                <w:kern w:val="0"/>
                <w:szCs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3"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ascii="仿宋_GB2312" w:eastAsia="仿宋_GB2312"/>
                <w:color w:val="000000"/>
                <w:szCs w:val="24"/>
              </w:rPr>
              <w:t>7</w:t>
            </w:r>
          </w:p>
        </w:tc>
        <w:tc>
          <w:tcPr>
            <w:tcW w:w="2228" w:type="dxa"/>
            <w:tcBorders>
              <w:top w:val="single" w:color="000000" w:sz="4" w:space="0"/>
              <w:left w:val="single" w:color="000000" w:sz="4" w:space="0"/>
              <w:bottom w:val="single" w:color="000000" w:sz="4" w:space="0"/>
              <w:right w:val="single" w:color="000000" w:sz="4" w:space="0"/>
            </w:tcBorders>
            <w:shd w:val="clear" w:color="auto" w:fill="FFFFFF"/>
          </w:tcPr>
          <w:p>
            <w:pPr>
              <w:jc w:val="both"/>
              <w:rPr>
                <w:rFonts w:ascii="仿宋_GB2312" w:eastAsia="仿宋_GB2312"/>
                <w:color w:val="000000"/>
                <w:szCs w:val="24"/>
              </w:rPr>
            </w:pPr>
            <w:r>
              <w:rPr>
                <w:rFonts w:hint="eastAsia" w:ascii="仿宋_GB2312" w:eastAsia="仿宋_GB2312"/>
                <w:color w:val="000000"/>
                <w:szCs w:val="24"/>
              </w:rPr>
              <w:t>水、电工</w:t>
            </w:r>
          </w:p>
        </w:tc>
        <w:tc>
          <w:tcPr>
            <w:tcW w:w="1010"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1</w:t>
            </w:r>
          </w:p>
        </w:tc>
        <w:tc>
          <w:tcPr>
            <w:tcW w:w="2098" w:type="dxa"/>
            <w:tcBorders>
              <w:left w:val="single" w:color="000000" w:sz="4" w:space="0"/>
              <w:right w:val="single" w:color="000000" w:sz="4" w:space="0"/>
            </w:tcBorders>
            <w:shd w:val="clear" w:color="auto" w:fill="FFFFFF"/>
          </w:tcPr>
          <w:p>
            <w:pPr>
              <w:jc w:val="both"/>
              <w:rPr>
                <w:rFonts w:ascii="仿宋_GB2312" w:eastAsia="仿宋_GB2312"/>
                <w:color w:val="000000"/>
                <w:szCs w:val="24"/>
              </w:rPr>
            </w:pPr>
            <w:r>
              <w:rPr>
                <w:rFonts w:hint="eastAsia" w:ascii="仿宋_GB2312" w:eastAsia="仿宋_GB2312"/>
                <w:color w:val="000000"/>
                <w:szCs w:val="24"/>
              </w:rPr>
              <w:t>电工持有低压电工资质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3"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ascii="仿宋_GB2312" w:eastAsia="仿宋_GB2312"/>
                <w:color w:val="000000"/>
                <w:szCs w:val="24"/>
              </w:rPr>
              <w:t>8</w:t>
            </w:r>
          </w:p>
        </w:tc>
        <w:tc>
          <w:tcPr>
            <w:tcW w:w="2228" w:type="dxa"/>
            <w:tcBorders>
              <w:top w:val="single" w:color="000000" w:sz="4" w:space="0"/>
              <w:left w:val="single" w:color="000000" w:sz="4" w:space="0"/>
              <w:bottom w:val="single" w:color="000000" w:sz="4" w:space="0"/>
              <w:right w:val="single" w:color="000000" w:sz="4" w:space="0"/>
            </w:tcBorders>
            <w:shd w:val="clear" w:color="auto" w:fill="FFFFFF"/>
          </w:tcPr>
          <w:p>
            <w:pPr>
              <w:jc w:val="both"/>
              <w:rPr>
                <w:rFonts w:ascii="仿宋_GB2312" w:eastAsia="仿宋_GB2312"/>
                <w:color w:val="000000"/>
                <w:szCs w:val="24"/>
              </w:rPr>
            </w:pPr>
            <w:r>
              <w:rPr>
                <w:rFonts w:hint="eastAsia" w:ascii="仿宋_GB2312" w:eastAsia="仿宋_GB2312"/>
                <w:color w:val="000000"/>
                <w:szCs w:val="24"/>
              </w:rPr>
              <w:t>专职巡查人员</w:t>
            </w:r>
          </w:p>
        </w:tc>
        <w:tc>
          <w:tcPr>
            <w:tcW w:w="1010"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1</w:t>
            </w:r>
          </w:p>
        </w:tc>
        <w:tc>
          <w:tcPr>
            <w:tcW w:w="2098" w:type="dxa"/>
            <w:tcBorders>
              <w:left w:val="single" w:color="000000" w:sz="4" w:space="0"/>
              <w:right w:val="single" w:color="000000" w:sz="4" w:space="0"/>
            </w:tcBorders>
            <w:shd w:val="clear" w:color="auto" w:fill="FFFFFF"/>
          </w:tcPr>
          <w:p>
            <w:pPr>
              <w:jc w:val="both"/>
              <w:rPr>
                <w:rFonts w:ascii="仿宋_GB2312" w:eastAsia="仿宋_GB2312"/>
                <w:color w:val="00000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51" w:type="dxa"/>
            <w:gridSpan w:val="2"/>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合计</w:t>
            </w:r>
          </w:p>
        </w:tc>
        <w:tc>
          <w:tcPr>
            <w:tcW w:w="1010"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29</w:t>
            </w:r>
          </w:p>
        </w:tc>
        <w:tc>
          <w:tcPr>
            <w:tcW w:w="2098" w:type="dxa"/>
            <w:tcBorders>
              <w:left w:val="single" w:color="000000" w:sz="4" w:space="0"/>
              <w:bottom w:val="single" w:color="000000" w:sz="4" w:space="0"/>
              <w:right w:val="single" w:color="000000" w:sz="4" w:space="0"/>
            </w:tcBorders>
            <w:shd w:val="clear" w:color="auto" w:fill="FFFFFF"/>
          </w:tcPr>
          <w:p>
            <w:pPr>
              <w:jc w:val="both"/>
              <w:rPr>
                <w:rFonts w:ascii="仿宋_GB2312" w:eastAsia="仿宋_GB2312"/>
                <w:color w:val="000000"/>
                <w:szCs w:val="24"/>
              </w:rPr>
            </w:pPr>
          </w:p>
        </w:tc>
      </w:tr>
    </w:tbl>
    <w:p>
      <w:pPr>
        <w:ind w:firstLine="360" w:firstLineChars="150"/>
        <w:rPr>
          <w:rFonts w:ascii="仿宋_GB2312" w:eastAsia="仿宋_GB2312"/>
          <w:szCs w:val="24"/>
        </w:rPr>
      </w:pPr>
      <w:r>
        <w:rPr>
          <w:rFonts w:hint="eastAsia" w:ascii="仿宋_GB2312" w:eastAsia="仿宋_GB2312"/>
          <w:szCs w:val="24"/>
        </w:rPr>
        <w:t>注：1、投标人应合理配置团队服务人数，确保达到岗位配置要求，所有养护人员须经过培训合格，部分岗位需取得行业类上岗证书，同时承诺所有服务人员劳动时间符合国家和上海市有关用工法规和政策要求的规定。</w:t>
      </w:r>
    </w:p>
    <w:p>
      <w:pPr>
        <w:ind w:firstLine="360" w:firstLineChars="150"/>
        <w:rPr>
          <w:rFonts w:ascii="仿宋_GB2312" w:eastAsia="仿宋_GB2312"/>
          <w:szCs w:val="24"/>
        </w:rPr>
      </w:pPr>
      <w:r>
        <w:rPr>
          <w:rFonts w:hint="eastAsia" w:ascii="仿宋_GB2312" w:eastAsia="仿宋_GB2312"/>
          <w:szCs w:val="24"/>
        </w:rPr>
        <w:t>2、投标人需承诺，若中标为项目所有团队服务人员投保足够份额的雇主责任险、公众责任险、工伤保险费等。</w:t>
      </w:r>
    </w:p>
    <w:p>
      <w:pPr>
        <w:ind w:firstLine="360" w:firstLineChars="150"/>
        <w:rPr>
          <w:rFonts w:ascii="仿宋_GB2312" w:eastAsia="仿宋_GB2312"/>
          <w:szCs w:val="24"/>
        </w:rPr>
      </w:pPr>
      <w:r>
        <w:rPr>
          <w:rFonts w:hint="eastAsia" w:ascii="仿宋_GB2312" w:eastAsia="仿宋_GB2312"/>
          <w:szCs w:val="24"/>
        </w:rPr>
        <w:t>3.4  服务内容和范围</w:t>
      </w:r>
      <w:bookmarkEnd w:id="2"/>
      <w:bookmarkEnd w:id="3"/>
    </w:p>
    <w:p>
      <w:pPr>
        <w:ind w:firstLine="360" w:firstLineChars="150"/>
        <w:rPr>
          <w:rFonts w:ascii="仿宋_GB2312" w:eastAsia="仿宋_GB2312"/>
          <w:szCs w:val="24"/>
        </w:rPr>
      </w:pPr>
      <w:r>
        <w:rPr>
          <w:rFonts w:hint="eastAsia" w:ascii="仿宋_GB2312" w:eastAsia="仿宋_GB2312"/>
          <w:szCs w:val="24"/>
        </w:rPr>
        <w:t xml:space="preserve">3.4.1  本次养护内容：行道树及其附属设施、街区绿地、绿化景点养护，花卉采购及布置。详见：文后表格。中标单位应充分贯彻落实公园城市理念，按照“四化”总要求，围绕“常态优良、形态优美、品态优质”的“三优”工作总目标，确保优质绿化景观面貌。 </w:t>
      </w:r>
    </w:p>
    <w:p>
      <w:pPr>
        <w:ind w:firstLine="360" w:firstLineChars="150"/>
        <w:rPr>
          <w:rFonts w:ascii="仿宋_GB2312" w:eastAsia="仿宋_GB2312"/>
          <w:szCs w:val="24"/>
        </w:rPr>
      </w:pPr>
      <w:r>
        <w:rPr>
          <w:rFonts w:hint="eastAsia" w:ascii="仿宋_GB2312" w:eastAsia="仿宋_GB2312"/>
          <w:szCs w:val="24"/>
        </w:rPr>
        <w:t>3.4.2  卫生保洁：规定范围内的保洁。</w:t>
      </w:r>
    </w:p>
    <w:p>
      <w:pPr>
        <w:ind w:firstLine="360" w:firstLineChars="150"/>
        <w:rPr>
          <w:rFonts w:ascii="仿宋_GB2312" w:eastAsia="仿宋_GB2312"/>
          <w:szCs w:val="24"/>
        </w:rPr>
      </w:pPr>
      <w:r>
        <w:rPr>
          <w:rFonts w:hint="eastAsia" w:ascii="仿宋_GB2312" w:eastAsia="仿宋_GB2312"/>
          <w:szCs w:val="24"/>
        </w:rPr>
        <w:t>3.4.3本招标项目不包括苗木因大幅度调整而发生的挖掘、移植等作业内容；因节日或特殊需要而发生的新增苗木、花卉等的材料费用和栽植人工费。但局部的苗木调整费用由中标单位负责。</w:t>
      </w:r>
    </w:p>
    <w:p>
      <w:pPr>
        <w:ind w:firstLine="360" w:firstLineChars="150"/>
        <w:rPr>
          <w:rFonts w:ascii="仿宋_GB2312" w:eastAsia="仿宋_GB2312"/>
          <w:szCs w:val="24"/>
        </w:rPr>
      </w:pPr>
      <w:r>
        <w:rPr>
          <w:rFonts w:hint="eastAsia" w:ascii="仿宋_GB2312" w:eastAsia="仿宋_GB2312"/>
          <w:szCs w:val="24"/>
        </w:rPr>
        <w:t>3.4.4如发生以上不包含在承包内容和范围内的情况，需征得采购人同意，双方协商，另列清单，按实计算。</w:t>
      </w:r>
    </w:p>
    <w:p>
      <w:pPr>
        <w:ind w:firstLine="360" w:firstLineChars="150"/>
        <w:rPr>
          <w:rFonts w:ascii="仿宋_GB2312" w:eastAsia="仿宋_GB2312"/>
          <w:szCs w:val="24"/>
        </w:rPr>
      </w:pPr>
      <w:r>
        <w:rPr>
          <w:rFonts w:hint="eastAsia" w:ascii="仿宋_GB2312" w:eastAsia="仿宋_GB2312"/>
          <w:szCs w:val="24"/>
        </w:rPr>
        <w:t>3.4.5中标单位因养护管理不善造成绿地内各类苗木的死亡（包括人为践踏造成的）和道路等设施损坏，均由中标单位负责补缺和修缮。</w:t>
      </w:r>
      <w:bookmarkStart w:id="4" w:name="_Toc301166789"/>
      <w:bookmarkStart w:id="5" w:name="_Toc301166391"/>
    </w:p>
    <w:p>
      <w:pPr>
        <w:ind w:firstLine="360" w:firstLineChars="150"/>
        <w:rPr>
          <w:rFonts w:ascii="仿宋_GB2312" w:eastAsia="仿宋_GB2312"/>
          <w:szCs w:val="24"/>
        </w:rPr>
      </w:pPr>
      <w:r>
        <w:rPr>
          <w:rFonts w:hint="eastAsia" w:ascii="仿宋_GB2312" w:eastAsia="仿宋_GB2312"/>
          <w:szCs w:val="24"/>
        </w:rPr>
        <w:t>3.4.6  落实防台防汛措施，做好预案，成立专业抢险队伍及做好抢险物资的准备。发生险情后，抢险人员必须及时赶到现场进行抢险处理并及时做出回复。中标单位应根据区绿化中心要求，配合做好全区绿化应急保障工作。</w:t>
      </w:r>
    </w:p>
    <w:p>
      <w:pPr>
        <w:adjustRightInd w:val="0"/>
        <w:snapToGrid w:val="0"/>
        <w:ind w:firstLine="352" w:firstLineChars="147"/>
        <w:rPr>
          <w:rFonts w:ascii="仿宋_GB2312" w:eastAsia="仿宋_GB2312"/>
          <w:szCs w:val="24"/>
        </w:rPr>
      </w:pPr>
      <w:r>
        <w:rPr>
          <w:rFonts w:hint="eastAsia" w:ascii="仿宋_GB2312" w:eastAsia="仿宋_GB2312"/>
          <w:szCs w:val="24"/>
        </w:rPr>
        <w:t>3.4.7  中标单位应建立垃圾分类、整理和回收利用体制，提倡再生物资的生产、利用；中标单位应对园林废弃物资源化利用，严禁私自焚烧、填埋。</w:t>
      </w:r>
    </w:p>
    <w:p>
      <w:pPr>
        <w:adjustRightInd w:val="0"/>
        <w:snapToGrid w:val="0"/>
        <w:ind w:firstLine="352" w:firstLineChars="147"/>
        <w:rPr>
          <w:rFonts w:ascii="仿宋_GB2312" w:eastAsia="仿宋_GB2312"/>
          <w:szCs w:val="24"/>
        </w:rPr>
      </w:pPr>
      <w:r>
        <w:rPr>
          <w:rFonts w:hint="eastAsia" w:ascii="仿宋_GB2312" w:eastAsia="仿宋_GB2312"/>
          <w:szCs w:val="24"/>
        </w:rPr>
        <w:t>3.4.8  中标单位应指定专人负责“12345”、网格化平台等渠道的投诉，根据规定及时处置回复。</w:t>
      </w:r>
    </w:p>
    <w:p>
      <w:pPr>
        <w:adjustRightInd w:val="0"/>
        <w:snapToGrid w:val="0"/>
        <w:ind w:firstLine="352" w:firstLineChars="147"/>
        <w:rPr>
          <w:rFonts w:ascii="仿宋_GB2312" w:eastAsia="仿宋_GB2312"/>
          <w:szCs w:val="24"/>
        </w:rPr>
      </w:pPr>
      <w:r>
        <w:rPr>
          <w:rFonts w:hint="eastAsia" w:ascii="仿宋_GB2312" w:eastAsia="仿宋_GB2312"/>
          <w:szCs w:val="24"/>
        </w:rPr>
        <w:t>3.4.9  中标单位应根据区绿化中心工作要求,制定“元旦”“春节”“五一”“七一”、“十一”“进博会”等花卉容器及景点布置方案，完成花卉布置及绿化景点布置工作。</w:t>
      </w:r>
    </w:p>
    <w:p>
      <w:pPr>
        <w:adjustRightInd w:val="0"/>
        <w:snapToGrid w:val="0"/>
        <w:ind w:firstLine="352" w:firstLineChars="147"/>
        <w:rPr>
          <w:rFonts w:ascii="仿宋_GB2312" w:eastAsia="仿宋_GB2312"/>
          <w:szCs w:val="24"/>
        </w:rPr>
      </w:pPr>
      <w:r>
        <w:rPr>
          <w:rFonts w:hint="eastAsia" w:ascii="仿宋_GB2312" w:eastAsia="仿宋_GB2312"/>
          <w:szCs w:val="24"/>
        </w:rPr>
        <w:t>3.4.10中标单位应指定专职负责养护范围内的行道树、桥荫、街区绿化、花卉容器等进行巡查，全部的养护元素均应做到日巡查，并建立内部智能管理系统，记录巡查日志和作业日志。</w:t>
      </w:r>
    </w:p>
    <w:p>
      <w:pPr>
        <w:adjustRightInd w:val="0"/>
        <w:snapToGrid w:val="0"/>
        <w:ind w:firstLine="352" w:firstLineChars="147"/>
        <w:rPr>
          <w:rFonts w:ascii="仿宋_GB2312" w:eastAsia="仿宋_GB2312"/>
          <w:szCs w:val="24"/>
        </w:rPr>
      </w:pPr>
      <w:r>
        <w:rPr>
          <w:rFonts w:hint="eastAsia" w:ascii="仿宋_GB2312" w:eastAsia="仿宋_GB2312"/>
          <w:szCs w:val="24"/>
        </w:rPr>
        <w:t>3.5  服务期限和付款方式</w:t>
      </w:r>
      <w:bookmarkEnd w:id="4"/>
      <w:bookmarkEnd w:id="5"/>
    </w:p>
    <w:p>
      <w:pPr>
        <w:adjustRightInd w:val="0"/>
        <w:snapToGrid w:val="0"/>
        <w:ind w:firstLine="352" w:firstLineChars="147"/>
        <w:rPr>
          <w:rFonts w:ascii="仿宋_GB2312" w:eastAsia="仿宋_GB2312"/>
          <w:szCs w:val="24"/>
        </w:rPr>
      </w:pPr>
      <w:r>
        <w:rPr>
          <w:rFonts w:hint="eastAsia" w:ascii="仿宋_GB2312" w:eastAsia="仿宋_GB2312"/>
          <w:szCs w:val="24"/>
        </w:rPr>
        <w:t>3.5.1  服务期限：合同签订后至2024年12月。</w:t>
      </w:r>
    </w:p>
    <w:p>
      <w:pPr>
        <w:adjustRightInd w:val="0"/>
        <w:snapToGrid w:val="0"/>
        <w:ind w:firstLine="352" w:firstLineChars="147"/>
        <w:rPr>
          <w:rFonts w:ascii="仿宋_GB2312" w:eastAsia="仿宋_GB2312"/>
          <w:szCs w:val="24"/>
        </w:rPr>
      </w:pPr>
      <w:r>
        <w:rPr>
          <w:rFonts w:hint="eastAsia" w:ascii="仿宋_GB2312" w:eastAsia="仿宋_GB2312"/>
          <w:szCs w:val="24"/>
        </w:rPr>
        <w:t>3.5.2  服务方式：采用包工包料方式。</w:t>
      </w:r>
    </w:p>
    <w:p>
      <w:pPr>
        <w:adjustRightInd w:val="0"/>
        <w:snapToGrid w:val="0"/>
        <w:ind w:firstLine="352" w:firstLineChars="147"/>
        <w:rPr>
          <w:rFonts w:ascii="仿宋_GB2312" w:eastAsia="仿宋_GB2312"/>
          <w:szCs w:val="24"/>
        </w:rPr>
      </w:pPr>
      <w:r>
        <w:rPr>
          <w:rFonts w:hint="eastAsia" w:ascii="仿宋_GB2312" w:eastAsia="仿宋_GB2312"/>
          <w:szCs w:val="24"/>
        </w:rPr>
        <w:t>3.5.3  支付方式：每季度末按养护进度支付。</w:t>
      </w:r>
    </w:p>
    <w:p>
      <w:pPr>
        <w:adjustRightInd w:val="0"/>
        <w:snapToGrid w:val="0"/>
        <w:ind w:firstLine="480" w:firstLineChars="200"/>
        <w:rPr>
          <w:rFonts w:ascii="仿宋_GB2312" w:eastAsia="仿宋_GB2312"/>
          <w:szCs w:val="24"/>
        </w:rPr>
      </w:pPr>
      <w:r>
        <w:rPr>
          <w:rFonts w:hint="eastAsia" w:ascii="仿宋_GB2312" w:eastAsia="仿宋_GB2312"/>
          <w:szCs w:val="24"/>
        </w:rPr>
        <w:t>本包件养护款的支付与养护质量挂钩。采购人按照“科室考评与第三方考评相结合，养护管理考评与重点工作考评相结合”的原则，对绿化养护单位的养护工作进行综合考核。以综合考核评分80分作为养护费发放基准分，每季度支付一次养护经费。综合评分不满基准分的，每低1分，扣除当季度养护费的1个百分点。绿化养护工作受到市、区领导批评、媒体曝光，经查确为养护单位原因造成的，根据事件负面影响程度，扣除本季度养护费5-10万元。</w:t>
      </w:r>
    </w:p>
    <w:p>
      <w:pPr>
        <w:adjustRightInd w:val="0"/>
        <w:snapToGrid w:val="0"/>
        <w:ind w:firstLine="480" w:firstLineChars="200"/>
        <w:rPr>
          <w:rFonts w:ascii="仿宋_GB2312" w:eastAsia="仿宋_GB2312"/>
          <w:szCs w:val="24"/>
        </w:rPr>
      </w:pPr>
      <w:r>
        <w:rPr>
          <w:rFonts w:hint="eastAsia" w:ascii="仿宋_GB2312" w:eastAsia="仿宋_GB2312"/>
          <w:szCs w:val="24"/>
        </w:rPr>
        <w:t>本包件内花卉布置费用根据投标的综合单价按实结算，采购人委托财务监理单位对本包件内花卉布置的费用进行审核,并出具每季度的花卉布置项目投资监理报告，中标单位按投标清单完成花卉布置工作的，前三季度花卉布置按照投标费用按季度支付。11月底，财务监理单位出具全年花卉布置项目投资监理报告，如果花卉结算核定总价低于花卉投标总价的，按照核定总价支付余款；如果花卉结算核定总价高于花卉投标总价，最终按照投标总价支付余款。</w:t>
      </w:r>
    </w:p>
    <w:p>
      <w:pPr>
        <w:adjustRightInd w:val="0"/>
        <w:snapToGrid w:val="0"/>
        <w:ind w:firstLine="480" w:firstLineChars="200"/>
        <w:rPr>
          <w:rFonts w:ascii="仿宋_GB2312" w:eastAsia="仿宋_GB2312"/>
          <w:szCs w:val="24"/>
        </w:rPr>
      </w:pPr>
      <w:r>
        <w:rPr>
          <w:rFonts w:hint="eastAsia" w:ascii="仿宋_GB2312" w:eastAsia="仿宋_GB2312"/>
          <w:szCs w:val="24"/>
        </w:rPr>
        <w:t>中标单位对养护区域内的古树名木和古树后续资源进行专项养护，如因养护不到位造成古树名木或古树后续资源死亡的，扣除当年养护费用30万元；因养护不到位造成古树名木或古树后续资源濒危的，扣除当年养护费用10万元；因养护不到位造成古树名木或古树后续资源衰弱的，扣除当年养护费用5万元；因未对古树名木或古树后续资源开展病虫害防治、树洞修补、枯（断）枝修剪等工作影响古树名木或古树后续资源健康生长的，每一项扣除当年养护费用2万元。</w:t>
      </w:r>
    </w:p>
    <w:p>
      <w:pPr>
        <w:adjustRightInd w:val="0"/>
        <w:snapToGrid w:val="0"/>
        <w:ind w:firstLine="480" w:firstLineChars="200"/>
        <w:rPr>
          <w:rFonts w:ascii="仿宋_GB2312" w:eastAsia="仿宋_GB2312"/>
          <w:szCs w:val="24"/>
        </w:rPr>
      </w:pPr>
      <w:r>
        <w:rPr>
          <w:rFonts w:hint="eastAsia" w:ascii="仿宋_GB2312" w:eastAsia="仿宋_GB2312"/>
          <w:szCs w:val="24"/>
        </w:rPr>
        <w:t>花卉投标综合单价时应附具体费用组成明细。模板参考如下：</w:t>
      </w:r>
    </w:p>
    <w:tbl>
      <w:tblPr>
        <w:tblStyle w:val="6"/>
        <w:tblW w:w="6804" w:type="dxa"/>
        <w:jc w:val="center"/>
        <w:tblLayout w:type="autofit"/>
        <w:tblCellMar>
          <w:top w:w="0" w:type="dxa"/>
          <w:left w:w="108" w:type="dxa"/>
          <w:bottom w:w="0" w:type="dxa"/>
          <w:right w:w="108" w:type="dxa"/>
        </w:tblCellMar>
      </w:tblPr>
      <w:tblGrid>
        <w:gridCol w:w="501"/>
        <w:gridCol w:w="501"/>
        <w:gridCol w:w="501"/>
        <w:gridCol w:w="501"/>
        <w:gridCol w:w="501"/>
        <w:gridCol w:w="501"/>
        <w:gridCol w:w="501"/>
        <w:gridCol w:w="501"/>
        <w:gridCol w:w="501"/>
        <w:gridCol w:w="501"/>
        <w:gridCol w:w="501"/>
        <w:gridCol w:w="501"/>
        <w:gridCol w:w="502"/>
        <w:gridCol w:w="502"/>
        <w:gridCol w:w="502"/>
        <w:gridCol w:w="502"/>
        <w:gridCol w:w="502"/>
      </w:tblGrid>
      <w:tr>
        <w:tblPrEx>
          <w:tblCellMar>
            <w:top w:w="0" w:type="dxa"/>
            <w:left w:w="108" w:type="dxa"/>
            <w:bottom w:w="0" w:type="dxa"/>
            <w:right w:w="108" w:type="dxa"/>
          </w:tblCellMar>
        </w:tblPrEx>
        <w:trPr>
          <w:trHeight w:val="679" w:hRule="atLeast"/>
          <w:jc w:val="center"/>
        </w:trPr>
        <w:tc>
          <w:tcPr>
            <w:tcW w:w="18020" w:type="dxa"/>
            <w:gridSpan w:val="17"/>
            <w:tcBorders>
              <w:top w:val="nil"/>
              <w:left w:val="nil"/>
              <w:bottom w:val="nil"/>
              <w:right w:val="nil"/>
            </w:tcBorders>
            <w:shd w:val="clear" w:color="auto" w:fill="auto"/>
            <w:noWrap/>
            <w:vAlign w:val="center"/>
          </w:tcPr>
          <w:p>
            <w:pPr>
              <w:widowControl/>
              <w:jc w:val="center"/>
              <w:rPr>
                <w:rFonts w:ascii="仿宋_GB2312" w:hAnsi="宋体" w:eastAsia="仿宋_GB2312" w:cs="宋体"/>
                <w:color w:val="000000"/>
                <w:kern w:val="0"/>
                <w:szCs w:val="24"/>
              </w:rPr>
            </w:pPr>
            <w:r>
              <w:rPr>
                <w:rFonts w:hint="eastAsia" w:ascii="仿宋_GB2312" w:hAnsi="宋体" w:eastAsia="仿宋_GB2312" w:cs="宋体"/>
                <w:color w:val="000000"/>
                <w:kern w:val="0"/>
                <w:szCs w:val="24"/>
              </w:rPr>
              <w:t>报价模板参考</w:t>
            </w:r>
          </w:p>
        </w:tc>
      </w:tr>
      <w:tr>
        <w:tblPrEx>
          <w:tblCellMar>
            <w:top w:w="0" w:type="dxa"/>
            <w:left w:w="108" w:type="dxa"/>
            <w:bottom w:w="0" w:type="dxa"/>
            <w:right w:w="108" w:type="dxa"/>
          </w:tblCellMar>
        </w:tblPrEx>
        <w:trPr>
          <w:trHeight w:val="420" w:hRule="atLeast"/>
          <w:jc w:val="center"/>
        </w:trPr>
        <w:tc>
          <w:tcPr>
            <w:tcW w:w="10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4"/>
              </w:rPr>
            </w:pPr>
            <w:r>
              <w:rPr>
                <w:rFonts w:hint="eastAsia" w:ascii="仿宋_GB2312" w:hAnsi="宋体" w:eastAsia="仿宋_GB2312" w:cs="宋体"/>
                <w:color w:val="000000"/>
                <w:kern w:val="0"/>
                <w:szCs w:val="24"/>
              </w:rPr>
              <w:t>序号</w:t>
            </w:r>
          </w:p>
        </w:tc>
        <w:tc>
          <w:tcPr>
            <w:tcW w:w="10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4"/>
              </w:rPr>
            </w:pPr>
            <w:r>
              <w:rPr>
                <w:rFonts w:hint="eastAsia" w:ascii="仿宋_GB2312" w:hAnsi="宋体" w:eastAsia="仿宋_GB2312" w:cs="宋体"/>
                <w:color w:val="000000"/>
                <w:kern w:val="0"/>
                <w:szCs w:val="24"/>
              </w:rPr>
              <w:t>养护绿地</w:t>
            </w:r>
          </w:p>
        </w:tc>
        <w:tc>
          <w:tcPr>
            <w:tcW w:w="10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4"/>
              </w:rPr>
            </w:pPr>
            <w:r>
              <w:rPr>
                <w:rFonts w:hint="eastAsia" w:ascii="仿宋_GB2312" w:hAnsi="宋体" w:eastAsia="仿宋_GB2312" w:cs="宋体"/>
                <w:color w:val="000000"/>
                <w:kern w:val="0"/>
                <w:szCs w:val="24"/>
              </w:rPr>
              <w:t>种植时间</w:t>
            </w:r>
          </w:p>
        </w:tc>
        <w:tc>
          <w:tcPr>
            <w:tcW w:w="10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4"/>
              </w:rPr>
            </w:pPr>
            <w:r>
              <w:rPr>
                <w:rFonts w:hint="eastAsia" w:ascii="仿宋_GB2312" w:hAnsi="宋体" w:eastAsia="仿宋_GB2312" w:cs="宋体"/>
                <w:color w:val="000000"/>
                <w:kern w:val="0"/>
                <w:szCs w:val="24"/>
              </w:rPr>
              <w:t>计划使用品种</w:t>
            </w:r>
          </w:p>
        </w:tc>
        <w:tc>
          <w:tcPr>
            <w:tcW w:w="10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4"/>
              </w:rPr>
            </w:pPr>
            <w:r>
              <w:rPr>
                <w:rFonts w:hint="eastAsia" w:ascii="仿宋_GB2312" w:hAnsi="宋体" w:eastAsia="仿宋_GB2312" w:cs="宋体"/>
                <w:color w:val="000000"/>
                <w:kern w:val="0"/>
                <w:szCs w:val="24"/>
              </w:rPr>
              <w:t>容器规格（CM)</w:t>
            </w:r>
          </w:p>
        </w:tc>
        <w:tc>
          <w:tcPr>
            <w:tcW w:w="10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4"/>
              </w:rPr>
            </w:pPr>
            <w:r>
              <w:rPr>
                <w:rFonts w:hint="eastAsia" w:ascii="仿宋_GB2312" w:hAnsi="宋体" w:eastAsia="仿宋_GB2312" w:cs="宋体"/>
                <w:color w:val="000000"/>
                <w:kern w:val="0"/>
                <w:szCs w:val="24"/>
              </w:rPr>
              <w:t>花卉颜色</w:t>
            </w:r>
          </w:p>
        </w:tc>
        <w:tc>
          <w:tcPr>
            <w:tcW w:w="10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4"/>
              </w:rPr>
            </w:pPr>
            <w:r>
              <w:rPr>
                <w:rFonts w:hint="eastAsia" w:ascii="仿宋_GB2312" w:hAnsi="宋体" w:eastAsia="仿宋_GB2312" w:cs="宋体"/>
                <w:color w:val="000000"/>
                <w:kern w:val="0"/>
                <w:szCs w:val="24"/>
              </w:rPr>
              <w:t>计划种植数量（株）</w:t>
            </w:r>
          </w:p>
        </w:tc>
        <w:tc>
          <w:tcPr>
            <w:tcW w:w="2120" w:type="dxa"/>
            <w:gridSpan w:val="2"/>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仿宋_GB2312" w:hAnsi="宋体" w:eastAsia="仿宋_GB2312" w:cs="宋体"/>
                <w:kern w:val="0"/>
                <w:szCs w:val="24"/>
              </w:rPr>
            </w:pPr>
            <w:r>
              <w:rPr>
                <w:rFonts w:hint="eastAsia" w:ascii="仿宋_GB2312" w:hAnsi="宋体" w:eastAsia="仿宋_GB2312" w:cs="宋体"/>
                <w:kern w:val="0"/>
                <w:szCs w:val="24"/>
              </w:rPr>
              <w:t>花卉费</w:t>
            </w:r>
            <w:r>
              <w:rPr>
                <w:rFonts w:hint="eastAsia" w:ascii="仿宋_GB2312" w:hAnsi="宋体" w:eastAsia="仿宋_GB2312" w:cs="宋体"/>
                <w:kern w:val="0"/>
                <w:szCs w:val="24"/>
              </w:rPr>
              <w:br w:type="textWrapping"/>
            </w:r>
            <w:r>
              <w:rPr>
                <w:rFonts w:hint="eastAsia" w:ascii="仿宋_GB2312" w:hAnsi="宋体" w:eastAsia="仿宋_GB2312" w:cs="宋体"/>
                <w:kern w:val="0"/>
                <w:szCs w:val="24"/>
              </w:rPr>
              <w:t>（元）</w:t>
            </w:r>
          </w:p>
        </w:tc>
        <w:tc>
          <w:tcPr>
            <w:tcW w:w="2120" w:type="dxa"/>
            <w:gridSpan w:val="2"/>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仿宋_GB2312" w:hAnsi="宋体" w:eastAsia="仿宋_GB2312" w:cs="宋体"/>
                <w:kern w:val="0"/>
                <w:szCs w:val="24"/>
              </w:rPr>
            </w:pPr>
            <w:r>
              <w:rPr>
                <w:rFonts w:hint="eastAsia" w:ascii="仿宋_GB2312" w:hAnsi="宋体" w:eastAsia="仿宋_GB2312" w:cs="宋体"/>
                <w:kern w:val="0"/>
                <w:szCs w:val="24"/>
              </w:rPr>
              <w:t>人工费(元）</w:t>
            </w:r>
          </w:p>
        </w:tc>
        <w:tc>
          <w:tcPr>
            <w:tcW w:w="2120" w:type="dxa"/>
            <w:gridSpan w:val="2"/>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仿宋_GB2312" w:hAnsi="宋体" w:eastAsia="仿宋_GB2312" w:cs="宋体"/>
                <w:kern w:val="0"/>
                <w:szCs w:val="24"/>
              </w:rPr>
            </w:pPr>
            <w:r>
              <w:rPr>
                <w:rFonts w:hint="eastAsia" w:ascii="仿宋_GB2312" w:hAnsi="宋体" w:eastAsia="仿宋_GB2312" w:cs="宋体"/>
                <w:kern w:val="0"/>
                <w:szCs w:val="24"/>
              </w:rPr>
              <w:t>利润(元）</w:t>
            </w:r>
          </w:p>
        </w:tc>
        <w:tc>
          <w:tcPr>
            <w:tcW w:w="2120" w:type="dxa"/>
            <w:gridSpan w:val="2"/>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仿宋_GB2312" w:hAnsi="宋体" w:eastAsia="仿宋_GB2312" w:cs="宋体"/>
                <w:kern w:val="0"/>
                <w:szCs w:val="24"/>
              </w:rPr>
            </w:pPr>
            <w:r>
              <w:rPr>
                <w:rFonts w:hint="eastAsia" w:ascii="仿宋_GB2312" w:hAnsi="宋体" w:eastAsia="仿宋_GB2312" w:cs="宋体"/>
                <w:kern w:val="0"/>
                <w:szCs w:val="24"/>
              </w:rPr>
              <w:t>税金（元）</w:t>
            </w:r>
          </w:p>
        </w:tc>
        <w:tc>
          <w:tcPr>
            <w:tcW w:w="10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Cs w:val="24"/>
              </w:rPr>
            </w:pPr>
            <w:r>
              <w:rPr>
                <w:rFonts w:hint="eastAsia" w:ascii="仿宋_GB2312" w:hAnsi="宋体" w:eastAsia="仿宋_GB2312" w:cs="宋体"/>
                <w:kern w:val="0"/>
                <w:szCs w:val="24"/>
              </w:rPr>
              <w:t>综合单价（元）</w:t>
            </w:r>
          </w:p>
        </w:tc>
        <w:tc>
          <w:tcPr>
            <w:tcW w:w="10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Cs w:val="24"/>
              </w:rPr>
            </w:pPr>
            <w:r>
              <w:rPr>
                <w:rFonts w:hint="eastAsia" w:ascii="仿宋_GB2312" w:hAnsi="宋体" w:eastAsia="仿宋_GB2312" w:cs="宋体"/>
                <w:kern w:val="0"/>
                <w:szCs w:val="24"/>
              </w:rPr>
              <w:t>投标合价（元）</w:t>
            </w:r>
          </w:p>
        </w:tc>
      </w:tr>
      <w:tr>
        <w:tblPrEx>
          <w:tblCellMar>
            <w:top w:w="0" w:type="dxa"/>
            <w:left w:w="108" w:type="dxa"/>
            <w:bottom w:w="0" w:type="dxa"/>
            <w:right w:w="108" w:type="dxa"/>
          </w:tblCellMar>
        </w:tblPrEx>
        <w:trPr>
          <w:trHeight w:val="270" w:hRule="atLeast"/>
          <w:jc w:val="center"/>
        </w:trPr>
        <w:tc>
          <w:tcPr>
            <w:tcW w:w="1060"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仿宋_GB2312" w:hAnsi="宋体" w:eastAsia="仿宋_GB2312" w:cs="宋体"/>
                <w:color w:val="000000"/>
                <w:kern w:val="0"/>
                <w:szCs w:val="24"/>
              </w:rPr>
            </w:pP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4"/>
              </w:rPr>
            </w:pPr>
            <w:r>
              <w:rPr>
                <w:rFonts w:hint="eastAsia" w:ascii="仿宋_GB2312" w:hAnsi="宋体" w:eastAsia="仿宋_GB2312" w:cs="宋体"/>
                <w:color w:val="000000"/>
                <w:kern w:val="0"/>
                <w:szCs w:val="24"/>
              </w:rPr>
              <w:t>名称</w:t>
            </w:r>
          </w:p>
        </w:tc>
        <w:tc>
          <w:tcPr>
            <w:tcW w:w="1060"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仿宋_GB2312" w:hAnsi="宋体" w:eastAsia="仿宋_GB2312" w:cs="宋体"/>
                <w:color w:val="000000"/>
                <w:kern w:val="0"/>
                <w:szCs w:val="24"/>
              </w:rPr>
            </w:pPr>
          </w:p>
        </w:tc>
        <w:tc>
          <w:tcPr>
            <w:tcW w:w="1060"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仿宋_GB2312" w:hAnsi="宋体" w:eastAsia="仿宋_GB2312" w:cs="宋体"/>
                <w:color w:val="000000"/>
                <w:kern w:val="0"/>
                <w:szCs w:val="24"/>
              </w:rPr>
            </w:pPr>
          </w:p>
        </w:tc>
        <w:tc>
          <w:tcPr>
            <w:tcW w:w="1060"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仿宋_GB2312" w:hAnsi="宋体" w:eastAsia="仿宋_GB2312" w:cs="宋体"/>
                <w:color w:val="000000"/>
                <w:kern w:val="0"/>
                <w:szCs w:val="24"/>
              </w:rPr>
            </w:pPr>
          </w:p>
        </w:tc>
        <w:tc>
          <w:tcPr>
            <w:tcW w:w="1060"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仿宋_GB2312" w:hAnsi="宋体" w:eastAsia="仿宋_GB2312" w:cs="宋体"/>
                <w:color w:val="000000"/>
                <w:kern w:val="0"/>
                <w:szCs w:val="24"/>
              </w:rPr>
            </w:pPr>
          </w:p>
        </w:tc>
        <w:tc>
          <w:tcPr>
            <w:tcW w:w="1060"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仿宋_GB2312" w:hAnsi="宋体" w:eastAsia="仿宋_GB2312" w:cs="宋体"/>
                <w:color w:val="000000"/>
                <w:kern w:val="0"/>
                <w:szCs w:val="24"/>
              </w:rPr>
            </w:pPr>
          </w:p>
        </w:tc>
        <w:tc>
          <w:tcPr>
            <w:tcW w:w="1060" w:type="dxa"/>
            <w:tcBorders>
              <w:top w:val="nil"/>
              <w:left w:val="nil"/>
              <w:bottom w:val="single" w:color="auto" w:sz="4" w:space="0"/>
              <w:right w:val="single" w:color="auto" w:sz="4" w:space="0"/>
            </w:tcBorders>
            <w:shd w:val="clear" w:color="000000" w:fill="FFFFFF"/>
            <w:vAlign w:val="center"/>
          </w:tcPr>
          <w:p>
            <w:pPr>
              <w:widowControl/>
              <w:jc w:val="center"/>
              <w:rPr>
                <w:rFonts w:ascii="仿宋_GB2312" w:hAnsi="宋体" w:eastAsia="仿宋_GB2312" w:cs="宋体"/>
                <w:kern w:val="0"/>
                <w:szCs w:val="24"/>
              </w:rPr>
            </w:pPr>
            <w:r>
              <w:rPr>
                <w:rFonts w:hint="eastAsia" w:ascii="仿宋_GB2312" w:hAnsi="宋体" w:eastAsia="仿宋_GB2312" w:cs="宋体"/>
                <w:kern w:val="0"/>
                <w:szCs w:val="24"/>
              </w:rPr>
              <w:t>单价（元）</w:t>
            </w:r>
          </w:p>
        </w:tc>
        <w:tc>
          <w:tcPr>
            <w:tcW w:w="1060" w:type="dxa"/>
            <w:tcBorders>
              <w:top w:val="nil"/>
              <w:left w:val="nil"/>
              <w:bottom w:val="single" w:color="auto" w:sz="4" w:space="0"/>
              <w:right w:val="single" w:color="auto" w:sz="4" w:space="0"/>
            </w:tcBorders>
            <w:shd w:val="clear" w:color="000000" w:fill="FFFFFF"/>
            <w:vAlign w:val="center"/>
          </w:tcPr>
          <w:p>
            <w:pPr>
              <w:widowControl/>
              <w:jc w:val="center"/>
              <w:rPr>
                <w:rFonts w:ascii="仿宋_GB2312" w:hAnsi="宋体" w:eastAsia="仿宋_GB2312" w:cs="宋体"/>
                <w:kern w:val="0"/>
                <w:szCs w:val="24"/>
              </w:rPr>
            </w:pPr>
            <w:r>
              <w:rPr>
                <w:rFonts w:hint="eastAsia" w:ascii="仿宋_GB2312" w:hAnsi="宋体" w:eastAsia="仿宋_GB2312" w:cs="宋体"/>
                <w:kern w:val="0"/>
                <w:szCs w:val="24"/>
              </w:rPr>
              <w:t>合价（元）</w:t>
            </w:r>
          </w:p>
        </w:tc>
        <w:tc>
          <w:tcPr>
            <w:tcW w:w="1060" w:type="dxa"/>
            <w:tcBorders>
              <w:top w:val="nil"/>
              <w:left w:val="nil"/>
              <w:bottom w:val="single" w:color="auto" w:sz="4" w:space="0"/>
              <w:right w:val="single" w:color="auto" w:sz="4" w:space="0"/>
            </w:tcBorders>
            <w:shd w:val="clear" w:color="000000" w:fill="FFFFFF"/>
            <w:vAlign w:val="center"/>
          </w:tcPr>
          <w:p>
            <w:pPr>
              <w:widowControl/>
              <w:jc w:val="center"/>
              <w:rPr>
                <w:rFonts w:ascii="仿宋_GB2312" w:hAnsi="宋体" w:eastAsia="仿宋_GB2312" w:cs="宋体"/>
                <w:kern w:val="0"/>
                <w:szCs w:val="24"/>
              </w:rPr>
            </w:pPr>
            <w:r>
              <w:rPr>
                <w:rFonts w:hint="eastAsia" w:ascii="仿宋_GB2312" w:hAnsi="宋体" w:eastAsia="仿宋_GB2312" w:cs="宋体"/>
                <w:kern w:val="0"/>
                <w:szCs w:val="24"/>
              </w:rPr>
              <w:t>单价（元）</w:t>
            </w:r>
          </w:p>
        </w:tc>
        <w:tc>
          <w:tcPr>
            <w:tcW w:w="1060" w:type="dxa"/>
            <w:tcBorders>
              <w:top w:val="nil"/>
              <w:left w:val="nil"/>
              <w:bottom w:val="single" w:color="auto" w:sz="4" w:space="0"/>
              <w:right w:val="single" w:color="auto" w:sz="4" w:space="0"/>
            </w:tcBorders>
            <w:shd w:val="clear" w:color="000000" w:fill="FFFFFF"/>
            <w:vAlign w:val="center"/>
          </w:tcPr>
          <w:p>
            <w:pPr>
              <w:widowControl/>
              <w:jc w:val="center"/>
              <w:rPr>
                <w:rFonts w:ascii="仿宋_GB2312" w:hAnsi="宋体" w:eastAsia="仿宋_GB2312" w:cs="宋体"/>
                <w:kern w:val="0"/>
                <w:szCs w:val="24"/>
              </w:rPr>
            </w:pPr>
            <w:r>
              <w:rPr>
                <w:rFonts w:hint="eastAsia" w:ascii="仿宋_GB2312" w:hAnsi="宋体" w:eastAsia="仿宋_GB2312" w:cs="宋体"/>
                <w:kern w:val="0"/>
                <w:szCs w:val="24"/>
              </w:rPr>
              <w:t>合价（元）</w:t>
            </w:r>
          </w:p>
        </w:tc>
        <w:tc>
          <w:tcPr>
            <w:tcW w:w="1060" w:type="dxa"/>
            <w:tcBorders>
              <w:top w:val="nil"/>
              <w:left w:val="nil"/>
              <w:bottom w:val="single" w:color="auto" w:sz="4" w:space="0"/>
              <w:right w:val="single" w:color="auto" w:sz="4" w:space="0"/>
            </w:tcBorders>
            <w:shd w:val="clear" w:color="000000" w:fill="FFFFFF"/>
            <w:vAlign w:val="center"/>
          </w:tcPr>
          <w:p>
            <w:pPr>
              <w:widowControl/>
              <w:jc w:val="center"/>
              <w:rPr>
                <w:rFonts w:ascii="仿宋_GB2312" w:hAnsi="宋体" w:eastAsia="仿宋_GB2312" w:cs="宋体"/>
                <w:kern w:val="0"/>
                <w:szCs w:val="24"/>
              </w:rPr>
            </w:pPr>
            <w:r>
              <w:rPr>
                <w:rFonts w:hint="eastAsia" w:ascii="仿宋_GB2312" w:hAnsi="宋体" w:eastAsia="仿宋_GB2312" w:cs="宋体"/>
                <w:kern w:val="0"/>
                <w:szCs w:val="24"/>
              </w:rPr>
              <w:t>单价(元）</w:t>
            </w:r>
          </w:p>
        </w:tc>
        <w:tc>
          <w:tcPr>
            <w:tcW w:w="1060" w:type="dxa"/>
            <w:tcBorders>
              <w:top w:val="nil"/>
              <w:left w:val="nil"/>
              <w:bottom w:val="single" w:color="auto" w:sz="4" w:space="0"/>
              <w:right w:val="single" w:color="auto" w:sz="4" w:space="0"/>
            </w:tcBorders>
            <w:shd w:val="clear" w:color="000000" w:fill="FFFFFF"/>
            <w:vAlign w:val="center"/>
          </w:tcPr>
          <w:p>
            <w:pPr>
              <w:widowControl/>
              <w:jc w:val="center"/>
              <w:rPr>
                <w:rFonts w:ascii="仿宋_GB2312" w:hAnsi="宋体" w:eastAsia="仿宋_GB2312" w:cs="宋体"/>
                <w:kern w:val="0"/>
                <w:szCs w:val="24"/>
              </w:rPr>
            </w:pPr>
            <w:r>
              <w:rPr>
                <w:rFonts w:hint="eastAsia" w:ascii="仿宋_GB2312" w:hAnsi="宋体" w:eastAsia="仿宋_GB2312" w:cs="宋体"/>
                <w:kern w:val="0"/>
                <w:szCs w:val="24"/>
              </w:rPr>
              <w:t>合价(元）</w:t>
            </w:r>
          </w:p>
        </w:tc>
        <w:tc>
          <w:tcPr>
            <w:tcW w:w="1060" w:type="dxa"/>
            <w:tcBorders>
              <w:top w:val="nil"/>
              <w:left w:val="nil"/>
              <w:bottom w:val="single" w:color="auto" w:sz="4" w:space="0"/>
              <w:right w:val="single" w:color="auto" w:sz="4" w:space="0"/>
            </w:tcBorders>
            <w:shd w:val="clear" w:color="000000" w:fill="FFFFFF"/>
            <w:vAlign w:val="center"/>
          </w:tcPr>
          <w:p>
            <w:pPr>
              <w:widowControl/>
              <w:jc w:val="center"/>
              <w:rPr>
                <w:rFonts w:ascii="仿宋_GB2312" w:hAnsi="宋体" w:eastAsia="仿宋_GB2312" w:cs="宋体"/>
                <w:kern w:val="0"/>
                <w:szCs w:val="24"/>
              </w:rPr>
            </w:pPr>
            <w:r>
              <w:rPr>
                <w:rFonts w:hint="eastAsia" w:ascii="仿宋_GB2312" w:hAnsi="宋体" w:eastAsia="仿宋_GB2312" w:cs="宋体"/>
                <w:kern w:val="0"/>
                <w:szCs w:val="24"/>
              </w:rPr>
              <w:t>单价(元）</w:t>
            </w:r>
          </w:p>
        </w:tc>
        <w:tc>
          <w:tcPr>
            <w:tcW w:w="1060" w:type="dxa"/>
            <w:tcBorders>
              <w:top w:val="nil"/>
              <w:left w:val="nil"/>
              <w:bottom w:val="single" w:color="auto" w:sz="4" w:space="0"/>
              <w:right w:val="single" w:color="auto" w:sz="4" w:space="0"/>
            </w:tcBorders>
            <w:shd w:val="clear" w:color="000000" w:fill="FFFFFF"/>
            <w:vAlign w:val="center"/>
          </w:tcPr>
          <w:p>
            <w:pPr>
              <w:widowControl/>
              <w:jc w:val="center"/>
              <w:rPr>
                <w:rFonts w:ascii="仿宋_GB2312" w:hAnsi="宋体" w:eastAsia="仿宋_GB2312" w:cs="宋体"/>
                <w:kern w:val="0"/>
                <w:szCs w:val="24"/>
              </w:rPr>
            </w:pPr>
            <w:r>
              <w:rPr>
                <w:rFonts w:hint="eastAsia" w:ascii="仿宋_GB2312" w:hAnsi="宋体" w:eastAsia="仿宋_GB2312" w:cs="宋体"/>
                <w:kern w:val="0"/>
                <w:szCs w:val="24"/>
              </w:rPr>
              <w:t>合价(元）</w:t>
            </w:r>
          </w:p>
        </w:tc>
        <w:tc>
          <w:tcPr>
            <w:tcW w:w="1060"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仿宋_GB2312" w:hAnsi="宋体" w:eastAsia="仿宋_GB2312" w:cs="宋体"/>
                <w:kern w:val="0"/>
                <w:szCs w:val="24"/>
              </w:rPr>
            </w:pPr>
          </w:p>
        </w:tc>
        <w:tc>
          <w:tcPr>
            <w:tcW w:w="1060"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仿宋_GB2312" w:hAnsi="宋体" w:eastAsia="仿宋_GB2312" w:cs="宋体"/>
                <w:kern w:val="0"/>
                <w:szCs w:val="24"/>
              </w:rPr>
            </w:pPr>
          </w:p>
        </w:tc>
      </w:tr>
      <w:tr>
        <w:tblPrEx>
          <w:tblCellMar>
            <w:top w:w="0" w:type="dxa"/>
            <w:left w:w="108" w:type="dxa"/>
            <w:bottom w:w="0" w:type="dxa"/>
            <w:right w:w="108" w:type="dxa"/>
          </w:tblCellMar>
        </w:tblPrEx>
        <w:trPr>
          <w:trHeight w:val="270" w:hRule="atLeast"/>
          <w:jc w:val="center"/>
        </w:trPr>
        <w:tc>
          <w:tcPr>
            <w:tcW w:w="1060" w:type="dxa"/>
            <w:tcBorders>
              <w:top w:val="nil"/>
              <w:left w:val="single" w:color="auto" w:sz="4" w:space="0"/>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r>
      <w:tr>
        <w:tblPrEx>
          <w:tblCellMar>
            <w:top w:w="0" w:type="dxa"/>
            <w:left w:w="108" w:type="dxa"/>
            <w:bottom w:w="0" w:type="dxa"/>
            <w:right w:w="108" w:type="dxa"/>
          </w:tblCellMar>
        </w:tblPrEx>
        <w:trPr>
          <w:trHeight w:val="270" w:hRule="atLeast"/>
          <w:jc w:val="center"/>
        </w:trPr>
        <w:tc>
          <w:tcPr>
            <w:tcW w:w="1060" w:type="dxa"/>
            <w:tcBorders>
              <w:top w:val="nil"/>
              <w:left w:val="single" w:color="auto" w:sz="4" w:space="0"/>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r>
      <w:tr>
        <w:tblPrEx>
          <w:tblCellMar>
            <w:top w:w="0" w:type="dxa"/>
            <w:left w:w="108" w:type="dxa"/>
            <w:bottom w:w="0" w:type="dxa"/>
            <w:right w:w="108" w:type="dxa"/>
          </w:tblCellMar>
        </w:tblPrEx>
        <w:trPr>
          <w:trHeight w:val="270" w:hRule="atLeast"/>
          <w:jc w:val="center"/>
        </w:trPr>
        <w:tc>
          <w:tcPr>
            <w:tcW w:w="1060" w:type="dxa"/>
            <w:tcBorders>
              <w:top w:val="nil"/>
              <w:left w:val="single" w:color="auto" w:sz="4" w:space="0"/>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r>
      <w:tr>
        <w:tblPrEx>
          <w:tblCellMar>
            <w:top w:w="0" w:type="dxa"/>
            <w:left w:w="108" w:type="dxa"/>
            <w:bottom w:w="0" w:type="dxa"/>
            <w:right w:w="108" w:type="dxa"/>
          </w:tblCellMar>
        </w:tblPrEx>
        <w:trPr>
          <w:trHeight w:val="270" w:hRule="atLeast"/>
          <w:jc w:val="center"/>
        </w:trPr>
        <w:tc>
          <w:tcPr>
            <w:tcW w:w="1060" w:type="dxa"/>
            <w:tcBorders>
              <w:top w:val="nil"/>
              <w:left w:val="single" w:color="auto" w:sz="4" w:space="0"/>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r>
    </w:tbl>
    <w:p>
      <w:pPr>
        <w:ind w:firstLine="360" w:firstLineChars="150"/>
        <w:rPr>
          <w:rFonts w:ascii="仿宋_GB2312" w:eastAsia="仿宋_GB2312"/>
          <w:szCs w:val="24"/>
        </w:rPr>
      </w:pPr>
      <w:r>
        <w:rPr>
          <w:rFonts w:hint="eastAsia" w:ascii="仿宋_GB2312" w:eastAsia="仿宋_GB2312"/>
          <w:szCs w:val="24"/>
        </w:rPr>
        <w:t>3.6  养护机械配置要求：</w:t>
      </w:r>
    </w:p>
    <w:tbl>
      <w:tblPr>
        <w:tblStyle w:val="6"/>
        <w:tblW w:w="8414" w:type="dxa"/>
        <w:tblInd w:w="-108" w:type="dxa"/>
        <w:tblLayout w:type="autofit"/>
        <w:tblCellMar>
          <w:top w:w="0" w:type="dxa"/>
          <w:left w:w="108" w:type="dxa"/>
          <w:bottom w:w="0" w:type="dxa"/>
          <w:right w:w="108" w:type="dxa"/>
        </w:tblCellMar>
      </w:tblPr>
      <w:tblGrid>
        <w:gridCol w:w="203"/>
        <w:gridCol w:w="1615"/>
        <w:gridCol w:w="2984"/>
        <w:gridCol w:w="1786"/>
        <w:gridCol w:w="168"/>
        <w:gridCol w:w="934"/>
        <w:gridCol w:w="724"/>
      </w:tblGrid>
      <w:tr>
        <w:tblPrEx>
          <w:tblCellMar>
            <w:top w:w="0" w:type="dxa"/>
            <w:left w:w="108" w:type="dxa"/>
            <w:bottom w:w="0" w:type="dxa"/>
            <w:right w:w="108" w:type="dxa"/>
          </w:tblCellMar>
        </w:tblPrEx>
        <w:trPr>
          <w:gridBefore w:val="1"/>
          <w:gridAfter w:val="1"/>
          <w:wBefore w:w="203" w:type="dxa"/>
          <w:wAfter w:w="724" w:type="dxa"/>
          <w:trHeight w:val="510" w:hRule="atLeast"/>
        </w:trPr>
        <w:tc>
          <w:tcPr>
            <w:tcW w:w="6553" w:type="dxa"/>
            <w:gridSpan w:val="4"/>
            <w:tcBorders>
              <w:top w:val="nil"/>
              <w:left w:val="nil"/>
              <w:bottom w:val="nil"/>
              <w:right w:val="nil"/>
            </w:tcBorders>
            <w:shd w:val="clear" w:color="auto" w:fill="auto"/>
            <w:noWrap/>
            <w:vAlign w:val="center"/>
          </w:tcPr>
          <w:p>
            <w:pPr>
              <w:widowControl/>
              <w:jc w:val="center"/>
              <w:textAlignment w:val="center"/>
              <w:rPr>
                <w:rFonts w:ascii="仿宋_GB2312" w:hAnsi="宋体" w:eastAsia="仿宋_GB2312" w:cs="宋体"/>
                <w:b/>
                <w:bCs/>
                <w:szCs w:val="24"/>
              </w:rPr>
            </w:pPr>
            <w:r>
              <w:rPr>
                <w:rFonts w:hint="eastAsia" w:ascii="仿宋_GB2312" w:hAnsi="宋体" w:eastAsia="仿宋_GB2312" w:cs="宋体"/>
                <w:b/>
                <w:bCs/>
                <w:kern w:val="0"/>
                <w:szCs w:val="24"/>
              </w:rPr>
              <w:t>养护机械配置要求</w:t>
            </w:r>
          </w:p>
        </w:tc>
        <w:tc>
          <w:tcPr>
            <w:tcW w:w="934" w:type="dxa"/>
            <w:tcBorders>
              <w:top w:val="nil"/>
              <w:left w:val="nil"/>
              <w:bottom w:val="nil"/>
              <w:right w:val="nil"/>
            </w:tcBorders>
            <w:shd w:val="clear" w:color="auto" w:fill="auto"/>
            <w:noWrap/>
            <w:vAlign w:val="center"/>
          </w:tcPr>
          <w:p>
            <w:pPr>
              <w:rPr>
                <w:rFonts w:ascii="仿宋_GB2312" w:hAnsi="宋体" w:eastAsia="仿宋_GB2312" w:cs="宋体"/>
                <w:szCs w:val="24"/>
              </w:rPr>
            </w:pPr>
          </w:p>
        </w:tc>
      </w:tr>
      <w:tr>
        <w:tblPrEx>
          <w:tblCellMar>
            <w:top w:w="0" w:type="dxa"/>
            <w:left w:w="108" w:type="dxa"/>
            <w:bottom w:w="0" w:type="dxa"/>
            <w:right w:w="108" w:type="dxa"/>
          </w:tblCellMar>
        </w:tblPrEx>
        <w:trPr>
          <w:trHeight w:val="300" w:hRule="atLeast"/>
        </w:trPr>
        <w:tc>
          <w:tcPr>
            <w:tcW w:w="18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b/>
                <w:bCs/>
                <w:szCs w:val="24"/>
              </w:rPr>
            </w:pPr>
            <w:r>
              <w:rPr>
                <w:rFonts w:hint="eastAsia" w:ascii="仿宋_GB2312" w:hAnsi="宋体" w:eastAsia="仿宋_GB2312" w:cs="宋体"/>
                <w:b/>
                <w:bCs/>
                <w:kern w:val="0"/>
                <w:szCs w:val="24"/>
              </w:rPr>
              <w:t>序号</w:t>
            </w:r>
          </w:p>
        </w:tc>
        <w:tc>
          <w:tcPr>
            <w:tcW w:w="2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b/>
                <w:bCs/>
                <w:szCs w:val="24"/>
              </w:rPr>
            </w:pPr>
            <w:r>
              <w:rPr>
                <w:rFonts w:hint="eastAsia" w:ascii="仿宋_GB2312" w:hAnsi="宋体" w:eastAsia="仿宋_GB2312" w:cs="宋体"/>
                <w:b/>
                <w:bCs/>
                <w:kern w:val="0"/>
                <w:szCs w:val="24"/>
              </w:rPr>
              <w:t>机械名称</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b/>
                <w:bCs/>
                <w:szCs w:val="24"/>
              </w:rPr>
            </w:pPr>
            <w:r>
              <w:rPr>
                <w:rFonts w:hint="eastAsia" w:ascii="仿宋_GB2312" w:hAnsi="宋体" w:eastAsia="仿宋_GB2312" w:cs="宋体"/>
                <w:b/>
                <w:bCs/>
                <w:kern w:val="0"/>
                <w:szCs w:val="24"/>
              </w:rPr>
              <w:t>数量</w:t>
            </w:r>
          </w:p>
        </w:tc>
        <w:tc>
          <w:tcPr>
            <w:tcW w:w="18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b/>
                <w:bCs/>
                <w:szCs w:val="24"/>
              </w:rPr>
            </w:pPr>
            <w:r>
              <w:rPr>
                <w:rFonts w:hint="eastAsia" w:ascii="仿宋_GB2312" w:hAnsi="宋体" w:eastAsia="仿宋_GB2312" w:cs="宋体"/>
                <w:b/>
                <w:bCs/>
                <w:kern w:val="0"/>
                <w:szCs w:val="24"/>
              </w:rPr>
              <w:t>单位</w:t>
            </w:r>
          </w:p>
        </w:tc>
      </w:tr>
      <w:tr>
        <w:tblPrEx>
          <w:tblCellMar>
            <w:top w:w="0" w:type="dxa"/>
            <w:left w:w="108" w:type="dxa"/>
            <w:bottom w:w="0" w:type="dxa"/>
            <w:right w:w="108" w:type="dxa"/>
          </w:tblCellMar>
        </w:tblPrEx>
        <w:trPr>
          <w:trHeight w:val="285" w:hRule="atLeast"/>
        </w:trPr>
        <w:tc>
          <w:tcPr>
            <w:tcW w:w="18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78"/>
              <w:widowControl/>
              <w:numPr>
                <w:ilvl w:val="0"/>
                <w:numId w:val="1"/>
              </w:numPr>
              <w:jc w:val="center"/>
              <w:textAlignment w:val="center"/>
              <w:rPr>
                <w:rFonts w:ascii="仿宋_GB2312" w:hAnsi="宋体" w:eastAsia="仿宋_GB2312" w:cs="宋体"/>
                <w:kern w:val="0"/>
                <w:szCs w:val="24"/>
              </w:rPr>
            </w:pPr>
          </w:p>
        </w:tc>
        <w:tc>
          <w:tcPr>
            <w:tcW w:w="2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洒水车</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1</w:t>
            </w:r>
          </w:p>
        </w:tc>
        <w:tc>
          <w:tcPr>
            <w:tcW w:w="18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辆</w:t>
            </w:r>
          </w:p>
        </w:tc>
      </w:tr>
      <w:tr>
        <w:tblPrEx>
          <w:tblCellMar>
            <w:top w:w="0" w:type="dxa"/>
            <w:left w:w="108" w:type="dxa"/>
            <w:bottom w:w="0" w:type="dxa"/>
            <w:right w:w="108" w:type="dxa"/>
          </w:tblCellMar>
        </w:tblPrEx>
        <w:trPr>
          <w:trHeight w:val="285" w:hRule="atLeast"/>
        </w:trPr>
        <w:tc>
          <w:tcPr>
            <w:tcW w:w="18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78"/>
              <w:widowControl/>
              <w:numPr>
                <w:ilvl w:val="0"/>
                <w:numId w:val="1"/>
              </w:numPr>
              <w:jc w:val="center"/>
              <w:textAlignment w:val="center"/>
              <w:rPr>
                <w:rFonts w:ascii="仿宋_GB2312" w:hAnsi="宋体" w:eastAsia="仿宋_GB2312" w:cs="宋体"/>
                <w:kern w:val="0"/>
                <w:szCs w:val="24"/>
              </w:rPr>
            </w:pPr>
          </w:p>
        </w:tc>
        <w:tc>
          <w:tcPr>
            <w:tcW w:w="2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工程抢险车</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1</w:t>
            </w:r>
          </w:p>
        </w:tc>
        <w:tc>
          <w:tcPr>
            <w:tcW w:w="18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辆</w:t>
            </w:r>
          </w:p>
        </w:tc>
      </w:tr>
      <w:tr>
        <w:tblPrEx>
          <w:tblCellMar>
            <w:top w:w="0" w:type="dxa"/>
            <w:left w:w="108" w:type="dxa"/>
            <w:bottom w:w="0" w:type="dxa"/>
            <w:right w:w="108" w:type="dxa"/>
          </w:tblCellMar>
        </w:tblPrEx>
        <w:trPr>
          <w:trHeight w:val="285" w:hRule="atLeast"/>
        </w:trPr>
        <w:tc>
          <w:tcPr>
            <w:tcW w:w="18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78"/>
              <w:widowControl/>
              <w:numPr>
                <w:ilvl w:val="0"/>
                <w:numId w:val="1"/>
              </w:numPr>
              <w:jc w:val="center"/>
              <w:textAlignment w:val="center"/>
              <w:rPr>
                <w:rFonts w:ascii="仿宋_GB2312" w:hAnsi="宋体" w:eastAsia="仿宋_GB2312" w:cs="宋体"/>
                <w:kern w:val="0"/>
                <w:szCs w:val="24"/>
              </w:rPr>
            </w:pPr>
          </w:p>
        </w:tc>
        <w:tc>
          <w:tcPr>
            <w:tcW w:w="2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洒水车</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1</w:t>
            </w:r>
          </w:p>
        </w:tc>
        <w:tc>
          <w:tcPr>
            <w:tcW w:w="18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辆</w:t>
            </w:r>
          </w:p>
        </w:tc>
      </w:tr>
      <w:tr>
        <w:tblPrEx>
          <w:tblCellMar>
            <w:top w:w="0" w:type="dxa"/>
            <w:left w:w="108" w:type="dxa"/>
            <w:bottom w:w="0" w:type="dxa"/>
            <w:right w:w="108" w:type="dxa"/>
          </w:tblCellMar>
        </w:tblPrEx>
        <w:trPr>
          <w:trHeight w:val="285" w:hRule="atLeast"/>
        </w:trPr>
        <w:tc>
          <w:tcPr>
            <w:tcW w:w="18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78"/>
              <w:widowControl/>
              <w:numPr>
                <w:ilvl w:val="0"/>
                <w:numId w:val="1"/>
              </w:numPr>
              <w:jc w:val="center"/>
              <w:textAlignment w:val="center"/>
              <w:rPr>
                <w:rFonts w:ascii="仿宋_GB2312" w:hAnsi="宋体" w:eastAsia="仿宋_GB2312" w:cs="宋体"/>
                <w:kern w:val="0"/>
                <w:szCs w:val="24"/>
              </w:rPr>
            </w:pPr>
          </w:p>
        </w:tc>
        <w:tc>
          <w:tcPr>
            <w:tcW w:w="2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货车</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5</w:t>
            </w:r>
          </w:p>
        </w:tc>
        <w:tc>
          <w:tcPr>
            <w:tcW w:w="18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辆</w:t>
            </w:r>
          </w:p>
        </w:tc>
      </w:tr>
      <w:tr>
        <w:tblPrEx>
          <w:tblCellMar>
            <w:top w:w="0" w:type="dxa"/>
            <w:left w:w="108" w:type="dxa"/>
            <w:bottom w:w="0" w:type="dxa"/>
            <w:right w:w="108" w:type="dxa"/>
          </w:tblCellMar>
        </w:tblPrEx>
        <w:trPr>
          <w:trHeight w:val="285" w:hRule="atLeast"/>
        </w:trPr>
        <w:tc>
          <w:tcPr>
            <w:tcW w:w="18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78"/>
              <w:widowControl/>
              <w:numPr>
                <w:ilvl w:val="0"/>
                <w:numId w:val="1"/>
              </w:numPr>
              <w:jc w:val="center"/>
              <w:textAlignment w:val="center"/>
              <w:rPr>
                <w:rFonts w:ascii="仿宋_GB2312" w:hAnsi="宋体" w:eastAsia="仿宋_GB2312" w:cs="宋体"/>
                <w:kern w:val="0"/>
                <w:szCs w:val="24"/>
              </w:rPr>
            </w:pPr>
          </w:p>
        </w:tc>
        <w:tc>
          <w:tcPr>
            <w:tcW w:w="2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电动工具车</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30</w:t>
            </w:r>
          </w:p>
        </w:tc>
        <w:tc>
          <w:tcPr>
            <w:tcW w:w="18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辆</w:t>
            </w:r>
          </w:p>
        </w:tc>
      </w:tr>
      <w:tr>
        <w:tblPrEx>
          <w:tblCellMar>
            <w:top w:w="0" w:type="dxa"/>
            <w:left w:w="108" w:type="dxa"/>
            <w:bottom w:w="0" w:type="dxa"/>
            <w:right w:w="108" w:type="dxa"/>
          </w:tblCellMar>
        </w:tblPrEx>
        <w:trPr>
          <w:trHeight w:val="285" w:hRule="atLeast"/>
        </w:trPr>
        <w:tc>
          <w:tcPr>
            <w:tcW w:w="18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78"/>
              <w:widowControl/>
              <w:numPr>
                <w:ilvl w:val="0"/>
                <w:numId w:val="1"/>
              </w:numPr>
              <w:jc w:val="center"/>
              <w:textAlignment w:val="center"/>
              <w:rPr>
                <w:rFonts w:ascii="仿宋_GB2312" w:hAnsi="宋体" w:eastAsia="仿宋_GB2312" w:cs="宋体"/>
                <w:kern w:val="0"/>
                <w:szCs w:val="24"/>
              </w:rPr>
            </w:pPr>
          </w:p>
        </w:tc>
        <w:tc>
          <w:tcPr>
            <w:tcW w:w="2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高空作业车</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2</w:t>
            </w:r>
          </w:p>
        </w:tc>
        <w:tc>
          <w:tcPr>
            <w:tcW w:w="18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辆</w:t>
            </w:r>
          </w:p>
        </w:tc>
      </w:tr>
      <w:tr>
        <w:tblPrEx>
          <w:tblCellMar>
            <w:top w:w="0" w:type="dxa"/>
            <w:left w:w="108" w:type="dxa"/>
            <w:bottom w:w="0" w:type="dxa"/>
            <w:right w:w="108" w:type="dxa"/>
          </w:tblCellMar>
        </w:tblPrEx>
        <w:trPr>
          <w:trHeight w:val="285" w:hRule="atLeast"/>
        </w:trPr>
        <w:tc>
          <w:tcPr>
            <w:tcW w:w="18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78"/>
              <w:widowControl/>
              <w:numPr>
                <w:ilvl w:val="0"/>
                <w:numId w:val="1"/>
              </w:numPr>
              <w:jc w:val="center"/>
              <w:textAlignment w:val="center"/>
              <w:rPr>
                <w:rFonts w:ascii="仿宋_GB2312" w:hAnsi="宋体" w:eastAsia="仿宋_GB2312" w:cs="宋体"/>
                <w:kern w:val="0"/>
                <w:szCs w:val="24"/>
              </w:rPr>
            </w:pPr>
          </w:p>
        </w:tc>
        <w:tc>
          <w:tcPr>
            <w:tcW w:w="2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粉碎机</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2</w:t>
            </w:r>
          </w:p>
        </w:tc>
        <w:tc>
          <w:tcPr>
            <w:tcW w:w="18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台</w:t>
            </w:r>
          </w:p>
        </w:tc>
      </w:tr>
      <w:tr>
        <w:tblPrEx>
          <w:tblCellMar>
            <w:top w:w="0" w:type="dxa"/>
            <w:left w:w="108" w:type="dxa"/>
            <w:bottom w:w="0" w:type="dxa"/>
            <w:right w:w="108" w:type="dxa"/>
          </w:tblCellMar>
        </w:tblPrEx>
        <w:trPr>
          <w:trHeight w:val="300" w:hRule="atLeast"/>
        </w:trPr>
        <w:tc>
          <w:tcPr>
            <w:tcW w:w="18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78"/>
              <w:widowControl/>
              <w:numPr>
                <w:ilvl w:val="0"/>
                <w:numId w:val="1"/>
              </w:numPr>
              <w:jc w:val="center"/>
              <w:textAlignment w:val="center"/>
              <w:rPr>
                <w:rFonts w:ascii="仿宋_GB2312" w:hAnsi="宋体" w:eastAsia="仿宋_GB2312" w:cs="宋体"/>
                <w:kern w:val="0"/>
                <w:szCs w:val="24"/>
              </w:rPr>
            </w:pPr>
          </w:p>
        </w:tc>
        <w:tc>
          <w:tcPr>
            <w:tcW w:w="2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高枝锯</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10</w:t>
            </w:r>
          </w:p>
        </w:tc>
        <w:tc>
          <w:tcPr>
            <w:tcW w:w="18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台</w:t>
            </w:r>
          </w:p>
        </w:tc>
      </w:tr>
      <w:tr>
        <w:tblPrEx>
          <w:tblCellMar>
            <w:top w:w="0" w:type="dxa"/>
            <w:left w:w="108" w:type="dxa"/>
            <w:bottom w:w="0" w:type="dxa"/>
            <w:right w:w="108" w:type="dxa"/>
          </w:tblCellMar>
        </w:tblPrEx>
        <w:trPr>
          <w:trHeight w:val="300" w:hRule="atLeast"/>
        </w:trPr>
        <w:tc>
          <w:tcPr>
            <w:tcW w:w="18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78"/>
              <w:widowControl/>
              <w:numPr>
                <w:ilvl w:val="0"/>
                <w:numId w:val="1"/>
              </w:numPr>
              <w:jc w:val="center"/>
              <w:textAlignment w:val="center"/>
              <w:rPr>
                <w:rFonts w:ascii="仿宋_GB2312" w:hAnsi="宋体" w:eastAsia="仿宋_GB2312" w:cs="宋体"/>
                <w:kern w:val="0"/>
                <w:szCs w:val="24"/>
              </w:rPr>
            </w:pPr>
          </w:p>
        </w:tc>
        <w:tc>
          <w:tcPr>
            <w:tcW w:w="2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电锯</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35</w:t>
            </w:r>
          </w:p>
        </w:tc>
        <w:tc>
          <w:tcPr>
            <w:tcW w:w="18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部</w:t>
            </w:r>
          </w:p>
        </w:tc>
      </w:tr>
      <w:tr>
        <w:tblPrEx>
          <w:tblCellMar>
            <w:top w:w="0" w:type="dxa"/>
            <w:left w:w="108" w:type="dxa"/>
            <w:bottom w:w="0" w:type="dxa"/>
            <w:right w:w="108" w:type="dxa"/>
          </w:tblCellMar>
        </w:tblPrEx>
        <w:trPr>
          <w:trHeight w:val="300" w:hRule="atLeast"/>
        </w:trPr>
        <w:tc>
          <w:tcPr>
            <w:tcW w:w="18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78"/>
              <w:widowControl/>
              <w:numPr>
                <w:ilvl w:val="0"/>
                <w:numId w:val="1"/>
              </w:numPr>
              <w:jc w:val="center"/>
              <w:textAlignment w:val="center"/>
              <w:rPr>
                <w:rFonts w:ascii="仿宋_GB2312" w:hAnsi="宋体" w:eastAsia="仿宋_GB2312" w:cs="宋体"/>
                <w:kern w:val="0"/>
                <w:szCs w:val="24"/>
              </w:rPr>
            </w:pPr>
          </w:p>
        </w:tc>
        <w:tc>
          <w:tcPr>
            <w:tcW w:w="2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油锯</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15</w:t>
            </w:r>
          </w:p>
        </w:tc>
        <w:tc>
          <w:tcPr>
            <w:tcW w:w="18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部</w:t>
            </w:r>
          </w:p>
        </w:tc>
      </w:tr>
      <w:tr>
        <w:tblPrEx>
          <w:tblCellMar>
            <w:top w:w="0" w:type="dxa"/>
            <w:left w:w="108" w:type="dxa"/>
            <w:bottom w:w="0" w:type="dxa"/>
            <w:right w:w="108" w:type="dxa"/>
          </w:tblCellMar>
        </w:tblPrEx>
        <w:trPr>
          <w:trHeight w:val="300" w:hRule="atLeast"/>
        </w:trPr>
        <w:tc>
          <w:tcPr>
            <w:tcW w:w="18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78"/>
              <w:widowControl/>
              <w:numPr>
                <w:ilvl w:val="0"/>
                <w:numId w:val="1"/>
              </w:numPr>
              <w:jc w:val="center"/>
              <w:textAlignment w:val="center"/>
              <w:rPr>
                <w:rFonts w:ascii="仿宋_GB2312" w:hAnsi="宋体" w:eastAsia="仿宋_GB2312" w:cs="宋体"/>
                <w:kern w:val="0"/>
                <w:szCs w:val="24"/>
              </w:rPr>
            </w:pPr>
          </w:p>
        </w:tc>
        <w:tc>
          <w:tcPr>
            <w:tcW w:w="2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双面绿篱机</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19</w:t>
            </w:r>
          </w:p>
        </w:tc>
        <w:tc>
          <w:tcPr>
            <w:tcW w:w="18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台</w:t>
            </w:r>
          </w:p>
        </w:tc>
      </w:tr>
      <w:tr>
        <w:tblPrEx>
          <w:tblCellMar>
            <w:top w:w="0" w:type="dxa"/>
            <w:left w:w="108" w:type="dxa"/>
            <w:bottom w:w="0" w:type="dxa"/>
            <w:right w:w="108" w:type="dxa"/>
          </w:tblCellMar>
        </w:tblPrEx>
        <w:trPr>
          <w:trHeight w:val="300" w:hRule="atLeast"/>
        </w:trPr>
        <w:tc>
          <w:tcPr>
            <w:tcW w:w="18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78"/>
              <w:widowControl/>
              <w:numPr>
                <w:ilvl w:val="0"/>
                <w:numId w:val="1"/>
              </w:numPr>
              <w:jc w:val="center"/>
              <w:textAlignment w:val="center"/>
              <w:rPr>
                <w:rFonts w:ascii="仿宋_GB2312" w:hAnsi="宋体" w:eastAsia="仿宋_GB2312" w:cs="宋体"/>
                <w:kern w:val="0"/>
                <w:szCs w:val="24"/>
              </w:rPr>
            </w:pPr>
          </w:p>
        </w:tc>
        <w:tc>
          <w:tcPr>
            <w:tcW w:w="2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割灌机</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15</w:t>
            </w:r>
          </w:p>
        </w:tc>
        <w:tc>
          <w:tcPr>
            <w:tcW w:w="18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台</w:t>
            </w:r>
          </w:p>
        </w:tc>
      </w:tr>
      <w:tr>
        <w:tblPrEx>
          <w:tblCellMar>
            <w:top w:w="0" w:type="dxa"/>
            <w:left w:w="108" w:type="dxa"/>
            <w:bottom w:w="0" w:type="dxa"/>
            <w:right w:w="108" w:type="dxa"/>
          </w:tblCellMar>
        </w:tblPrEx>
        <w:trPr>
          <w:trHeight w:val="300" w:hRule="atLeast"/>
        </w:trPr>
        <w:tc>
          <w:tcPr>
            <w:tcW w:w="18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78"/>
              <w:widowControl/>
              <w:numPr>
                <w:ilvl w:val="0"/>
                <w:numId w:val="1"/>
              </w:numPr>
              <w:jc w:val="center"/>
              <w:textAlignment w:val="center"/>
              <w:rPr>
                <w:rFonts w:ascii="仿宋_GB2312" w:hAnsi="宋体" w:eastAsia="仿宋_GB2312" w:cs="宋体"/>
                <w:kern w:val="0"/>
                <w:szCs w:val="24"/>
              </w:rPr>
            </w:pPr>
          </w:p>
        </w:tc>
        <w:tc>
          <w:tcPr>
            <w:tcW w:w="2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绿篱机</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15</w:t>
            </w:r>
          </w:p>
        </w:tc>
        <w:tc>
          <w:tcPr>
            <w:tcW w:w="18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台</w:t>
            </w:r>
          </w:p>
        </w:tc>
      </w:tr>
      <w:tr>
        <w:tblPrEx>
          <w:tblCellMar>
            <w:top w:w="0" w:type="dxa"/>
            <w:left w:w="108" w:type="dxa"/>
            <w:bottom w:w="0" w:type="dxa"/>
            <w:right w:w="108" w:type="dxa"/>
          </w:tblCellMar>
        </w:tblPrEx>
        <w:trPr>
          <w:trHeight w:val="285" w:hRule="atLeast"/>
        </w:trPr>
        <w:tc>
          <w:tcPr>
            <w:tcW w:w="18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78"/>
              <w:widowControl/>
              <w:numPr>
                <w:ilvl w:val="0"/>
                <w:numId w:val="1"/>
              </w:numPr>
              <w:jc w:val="center"/>
              <w:textAlignment w:val="center"/>
              <w:rPr>
                <w:rFonts w:ascii="仿宋_GB2312" w:hAnsi="宋体" w:eastAsia="仿宋_GB2312" w:cs="宋体"/>
                <w:kern w:val="0"/>
                <w:szCs w:val="24"/>
              </w:rPr>
            </w:pPr>
          </w:p>
        </w:tc>
        <w:tc>
          <w:tcPr>
            <w:tcW w:w="2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割灌机</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10</w:t>
            </w:r>
          </w:p>
        </w:tc>
        <w:tc>
          <w:tcPr>
            <w:tcW w:w="18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台</w:t>
            </w:r>
          </w:p>
        </w:tc>
      </w:tr>
      <w:tr>
        <w:tblPrEx>
          <w:tblCellMar>
            <w:top w:w="0" w:type="dxa"/>
            <w:left w:w="108" w:type="dxa"/>
            <w:bottom w:w="0" w:type="dxa"/>
            <w:right w:w="108" w:type="dxa"/>
          </w:tblCellMar>
        </w:tblPrEx>
        <w:trPr>
          <w:trHeight w:val="285" w:hRule="atLeast"/>
        </w:trPr>
        <w:tc>
          <w:tcPr>
            <w:tcW w:w="18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78"/>
              <w:widowControl/>
              <w:numPr>
                <w:ilvl w:val="0"/>
                <w:numId w:val="1"/>
              </w:numPr>
              <w:jc w:val="center"/>
              <w:textAlignment w:val="center"/>
              <w:rPr>
                <w:rFonts w:ascii="仿宋_GB2312" w:hAnsi="宋体" w:eastAsia="仿宋_GB2312" w:cs="宋体"/>
                <w:kern w:val="0"/>
                <w:szCs w:val="24"/>
              </w:rPr>
            </w:pPr>
          </w:p>
        </w:tc>
        <w:tc>
          <w:tcPr>
            <w:tcW w:w="2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高枝绿篱机</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5</w:t>
            </w:r>
          </w:p>
        </w:tc>
        <w:tc>
          <w:tcPr>
            <w:tcW w:w="18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台</w:t>
            </w:r>
          </w:p>
        </w:tc>
      </w:tr>
      <w:tr>
        <w:tblPrEx>
          <w:tblCellMar>
            <w:top w:w="0" w:type="dxa"/>
            <w:left w:w="108" w:type="dxa"/>
            <w:bottom w:w="0" w:type="dxa"/>
            <w:right w:w="108" w:type="dxa"/>
          </w:tblCellMar>
        </w:tblPrEx>
        <w:trPr>
          <w:trHeight w:val="285" w:hRule="atLeast"/>
        </w:trPr>
        <w:tc>
          <w:tcPr>
            <w:tcW w:w="18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78"/>
              <w:widowControl/>
              <w:numPr>
                <w:ilvl w:val="0"/>
                <w:numId w:val="1"/>
              </w:numPr>
              <w:jc w:val="center"/>
              <w:textAlignment w:val="center"/>
              <w:rPr>
                <w:rFonts w:ascii="仿宋_GB2312" w:hAnsi="宋体" w:eastAsia="仿宋_GB2312" w:cs="宋体"/>
                <w:kern w:val="0"/>
                <w:szCs w:val="24"/>
              </w:rPr>
            </w:pPr>
          </w:p>
        </w:tc>
        <w:tc>
          <w:tcPr>
            <w:tcW w:w="2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割草机</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19</w:t>
            </w:r>
          </w:p>
        </w:tc>
        <w:tc>
          <w:tcPr>
            <w:tcW w:w="18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台</w:t>
            </w:r>
          </w:p>
        </w:tc>
      </w:tr>
      <w:tr>
        <w:tblPrEx>
          <w:tblCellMar>
            <w:top w:w="0" w:type="dxa"/>
            <w:left w:w="108" w:type="dxa"/>
            <w:bottom w:w="0" w:type="dxa"/>
            <w:right w:w="108" w:type="dxa"/>
          </w:tblCellMar>
        </w:tblPrEx>
        <w:trPr>
          <w:trHeight w:val="285" w:hRule="atLeast"/>
        </w:trPr>
        <w:tc>
          <w:tcPr>
            <w:tcW w:w="18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78"/>
              <w:widowControl/>
              <w:numPr>
                <w:ilvl w:val="0"/>
                <w:numId w:val="1"/>
              </w:numPr>
              <w:jc w:val="center"/>
              <w:textAlignment w:val="center"/>
              <w:rPr>
                <w:rFonts w:ascii="仿宋_GB2312" w:hAnsi="宋体" w:eastAsia="仿宋_GB2312" w:cs="宋体"/>
                <w:kern w:val="0"/>
                <w:szCs w:val="24"/>
              </w:rPr>
            </w:pPr>
          </w:p>
        </w:tc>
        <w:tc>
          <w:tcPr>
            <w:tcW w:w="2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自走草坪机</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5</w:t>
            </w:r>
          </w:p>
        </w:tc>
        <w:tc>
          <w:tcPr>
            <w:tcW w:w="18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台</w:t>
            </w:r>
          </w:p>
        </w:tc>
      </w:tr>
      <w:tr>
        <w:tblPrEx>
          <w:tblCellMar>
            <w:top w:w="0" w:type="dxa"/>
            <w:left w:w="108" w:type="dxa"/>
            <w:bottom w:w="0" w:type="dxa"/>
            <w:right w:w="108" w:type="dxa"/>
          </w:tblCellMar>
        </w:tblPrEx>
        <w:trPr>
          <w:trHeight w:val="285" w:hRule="atLeast"/>
        </w:trPr>
        <w:tc>
          <w:tcPr>
            <w:tcW w:w="18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78"/>
              <w:widowControl/>
              <w:numPr>
                <w:ilvl w:val="0"/>
                <w:numId w:val="1"/>
              </w:numPr>
              <w:jc w:val="center"/>
              <w:textAlignment w:val="center"/>
              <w:rPr>
                <w:rFonts w:ascii="仿宋_GB2312" w:hAnsi="宋体" w:eastAsia="仿宋_GB2312" w:cs="宋体"/>
                <w:kern w:val="0"/>
                <w:szCs w:val="24"/>
              </w:rPr>
            </w:pPr>
          </w:p>
        </w:tc>
        <w:tc>
          <w:tcPr>
            <w:tcW w:w="2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草坪打孔机</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19</w:t>
            </w:r>
          </w:p>
        </w:tc>
        <w:tc>
          <w:tcPr>
            <w:tcW w:w="18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台</w:t>
            </w:r>
          </w:p>
        </w:tc>
      </w:tr>
      <w:tr>
        <w:tblPrEx>
          <w:tblCellMar>
            <w:top w:w="0" w:type="dxa"/>
            <w:left w:w="108" w:type="dxa"/>
            <w:bottom w:w="0" w:type="dxa"/>
            <w:right w:w="108" w:type="dxa"/>
          </w:tblCellMar>
        </w:tblPrEx>
        <w:trPr>
          <w:trHeight w:val="285" w:hRule="atLeast"/>
        </w:trPr>
        <w:tc>
          <w:tcPr>
            <w:tcW w:w="18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78"/>
              <w:widowControl/>
              <w:numPr>
                <w:ilvl w:val="0"/>
                <w:numId w:val="1"/>
              </w:numPr>
              <w:jc w:val="center"/>
              <w:textAlignment w:val="center"/>
              <w:rPr>
                <w:rFonts w:ascii="仿宋_GB2312" w:hAnsi="宋体" w:eastAsia="仿宋_GB2312" w:cs="宋体"/>
                <w:kern w:val="0"/>
                <w:szCs w:val="24"/>
              </w:rPr>
            </w:pPr>
          </w:p>
        </w:tc>
        <w:tc>
          <w:tcPr>
            <w:tcW w:w="2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草坪蔬草机</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5</w:t>
            </w:r>
          </w:p>
        </w:tc>
        <w:tc>
          <w:tcPr>
            <w:tcW w:w="18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台</w:t>
            </w:r>
          </w:p>
        </w:tc>
      </w:tr>
      <w:tr>
        <w:tblPrEx>
          <w:tblCellMar>
            <w:top w:w="0" w:type="dxa"/>
            <w:left w:w="108" w:type="dxa"/>
            <w:bottom w:w="0" w:type="dxa"/>
            <w:right w:w="108" w:type="dxa"/>
          </w:tblCellMar>
        </w:tblPrEx>
        <w:trPr>
          <w:trHeight w:val="285" w:hRule="atLeast"/>
        </w:trPr>
        <w:tc>
          <w:tcPr>
            <w:tcW w:w="18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78"/>
              <w:widowControl/>
              <w:numPr>
                <w:ilvl w:val="0"/>
                <w:numId w:val="1"/>
              </w:numPr>
              <w:jc w:val="center"/>
              <w:textAlignment w:val="center"/>
              <w:rPr>
                <w:rFonts w:ascii="仿宋_GB2312" w:hAnsi="宋体" w:eastAsia="仿宋_GB2312" w:cs="宋体"/>
                <w:kern w:val="0"/>
                <w:szCs w:val="24"/>
              </w:rPr>
            </w:pPr>
          </w:p>
        </w:tc>
        <w:tc>
          <w:tcPr>
            <w:tcW w:w="2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割灌机</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10</w:t>
            </w:r>
          </w:p>
        </w:tc>
        <w:tc>
          <w:tcPr>
            <w:tcW w:w="18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台</w:t>
            </w:r>
          </w:p>
        </w:tc>
      </w:tr>
      <w:tr>
        <w:tblPrEx>
          <w:tblCellMar>
            <w:top w:w="0" w:type="dxa"/>
            <w:left w:w="108" w:type="dxa"/>
            <w:bottom w:w="0" w:type="dxa"/>
            <w:right w:w="108" w:type="dxa"/>
          </w:tblCellMar>
        </w:tblPrEx>
        <w:trPr>
          <w:trHeight w:val="285" w:hRule="atLeast"/>
        </w:trPr>
        <w:tc>
          <w:tcPr>
            <w:tcW w:w="18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78"/>
              <w:widowControl/>
              <w:numPr>
                <w:ilvl w:val="0"/>
                <w:numId w:val="1"/>
              </w:numPr>
              <w:jc w:val="center"/>
              <w:textAlignment w:val="center"/>
              <w:rPr>
                <w:rFonts w:ascii="仿宋_GB2312" w:hAnsi="宋体" w:eastAsia="仿宋_GB2312" w:cs="宋体"/>
                <w:kern w:val="0"/>
                <w:szCs w:val="24"/>
              </w:rPr>
            </w:pPr>
          </w:p>
        </w:tc>
        <w:tc>
          <w:tcPr>
            <w:tcW w:w="2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手推式草坪修剪机</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19</w:t>
            </w:r>
          </w:p>
        </w:tc>
        <w:tc>
          <w:tcPr>
            <w:tcW w:w="18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台</w:t>
            </w:r>
          </w:p>
        </w:tc>
      </w:tr>
      <w:tr>
        <w:tblPrEx>
          <w:tblCellMar>
            <w:top w:w="0" w:type="dxa"/>
            <w:left w:w="108" w:type="dxa"/>
            <w:bottom w:w="0" w:type="dxa"/>
            <w:right w:w="108" w:type="dxa"/>
          </w:tblCellMar>
        </w:tblPrEx>
        <w:trPr>
          <w:trHeight w:val="285" w:hRule="atLeast"/>
        </w:trPr>
        <w:tc>
          <w:tcPr>
            <w:tcW w:w="18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78"/>
              <w:widowControl/>
              <w:numPr>
                <w:ilvl w:val="0"/>
                <w:numId w:val="1"/>
              </w:numPr>
              <w:jc w:val="center"/>
              <w:textAlignment w:val="center"/>
              <w:rPr>
                <w:rFonts w:ascii="仿宋_GB2312" w:hAnsi="宋体" w:eastAsia="仿宋_GB2312" w:cs="宋体"/>
                <w:kern w:val="0"/>
                <w:szCs w:val="24"/>
              </w:rPr>
            </w:pPr>
          </w:p>
        </w:tc>
        <w:tc>
          <w:tcPr>
            <w:tcW w:w="2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草坪打孔机</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19</w:t>
            </w:r>
          </w:p>
        </w:tc>
        <w:tc>
          <w:tcPr>
            <w:tcW w:w="18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台</w:t>
            </w:r>
          </w:p>
        </w:tc>
      </w:tr>
      <w:tr>
        <w:tblPrEx>
          <w:tblCellMar>
            <w:top w:w="0" w:type="dxa"/>
            <w:left w:w="108" w:type="dxa"/>
            <w:bottom w:w="0" w:type="dxa"/>
            <w:right w:w="108" w:type="dxa"/>
          </w:tblCellMar>
        </w:tblPrEx>
        <w:trPr>
          <w:trHeight w:val="285" w:hRule="atLeast"/>
        </w:trPr>
        <w:tc>
          <w:tcPr>
            <w:tcW w:w="18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78"/>
              <w:widowControl/>
              <w:numPr>
                <w:ilvl w:val="0"/>
                <w:numId w:val="1"/>
              </w:numPr>
              <w:jc w:val="center"/>
              <w:textAlignment w:val="center"/>
              <w:rPr>
                <w:rFonts w:ascii="仿宋_GB2312" w:hAnsi="宋体" w:eastAsia="仿宋_GB2312" w:cs="宋体"/>
                <w:kern w:val="0"/>
                <w:szCs w:val="24"/>
              </w:rPr>
            </w:pPr>
          </w:p>
        </w:tc>
        <w:tc>
          <w:tcPr>
            <w:tcW w:w="2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深根施肥机</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2</w:t>
            </w:r>
          </w:p>
        </w:tc>
        <w:tc>
          <w:tcPr>
            <w:tcW w:w="18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台</w:t>
            </w:r>
          </w:p>
        </w:tc>
      </w:tr>
      <w:tr>
        <w:tblPrEx>
          <w:tblCellMar>
            <w:top w:w="0" w:type="dxa"/>
            <w:left w:w="108" w:type="dxa"/>
            <w:bottom w:w="0" w:type="dxa"/>
            <w:right w:w="108" w:type="dxa"/>
          </w:tblCellMar>
        </w:tblPrEx>
        <w:trPr>
          <w:trHeight w:val="285" w:hRule="atLeast"/>
        </w:trPr>
        <w:tc>
          <w:tcPr>
            <w:tcW w:w="18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78"/>
              <w:widowControl/>
              <w:numPr>
                <w:ilvl w:val="0"/>
                <w:numId w:val="1"/>
              </w:numPr>
              <w:jc w:val="center"/>
              <w:textAlignment w:val="center"/>
              <w:rPr>
                <w:rFonts w:ascii="仿宋_GB2312" w:hAnsi="宋体" w:eastAsia="仿宋_GB2312" w:cs="宋体"/>
                <w:kern w:val="0"/>
                <w:szCs w:val="24"/>
              </w:rPr>
            </w:pPr>
          </w:p>
        </w:tc>
        <w:tc>
          <w:tcPr>
            <w:tcW w:w="2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背包药水机</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25</w:t>
            </w:r>
          </w:p>
        </w:tc>
        <w:tc>
          <w:tcPr>
            <w:tcW w:w="18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台</w:t>
            </w:r>
          </w:p>
        </w:tc>
      </w:tr>
      <w:tr>
        <w:tblPrEx>
          <w:tblCellMar>
            <w:top w:w="0" w:type="dxa"/>
            <w:left w:w="108" w:type="dxa"/>
            <w:bottom w:w="0" w:type="dxa"/>
            <w:right w:w="108" w:type="dxa"/>
          </w:tblCellMar>
        </w:tblPrEx>
        <w:trPr>
          <w:trHeight w:val="285" w:hRule="atLeast"/>
        </w:trPr>
        <w:tc>
          <w:tcPr>
            <w:tcW w:w="18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78"/>
              <w:widowControl/>
              <w:numPr>
                <w:ilvl w:val="0"/>
                <w:numId w:val="1"/>
              </w:numPr>
              <w:jc w:val="center"/>
              <w:textAlignment w:val="center"/>
              <w:rPr>
                <w:rFonts w:ascii="仿宋_GB2312" w:hAnsi="宋体" w:eastAsia="仿宋_GB2312" w:cs="宋体"/>
                <w:kern w:val="0"/>
                <w:szCs w:val="24"/>
              </w:rPr>
            </w:pPr>
          </w:p>
        </w:tc>
        <w:tc>
          <w:tcPr>
            <w:tcW w:w="2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电焊机</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3</w:t>
            </w:r>
          </w:p>
        </w:tc>
        <w:tc>
          <w:tcPr>
            <w:tcW w:w="18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台</w:t>
            </w:r>
          </w:p>
        </w:tc>
      </w:tr>
      <w:tr>
        <w:tblPrEx>
          <w:tblCellMar>
            <w:top w:w="0" w:type="dxa"/>
            <w:left w:w="108" w:type="dxa"/>
            <w:bottom w:w="0" w:type="dxa"/>
            <w:right w:w="108" w:type="dxa"/>
          </w:tblCellMar>
        </w:tblPrEx>
        <w:trPr>
          <w:trHeight w:val="285" w:hRule="atLeast"/>
        </w:trPr>
        <w:tc>
          <w:tcPr>
            <w:tcW w:w="18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78"/>
              <w:widowControl/>
              <w:numPr>
                <w:ilvl w:val="0"/>
                <w:numId w:val="1"/>
              </w:numPr>
              <w:jc w:val="center"/>
              <w:textAlignment w:val="center"/>
              <w:rPr>
                <w:rFonts w:ascii="仿宋_GB2312" w:hAnsi="宋体" w:eastAsia="仿宋_GB2312" w:cs="宋体"/>
                <w:kern w:val="0"/>
                <w:szCs w:val="24"/>
              </w:rPr>
            </w:pPr>
          </w:p>
        </w:tc>
        <w:tc>
          <w:tcPr>
            <w:tcW w:w="2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混凝土切割机</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1</w:t>
            </w:r>
          </w:p>
        </w:tc>
        <w:tc>
          <w:tcPr>
            <w:tcW w:w="18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台</w:t>
            </w:r>
          </w:p>
        </w:tc>
      </w:tr>
      <w:tr>
        <w:tblPrEx>
          <w:tblCellMar>
            <w:top w:w="0" w:type="dxa"/>
            <w:left w:w="108" w:type="dxa"/>
            <w:bottom w:w="0" w:type="dxa"/>
            <w:right w:w="108" w:type="dxa"/>
          </w:tblCellMar>
        </w:tblPrEx>
        <w:trPr>
          <w:trHeight w:val="285" w:hRule="atLeast"/>
        </w:trPr>
        <w:tc>
          <w:tcPr>
            <w:tcW w:w="18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78"/>
              <w:widowControl/>
              <w:numPr>
                <w:ilvl w:val="0"/>
                <w:numId w:val="1"/>
              </w:numPr>
              <w:jc w:val="center"/>
              <w:textAlignment w:val="center"/>
              <w:rPr>
                <w:rFonts w:ascii="仿宋_GB2312" w:hAnsi="宋体" w:eastAsia="仿宋_GB2312" w:cs="宋体"/>
                <w:kern w:val="0"/>
                <w:szCs w:val="24"/>
              </w:rPr>
            </w:pPr>
          </w:p>
        </w:tc>
        <w:tc>
          <w:tcPr>
            <w:tcW w:w="2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清扫车</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15</w:t>
            </w:r>
          </w:p>
        </w:tc>
        <w:tc>
          <w:tcPr>
            <w:tcW w:w="18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辆</w:t>
            </w:r>
          </w:p>
        </w:tc>
      </w:tr>
      <w:tr>
        <w:tblPrEx>
          <w:tblCellMar>
            <w:top w:w="0" w:type="dxa"/>
            <w:left w:w="108" w:type="dxa"/>
            <w:bottom w:w="0" w:type="dxa"/>
            <w:right w:w="108" w:type="dxa"/>
          </w:tblCellMar>
        </w:tblPrEx>
        <w:trPr>
          <w:trHeight w:val="285" w:hRule="atLeast"/>
        </w:trPr>
        <w:tc>
          <w:tcPr>
            <w:tcW w:w="18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78"/>
              <w:widowControl/>
              <w:numPr>
                <w:ilvl w:val="0"/>
                <w:numId w:val="1"/>
              </w:numPr>
              <w:jc w:val="center"/>
              <w:textAlignment w:val="center"/>
              <w:rPr>
                <w:rFonts w:ascii="仿宋_GB2312" w:hAnsi="宋体" w:eastAsia="仿宋_GB2312" w:cs="宋体"/>
                <w:kern w:val="0"/>
                <w:szCs w:val="24"/>
              </w:rPr>
            </w:pPr>
          </w:p>
        </w:tc>
        <w:tc>
          <w:tcPr>
            <w:tcW w:w="2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吸尘车</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10</w:t>
            </w:r>
          </w:p>
        </w:tc>
        <w:tc>
          <w:tcPr>
            <w:tcW w:w="18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4"/>
              </w:rPr>
            </w:pPr>
            <w:r>
              <w:rPr>
                <w:rFonts w:hint="eastAsia" w:ascii="仿宋_GB2312" w:hAnsi="宋体" w:eastAsia="仿宋_GB2312" w:cs="宋体"/>
                <w:kern w:val="0"/>
                <w:szCs w:val="24"/>
              </w:rPr>
              <w:t>辆</w:t>
            </w:r>
          </w:p>
        </w:tc>
      </w:tr>
    </w:tbl>
    <w:p>
      <w:pPr>
        <w:ind w:firstLine="360" w:firstLineChars="150"/>
        <w:rPr>
          <w:rFonts w:ascii="仿宋_GB2312" w:eastAsia="仿宋_GB2312"/>
          <w:szCs w:val="24"/>
        </w:rPr>
      </w:pPr>
    </w:p>
    <w:p>
      <w:pPr>
        <w:ind w:firstLine="360" w:firstLineChars="150"/>
        <w:rPr>
          <w:rFonts w:ascii="仿宋_GB2312" w:eastAsia="仿宋_GB2312"/>
          <w:szCs w:val="24"/>
        </w:rPr>
      </w:pPr>
      <w:r>
        <w:rPr>
          <w:rFonts w:hint="eastAsia" w:ascii="仿宋_GB2312" w:eastAsia="仿宋_GB2312"/>
          <w:szCs w:val="24"/>
        </w:rPr>
        <w:t>3.7  养护技术规范、标准</w:t>
      </w:r>
    </w:p>
    <w:p>
      <w:pPr>
        <w:ind w:firstLine="360" w:firstLineChars="150"/>
        <w:rPr>
          <w:rFonts w:ascii="仿宋_GB2312" w:eastAsia="仿宋_GB2312"/>
          <w:szCs w:val="24"/>
        </w:rPr>
      </w:pPr>
      <w:r>
        <w:rPr>
          <w:rFonts w:hint="eastAsia" w:ascii="仿宋_GB2312" w:eastAsia="仿宋_GB2312"/>
          <w:szCs w:val="24"/>
        </w:rPr>
        <w:t>3.7.1  养护技术规范：</w:t>
      </w:r>
    </w:p>
    <w:p>
      <w:pPr>
        <w:ind w:firstLine="360" w:firstLineChars="150"/>
        <w:rPr>
          <w:rFonts w:ascii="仿宋_GB2312" w:eastAsia="仿宋_GB2312"/>
          <w:szCs w:val="24"/>
        </w:rPr>
      </w:pPr>
      <w:r>
        <w:rPr>
          <w:rFonts w:hint="eastAsia" w:ascii="仿宋_GB2312" w:eastAsia="仿宋_GB2312"/>
          <w:szCs w:val="24"/>
        </w:rPr>
        <w:t>《园林绿化养护标准》DG/TJ 08-19-2023</w:t>
      </w:r>
    </w:p>
    <w:p>
      <w:pPr>
        <w:ind w:firstLine="360" w:firstLineChars="150"/>
        <w:rPr>
          <w:rFonts w:ascii="仿宋_GB2312" w:eastAsia="仿宋_GB2312"/>
          <w:szCs w:val="24"/>
        </w:rPr>
      </w:pPr>
      <w:r>
        <w:rPr>
          <w:rFonts w:hint="eastAsia" w:ascii="仿宋_GB2312" w:eastAsia="仿宋_GB2312"/>
          <w:szCs w:val="24"/>
        </w:rPr>
        <w:t>《上海市工程建设规范（园林工程质量检验评定标准）》  DG/TJ08-701-2000</w:t>
      </w:r>
    </w:p>
    <w:p>
      <w:pPr>
        <w:ind w:firstLine="360" w:firstLineChars="150"/>
        <w:rPr>
          <w:rFonts w:ascii="仿宋_GB2312" w:eastAsia="仿宋_GB2312"/>
          <w:szCs w:val="24"/>
        </w:rPr>
      </w:pPr>
      <w:r>
        <w:rPr>
          <w:rFonts w:hint="eastAsia" w:ascii="仿宋_GB2312" w:eastAsia="仿宋_GB2312"/>
          <w:szCs w:val="24"/>
        </w:rPr>
        <w:t>《园林绿化植物栽植技术规程》DG/TJ08-18-2011 J11913-2011</w:t>
      </w:r>
    </w:p>
    <w:p>
      <w:pPr>
        <w:ind w:firstLine="360" w:firstLineChars="150"/>
        <w:rPr>
          <w:rFonts w:ascii="仿宋_GB2312" w:eastAsia="仿宋_GB2312"/>
          <w:szCs w:val="24"/>
        </w:rPr>
      </w:pPr>
      <w:r>
        <w:rPr>
          <w:rFonts w:hint="eastAsia" w:ascii="仿宋_GB2312" w:eastAsia="仿宋_GB2312"/>
          <w:szCs w:val="24"/>
        </w:rPr>
        <w:t>《园林植物保护技术规程》DBJ08-35-94</w:t>
      </w:r>
    </w:p>
    <w:p>
      <w:pPr>
        <w:ind w:firstLine="360" w:firstLineChars="150"/>
        <w:rPr>
          <w:rFonts w:ascii="仿宋_GB2312" w:eastAsia="仿宋_GB2312"/>
          <w:szCs w:val="24"/>
        </w:rPr>
      </w:pPr>
      <w:r>
        <w:rPr>
          <w:rFonts w:hint="eastAsia" w:ascii="仿宋_GB2312" w:eastAsia="仿宋_GB2312"/>
          <w:szCs w:val="24"/>
        </w:rPr>
        <w:t>《大树移植技术规程》DBJ08-53-96</w:t>
      </w:r>
    </w:p>
    <w:p>
      <w:pPr>
        <w:ind w:firstLine="360" w:firstLineChars="150"/>
        <w:rPr>
          <w:rFonts w:ascii="仿宋_GB2312" w:eastAsia="仿宋_GB2312"/>
          <w:szCs w:val="24"/>
        </w:rPr>
      </w:pPr>
      <w:r>
        <w:rPr>
          <w:rFonts w:hint="eastAsia" w:ascii="仿宋_GB2312" w:eastAsia="仿宋_GB2312"/>
          <w:szCs w:val="24"/>
        </w:rPr>
        <w:t>《草坪建植和草坪养护管理的技术规程》DBJ08-67-97</w:t>
      </w:r>
    </w:p>
    <w:p>
      <w:pPr>
        <w:ind w:firstLine="360" w:firstLineChars="150"/>
        <w:rPr>
          <w:rFonts w:ascii="仿宋_GB2312" w:eastAsia="仿宋_GB2312"/>
          <w:szCs w:val="24"/>
        </w:rPr>
      </w:pPr>
      <w:r>
        <w:rPr>
          <w:rFonts w:hint="eastAsia" w:ascii="仿宋_GB2312" w:eastAsia="仿宋_GB2312"/>
          <w:szCs w:val="24"/>
        </w:rPr>
        <w:t>《上海市园林工程预算定额（2016）》</w:t>
      </w:r>
    </w:p>
    <w:p>
      <w:pPr>
        <w:ind w:firstLine="360" w:firstLineChars="150"/>
        <w:rPr>
          <w:rFonts w:ascii="仿宋_GB2312" w:eastAsia="仿宋_GB2312"/>
          <w:szCs w:val="24"/>
        </w:rPr>
      </w:pPr>
      <w:r>
        <w:rPr>
          <w:rFonts w:hint="eastAsia" w:ascii="仿宋_GB2312" w:eastAsia="仿宋_GB2312"/>
          <w:szCs w:val="24"/>
        </w:rPr>
        <w:t>《上海市绿地养护概算定额（2010）》</w:t>
      </w:r>
    </w:p>
    <w:p>
      <w:pPr>
        <w:ind w:firstLine="360" w:firstLineChars="150"/>
        <w:rPr>
          <w:rFonts w:ascii="仿宋_GB2312" w:eastAsia="仿宋_GB2312"/>
          <w:szCs w:val="24"/>
        </w:rPr>
      </w:pPr>
      <w:r>
        <w:rPr>
          <w:rFonts w:hint="eastAsia" w:ascii="仿宋_GB2312" w:eastAsia="仿宋_GB2312"/>
          <w:szCs w:val="24"/>
        </w:rPr>
        <w:t>《假山叠石工程施工规程》DBJ08-211-94</w:t>
      </w:r>
    </w:p>
    <w:p>
      <w:pPr>
        <w:ind w:firstLine="360" w:firstLineChars="150"/>
        <w:rPr>
          <w:rFonts w:ascii="仿宋_GB2312" w:eastAsia="仿宋_GB2312"/>
          <w:szCs w:val="24"/>
        </w:rPr>
      </w:pPr>
      <w:r>
        <w:rPr>
          <w:rFonts w:hint="eastAsia" w:ascii="仿宋_GB2312" w:eastAsia="仿宋_GB2312"/>
          <w:szCs w:val="24"/>
        </w:rPr>
        <w:t>《花坛、花境技术规程》DBJ08-66-97</w:t>
      </w:r>
    </w:p>
    <w:p>
      <w:pPr>
        <w:ind w:firstLine="360" w:firstLineChars="150"/>
        <w:rPr>
          <w:rFonts w:ascii="仿宋_GB2312" w:eastAsia="仿宋_GB2312"/>
          <w:szCs w:val="24"/>
        </w:rPr>
      </w:pPr>
      <w:r>
        <w:rPr>
          <w:rFonts w:hint="eastAsia" w:ascii="仿宋_GB2312" w:eastAsia="仿宋_GB2312"/>
          <w:szCs w:val="24"/>
        </w:rPr>
        <w:t>《园林绿化栽植土质量标准》DG/TJ 08-231-2021</w:t>
      </w:r>
    </w:p>
    <w:p>
      <w:pPr>
        <w:ind w:firstLine="360" w:firstLineChars="150"/>
        <w:rPr>
          <w:rFonts w:ascii="仿宋_GB2312" w:eastAsia="仿宋_GB2312"/>
          <w:szCs w:val="24"/>
        </w:rPr>
      </w:pPr>
      <w:r>
        <w:rPr>
          <w:rFonts w:hint="eastAsia" w:ascii="仿宋_GB2312" w:eastAsia="仿宋_GB2312"/>
          <w:szCs w:val="24"/>
        </w:rPr>
        <w:t>《立体绿化技术规程》</w:t>
      </w:r>
    </w:p>
    <w:p>
      <w:pPr>
        <w:ind w:firstLine="360" w:firstLineChars="150"/>
        <w:rPr>
          <w:rFonts w:ascii="仿宋_GB2312" w:eastAsia="仿宋_GB2312"/>
          <w:szCs w:val="24"/>
        </w:rPr>
      </w:pPr>
      <w:r>
        <w:rPr>
          <w:rFonts w:hint="eastAsia" w:ascii="仿宋_GB2312" w:eastAsia="仿宋_GB2312"/>
          <w:szCs w:val="24"/>
        </w:rPr>
        <w:t>《垂直绿化技术规程》DBJ08-75-98</w:t>
      </w:r>
    </w:p>
    <w:p>
      <w:pPr>
        <w:ind w:firstLine="360" w:firstLineChars="150"/>
        <w:rPr>
          <w:rFonts w:ascii="仿宋_GB2312" w:eastAsia="仿宋_GB2312"/>
          <w:szCs w:val="24"/>
        </w:rPr>
      </w:pPr>
      <w:r>
        <w:rPr>
          <w:rFonts w:hint="eastAsia" w:ascii="仿宋_GB2312" w:eastAsia="仿宋_GB2312"/>
          <w:szCs w:val="24"/>
        </w:rPr>
        <w:t>《立体花坛技术规程》  DB31/T 1295-2021</w:t>
      </w:r>
    </w:p>
    <w:p>
      <w:pPr>
        <w:ind w:firstLine="360" w:firstLineChars="150"/>
        <w:rPr>
          <w:rFonts w:ascii="仿宋_GB2312" w:eastAsia="仿宋_GB2312"/>
          <w:szCs w:val="24"/>
        </w:rPr>
      </w:pPr>
      <w:r>
        <w:rPr>
          <w:rFonts w:hint="eastAsia" w:ascii="仿宋_GB2312" w:eastAsia="仿宋_GB2312"/>
          <w:szCs w:val="24"/>
        </w:rPr>
        <w:t>《古树名木和古树后续资源养护质量评价》DB31/T 1294-2021</w:t>
      </w:r>
    </w:p>
    <w:p>
      <w:pPr>
        <w:ind w:firstLine="360" w:firstLineChars="150"/>
        <w:rPr>
          <w:rFonts w:ascii="仿宋_GB2312" w:eastAsia="仿宋_GB2312"/>
          <w:szCs w:val="24"/>
        </w:rPr>
      </w:pPr>
      <w:r>
        <w:rPr>
          <w:rFonts w:hint="eastAsia" w:ascii="仿宋_GB2312" w:eastAsia="仿宋_GB2312"/>
          <w:szCs w:val="24"/>
        </w:rPr>
        <w:t>《行道树栽植与养护技术标准》DG/TJ08-2105-2022</w:t>
      </w:r>
    </w:p>
    <w:p>
      <w:pPr>
        <w:ind w:firstLine="360" w:firstLineChars="150"/>
        <w:rPr>
          <w:rFonts w:ascii="仿宋_GB2312" w:eastAsia="仿宋_GB2312"/>
          <w:szCs w:val="24"/>
        </w:rPr>
      </w:pPr>
      <w:r>
        <w:rPr>
          <w:rFonts w:hint="eastAsia" w:ascii="仿宋_GB2312" w:eastAsia="仿宋_GB2312"/>
          <w:szCs w:val="24"/>
        </w:rPr>
        <w:t>《绿道建设技术标准》DG/TJ08-2336-2020</w:t>
      </w:r>
    </w:p>
    <w:p>
      <w:pPr>
        <w:ind w:firstLine="360" w:firstLineChars="150"/>
        <w:rPr>
          <w:rFonts w:ascii="仿宋_GB2312" w:eastAsia="仿宋_GB2312"/>
          <w:szCs w:val="24"/>
        </w:rPr>
      </w:pPr>
      <w:r>
        <w:rPr>
          <w:rFonts w:hint="eastAsia" w:ascii="仿宋_GB2312" w:eastAsia="仿宋_GB2312"/>
          <w:szCs w:val="24"/>
        </w:rPr>
        <w:t>《绿地设计标准》DG/TJ 08-15-2020</w:t>
      </w:r>
    </w:p>
    <w:p>
      <w:pPr>
        <w:ind w:firstLine="360" w:firstLineChars="150"/>
        <w:rPr>
          <w:rFonts w:ascii="仿宋_GB2312" w:eastAsia="仿宋_GB2312"/>
          <w:szCs w:val="24"/>
        </w:rPr>
      </w:pPr>
      <w:r>
        <w:rPr>
          <w:rFonts w:hint="eastAsia" w:ascii="仿宋_GB2312" w:eastAsia="仿宋_GB2312"/>
          <w:szCs w:val="24"/>
        </w:rPr>
        <w:t>《白玉兰栽植养护技术规范》DB31/T 1393-2023</w:t>
      </w:r>
    </w:p>
    <w:p>
      <w:pPr>
        <w:ind w:firstLine="360" w:firstLineChars="150"/>
        <w:rPr>
          <w:rFonts w:ascii="仿宋_GB2312" w:eastAsia="仿宋_GB2312"/>
          <w:szCs w:val="24"/>
        </w:rPr>
      </w:pPr>
      <w:r>
        <w:rPr>
          <w:rFonts w:hint="eastAsia" w:ascii="仿宋_GB2312" w:eastAsia="仿宋_GB2312"/>
          <w:szCs w:val="24"/>
        </w:rPr>
        <w:t>《植物铭牌设置规范》DB31/T 1233-2020</w:t>
      </w:r>
    </w:p>
    <w:p>
      <w:pPr>
        <w:ind w:firstLine="360" w:firstLineChars="150"/>
        <w:rPr>
          <w:rFonts w:ascii="仿宋_GB2312" w:eastAsia="仿宋_GB2312"/>
          <w:szCs w:val="24"/>
        </w:rPr>
      </w:pPr>
      <w:r>
        <w:rPr>
          <w:rFonts w:hint="eastAsia" w:ascii="仿宋_GB2312" w:eastAsia="仿宋_GB2312"/>
          <w:szCs w:val="24"/>
        </w:rPr>
        <w:t>《上海市口袋公园建设技术导则》</w:t>
      </w:r>
    </w:p>
    <w:p>
      <w:pPr>
        <w:ind w:firstLine="360" w:firstLineChars="150"/>
        <w:rPr>
          <w:rFonts w:ascii="仿宋_GB2312" w:eastAsia="仿宋_GB2312"/>
          <w:szCs w:val="24"/>
        </w:rPr>
      </w:pPr>
      <w:r>
        <w:rPr>
          <w:rFonts w:hint="eastAsia" w:ascii="仿宋_GB2312" w:eastAsia="仿宋_GB2312"/>
          <w:szCs w:val="24"/>
        </w:rPr>
        <w:t>《上海市绿化特色道路创建办法》</w:t>
      </w:r>
    </w:p>
    <w:p>
      <w:pPr>
        <w:ind w:firstLine="360" w:firstLineChars="150"/>
        <w:rPr>
          <w:rFonts w:ascii="仿宋_GB2312" w:eastAsia="仿宋_GB2312"/>
          <w:szCs w:val="24"/>
        </w:rPr>
      </w:pPr>
      <w:r>
        <w:rPr>
          <w:rFonts w:hint="eastAsia" w:ascii="仿宋_GB2312" w:eastAsia="仿宋_GB2312"/>
          <w:szCs w:val="24"/>
        </w:rPr>
        <w:t>《上海市口袋公园管理指导意见》</w:t>
      </w:r>
    </w:p>
    <w:p>
      <w:pPr>
        <w:ind w:firstLine="360" w:firstLineChars="150"/>
        <w:rPr>
          <w:rFonts w:ascii="仿宋_GB2312" w:eastAsia="仿宋_GB2312"/>
          <w:szCs w:val="24"/>
        </w:rPr>
      </w:pPr>
      <w:r>
        <w:rPr>
          <w:rFonts w:hint="eastAsia" w:ascii="仿宋_GB2312" w:eastAsia="仿宋_GB2312"/>
          <w:szCs w:val="24"/>
        </w:rPr>
        <w:t>其它：政府相应的必须执行的有关标准</w:t>
      </w:r>
    </w:p>
    <w:p>
      <w:pPr>
        <w:ind w:firstLine="360" w:firstLineChars="150"/>
        <w:rPr>
          <w:rFonts w:ascii="仿宋_GB2312" w:eastAsia="仿宋_GB2312"/>
          <w:szCs w:val="24"/>
        </w:rPr>
      </w:pPr>
      <w:r>
        <w:rPr>
          <w:rFonts w:hint="eastAsia" w:ascii="仿宋_GB2312" w:eastAsia="仿宋_GB2312"/>
          <w:szCs w:val="24"/>
        </w:rPr>
        <w:t>3.7.2养护技术标准参照《园林绿化养护标准》DG/TJ 08-19-2023</w:t>
      </w:r>
    </w:p>
    <w:p>
      <w:pPr>
        <w:rPr>
          <w:rFonts w:ascii="仿宋_GB2312" w:eastAsia="仿宋_GB2312"/>
          <w:szCs w:val="24"/>
        </w:rPr>
      </w:pPr>
      <w:r>
        <w:rPr>
          <w:rFonts w:hint="eastAsia" w:ascii="仿宋_GB2312" w:eastAsia="仿宋_GB2312"/>
          <w:szCs w:val="24"/>
        </w:rPr>
        <w:t>3.8  行道树、桥荫、街区绿化及花卉容器养护要求</w:t>
      </w:r>
    </w:p>
    <w:p>
      <w:pPr>
        <w:rPr>
          <w:rFonts w:ascii="仿宋_GB2312" w:eastAsia="仿宋_GB2312"/>
          <w:szCs w:val="24"/>
        </w:rPr>
      </w:pPr>
      <w:r>
        <w:rPr>
          <w:rFonts w:hint="eastAsia" w:ascii="仿宋_GB2312" w:eastAsia="仿宋_GB2312"/>
          <w:szCs w:val="24"/>
        </w:rPr>
        <w:t>3.8.1行道树及其附属设施养护管理要求</w:t>
      </w:r>
    </w:p>
    <w:p>
      <w:pPr>
        <w:rPr>
          <w:rFonts w:ascii="仿宋_GB2312" w:eastAsia="仿宋_GB2312"/>
          <w:szCs w:val="24"/>
        </w:rPr>
      </w:pPr>
      <w:r>
        <w:rPr>
          <w:rFonts w:hint="eastAsia" w:ascii="仿宋_GB2312" w:eastAsia="仿宋_GB2312"/>
          <w:szCs w:val="24"/>
        </w:rPr>
        <w:t xml:space="preserve">    1、整体要求：</w:t>
      </w:r>
    </w:p>
    <w:p>
      <w:pPr>
        <w:ind w:firstLine="480" w:firstLineChars="200"/>
        <w:outlineLvl w:val="0"/>
        <w:rPr>
          <w:rFonts w:ascii="仿宋_GB2312" w:eastAsia="仿宋_GB2312"/>
          <w:szCs w:val="24"/>
        </w:rPr>
      </w:pPr>
      <w:r>
        <w:rPr>
          <w:rFonts w:hint="eastAsia" w:ascii="仿宋_GB2312" w:eastAsia="仿宋_GB2312"/>
          <w:szCs w:val="24"/>
        </w:rPr>
        <w:t>（1）行道树规格整齐统一，长势茂盛，树冠丰满完整。熟悉养护清单内容，对养护清单内道路、树种、路段信息进行核对，有信息不符的应及时汇总上报。</w:t>
      </w:r>
    </w:p>
    <w:p>
      <w:pPr>
        <w:ind w:firstLine="480" w:firstLineChars="200"/>
        <w:rPr>
          <w:rFonts w:ascii="仿宋_GB2312" w:eastAsia="仿宋_GB2312"/>
          <w:szCs w:val="24"/>
        </w:rPr>
      </w:pPr>
      <w:r>
        <w:rPr>
          <w:rFonts w:hint="eastAsia" w:ascii="仿宋_GB2312" w:eastAsia="仿宋_GB2312"/>
          <w:szCs w:val="24"/>
        </w:rPr>
        <w:t>（2）无枯枝死树、缺株、植株不倾斜。</w:t>
      </w:r>
    </w:p>
    <w:p>
      <w:pPr>
        <w:ind w:firstLine="480" w:firstLineChars="200"/>
        <w:rPr>
          <w:rFonts w:ascii="仿宋_GB2312" w:eastAsia="仿宋_GB2312"/>
          <w:szCs w:val="24"/>
        </w:rPr>
      </w:pPr>
      <w:r>
        <w:rPr>
          <w:rFonts w:hint="eastAsia" w:ascii="仿宋_GB2312" w:eastAsia="仿宋_GB2312"/>
          <w:szCs w:val="24"/>
        </w:rPr>
        <w:t>（3）修剪合理，无徒长枝、病虫枝、过密枝、并生枝、交叉枝、下垂枝、枯枝、伤损枝、树干无空洞。</w:t>
      </w:r>
    </w:p>
    <w:p>
      <w:pPr>
        <w:ind w:firstLine="480" w:firstLineChars="200"/>
        <w:rPr>
          <w:rFonts w:ascii="仿宋_GB2312" w:eastAsia="仿宋_GB2312"/>
          <w:szCs w:val="24"/>
        </w:rPr>
      </w:pPr>
      <w:r>
        <w:rPr>
          <w:rFonts w:hint="eastAsia" w:ascii="仿宋_GB2312" w:eastAsia="仿宋_GB2312"/>
          <w:szCs w:val="24"/>
        </w:rPr>
        <w:t>（4）树穴平整，黄土不裸露；树穴不积水，穴内地被植物无死株、缺株、败叶、树穴（含树穴侧石）保持整洁无缺损、无垃圾、果皮、烟蒂等。加强新种植行道树养护，满足一个生长周期后应及时铺设盖板（另行招标），期间应采取临时覆盖措施防止黄土裸露。</w:t>
      </w:r>
    </w:p>
    <w:p>
      <w:pPr>
        <w:ind w:firstLine="480" w:firstLineChars="200"/>
        <w:rPr>
          <w:rFonts w:ascii="仿宋_GB2312" w:eastAsia="仿宋_GB2312"/>
          <w:szCs w:val="24"/>
        </w:rPr>
      </w:pPr>
      <w:r>
        <w:rPr>
          <w:rFonts w:hint="eastAsia" w:ascii="仿宋_GB2312" w:eastAsia="仿宋_GB2312"/>
          <w:szCs w:val="24"/>
        </w:rPr>
        <w:t>（5）树桩保持完好，无短桩、坏桩。桩位、扎缚规范、整齐。竖桩位置应在盛行风向一侧向外倾斜5°埋设树桩(即东西向道路须在树木东侧竖桩,南北向道路须在树木北侧竖桩),与主干间距为25cm~30cm。</w:t>
      </w:r>
    </w:p>
    <w:p>
      <w:pPr>
        <w:ind w:firstLine="480" w:firstLineChars="200"/>
        <w:rPr>
          <w:rFonts w:ascii="仿宋_GB2312" w:eastAsia="仿宋_GB2312"/>
          <w:szCs w:val="24"/>
        </w:rPr>
      </w:pPr>
      <w:r>
        <w:rPr>
          <w:rFonts w:hint="eastAsia" w:ascii="仿宋_GB2312" w:eastAsia="仿宋_GB2312"/>
          <w:szCs w:val="24"/>
        </w:rPr>
        <w:t>（6）新种、补植适时，质量达标。新种行道树存活率：本市苗木要达到95％以上，外地苗木要达到92％以上。全年行道树淘汰更新不得大于2％。补种苗木的品种、规格与原有行道树基本保持一致，新种树木草绳绕杆要完整，一年后树干无草绳。新种树、小型树、经过扶正后的行道树或处于风口的行道树必须竖桩加固。</w:t>
      </w:r>
    </w:p>
    <w:p>
      <w:pPr>
        <w:ind w:firstLine="480" w:firstLineChars="200"/>
        <w:rPr>
          <w:rFonts w:ascii="仿宋_GB2312" w:eastAsia="仿宋_GB2312"/>
          <w:szCs w:val="24"/>
        </w:rPr>
      </w:pPr>
      <w:r>
        <w:rPr>
          <w:rFonts w:hint="eastAsia" w:ascii="仿宋_GB2312" w:eastAsia="仿宋_GB2312"/>
          <w:szCs w:val="24"/>
        </w:rPr>
        <w:t>（7）修剪剥芽规范合理，充分考虑对交通的影响，需有详细周密的作业计划，与环卫双向告知，产生树枝及时清运，做到随做随清。</w:t>
      </w:r>
    </w:p>
    <w:p>
      <w:pPr>
        <w:ind w:firstLine="480" w:firstLineChars="200"/>
        <w:rPr>
          <w:rFonts w:ascii="仿宋_GB2312" w:eastAsia="仿宋_GB2312"/>
          <w:szCs w:val="24"/>
        </w:rPr>
      </w:pPr>
      <w:r>
        <w:rPr>
          <w:rFonts w:hint="eastAsia" w:ascii="仿宋_GB2312" w:eastAsia="仿宋_GB2312"/>
          <w:szCs w:val="24"/>
        </w:rPr>
        <w:t>（8）绑扎扶正及时规范并有工作计划。中型树及以上的行道树可去除护树桩(处于风口或路口行道树除外)。老化损坏的树桩、绑扎材料应及时更换。应定时检查,发现吊桩、绑扎材料松散或嵌入树体等现象应及时调整,重新绑扎，松绑调整应在树木横向生长前完成。</w:t>
      </w:r>
    </w:p>
    <w:p>
      <w:pPr>
        <w:ind w:firstLine="480" w:firstLineChars="200"/>
        <w:rPr>
          <w:rFonts w:ascii="仿宋_GB2312" w:eastAsia="仿宋_GB2312"/>
          <w:szCs w:val="24"/>
        </w:rPr>
      </w:pPr>
      <w:r>
        <w:rPr>
          <w:rFonts w:hint="eastAsia" w:ascii="仿宋_GB2312" w:eastAsia="仿宋_GB2312"/>
          <w:szCs w:val="24"/>
        </w:rPr>
        <w:t>（9）无明显的病虫害危害迹象。病虫害防治科学合理，对危害行道树的重点有害生物及其它病虫害及时落实防治措施。配合做好外来物种调查。</w:t>
      </w:r>
    </w:p>
    <w:p>
      <w:pPr>
        <w:ind w:firstLine="480" w:firstLineChars="200"/>
        <w:rPr>
          <w:rFonts w:ascii="仿宋_GB2312" w:eastAsia="仿宋_GB2312"/>
          <w:szCs w:val="24"/>
        </w:rPr>
      </w:pPr>
      <w:r>
        <w:rPr>
          <w:rFonts w:hint="eastAsia" w:ascii="仿宋_GB2312" w:eastAsia="仿宋_GB2312"/>
          <w:szCs w:val="24"/>
        </w:rPr>
        <w:t>（10）按要求做好行道树烂头补洞工作。补洞工作应符合操作工序。</w:t>
      </w:r>
    </w:p>
    <w:p>
      <w:pPr>
        <w:ind w:firstLine="480" w:firstLineChars="200"/>
        <w:rPr>
          <w:rFonts w:ascii="仿宋_GB2312" w:eastAsia="仿宋_GB2312"/>
          <w:szCs w:val="24"/>
        </w:rPr>
      </w:pPr>
      <w:r>
        <w:rPr>
          <w:rFonts w:hint="eastAsia" w:ascii="仿宋_GB2312" w:eastAsia="仿宋_GB2312"/>
          <w:szCs w:val="24"/>
        </w:rPr>
        <w:t>（11）设施维护：符合行业绿化设施设备管理要求。安排专人进行行道树树穴盖板日常巡查，确保树穴盖板与人行道平整、盖板表面无破损、盖板透水孔及生长圈内填充物完整，巡查中发现树穴盖板整体破碎的应及时报告甲方予以整修更换。发生行道树树穴盖板缺失、损坏、不平整等问题的投诉，需在5天内检修完成，保障期间应在2天内完成。</w:t>
      </w:r>
    </w:p>
    <w:p>
      <w:pPr>
        <w:ind w:firstLine="480" w:firstLineChars="200"/>
        <w:rPr>
          <w:rFonts w:ascii="仿宋_GB2312" w:eastAsia="仿宋_GB2312"/>
          <w:szCs w:val="24"/>
        </w:rPr>
      </w:pPr>
      <w:r>
        <w:rPr>
          <w:rFonts w:hint="eastAsia" w:ascii="仿宋_GB2312" w:eastAsia="仿宋_GB2312"/>
          <w:szCs w:val="24"/>
        </w:rPr>
        <w:t>（12）防台防汛措施落实，做好预案，成立专业抢险队伍及做好抢险物资的准备。接到抢险电话后抢险人员必须及时赶到现场进行抢险处理，第一时间确保道路畅通。</w:t>
      </w:r>
    </w:p>
    <w:p>
      <w:pPr>
        <w:ind w:firstLine="480" w:firstLineChars="200"/>
        <w:rPr>
          <w:rFonts w:ascii="仿宋_GB2312" w:eastAsia="仿宋_GB2312"/>
          <w:szCs w:val="24"/>
        </w:rPr>
      </w:pPr>
      <w:r>
        <w:rPr>
          <w:rFonts w:hint="eastAsia" w:ascii="仿宋_GB2312" w:eastAsia="仿宋_GB2312"/>
          <w:szCs w:val="24"/>
        </w:rPr>
        <w:t>（13）日常养护有计划，并做好行道树日常基础资料的统计汇总工作，做好养护工作台帐。</w:t>
      </w:r>
    </w:p>
    <w:p>
      <w:pPr>
        <w:ind w:firstLine="480" w:firstLineChars="200"/>
        <w:rPr>
          <w:rFonts w:ascii="仿宋_GB2312" w:eastAsia="仿宋_GB2312"/>
          <w:szCs w:val="24"/>
        </w:rPr>
      </w:pPr>
      <w:r>
        <w:rPr>
          <w:rFonts w:hint="eastAsia" w:ascii="仿宋_GB2312" w:eastAsia="仿宋_GB2312"/>
          <w:szCs w:val="24"/>
        </w:rPr>
        <w:t>（14）形成自查机制，有专人专岗做好自查工作，加强对全区行道树的巡视检查，发现问题及时上报中心建设管理科,形成巡查台账、并对发现问题、整改问题形成记录，以月报形式，提交纸质资料和电子资料。</w:t>
      </w:r>
    </w:p>
    <w:p>
      <w:pPr>
        <w:ind w:firstLine="480" w:firstLineChars="200"/>
        <w:rPr>
          <w:rFonts w:ascii="仿宋_GB2312" w:eastAsia="仿宋_GB2312"/>
          <w:szCs w:val="24"/>
        </w:rPr>
      </w:pPr>
      <w:r>
        <w:rPr>
          <w:rFonts w:hint="eastAsia" w:ascii="仿宋_GB2312" w:eastAsia="仿宋_GB2312"/>
          <w:szCs w:val="24"/>
        </w:rPr>
        <w:t>（15）新种、补种行道树及打桩前，必须经各管线部门现场踏勘确认后方可进行施工。</w:t>
      </w:r>
    </w:p>
    <w:p>
      <w:pPr>
        <w:ind w:firstLine="480" w:firstLineChars="200"/>
        <w:rPr>
          <w:rFonts w:ascii="仿宋_GB2312" w:eastAsia="仿宋_GB2312"/>
          <w:szCs w:val="24"/>
        </w:rPr>
      </w:pPr>
      <w:r>
        <w:rPr>
          <w:rFonts w:hint="eastAsia" w:ascii="仿宋_GB2312" w:eastAsia="仿宋_GB2312"/>
          <w:szCs w:val="24"/>
        </w:rPr>
        <w:t>（16）根据静安特色一路一方案积极落实林荫道路、绿化特色道路的创建计划，提高养护管理技术水平，保持道路效果。</w:t>
      </w:r>
    </w:p>
    <w:p>
      <w:pPr>
        <w:ind w:firstLine="480" w:firstLineChars="200"/>
        <w:rPr>
          <w:rFonts w:ascii="仿宋_GB2312" w:eastAsia="仿宋_GB2312"/>
          <w:szCs w:val="24"/>
        </w:rPr>
      </w:pPr>
      <w:r>
        <w:rPr>
          <w:rFonts w:hint="eastAsia" w:ascii="仿宋_GB2312" w:eastAsia="仿宋_GB2312"/>
          <w:szCs w:val="24"/>
        </w:rPr>
        <w:t>（17）安全生产要求，上树工必须持证上岗，做好安全培训，并对周边环境做好安全保障，根据市局行道树规范守则规范作业。</w:t>
      </w:r>
    </w:p>
    <w:p>
      <w:pPr>
        <w:ind w:firstLine="480" w:firstLineChars="200"/>
        <w:rPr>
          <w:rFonts w:ascii="仿宋_GB2312" w:eastAsia="仿宋_GB2312"/>
          <w:szCs w:val="24"/>
        </w:rPr>
      </w:pPr>
      <w:r>
        <w:rPr>
          <w:rFonts w:hint="eastAsia" w:ascii="仿宋_GB2312" w:eastAsia="仿宋_GB2312"/>
          <w:szCs w:val="24"/>
        </w:rPr>
        <w:t>（18）行道树做好施肥和浇水工作，开花和色叶行道树全年至少施肥2次，其他行道树应施肥1次，应使用适用深根施肥机的肥料，按需求使用肥料（液态肥等）。做好行道树夏季浇水和极端天气的行道树保护工作。</w:t>
      </w:r>
    </w:p>
    <w:p>
      <w:pPr>
        <w:ind w:firstLine="480" w:firstLineChars="200"/>
        <w:rPr>
          <w:rFonts w:ascii="仿宋_GB2312" w:eastAsia="仿宋_GB2312"/>
          <w:szCs w:val="24"/>
        </w:rPr>
      </w:pPr>
      <w:r>
        <w:rPr>
          <w:rFonts w:hint="eastAsia" w:ascii="仿宋_GB2312" w:eastAsia="仿宋_GB2312"/>
          <w:szCs w:val="24"/>
        </w:rPr>
        <w:t>（19）按要求完成行道树果毛防治工作，进行悬铃木果毛防治物理冲刷的工作。</w:t>
      </w:r>
    </w:p>
    <w:p>
      <w:pPr>
        <w:ind w:firstLine="480" w:firstLineChars="200"/>
        <w:rPr>
          <w:rFonts w:ascii="仿宋_GB2312" w:eastAsia="仿宋_GB2312"/>
          <w:szCs w:val="24"/>
        </w:rPr>
      </w:pPr>
      <w:r>
        <w:rPr>
          <w:rFonts w:hint="eastAsia" w:ascii="仿宋_GB2312" w:eastAsia="仿宋_GB2312"/>
          <w:szCs w:val="24"/>
        </w:rPr>
        <w:t>2、行道树重点养护道路，除满足以上养护管理要求以外，还需确保：</w:t>
      </w:r>
    </w:p>
    <w:p>
      <w:pPr>
        <w:ind w:firstLine="480" w:firstLineChars="200"/>
        <w:rPr>
          <w:rFonts w:ascii="仿宋_GB2312" w:eastAsia="仿宋_GB2312"/>
          <w:szCs w:val="24"/>
        </w:rPr>
      </w:pPr>
      <w:r>
        <w:rPr>
          <w:rFonts w:hint="eastAsia" w:ascii="仿宋_GB2312" w:eastAsia="仿宋_GB2312"/>
          <w:szCs w:val="24"/>
        </w:rPr>
        <w:t>（1）行道树修剪应保持冠形完整、骨架优美，不得无故缩冠重修。处理好树木与道路设施、周边环境间矛盾，重点处理好树线、树牌、树灯以及与居民之间的矛盾。结合冬季修剪方案开展安全隐患专项排查，及时修除大型枯枝、烂头、下垂枝等，杜绝安全事故的发生。</w:t>
      </w:r>
    </w:p>
    <w:p>
      <w:pPr>
        <w:ind w:firstLine="480" w:firstLineChars="200"/>
        <w:rPr>
          <w:rFonts w:ascii="仿宋_GB2312" w:eastAsia="仿宋_GB2312"/>
          <w:szCs w:val="24"/>
        </w:rPr>
      </w:pPr>
      <w:r>
        <w:rPr>
          <w:rFonts w:hint="eastAsia" w:ascii="仿宋_GB2312" w:eastAsia="仿宋_GB2312"/>
          <w:szCs w:val="24"/>
        </w:rPr>
        <w:t>（2）实行一路一方案养护计划，按照行道树冬修分类分级的要求，针对不同区域、不同道路、不同树种的实际情况，制定行道树冬春季综合养护实施计划和方案。</w:t>
      </w:r>
    </w:p>
    <w:p>
      <w:pPr>
        <w:ind w:firstLine="480" w:firstLineChars="200"/>
        <w:rPr>
          <w:rFonts w:ascii="仿宋_GB2312" w:eastAsia="仿宋_GB2312"/>
          <w:szCs w:val="24"/>
        </w:rPr>
      </w:pPr>
      <w:r>
        <w:rPr>
          <w:rFonts w:hint="eastAsia" w:ascii="仿宋_GB2312" w:eastAsia="仿宋_GB2312"/>
          <w:szCs w:val="24"/>
        </w:rPr>
        <w:t>（3）加强作业设备、装备更新、升级，提高技术能级，提倡使用单手电锯进行修剪作业，有条件的道路倡导使用登高车、深根施肥机等机械开展养护作业，确保作业实效。</w:t>
      </w:r>
    </w:p>
    <w:tbl>
      <w:tblPr>
        <w:tblStyle w:val="6"/>
        <w:tblW w:w="8180" w:type="dxa"/>
        <w:tblInd w:w="108" w:type="dxa"/>
        <w:tblLayout w:type="autofit"/>
        <w:tblCellMar>
          <w:top w:w="0" w:type="dxa"/>
          <w:left w:w="108" w:type="dxa"/>
          <w:bottom w:w="0" w:type="dxa"/>
          <w:right w:w="108" w:type="dxa"/>
        </w:tblCellMar>
      </w:tblPr>
      <w:tblGrid>
        <w:gridCol w:w="752"/>
        <w:gridCol w:w="1459"/>
        <w:gridCol w:w="3051"/>
        <w:gridCol w:w="1105"/>
        <w:gridCol w:w="1813"/>
      </w:tblGrid>
      <w:tr>
        <w:tblPrEx>
          <w:tblCellMar>
            <w:top w:w="0" w:type="dxa"/>
            <w:left w:w="108" w:type="dxa"/>
            <w:bottom w:w="0" w:type="dxa"/>
            <w:right w:w="108" w:type="dxa"/>
          </w:tblCellMar>
        </w:tblPrEx>
        <w:trPr>
          <w:trHeight w:val="780" w:hRule="atLeast"/>
        </w:trPr>
        <w:tc>
          <w:tcPr>
            <w:tcW w:w="8180" w:type="dxa"/>
            <w:gridSpan w:val="5"/>
            <w:tcBorders>
              <w:top w:val="nil"/>
              <w:left w:val="nil"/>
              <w:bottom w:val="nil"/>
              <w:right w:val="nil"/>
            </w:tcBorders>
            <w:shd w:val="clear" w:color="auto" w:fill="auto"/>
            <w:noWrap/>
            <w:vAlign w:val="center"/>
          </w:tcPr>
          <w:p>
            <w:pPr>
              <w:widowControl/>
              <w:jc w:val="center"/>
              <w:rPr>
                <w:rFonts w:ascii="仿宋_GB2312" w:eastAsia="仿宋_GB2312"/>
                <w:b/>
                <w:bCs/>
                <w:szCs w:val="24"/>
              </w:rPr>
            </w:pPr>
            <w:r>
              <w:rPr>
                <w:rFonts w:hint="eastAsia" w:ascii="仿宋_GB2312" w:eastAsia="仿宋_GB2312"/>
                <w:b/>
                <w:bCs/>
                <w:szCs w:val="24"/>
              </w:rPr>
              <w:t>静安区行道树重点道路</w:t>
            </w:r>
          </w:p>
        </w:tc>
      </w:tr>
      <w:tr>
        <w:tblPrEx>
          <w:tblCellMar>
            <w:top w:w="0" w:type="dxa"/>
            <w:left w:w="108" w:type="dxa"/>
            <w:bottom w:w="0" w:type="dxa"/>
            <w:right w:w="108" w:type="dxa"/>
          </w:tblCellMar>
        </w:tblPrEx>
        <w:trPr>
          <w:trHeight w:val="439" w:hRule="atLeast"/>
        </w:trPr>
        <w:tc>
          <w:tcPr>
            <w:tcW w:w="75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序号</w:t>
            </w:r>
          </w:p>
        </w:tc>
        <w:tc>
          <w:tcPr>
            <w:tcW w:w="145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道路</w:t>
            </w:r>
          </w:p>
        </w:tc>
        <w:tc>
          <w:tcPr>
            <w:tcW w:w="305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路段</w:t>
            </w:r>
          </w:p>
        </w:tc>
        <w:tc>
          <w:tcPr>
            <w:tcW w:w="1105"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树种</w:t>
            </w:r>
          </w:p>
        </w:tc>
        <w:tc>
          <w:tcPr>
            <w:tcW w:w="1813"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备注</w:t>
            </w:r>
          </w:p>
        </w:tc>
      </w:tr>
      <w:tr>
        <w:tblPrEx>
          <w:tblCellMar>
            <w:top w:w="0" w:type="dxa"/>
            <w:left w:w="108" w:type="dxa"/>
            <w:bottom w:w="0" w:type="dxa"/>
            <w:right w:w="108" w:type="dxa"/>
          </w:tblCellMar>
        </w:tblPrEx>
        <w:trPr>
          <w:trHeight w:val="285" w:hRule="atLeast"/>
        </w:trPr>
        <w:tc>
          <w:tcPr>
            <w:tcW w:w="75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1</w:t>
            </w:r>
          </w:p>
        </w:tc>
        <w:tc>
          <w:tcPr>
            <w:tcW w:w="145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石门一路</w:t>
            </w:r>
          </w:p>
        </w:tc>
        <w:tc>
          <w:tcPr>
            <w:tcW w:w="30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南京西路-威海路</w:t>
            </w:r>
          </w:p>
        </w:tc>
        <w:tc>
          <w:tcPr>
            <w:tcW w:w="1105"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乌桕</w:t>
            </w:r>
          </w:p>
        </w:tc>
        <w:tc>
          <w:tcPr>
            <w:tcW w:w="1813"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r>
      <w:tr>
        <w:tblPrEx>
          <w:tblCellMar>
            <w:top w:w="0" w:type="dxa"/>
            <w:left w:w="108" w:type="dxa"/>
            <w:bottom w:w="0" w:type="dxa"/>
            <w:right w:w="108" w:type="dxa"/>
          </w:tblCellMar>
        </w:tblPrEx>
        <w:trPr>
          <w:trHeight w:val="285" w:hRule="atLeast"/>
        </w:trPr>
        <w:tc>
          <w:tcPr>
            <w:tcW w:w="75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2</w:t>
            </w:r>
          </w:p>
        </w:tc>
        <w:tc>
          <w:tcPr>
            <w:tcW w:w="145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万荣路</w:t>
            </w:r>
          </w:p>
        </w:tc>
        <w:tc>
          <w:tcPr>
            <w:tcW w:w="30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广中西路-永和路</w:t>
            </w:r>
          </w:p>
        </w:tc>
        <w:tc>
          <w:tcPr>
            <w:tcW w:w="1105"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小叶椴</w:t>
            </w:r>
          </w:p>
        </w:tc>
        <w:tc>
          <w:tcPr>
            <w:tcW w:w="1813"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r>
      <w:tr>
        <w:tblPrEx>
          <w:tblCellMar>
            <w:top w:w="0" w:type="dxa"/>
            <w:left w:w="108" w:type="dxa"/>
            <w:bottom w:w="0" w:type="dxa"/>
            <w:right w:w="108" w:type="dxa"/>
          </w:tblCellMar>
        </w:tblPrEx>
        <w:trPr>
          <w:trHeight w:val="285" w:hRule="atLeast"/>
        </w:trPr>
        <w:tc>
          <w:tcPr>
            <w:tcW w:w="75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3</w:t>
            </w:r>
          </w:p>
        </w:tc>
        <w:tc>
          <w:tcPr>
            <w:tcW w:w="145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常德路</w:t>
            </w:r>
          </w:p>
        </w:tc>
        <w:tc>
          <w:tcPr>
            <w:tcW w:w="30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北京西路-延安中路</w:t>
            </w:r>
          </w:p>
        </w:tc>
        <w:tc>
          <w:tcPr>
            <w:tcW w:w="1105"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银杏</w:t>
            </w:r>
          </w:p>
        </w:tc>
        <w:tc>
          <w:tcPr>
            <w:tcW w:w="1813"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r>
      <w:tr>
        <w:tblPrEx>
          <w:tblCellMar>
            <w:top w:w="0" w:type="dxa"/>
            <w:left w:w="108" w:type="dxa"/>
            <w:bottom w:w="0" w:type="dxa"/>
            <w:right w:w="108" w:type="dxa"/>
          </w:tblCellMar>
        </w:tblPrEx>
        <w:trPr>
          <w:trHeight w:val="285" w:hRule="atLeast"/>
        </w:trPr>
        <w:tc>
          <w:tcPr>
            <w:tcW w:w="75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4</w:t>
            </w:r>
          </w:p>
        </w:tc>
        <w:tc>
          <w:tcPr>
            <w:tcW w:w="145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陕西北路</w:t>
            </w:r>
          </w:p>
        </w:tc>
        <w:tc>
          <w:tcPr>
            <w:tcW w:w="30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南京西路-奉贤路</w:t>
            </w:r>
          </w:p>
        </w:tc>
        <w:tc>
          <w:tcPr>
            <w:tcW w:w="1105"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娜塔莉</w:t>
            </w:r>
          </w:p>
        </w:tc>
        <w:tc>
          <w:tcPr>
            <w:tcW w:w="1813"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r>
      <w:tr>
        <w:tblPrEx>
          <w:tblCellMar>
            <w:top w:w="0" w:type="dxa"/>
            <w:left w:w="108" w:type="dxa"/>
            <w:bottom w:w="0" w:type="dxa"/>
            <w:right w:w="108" w:type="dxa"/>
          </w:tblCellMar>
        </w:tblPrEx>
        <w:trPr>
          <w:trHeight w:val="285" w:hRule="atLeast"/>
        </w:trPr>
        <w:tc>
          <w:tcPr>
            <w:tcW w:w="75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5</w:t>
            </w:r>
          </w:p>
        </w:tc>
        <w:tc>
          <w:tcPr>
            <w:tcW w:w="145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昌化路</w:t>
            </w:r>
          </w:p>
        </w:tc>
        <w:tc>
          <w:tcPr>
            <w:tcW w:w="30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昌平路-新闸路</w:t>
            </w:r>
          </w:p>
        </w:tc>
        <w:tc>
          <w:tcPr>
            <w:tcW w:w="1105"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无患子</w:t>
            </w:r>
          </w:p>
        </w:tc>
        <w:tc>
          <w:tcPr>
            <w:tcW w:w="1813"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r>
      <w:tr>
        <w:tblPrEx>
          <w:tblCellMar>
            <w:top w:w="0" w:type="dxa"/>
            <w:left w:w="108" w:type="dxa"/>
            <w:bottom w:w="0" w:type="dxa"/>
            <w:right w:w="108" w:type="dxa"/>
          </w:tblCellMar>
        </w:tblPrEx>
        <w:trPr>
          <w:trHeight w:val="285" w:hRule="atLeast"/>
        </w:trPr>
        <w:tc>
          <w:tcPr>
            <w:tcW w:w="75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6</w:t>
            </w:r>
          </w:p>
        </w:tc>
        <w:tc>
          <w:tcPr>
            <w:tcW w:w="145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平顺路</w:t>
            </w:r>
          </w:p>
        </w:tc>
        <w:tc>
          <w:tcPr>
            <w:tcW w:w="30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闻喜路-保德路</w:t>
            </w:r>
          </w:p>
        </w:tc>
        <w:tc>
          <w:tcPr>
            <w:tcW w:w="1105"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无患子</w:t>
            </w:r>
          </w:p>
        </w:tc>
        <w:tc>
          <w:tcPr>
            <w:tcW w:w="1813"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r>
      <w:tr>
        <w:tblPrEx>
          <w:tblCellMar>
            <w:top w:w="0" w:type="dxa"/>
            <w:left w:w="108" w:type="dxa"/>
            <w:bottom w:w="0" w:type="dxa"/>
            <w:right w:w="108" w:type="dxa"/>
          </w:tblCellMar>
        </w:tblPrEx>
        <w:trPr>
          <w:trHeight w:val="285" w:hRule="atLeast"/>
        </w:trPr>
        <w:tc>
          <w:tcPr>
            <w:tcW w:w="75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7</w:t>
            </w:r>
          </w:p>
        </w:tc>
        <w:tc>
          <w:tcPr>
            <w:tcW w:w="145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昌平路</w:t>
            </w:r>
          </w:p>
        </w:tc>
        <w:tc>
          <w:tcPr>
            <w:tcW w:w="30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泰州路-江宁路</w:t>
            </w:r>
          </w:p>
        </w:tc>
        <w:tc>
          <w:tcPr>
            <w:tcW w:w="1105"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栾树</w:t>
            </w:r>
          </w:p>
        </w:tc>
        <w:tc>
          <w:tcPr>
            <w:tcW w:w="1813"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r>
      <w:tr>
        <w:tblPrEx>
          <w:tblCellMar>
            <w:top w:w="0" w:type="dxa"/>
            <w:left w:w="108" w:type="dxa"/>
            <w:bottom w:w="0" w:type="dxa"/>
            <w:right w:w="108" w:type="dxa"/>
          </w:tblCellMar>
        </w:tblPrEx>
        <w:trPr>
          <w:trHeight w:val="285" w:hRule="atLeast"/>
        </w:trPr>
        <w:tc>
          <w:tcPr>
            <w:tcW w:w="75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8</w:t>
            </w:r>
          </w:p>
        </w:tc>
        <w:tc>
          <w:tcPr>
            <w:tcW w:w="145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延平路</w:t>
            </w:r>
          </w:p>
        </w:tc>
        <w:tc>
          <w:tcPr>
            <w:tcW w:w="30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安远路-昌平路</w:t>
            </w:r>
          </w:p>
        </w:tc>
        <w:tc>
          <w:tcPr>
            <w:tcW w:w="1105"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栾树</w:t>
            </w:r>
          </w:p>
        </w:tc>
        <w:tc>
          <w:tcPr>
            <w:tcW w:w="1813"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r>
      <w:tr>
        <w:tblPrEx>
          <w:tblCellMar>
            <w:top w:w="0" w:type="dxa"/>
            <w:left w:w="108" w:type="dxa"/>
            <w:bottom w:w="0" w:type="dxa"/>
            <w:right w:w="108" w:type="dxa"/>
          </w:tblCellMar>
        </w:tblPrEx>
        <w:trPr>
          <w:trHeight w:val="285" w:hRule="atLeast"/>
        </w:trPr>
        <w:tc>
          <w:tcPr>
            <w:tcW w:w="75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9</w:t>
            </w:r>
          </w:p>
        </w:tc>
        <w:tc>
          <w:tcPr>
            <w:tcW w:w="145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宁盛路</w:t>
            </w:r>
          </w:p>
        </w:tc>
        <w:tc>
          <w:tcPr>
            <w:tcW w:w="30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灵石路-广中西路</w:t>
            </w:r>
          </w:p>
        </w:tc>
        <w:tc>
          <w:tcPr>
            <w:tcW w:w="1105"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七叶树</w:t>
            </w:r>
          </w:p>
        </w:tc>
        <w:tc>
          <w:tcPr>
            <w:tcW w:w="1813"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r>
      <w:tr>
        <w:tblPrEx>
          <w:tblCellMar>
            <w:top w:w="0" w:type="dxa"/>
            <w:left w:w="108" w:type="dxa"/>
            <w:bottom w:w="0" w:type="dxa"/>
            <w:right w:w="108" w:type="dxa"/>
          </w:tblCellMar>
        </w:tblPrEx>
        <w:trPr>
          <w:trHeight w:val="285" w:hRule="atLeast"/>
        </w:trPr>
        <w:tc>
          <w:tcPr>
            <w:tcW w:w="75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10</w:t>
            </w:r>
          </w:p>
        </w:tc>
        <w:tc>
          <w:tcPr>
            <w:tcW w:w="145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场中路</w:t>
            </w:r>
          </w:p>
        </w:tc>
        <w:tc>
          <w:tcPr>
            <w:tcW w:w="30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共和新路-阳泉路</w:t>
            </w:r>
          </w:p>
        </w:tc>
        <w:tc>
          <w:tcPr>
            <w:tcW w:w="1105"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七叶树</w:t>
            </w:r>
          </w:p>
        </w:tc>
        <w:tc>
          <w:tcPr>
            <w:tcW w:w="1813"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r>
      <w:tr>
        <w:tblPrEx>
          <w:tblCellMar>
            <w:top w:w="0" w:type="dxa"/>
            <w:left w:w="108" w:type="dxa"/>
            <w:bottom w:w="0" w:type="dxa"/>
            <w:right w:w="108" w:type="dxa"/>
          </w:tblCellMar>
        </w:tblPrEx>
        <w:trPr>
          <w:trHeight w:val="285" w:hRule="atLeast"/>
        </w:trPr>
        <w:tc>
          <w:tcPr>
            <w:tcW w:w="75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11</w:t>
            </w:r>
          </w:p>
        </w:tc>
        <w:tc>
          <w:tcPr>
            <w:tcW w:w="145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永和东路</w:t>
            </w:r>
          </w:p>
        </w:tc>
        <w:tc>
          <w:tcPr>
            <w:tcW w:w="30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共和新路-平型关路</w:t>
            </w:r>
          </w:p>
        </w:tc>
        <w:tc>
          <w:tcPr>
            <w:tcW w:w="1105"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樱花</w:t>
            </w:r>
          </w:p>
        </w:tc>
        <w:tc>
          <w:tcPr>
            <w:tcW w:w="1813"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r>
      <w:tr>
        <w:tblPrEx>
          <w:tblCellMar>
            <w:top w:w="0" w:type="dxa"/>
            <w:left w:w="108" w:type="dxa"/>
            <w:bottom w:w="0" w:type="dxa"/>
            <w:right w:w="108" w:type="dxa"/>
          </w:tblCellMar>
        </w:tblPrEx>
        <w:trPr>
          <w:trHeight w:val="285" w:hRule="atLeast"/>
        </w:trPr>
        <w:tc>
          <w:tcPr>
            <w:tcW w:w="75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12</w:t>
            </w:r>
          </w:p>
        </w:tc>
        <w:tc>
          <w:tcPr>
            <w:tcW w:w="145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茂名北路</w:t>
            </w:r>
          </w:p>
        </w:tc>
        <w:tc>
          <w:tcPr>
            <w:tcW w:w="30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威海路-南京西路</w:t>
            </w:r>
          </w:p>
        </w:tc>
        <w:tc>
          <w:tcPr>
            <w:tcW w:w="1105"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红花槭</w:t>
            </w:r>
          </w:p>
        </w:tc>
        <w:tc>
          <w:tcPr>
            <w:tcW w:w="1813"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r>
      <w:tr>
        <w:tblPrEx>
          <w:tblCellMar>
            <w:top w:w="0" w:type="dxa"/>
            <w:left w:w="108" w:type="dxa"/>
            <w:bottom w:w="0" w:type="dxa"/>
            <w:right w:w="108" w:type="dxa"/>
          </w:tblCellMar>
        </w:tblPrEx>
        <w:trPr>
          <w:trHeight w:val="285" w:hRule="atLeast"/>
        </w:trPr>
        <w:tc>
          <w:tcPr>
            <w:tcW w:w="75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13</w:t>
            </w:r>
          </w:p>
        </w:tc>
        <w:tc>
          <w:tcPr>
            <w:tcW w:w="145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永源路</w:t>
            </w:r>
          </w:p>
        </w:tc>
        <w:tc>
          <w:tcPr>
            <w:tcW w:w="30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南京西路-镇宁路</w:t>
            </w:r>
          </w:p>
        </w:tc>
        <w:tc>
          <w:tcPr>
            <w:tcW w:w="1105"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栾树</w:t>
            </w:r>
          </w:p>
        </w:tc>
        <w:tc>
          <w:tcPr>
            <w:tcW w:w="1813"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r>
      <w:tr>
        <w:tblPrEx>
          <w:tblCellMar>
            <w:top w:w="0" w:type="dxa"/>
            <w:left w:w="108" w:type="dxa"/>
            <w:bottom w:w="0" w:type="dxa"/>
            <w:right w:w="108" w:type="dxa"/>
          </w:tblCellMar>
        </w:tblPrEx>
        <w:trPr>
          <w:trHeight w:val="285" w:hRule="atLeast"/>
        </w:trPr>
        <w:tc>
          <w:tcPr>
            <w:tcW w:w="75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1</w:t>
            </w:r>
          </w:p>
        </w:tc>
        <w:tc>
          <w:tcPr>
            <w:tcW w:w="145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华山路</w:t>
            </w:r>
          </w:p>
        </w:tc>
        <w:tc>
          <w:tcPr>
            <w:tcW w:w="30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c>
          <w:tcPr>
            <w:tcW w:w="1105"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c>
          <w:tcPr>
            <w:tcW w:w="1813"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市级林荫道</w:t>
            </w:r>
          </w:p>
        </w:tc>
      </w:tr>
      <w:tr>
        <w:tblPrEx>
          <w:tblCellMar>
            <w:top w:w="0" w:type="dxa"/>
            <w:left w:w="108" w:type="dxa"/>
            <w:bottom w:w="0" w:type="dxa"/>
            <w:right w:w="108" w:type="dxa"/>
          </w:tblCellMar>
        </w:tblPrEx>
        <w:trPr>
          <w:trHeight w:val="285" w:hRule="atLeast"/>
        </w:trPr>
        <w:tc>
          <w:tcPr>
            <w:tcW w:w="75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2</w:t>
            </w:r>
          </w:p>
        </w:tc>
        <w:tc>
          <w:tcPr>
            <w:tcW w:w="145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常熟路</w:t>
            </w:r>
          </w:p>
        </w:tc>
        <w:tc>
          <w:tcPr>
            <w:tcW w:w="30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c>
          <w:tcPr>
            <w:tcW w:w="1105"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c>
          <w:tcPr>
            <w:tcW w:w="1813"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市级林荫道</w:t>
            </w:r>
          </w:p>
        </w:tc>
      </w:tr>
      <w:tr>
        <w:tblPrEx>
          <w:tblCellMar>
            <w:top w:w="0" w:type="dxa"/>
            <w:left w:w="108" w:type="dxa"/>
            <w:bottom w:w="0" w:type="dxa"/>
            <w:right w:w="108" w:type="dxa"/>
          </w:tblCellMar>
        </w:tblPrEx>
        <w:trPr>
          <w:trHeight w:val="285" w:hRule="atLeast"/>
        </w:trPr>
        <w:tc>
          <w:tcPr>
            <w:tcW w:w="75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3</w:t>
            </w:r>
          </w:p>
        </w:tc>
        <w:tc>
          <w:tcPr>
            <w:tcW w:w="145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巨鹿路</w:t>
            </w:r>
          </w:p>
        </w:tc>
        <w:tc>
          <w:tcPr>
            <w:tcW w:w="30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c>
          <w:tcPr>
            <w:tcW w:w="1105"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c>
          <w:tcPr>
            <w:tcW w:w="1813"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市级林荫道</w:t>
            </w:r>
          </w:p>
        </w:tc>
      </w:tr>
      <w:tr>
        <w:tblPrEx>
          <w:tblCellMar>
            <w:top w:w="0" w:type="dxa"/>
            <w:left w:w="108" w:type="dxa"/>
            <w:bottom w:w="0" w:type="dxa"/>
            <w:right w:w="108" w:type="dxa"/>
          </w:tblCellMar>
        </w:tblPrEx>
        <w:trPr>
          <w:trHeight w:val="285" w:hRule="atLeast"/>
        </w:trPr>
        <w:tc>
          <w:tcPr>
            <w:tcW w:w="75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4</w:t>
            </w:r>
          </w:p>
        </w:tc>
        <w:tc>
          <w:tcPr>
            <w:tcW w:w="145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富民路</w:t>
            </w:r>
          </w:p>
        </w:tc>
        <w:tc>
          <w:tcPr>
            <w:tcW w:w="30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c>
          <w:tcPr>
            <w:tcW w:w="1105"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c>
          <w:tcPr>
            <w:tcW w:w="1813"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市级林荫道</w:t>
            </w:r>
          </w:p>
        </w:tc>
      </w:tr>
      <w:tr>
        <w:tblPrEx>
          <w:tblCellMar>
            <w:top w:w="0" w:type="dxa"/>
            <w:left w:w="108" w:type="dxa"/>
            <w:bottom w:w="0" w:type="dxa"/>
            <w:right w:w="108" w:type="dxa"/>
          </w:tblCellMar>
        </w:tblPrEx>
        <w:trPr>
          <w:trHeight w:val="285" w:hRule="atLeast"/>
        </w:trPr>
        <w:tc>
          <w:tcPr>
            <w:tcW w:w="75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5</w:t>
            </w:r>
          </w:p>
        </w:tc>
        <w:tc>
          <w:tcPr>
            <w:tcW w:w="145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胶州路</w:t>
            </w:r>
          </w:p>
        </w:tc>
        <w:tc>
          <w:tcPr>
            <w:tcW w:w="30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c>
          <w:tcPr>
            <w:tcW w:w="1105"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c>
          <w:tcPr>
            <w:tcW w:w="1813"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市级林荫道</w:t>
            </w:r>
          </w:p>
        </w:tc>
      </w:tr>
      <w:tr>
        <w:tblPrEx>
          <w:tblCellMar>
            <w:top w:w="0" w:type="dxa"/>
            <w:left w:w="108" w:type="dxa"/>
            <w:bottom w:w="0" w:type="dxa"/>
            <w:right w:w="108" w:type="dxa"/>
          </w:tblCellMar>
        </w:tblPrEx>
        <w:trPr>
          <w:trHeight w:val="285" w:hRule="atLeast"/>
        </w:trPr>
        <w:tc>
          <w:tcPr>
            <w:tcW w:w="75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6</w:t>
            </w:r>
          </w:p>
        </w:tc>
        <w:tc>
          <w:tcPr>
            <w:tcW w:w="145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康定路</w:t>
            </w:r>
          </w:p>
        </w:tc>
        <w:tc>
          <w:tcPr>
            <w:tcW w:w="30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c>
          <w:tcPr>
            <w:tcW w:w="1105"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c>
          <w:tcPr>
            <w:tcW w:w="1813"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市级林荫道</w:t>
            </w:r>
          </w:p>
        </w:tc>
      </w:tr>
      <w:tr>
        <w:tblPrEx>
          <w:tblCellMar>
            <w:top w:w="0" w:type="dxa"/>
            <w:left w:w="108" w:type="dxa"/>
            <w:bottom w:w="0" w:type="dxa"/>
            <w:right w:w="108" w:type="dxa"/>
          </w:tblCellMar>
        </w:tblPrEx>
        <w:trPr>
          <w:trHeight w:val="285" w:hRule="atLeast"/>
        </w:trPr>
        <w:tc>
          <w:tcPr>
            <w:tcW w:w="75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7</w:t>
            </w:r>
          </w:p>
        </w:tc>
        <w:tc>
          <w:tcPr>
            <w:tcW w:w="145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南京西路</w:t>
            </w:r>
          </w:p>
        </w:tc>
        <w:tc>
          <w:tcPr>
            <w:tcW w:w="30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c>
          <w:tcPr>
            <w:tcW w:w="1105"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c>
          <w:tcPr>
            <w:tcW w:w="1813"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市级林荫道</w:t>
            </w:r>
          </w:p>
        </w:tc>
      </w:tr>
      <w:tr>
        <w:tblPrEx>
          <w:tblCellMar>
            <w:top w:w="0" w:type="dxa"/>
            <w:left w:w="108" w:type="dxa"/>
            <w:bottom w:w="0" w:type="dxa"/>
            <w:right w:w="108" w:type="dxa"/>
          </w:tblCellMar>
        </w:tblPrEx>
        <w:trPr>
          <w:trHeight w:val="285" w:hRule="atLeast"/>
        </w:trPr>
        <w:tc>
          <w:tcPr>
            <w:tcW w:w="75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8</w:t>
            </w:r>
          </w:p>
        </w:tc>
        <w:tc>
          <w:tcPr>
            <w:tcW w:w="145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北京西路</w:t>
            </w:r>
          </w:p>
        </w:tc>
        <w:tc>
          <w:tcPr>
            <w:tcW w:w="30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c>
          <w:tcPr>
            <w:tcW w:w="1105"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c>
          <w:tcPr>
            <w:tcW w:w="1813"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市级林荫道</w:t>
            </w:r>
          </w:p>
        </w:tc>
      </w:tr>
      <w:tr>
        <w:tblPrEx>
          <w:tblCellMar>
            <w:top w:w="0" w:type="dxa"/>
            <w:left w:w="108" w:type="dxa"/>
            <w:bottom w:w="0" w:type="dxa"/>
            <w:right w:w="108" w:type="dxa"/>
          </w:tblCellMar>
        </w:tblPrEx>
        <w:trPr>
          <w:trHeight w:val="285" w:hRule="atLeast"/>
        </w:trPr>
        <w:tc>
          <w:tcPr>
            <w:tcW w:w="75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9</w:t>
            </w:r>
          </w:p>
        </w:tc>
        <w:tc>
          <w:tcPr>
            <w:tcW w:w="145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新闸路</w:t>
            </w:r>
          </w:p>
        </w:tc>
        <w:tc>
          <w:tcPr>
            <w:tcW w:w="30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c>
          <w:tcPr>
            <w:tcW w:w="1105"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c>
          <w:tcPr>
            <w:tcW w:w="1813"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市级林荫道</w:t>
            </w:r>
          </w:p>
        </w:tc>
      </w:tr>
      <w:tr>
        <w:tblPrEx>
          <w:tblCellMar>
            <w:top w:w="0" w:type="dxa"/>
            <w:left w:w="108" w:type="dxa"/>
            <w:bottom w:w="0" w:type="dxa"/>
            <w:right w:w="108" w:type="dxa"/>
          </w:tblCellMar>
        </w:tblPrEx>
        <w:trPr>
          <w:trHeight w:val="285" w:hRule="atLeast"/>
        </w:trPr>
        <w:tc>
          <w:tcPr>
            <w:tcW w:w="75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10</w:t>
            </w:r>
          </w:p>
        </w:tc>
        <w:tc>
          <w:tcPr>
            <w:tcW w:w="145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阳城路</w:t>
            </w:r>
          </w:p>
        </w:tc>
        <w:tc>
          <w:tcPr>
            <w:tcW w:w="30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c>
          <w:tcPr>
            <w:tcW w:w="1105"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c>
          <w:tcPr>
            <w:tcW w:w="1813"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市级林荫道</w:t>
            </w:r>
          </w:p>
        </w:tc>
      </w:tr>
      <w:tr>
        <w:tblPrEx>
          <w:tblCellMar>
            <w:top w:w="0" w:type="dxa"/>
            <w:left w:w="108" w:type="dxa"/>
            <w:bottom w:w="0" w:type="dxa"/>
            <w:right w:w="108" w:type="dxa"/>
          </w:tblCellMar>
        </w:tblPrEx>
        <w:trPr>
          <w:trHeight w:val="285" w:hRule="atLeast"/>
        </w:trPr>
        <w:tc>
          <w:tcPr>
            <w:tcW w:w="75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11</w:t>
            </w:r>
          </w:p>
        </w:tc>
        <w:tc>
          <w:tcPr>
            <w:tcW w:w="145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昌化路</w:t>
            </w:r>
          </w:p>
        </w:tc>
        <w:tc>
          <w:tcPr>
            <w:tcW w:w="30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c>
          <w:tcPr>
            <w:tcW w:w="1105"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c>
          <w:tcPr>
            <w:tcW w:w="1813"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市级林荫道</w:t>
            </w:r>
          </w:p>
        </w:tc>
      </w:tr>
      <w:tr>
        <w:tblPrEx>
          <w:tblCellMar>
            <w:top w:w="0" w:type="dxa"/>
            <w:left w:w="108" w:type="dxa"/>
            <w:bottom w:w="0" w:type="dxa"/>
            <w:right w:w="108" w:type="dxa"/>
          </w:tblCellMar>
        </w:tblPrEx>
        <w:trPr>
          <w:trHeight w:val="285" w:hRule="atLeast"/>
        </w:trPr>
        <w:tc>
          <w:tcPr>
            <w:tcW w:w="75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12</w:t>
            </w:r>
          </w:p>
        </w:tc>
        <w:tc>
          <w:tcPr>
            <w:tcW w:w="145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阳城路</w:t>
            </w:r>
          </w:p>
        </w:tc>
        <w:tc>
          <w:tcPr>
            <w:tcW w:w="30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c>
          <w:tcPr>
            <w:tcW w:w="1105"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c>
          <w:tcPr>
            <w:tcW w:w="1813"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市级林荫道</w:t>
            </w:r>
          </w:p>
        </w:tc>
      </w:tr>
      <w:tr>
        <w:tblPrEx>
          <w:tblCellMar>
            <w:top w:w="0" w:type="dxa"/>
            <w:left w:w="108" w:type="dxa"/>
            <w:bottom w:w="0" w:type="dxa"/>
            <w:right w:w="108" w:type="dxa"/>
          </w:tblCellMar>
        </w:tblPrEx>
        <w:trPr>
          <w:trHeight w:val="285" w:hRule="atLeast"/>
        </w:trPr>
        <w:tc>
          <w:tcPr>
            <w:tcW w:w="75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13</w:t>
            </w:r>
          </w:p>
        </w:tc>
        <w:tc>
          <w:tcPr>
            <w:tcW w:w="145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永和路</w:t>
            </w:r>
          </w:p>
        </w:tc>
        <w:tc>
          <w:tcPr>
            <w:tcW w:w="30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c>
          <w:tcPr>
            <w:tcW w:w="1105"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c>
          <w:tcPr>
            <w:tcW w:w="1813"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市级林荫道</w:t>
            </w:r>
          </w:p>
        </w:tc>
      </w:tr>
      <w:tr>
        <w:tblPrEx>
          <w:tblCellMar>
            <w:top w:w="0" w:type="dxa"/>
            <w:left w:w="108" w:type="dxa"/>
            <w:bottom w:w="0" w:type="dxa"/>
            <w:right w:w="108" w:type="dxa"/>
          </w:tblCellMar>
        </w:tblPrEx>
        <w:trPr>
          <w:trHeight w:val="285" w:hRule="atLeast"/>
        </w:trPr>
        <w:tc>
          <w:tcPr>
            <w:tcW w:w="75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14</w:t>
            </w:r>
          </w:p>
        </w:tc>
        <w:tc>
          <w:tcPr>
            <w:tcW w:w="145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广延路</w:t>
            </w:r>
          </w:p>
        </w:tc>
        <w:tc>
          <w:tcPr>
            <w:tcW w:w="30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c>
          <w:tcPr>
            <w:tcW w:w="1105"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c>
          <w:tcPr>
            <w:tcW w:w="1813"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市级林荫道</w:t>
            </w:r>
          </w:p>
        </w:tc>
      </w:tr>
      <w:tr>
        <w:tblPrEx>
          <w:tblCellMar>
            <w:top w:w="0" w:type="dxa"/>
            <w:left w:w="108" w:type="dxa"/>
            <w:bottom w:w="0" w:type="dxa"/>
            <w:right w:w="108" w:type="dxa"/>
          </w:tblCellMar>
        </w:tblPrEx>
        <w:trPr>
          <w:trHeight w:val="285" w:hRule="atLeast"/>
        </w:trPr>
        <w:tc>
          <w:tcPr>
            <w:tcW w:w="75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15</w:t>
            </w:r>
          </w:p>
        </w:tc>
        <w:tc>
          <w:tcPr>
            <w:tcW w:w="145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平型关路</w:t>
            </w:r>
          </w:p>
        </w:tc>
        <w:tc>
          <w:tcPr>
            <w:tcW w:w="30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c>
          <w:tcPr>
            <w:tcW w:w="1105"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c>
          <w:tcPr>
            <w:tcW w:w="1813"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市级林荫道</w:t>
            </w:r>
          </w:p>
        </w:tc>
      </w:tr>
      <w:tr>
        <w:tblPrEx>
          <w:tblCellMar>
            <w:top w:w="0" w:type="dxa"/>
            <w:left w:w="108" w:type="dxa"/>
            <w:bottom w:w="0" w:type="dxa"/>
            <w:right w:w="108" w:type="dxa"/>
          </w:tblCellMar>
        </w:tblPrEx>
        <w:trPr>
          <w:trHeight w:val="285" w:hRule="atLeast"/>
        </w:trPr>
        <w:tc>
          <w:tcPr>
            <w:tcW w:w="75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16</w:t>
            </w:r>
          </w:p>
        </w:tc>
        <w:tc>
          <w:tcPr>
            <w:tcW w:w="145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延长路</w:t>
            </w:r>
          </w:p>
        </w:tc>
        <w:tc>
          <w:tcPr>
            <w:tcW w:w="30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c>
          <w:tcPr>
            <w:tcW w:w="1105"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c>
          <w:tcPr>
            <w:tcW w:w="1813"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市级林荫道</w:t>
            </w:r>
          </w:p>
        </w:tc>
      </w:tr>
      <w:tr>
        <w:tblPrEx>
          <w:tblCellMar>
            <w:top w:w="0" w:type="dxa"/>
            <w:left w:w="108" w:type="dxa"/>
            <w:bottom w:w="0" w:type="dxa"/>
            <w:right w:w="108" w:type="dxa"/>
          </w:tblCellMar>
        </w:tblPrEx>
        <w:trPr>
          <w:trHeight w:val="285" w:hRule="atLeast"/>
        </w:trPr>
        <w:tc>
          <w:tcPr>
            <w:tcW w:w="75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17</w:t>
            </w:r>
          </w:p>
        </w:tc>
        <w:tc>
          <w:tcPr>
            <w:tcW w:w="145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宜川路</w:t>
            </w:r>
          </w:p>
        </w:tc>
        <w:tc>
          <w:tcPr>
            <w:tcW w:w="30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c>
          <w:tcPr>
            <w:tcW w:w="1105"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c>
          <w:tcPr>
            <w:tcW w:w="1813"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市级林荫道</w:t>
            </w:r>
          </w:p>
        </w:tc>
      </w:tr>
      <w:tr>
        <w:tblPrEx>
          <w:tblCellMar>
            <w:top w:w="0" w:type="dxa"/>
            <w:left w:w="108" w:type="dxa"/>
            <w:bottom w:w="0" w:type="dxa"/>
            <w:right w:w="108" w:type="dxa"/>
          </w:tblCellMar>
        </w:tblPrEx>
        <w:trPr>
          <w:trHeight w:val="285" w:hRule="atLeast"/>
        </w:trPr>
        <w:tc>
          <w:tcPr>
            <w:tcW w:w="75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18</w:t>
            </w:r>
          </w:p>
        </w:tc>
        <w:tc>
          <w:tcPr>
            <w:tcW w:w="145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大宁路</w:t>
            </w:r>
          </w:p>
        </w:tc>
        <w:tc>
          <w:tcPr>
            <w:tcW w:w="30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c>
          <w:tcPr>
            <w:tcW w:w="1105"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c>
          <w:tcPr>
            <w:tcW w:w="1813"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市级林荫道</w:t>
            </w:r>
          </w:p>
        </w:tc>
      </w:tr>
      <w:tr>
        <w:tblPrEx>
          <w:tblCellMar>
            <w:top w:w="0" w:type="dxa"/>
            <w:left w:w="108" w:type="dxa"/>
            <w:bottom w:w="0" w:type="dxa"/>
            <w:right w:w="108" w:type="dxa"/>
          </w:tblCellMar>
        </w:tblPrEx>
        <w:trPr>
          <w:trHeight w:val="285" w:hRule="atLeast"/>
        </w:trPr>
        <w:tc>
          <w:tcPr>
            <w:tcW w:w="75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19</w:t>
            </w:r>
          </w:p>
        </w:tc>
        <w:tc>
          <w:tcPr>
            <w:tcW w:w="145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老沪太路</w:t>
            </w:r>
          </w:p>
        </w:tc>
        <w:tc>
          <w:tcPr>
            <w:tcW w:w="30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c>
          <w:tcPr>
            <w:tcW w:w="1105"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c>
          <w:tcPr>
            <w:tcW w:w="1813"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市级林荫道</w:t>
            </w:r>
          </w:p>
        </w:tc>
      </w:tr>
      <w:tr>
        <w:tblPrEx>
          <w:tblCellMar>
            <w:top w:w="0" w:type="dxa"/>
            <w:left w:w="108" w:type="dxa"/>
            <w:bottom w:w="0" w:type="dxa"/>
            <w:right w:w="108" w:type="dxa"/>
          </w:tblCellMar>
        </w:tblPrEx>
        <w:trPr>
          <w:trHeight w:val="285" w:hRule="atLeast"/>
        </w:trPr>
        <w:tc>
          <w:tcPr>
            <w:tcW w:w="75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20</w:t>
            </w:r>
          </w:p>
        </w:tc>
        <w:tc>
          <w:tcPr>
            <w:tcW w:w="145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洛川东路</w:t>
            </w:r>
          </w:p>
        </w:tc>
        <w:tc>
          <w:tcPr>
            <w:tcW w:w="30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c>
          <w:tcPr>
            <w:tcW w:w="1105"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c>
          <w:tcPr>
            <w:tcW w:w="1813"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市级林荫道</w:t>
            </w:r>
          </w:p>
        </w:tc>
      </w:tr>
      <w:tr>
        <w:tblPrEx>
          <w:tblCellMar>
            <w:top w:w="0" w:type="dxa"/>
            <w:left w:w="108" w:type="dxa"/>
            <w:bottom w:w="0" w:type="dxa"/>
            <w:right w:w="108" w:type="dxa"/>
          </w:tblCellMar>
        </w:tblPrEx>
        <w:trPr>
          <w:trHeight w:val="285" w:hRule="atLeast"/>
        </w:trPr>
        <w:tc>
          <w:tcPr>
            <w:tcW w:w="75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21</w:t>
            </w:r>
          </w:p>
        </w:tc>
        <w:tc>
          <w:tcPr>
            <w:tcW w:w="145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临汾路</w:t>
            </w:r>
          </w:p>
        </w:tc>
        <w:tc>
          <w:tcPr>
            <w:tcW w:w="30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c>
          <w:tcPr>
            <w:tcW w:w="1105"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c>
          <w:tcPr>
            <w:tcW w:w="1813"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市级林荫道</w:t>
            </w:r>
          </w:p>
        </w:tc>
      </w:tr>
      <w:tr>
        <w:tblPrEx>
          <w:tblCellMar>
            <w:top w:w="0" w:type="dxa"/>
            <w:left w:w="108" w:type="dxa"/>
            <w:bottom w:w="0" w:type="dxa"/>
            <w:right w:w="108" w:type="dxa"/>
          </w:tblCellMar>
        </w:tblPrEx>
        <w:trPr>
          <w:trHeight w:val="285" w:hRule="atLeast"/>
        </w:trPr>
        <w:tc>
          <w:tcPr>
            <w:tcW w:w="75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22</w:t>
            </w:r>
          </w:p>
        </w:tc>
        <w:tc>
          <w:tcPr>
            <w:tcW w:w="145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曲沃路</w:t>
            </w:r>
          </w:p>
        </w:tc>
        <w:tc>
          <w:tcPr>
            <w:tcW w:w="30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c>
          <w:tcPr>
            <w:tcW w:w="1105"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c>
          <w:tcPr>
            <w:tcW w:w="1813"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市级林荫道</w:t>
            </w:r>
          </w:p>
        </w:tc>
      </w:tr>
      <w:tr>
        <w:tblPrEx>
          <w:tblCellMar>
            <w:top w:w="0" w:type="dxa"/>
            <w:left w:w="108" w:type="dxa"/>
            <w:bottom w:w="0" w:type="dxa"/>
            <w:right w:w="108" w:type="dxa"/>
          </w:tblCellMar>
        </w:tblPrEx>
        <w:trPr>
          <w:trHeight w:val="285" w:hRule="atLeast"/>
        </w:trPr>
        <w:tc>
          <w:tcPr>
            <w:tcW w:w="75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23</w:t>
            </w:r>
          </w:p>
        </w:tc>
        <w:tc>
          <w:tcPr>
            <w:tcW w:w="145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保德路</w:t>
            </w:r>
          </w:p>
        </w:tc>
        <w:tc>
          <w:tcPr>
            <w:tcW w:w="30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c>
          <w:tcPr>
            <w:tcW w:w="1105"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c>
          <w:tcPr>
            <w:tcW w:w="1813"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市级林荫道</w:t>
            </w:r>
          </w:p>
        </w:tc>
      </w:tr>
      <w:tr>
        <w:tblPrEx>
          <w:tblCellMar>
            <w:top w:w="0" w:type="dxa"/>
            <w:left w:w="108" w:type="dxa"/>
            <w:bottom w:w="0" w:type="dxa"/>
            <w:right w:w="108" w:type="dxa"/>
          </w:tblCellMar>
        </w:tblPrEx>
        <w:trPr>
          <w:trHeight w:val="285" w:hRule="atLeast"/>
        </w:trPr>
        <w:tc>
          <w:tcPr>
            <w:tcW w:w="75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24</w:t>
            </w:r>
          </w:p>
        </w:tc>
        <w:tc>
          <w:tcPr>
            <w:tcW w:w="145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闻喜路</w:t>
            </w:r>
          </w:p>
        </w:tc>
        <w:tc>
          <w:tcPr>
            <w:tcW w:w="30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c>
          <w:tcPr>
            <w:tcW w:w="1105"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c>
          <w:tcPr>
            <w:tcW w:w="1813"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市级林荫道</w:t>
            </w:r>
          </w:p>
        </w:tc>
      </w:tr>
      <w:tr>
        <w:tblPrEx>
          <w:tblCellMar>
            <w:top w:w="0" w:type="dxa"/>
            <w:left w:w="108" w:type="dxa"/>
            <w:bottom w:w="0" w:type="dxa"/>
            <w:right w:w="108" w:type="dxa"/>
          </w:tblCellMar>
        </w:tblPrEx>
        <w:trPr>
          <w:trHeight w:val="285" w:hRule="atLeast"/>
        </w:trPr>
        <w:tc>
          <w:tcPr>
            <w:tcW w:w="75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25</w:t>
            </w:r>
          </w:p>
        </w:tc>
        <w:tc>
          <w:tcPr>
            <w:tcW w:w="145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阳泉路</w:t>
            </w:r>
          </w:p>
        </w:tc>
        <w:tc>
          <w:tcPr>
            <w:tcW w:w="30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c>
          <w:tcPr>
            <w:tcW w:w="1105"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c>
          <w:tcPr>
            <w:tcW w:w="1813"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市级林荫道</w:t>
            </w:r>
          </w:p>
        </w:tc>
      </w:tr>
      <w:tr>
        <w:tblPrEx>
          <w:tblCellMar>
            <w:top w:w="0" w:type="dxa"/>
            <w:left w:w="108" w:type="dxa"/>
            <w:bottom w:w="0" w:type="dxa"/>
            <w:right w:w="108" w:type="dxa"/>
          </w:tblCellMar>
        </w:tblPrEx>
        <w:trPr>
          <w:trHeight w:val="285" w:hRule="atLeast"/>
        </w:trPr>
        <w:tc>
          <w:tcPr>
            <w:tcW w:w="75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26</w:t>
            </w:r>
          </w:p>
        </w:tc>
        <w:tc>
          <w:tcPr>
            <w:tcW w:w="145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昌平路</w:t>
            </w:r>
          </w:p>
        </w:tc>
        <w:tc>
          <w:tcPr>
            <w:tcW w:w="30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c>
          <w:tcPr>
            <w:tcW w:w="1105"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　</w:t>
            </w:r>
          </w:p>
        </w:tc>
        <w:tc>
          <w:tcPr>
            <w:tcW w:w="1813"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市级林荫道</w:t>
            </w:r>
          </w:p>
        </w:tc>
      </w:tr>
    </w:tbl>
    <w:p>
      <w:pPr>
        <w:ind w:firstLine="480" w:firstLineChars="200"/>
        <w:rPr>
          <w:rFonts w:ascii="仿宋_GB2312" w:hAnsi="宋体" w:eastAsia="仿宋_GB2312"/>
          <w:szCs w:val="24"/>
        </w:rPr>
      </w:pPr>
      <w:r>
        <w:rPr>
          <w:rFonts w:hint="eastAsia" w:ascii="仿宋_GB2312" w:hAnsi="宋体" w:eastAsia="仿宋_GB2312"/>
          <w:szCs w:val="24"/>
        </w:rPr>
        <w:t>3、绿化特色道路，除满足以上街区绿地和行道树养护管理要求以外，还需确保：每日巡查1次，</w:t>
      </w:r>
      <w:r>
        <w:rPr>
          <w:rFonts w:hint="eastAsia" w:ascii="仿宋_GB2312" w:eastAsia="仿宋_GB2312"/>
          <w:szCs w:val="24"/>
        </w:rPr>
        <w:t>确保每日养护、保洁、附属设施检查，制定花灌木、乔木的修剪方案，确保道路植物景观效果，及时摘除残花、残果，开花和观叶植物根据需求一年至少施肥2次，针对各类病虫害进行科学防治，确保道路无死株，发现死株需及时更新。确保行道树支撑、盖板等附属设施平整、完好、无破损、美观。</w:t>
      </w:r>
    </w:p>
    <w:p>
      <w:pPr>
        <w:pStyle w:val="78"/>
        <w:ind w:left="0" w:firstLine="480" w:firstLineChars="200"/>
        <w:rPr>
          <w:rFonts w:ascii="仿宋_GB2312" w:eastAsia="仿宋_GB2312"/>
          <w:szCs w:val="24"/>
        </w:rPr>
      </w:pPr>
      <w:r>
        <w:rPr>
          <w:rFonts w:hint="eastAsia" w:ascii="仿宋_GB2312" w:eastAsia="仿宋_GB2312"/>
          <w:szCs w:val="24"/>
        </w:rPr>
        <w:t>静安区绿化特色道路名录：万荣路（广中西路-灵石路）、恒通路（恒丰路-共和新路）、恒通东路（共和新路-晋元路）、广中（西）路（沪太路—北宝兴路）、石门一路（南京西路-威海路）、光复路（长寿路桥-普济路）。</w:t>
      </w:r>
    </w:p>
    <w:p>
      <w:pPr>
        <w:rPr>
          <w:rFonts w:ascii="仿宋_GB2312" w:eastAsia="仿宋_GB2312"/>
          <w:szCs w:val="24"/>
        </w:rPr>
      </w:pPr>
      <w:r>
        <w:rPr>
          <w:rFonts w:hint="eastAsia" w:ascii="仿宋_GB2312" w:eastAsia="仿宋_GB2312"/>
          <w:szCs w:val="24"/>
        </w:rPr>
        <w:t>七、花道</w:t>
      </w:r>
      <w:r>
        <w:rPr>
          <w:rFonts w:hint="eastAsia" w:ascii="仿宋_GB2312" w:hAnsi="宋体" w:eastAsia="仿宋_GB2312"/>
          <w:szCs w:val="24"/>
        </w:rPr>
        <w:t>除满足以上街区绿地和行道树养护管理要求以外</w:t>
      </w:r>
      <w:r>
        <w:rPr>
          <w:rFonts w:hint="eastAsia" w:ascii="仿宋_GB2312" w:eastAsia="仿宋_GB2312"/>
          <w:szCs w:val="24"/>
        </w:rPr>
        <w:t>，还需确保：</w:t>
      </w:r>
    </w:p>
    <w:p>
      <w:pPr>
        <w:autoSpaceDE w:val="0"/>
        <w:autoSpaceDN w:val="0"/>
        <w:adjustRightInd w:val="0"/>
        <w:ind w:firstLine="480" w:firstLineChars="200"/>
        <w:rPr>
          <w:rFonts w:ascii="仿宋_GB2312" w:eastAsia="仿宋_GB2312"/>
          <w:szCs w:val="24"/>
        </w:rPr>
      </w:pPr>
      <w:r>
        <w:rPr>
          <w:rFonts w:hint="eastAsia" w:ascii="仿宋_GB2312" w:eastAsia="仿宋_GB2312"/>
          <w:szCs w:val="24"/>
        </w:rPr>
        <w:t>落实精细化管养措施，维护行道树良好的景观面貌。做好行道树病虫害防治工作和树洞修补工作，清除枯枝烂头，排除树枝坠落和风折等安全隐患，处理好树木与周边建筑和设施的矛盾；加强树穴盖板、护树桩等附属设施管理，确保道路通行安全；结合道路改造因地制宜扩大树穴空间，通过加强树木根系管理，增强行道树生长势。</w:t>
      </w:r>
    </w:p>
    <w:p>
      <w:pPr>
        <w:autoSpaceDE w:val="0"/>
        <w:autoSpaceDN w:val="0"/>
        <w:adjustRightInd w:val="0"/>
        <w:ind w:firstLine="480" w:firstLineChars="200"/>
        <w:rPr>
          <w:rFonts w:ascii="仿宋_GB2312" w:eastAsia="仿宋_GB2312"/>
          <w:szCs w:val="24"/>
        </w:rPr>
      </w:pPr>
      <w:r>
        <w:rPr>
          <w:rFonts w:hint="eastAsia" w:ascii="仿宋_GB2312" w:eastAsia="仿宋_GB2312"/>
          <w:szCs w:val="24"/>
        </w:rPr>
        <w:t>4、以月季、紫薇为重点，兼顾红花</w:t>
      </w:r>
      <w:r>
        <w:rPr>
          <w:rFonts w:hint="eastAsia" w:ascii="微软雅黑" w:hAnsi="微软雅黑" w:eastAsia="微软雅黑" w:cs="微软雅黑"/>
          <w:szCs w:val="24"/>
        </w:rPr>
        <w:t>檵</w:t>
      </w:r>
      <w:r>
        <w:rPr>
          <w:rFonts w:hint="eastAsia" w:ascii="仿宋_GB2312" w:hAnsi="仿宋_GB2312" w:eastAsia="仿宋_GB2312" w:cs="仿宋_GB2312"/>
          <w:szCs w:val="24"/>
        </w:rPr>
        <w:t>木、八仙花、海棠、樱花等品种，通过水肥管理和科学修剪等精细化管养措施，确保植株生长健壮，实现盛花和多次开花特色景观。重点抓好月季紫薇冬季规范化修剪，留足花芽，施足底肥，做好病虫害冬防等措施，落实好翌年精细化管养各项技术措施，使月季盛花三次（五一、七一、十一），紫薇盛花两次（</w:t>
      </w:r>
      <w:r>
        <w:rPr>
          <w:rFonts w:hint="eastAsia" w:ascii="仿宋_GB2312" w:eastAsia="仿宋_GB2312"/>
          <w:szCs w:val="24"/>
        </w:rPr>
        <w:t>7 月底、十一）。做好红花</w:t>
      </w:r>
      <w:r>
        <w:rPr>
          <w:rFonts w:hint="eastAsia" w:ascii="微软雅黑" w:hAnsi="微软雅黑" w:eastAsia="微软雅黑" w:cs="微软雅黑"/>
          <w:szCs w:val="24"/>
        </w:rPr>
        <w:t>檵</w:t>
      </w:r>
      <w:r>
        <w:rPr>
          <w:rFonts w:hint="eastAsia" w:ascii="仿宋_GB2312" w:hAnsi="仿宋_GB2312" w:eastAsia="仿宋_GB2312" w:cs="仿宋_GB2312"/>
          <w:szCs w:val="24"/>
        </w:rPr>
        <w:t>木、八仙花、海棠、樱花等花灌木精细化管养，开展红花</w:t>
      </w:r>
      <w:r>
        <w:rPr>
          <w:rFonts w:hint="eastAsia" w:ascii="微软雅黑" w:hAnsi="微软雅黑" w:eastAsia="微软雅黑" w:cs="微软雅黑"/>
          <w:szCs w:val="24"/>
        </w:rPr>
        <w:t>檵</w:t>
      </w:r>
      <w:r>
        <w:rPr>
          <w:rFonts w:hint="eastAsia" w:ascii="仿宋_GB2312" w:hAnsi="仿宋_GB2312" w:eastAsia="仿宋_GB2312" w:cs="仿宋_GB2312"/>
          <w:szCs w:val="24"/>
        </w:rPr>
        <w:t>木二次开花花期调控试点，形成规模化的花灌木特色景观。</w:t>
      </w:r>
    </w:p>
    <w:p>
      <w:pPr>
        <w:rPr>
          <w:rFonts w:ascii="仿宋_GB2312" w:eastAsia="仿宋_GB2312"/>
          <w:szCs w:val="24"/>
        </w:rPr>
      </w:pPr>
      <w:r>
        <w:rPr>
          <w:rFonts w:hint="eastAsia" w:ascii="仿宋_GB2312" w:eastAsia="仿宋_GB2312"/>
          <w:szCs w:val="24"/>
        </w:rPr>
        <w:t xml:space="preserve">    花道养护做到一路一技师，一路一方案，建立绿化中心、中标单位和道路技术负责人管理体系，编制专项提升方案。针对不同道路形成养护记录，落实精细化养管措施。</w:t>
      </w:r>
    </w:p>
    <w:p>
      <w:pPr>
        <w:pStyle w:val="78"/>
        <w:ind w:left="0" w:firstLine="0"/>
        <w:jc w:val="center"/>
        <w:rPr>
          <w:rFonts w:ascii="仿宋_GB2312" w:eastAsia="仿宋_GB2312"/>
          <w:b/>
          <w:bCs/>
          <w:szCs w:val="24"/>
        </w:rPr>
      </w:pPr>
      <w:r>
        <w:rPr>
          <w:rFonts w:hint="eastAsia" w:ascii="仿宋_GB2312" w:eastAsia="仿宋_GB2312"/>
          <w:b/>
          <w:bCs/>
          <w:szCs w:val="24"/>
        </w:rPr>
        <w:t>静安区花道名录</w:t>
      </w:r>
    </w:p>
    <w:tbl>
      <w:tblPr>
        <w:tblStyle w:val="6"/>
        <w:tblW w:w="8926" w:type="dxa"/>
        <w:tblInd w:w="113" w:type="dxa"/>
        <w:tblLayout w:type="autofit"/>
        <w:tblCellMar>
          <w:top w:w="0" w:type="dxa"/>
          <w:left w:w="108" w:type="dxa"/>
          <w:bottom w:w="0" w:type="dxa"/>
          <w:right w:w="108" w:type="dxa"/>
        </w:tblCellMar>
      </w:tblPr>
      <w:tblGrid>
        <w:gridCol w:w="1080"/>
        <w:gridCol w:w="2176"/>
        <w:gridCol w:w="2551"/>
        <w:gridCol w:w="3119"/>
      </w:tblGrid>
      <w:tr>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序号</w:t>
            </w:r>
          </w:p>
        </w:tc>
        <w:tc>
          <w:tcPr>
            <w:tcW w:w="217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道路（点位）</w:t>
            </w:r>
          </w:p>
        </w:tc>
        <w:tc>
          <w:tcPr>
            <w:tcW w:w="255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路段</w:t>
            </w:r>
          </w:p>
        </w:tc>
        <w:tc>
          <w:tcPr>
            <w:tcW w:w="311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特色花灌木品种</w:t>
            </w: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pPr>
              <w:pStyle w:val="78"/>
              <w:widowControl/>
              <w:numPr>
                <w:ilvl w:val="0"/>
                <w:numId w:val="2"/>
              </w:numPr>
              <w:jc w:val="center"/>
              <w:rPr>
                <w:rFonts w:ascii="仿宋_GB2312" w:eastAsia="仿宋_GB2312"/>
                <w:szCs w:val="24"/>
              </w:rPr>
            </w:pPr>
          </w:p>
        </w:tc>
        <w:tc>
          <w:tcPr>
            <w:tcW w:w="2176"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曲阜路</w:t>
            </w:r>
          </w:p>
        </w:tc>
        <w:tc>
          <w:tcPr>
            <w:tcW w:w="25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天潼路-恒丰路</w:t>
            </w:r>
          </w:p>
        </w:tc>
        <w:tc>
          <w:tcPr>
            <w:tcW w:w="311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红火球紫薇、染井吉野樱</w:t>
            </w: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pPr>
              <w:pStyle w:val="78"/>
              <w:widowControl/>
              <w:numPr>
                <w:ilvl w:val="0"/>
                <w:numId w:val="2"/>
              </w:numPr>
              <w:jc w:val="center"/>
              <w:rPr>
                <w:rFonts w:ascii="仿宋_GB2312" w:eastAsia="仿宋_GB2312"/>
                <w:szCs w:val="24"/>
              </w:rPr>
            </w:pPr>
          </w:p>
        </w:tc>
        <w:tc>
          <w:tcPr>
            <w:tcW w:w="2176"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芷江中路</w:t>
            </w:r>
          </w:p>
        </w:tc>
        <w:tc>
          <w:tcPr>
            <w:tcW w:w="25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西藏北路-通阁路</w:t>
            </w:r>
          </w:p>
        </w:tc>
        <w:tc>
          <w:tcPr>
            <w:tcW w:w="311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天鹅绒紫薇</w:t>
            </w: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pPr>
              <w:pStyle w:val="78"/>
              <w:widowControl/>
              <w:numPr>
                <w:ilvl w:val="0"/>
                <w:numId w:val="2"/>
              </w:numPr>
              <w:jc w:val="center"/>
              <w:rPr>
                <w:rFonts w:ascii="仿宋_GB2312" w:eastAsia="仿宋_GB2312"/>
                <w:szCs w:val="24"/>
              </w:rPr>
            </w:pPr>
          </w:p>
        </w:tc>
        <w:tc>
          <w:tcPr>
            <w:tcW w:w="2176"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中兴路</w:t>
            </w:r>
          </w:p>
        </w:tc>
        <w:tc>
          <w:tcPr>
            <w:tcW w:w="25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西藏北路-东宝兴路</w:t>
            </w:r>
          </w:p>
        </w:tc>
        <w:tc>
          <w:tcPr>
            <w:tcW w:w="311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垂丝海棠、红花</w:t>
            </w:r>
            <w:r>
              <w:rPr>
                <w:rFonts w:hint="eastAsia" w:ascii="微软雅黑" w:hAnsi="微软雅黑" w:eastAsia="微软雅黑" w:cs="微软雅黑"/>
                <w:szCs w:val="24"/>
              </w:rPr>
              <w:t>檵</w:t>
            </w:r>
            <w:r>
              <w:rPr>
                <w:rFonts w:hint="eastAsia" w:ascii="仿宋_GB2312" w:hAnsi="仿宋_GB2312" w:eastAsia="仿宋_GB2312" w:cs="仿宋_GB2312"/>
                <w:szCs w:val="24"/>
              </w:rPr>
              <w:t>木</w:t>
            </w: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pPr>
              <w:pStyle w:val="78"/>
              <w:widowControl/>
              <w:numPr>
                <w:ilvl w:val="0"/>
                <w:numId w:val="2"/>
              </w:numPr>
              <w:jc w:val="center"/>
              <w:rPr>
                <w:rFonts w:ascii="仿宋_GB2312" w:eastAsia="仿宋_GB2312"/>
                <w:szCs w:val="24"/>
              </w:rPr>
            </w:pPr>
          </w:p>
        </w:tc>
        <w:tc>
          <w:tcPr>
            <w:tcW w:w="2176"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沪太路</w:t>
            </w:r>
          </w:p>
        </w:tc>
        <w:tc>
          <w:tcPr>
            <w:tcW w:w="25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宜川路-晋城路</w:t>
            </w:r>
          </w:p>
        </w:tc>
        <w:tc>
          <w:tcPr>
            <w:tcW w:w="311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垂丝海棠、美人茶</w:t>
            </w: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pPr>
              <w:pStyle w:val="78"/>
              <w:widowControl/>
              <w:numPr>
                <w:ilvl w:val="0"/>
                <w:numId w:val="2"/>
              </w:numPr>
              <w:jc w:val="center"/>
              <w:rPr>
                <w:rFonts w:ascii="仿宋_GB2312" w:eastAsia="仿宋_GB2312"/>
                <w:szCs w:val="24"/>
              </w:rPr>
            </w:pPr>
          </w:p>
        </w:tc>
        <w:tc>
          <w:tcPr>
            <w:tcW w:w="2176"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曹家渡花园</w:t>
            </w:r>
          </w:p>
        </w:tc>
        <w:tc>
          <w:tcPr>
            <w:tcW w:w="25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康定路余姚路路口</w:t>
            </w:r>
          </w:p>
        </w:tc>
        <w:tc>
          <w:tcPr>
            <w:tcW w:w="311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八仙花</w:t>
            </w: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pPr>
              <w:pStyle w:val="78"/>
              <w:widowControl/>
              <w:numPr>
                <w:ilvl w:val="0"/>
                <w:numId w:val="2"/>
              </w:numPr>
              <w:jc w:val="center"/>
              <w:rPr>
                <w:rFonts w:ascii="仿宋_GB2312" w:eastAsia="仿宋_GB2312"/>
                <w:szCs w:val="24"/>
              </w:rPr>
            </w:pPr>
          </w:p>
        </w:tc>
        <w:tc>
          <w:tcPr>
            <w:tcW w:w="2176"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万荣路中心连带</w:t>
            </w:r>
          </w:p>
        </w:tc>
        <w:tc>
          <w:tcPr>
            <w:tcW w:w="25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广中路-灵石路段</w:t>
            </w:r>
          </w:p>
        </w:tc>
        <w:tc>
          <w:tcPr>
            <w:tcW w:w="311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大花月季</w:t>
            </w: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pPr>
              <w:pStyle w:val="78"/>
              <w:widowControl/>
              <w:numPr>
                <w:ilvl w:val="0"/>
                <w:numId w:val="2"/>
              </w:numPr>
              <w:jc w:val="center"/>
              <w:rPr>
                <w:rFonts w:ascii="仿宋_GB2312" w:eastAsia="仿宋_GB2312"/>
                <w:szCs w:val="24"/>
              </w:rPr>
            </w:pPr>
          </w:p>
        </w:tc>
        <w:tc>
          <w:tcPr>
            <w:tcW w:w="2176"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石门一路连带</w:t>
            </w:r>
          </w:p>
        </w:tc>
        <w:tc>
          <w:tcPr>
            <w:tcW w:w="25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南京西路-威海路</w:t>
            </w:r>
          </w:p>
        </w:tc>
        <w:tc>
          <w:tcPr>
            <w:tcW w:w="311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巨紫荆</w:t>
            </w: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pPr>
              <w:pStyle w:val="78"/>
              <w:widowControl/>
              <w:numPr>
                <w:ilvl w:val="0"/>
                <w:numId w:val="2"/>
              </w:numPr>
              <w:jc w:val="center"/>
              <w:rPr>
                <w:rFonts w:ascii="仿宋_GB2312" w:eastAsia="仿宋_GB2312"/>
                <w:szCs w:val="24"/>
              </w:rPr>
            </w:pPr>
          </w:p>
        </w:tc>
        <w:tc>
          <w:tcPr>
            <w:tcW w:w="2176"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昌新绿地</w:t>
            </w:r>
          </w:p>
        </w:tc>
        <w:tc>
          <w:tcPr>
            <w:tcW w:w="25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昌化路新闸路路口</w:t>
            </w:r>
          </w:p>
        </w:tc>
        <w:tc>
          <w:tcPr>
            <w:tcW w:w="311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茶花</w:t>
            </w: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pPr>
              <w:pStyle w:val="78"/>
              <w:widowControl/>
              <w:numPr>
                <w:ilvl w:val="0"/>
                <w:numId w:val="2"/>
              </w:numPr>
              <w:jc w:val="center"/>
              <w:rPr>
                <w:rFonts w:ascii="仿宋_GB2312" w:eastAsia="仿宋_GB2312"/>
                <w:szCs w:val="24"/>
              </w:rPr>
            </w:pPr>
          </w:p>
        </w:tc>
        <w:tc>
          <w:tcPr>
            <w:tcW w:w="2176"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新闸路</w:t>
            </w:r>
          </w:p>
        </w:tc>
        <w:tc>
          <w:tcPr>
            <w:tcW w:w="25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万航渡路-昌化路</w:t>
            </w:r>
          </w:p>
        </w:tc>
        <w:tc>
          <w:tcPr>
            <w:tcW w:w="311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束花茶花</w:t>
            </w: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pPr>
              <w:pStyle w:val="78"/>
              <w:widowControl/>
              <w:numPr>
                <w:ilvl w:val="0"/>
                <w:numId w:val="2"/>
              </w:numPr>
              <w:jc w:val="center"/>
              <w:rPr>
                <w:rFonts w:ascii="仿宋_GB2312" w:eastAsia="仿宋_GB2312"/>
                <w:szCs w:val="24"/>
              </w:rPr>
            </w:pPr>
          </w:p>
        </w:tc>
        <w:tc>
          <w:tcPr>
            <w:tcW w:w="2176"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江场西路</w:t>
            </w:r>
          </w:p>
        </w:tc>
        <w:tc>
          <w:tcPr>
            <w:tcW w:w="25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高平路-彭越浦</w:t>
            </w:r>
          </w:p>
        </w:tc>
        <w:tc>
          <w:tcPr>
            <w:tcW w:w="311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帚桃</w:t>
            </w:r>
          </w:p>
        </w:tc>
      </w:tr>
      <w:tr>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78"/>
              <w:widowControl/>
              <w:numPr>
                <w:ilvl w:val="0"/>
                <w:numId w:val="2"/>
              </w:numPr>
              <w:jc w:val="center"/>
              <w:rPr>
                <w:rFonts w:ascii="仿宋_GB2312" w:eastAsia="仿宋_GB2312"/>
                <w:szCs w:val="24"/>
              </w:rPr>
            </w:pPr>
          </w:p>
        </w:tc>
        <w:tc>
          <w:tcPr>
            <w:tcW w:w="217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天目东（中）路</w:t>
            </w:r>
          </w:p>
        </w:tc>
        <w:tc>
          <w:tcPr>
            <w:tcW w:w="255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海宁路-河南北路</w:t>
            </w:r>
          </w:p>
        </w:tc>
        <w:tc>
          <w:tcPr>
            <w:tcW w:w="311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帚桃</w:t>
            </w:r>
          </w:p>
        </w:tc>
      </w:tr>
      <w:tr>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78"/>
              <w:widowControl/>
              <w:numPr>
                <w:ilvl w:val="0"/>
                <w:numId w:val="2"/>
              </w:numPr>
              <w:jc w:val="center"/>
              <w:rPr>
                <w:rFonts w:ascii="仿宋_GB2312" w:eastAsia="仿宋_GB2312"/>
                <w:szCs w:val="24"/>
              </w:rPr>
            </w:pPr>
          </w:p>
        </w:tc>
        <w:tc>
          <w:tcPr>
            <w:tcW w:w="217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石门二路</w:t>
            </w:r>
          </w:p>
        </w:tc>
        <w:tc>
          <w:tcPr>
            <w:tcW w:w="255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北京西路-新闸路</w:t>
            </w:r>
          </w:p>
        </w:tc>
        <w:tc>
          <w:tcPr>
            <w:tcW w:w="311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八仙花</w:t>
            </w:r>
          </w:p>
        </w:tc>
      </w:tr>
      <w:tr>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78"/>
              <w:widowControl/>
              <w:numPr>
                <w:ilvl w:val="0"/>
                <w:numId w:val="2"/>
              </w:numPr>
              <w:jc w:val="center"/>
              <w:rPr>
                <w:rFonts w:ascii="仿宋_GB2312" w:eastAsia="仿宋_GB2312"/>
                <w:szCs w:val="24"/>
              </w:rPr>
            </w:pPr>
          </w:p>
        </w:tc>
        <w:tc>
          <w:tcPr>
            <w:tcW w:w="217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昌平路</w:t>
            </w:r>
          </w:p>
        </w:tc>
        <w:tc>
          <w:tcPr>
            <w:tcW w:w="255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江宁路-西苏州路</w:t>
            </w:r>
          </w:p>
        </w:tc>
        <w:tc>
          <w:tcPr>
            <w:tcW w:w="311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帚桃</w:t>
            </w:r>
          </w:p>
        </w:tc>
      </w:tr>
      <w:tr>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78"/>
              <w:widowControl/>
              <w:numPr>
                <w:ilvl w:val="0"/>
                <w:numId w:val="2"/>
              </w:numPr>
              <w:jc w:val="center"/>
              <w:rPr>
                <w:rFonts w:ascii="仿宋_GB2312" w:eastAsia="仿宋_GB2312"/>
                <w:szCs w:val="24"/>
              </w:rPr>
            </w:pPr>
          </w:p>
        </w:tc>
        <w:tc>
          <w:tcPr>
            <w:tcW w:w="217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恒通路</w:t>
            </w:r>
          </w:p>
        </w:tc>
        <w:tc>
          <w:tcPr>
            <w:tcW w:w="255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光复路-恒丰路</w:t>
            </w:r>
          </w:p>
        </w:tc>
        <w:tc>
          <w:tcPr>
            <w:tcW w:w="311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帚桃</w:t>
            </w:r>
          </w:p>
        </w:tc>
      </w:tr>
      <w:tr>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78"/>
              <w:widowControl/>
              <w:numPr>
                <w:ilvl w:val="0"/>
                <w:numId w:val="2"/>
              </w:numPr>
              <w:rPr>
                <w:rFonts w:ascii="仿宋_GB2312" w:eastAsia="仿宋_GB2312"/>
                <w:szCs w:val="24"/>
              </w:rPr>
            </w:pPr>
          </w:p>
        </w:tc>
        <w:tc>
          <w:tcPr>
            <w:tcW w:w="217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广中（西）路</w:t>
            </w:r>
          </w:p>
        </w:tc>
        <w:tc>
          <w:tcPr>
            <w:tcW w:w="255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北宝兴路-沪太路</w:t>
            </w:r>
          </w:p>
        </w:tc>
        <w:tc>
          <w:tcPr>
            <w:tcW w:w="311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垂丝海棠、穗花牡荆</w:t>
            </w:r>
          </w:p>
        </w:tc>
      </w:tr>
      <w:tr>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78"/>
              <w:widowControl/>
              <w:numPr>
                <w:ilvl w:val="0"/>
                <w:numId w:val="2"/>
              </w:numPr>
              <w:rPr>
                <w:rFonts w:ascii="仿宋_GB2312" w:eastAsia="仿宋_GB2312"/>
                <w:szCs w:val="24"/>
              </w:rPr>
            </w:pPr>
          </w:p>
        </w:tc>
        <w:tc>
          <w:tcPr>
            <w:tcW w:w="217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永和东路</w:t>
            </w:r>
          </w:p>
        </w:tc>
        <w:tc>
          <w:tcPr>
            <w:tcW w:w="255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共和新路-平型关路</w:t>
            </w:r>
          </w:p>
        </w:tc>
        <w:tc>
          <w:tcPr>
            <w:tcW w:w="311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樱花</w:t>
            </w:r>
          </w:p>
        </w:tc>
      </w:tr>
    </w:tbl>
    <w:p>
      <w:pPr>
        <w:rPr>
          <w:rFonts w:ascii="仿宋_GB2312" w:eastAsia="仿宋_GB2312"/>
          <w:szCs w:val="24"/>
        </w:rPr>
      </w:pPr>
      <w:r>
        <w:rPr>
          <w:rFonts w:hint="eastAsia" w:ascii="仿宋_GB2312" w:eastAsia="仿宋_GB2312"/>
          <w:szCs w:val="24"/>
        </w:rPr>
        <w:t>3.8.</w:t>
      </w:r>
      <w:r>
        <w:rPr>
          <w:rFonts w:ascii="仿宋_GB2312" w:eastAsia="仿宋_GB2312"/>
          <w:szCs w:val="24"/>
        </w:rPr>
        <w:t>2</w:t>
      </w:r>
      <w:r>
        <w:rPr>
          <w:rFonts w:hint="eastAsia" w:ascii="仿宋_GB2312" w:eastAsia="仿宋_GB2312"/>
          <w:szCs w:val="24"/>
        </w:rPr>
        <w:t xml:space="preserve">  街区绿化养护管理要求</w:t>
      </w:r>
    </w:p>
    <w:p>
      <w:pPr>
        <w:ind w:firstLine="480" w:firstLineChars="200"/>
        <w:rPr>
          <w:rFonts w:ascii="仿宋_GB2312" w:eastAsia="仿宋_GB2312"/>
          <w:szCs w:val="24"/>
        </w:rPr>
      </w:pPr>
      <w:r>
        <w:rPr>
          <w:rFonts w:hint="eastAsia" w:ascii="仿宋_GB2312" w:eastAsia="仿宋_GB2312"/>
          <w:szCs w:val="24"/>
        </w:rPr>
        <w:t>1、街区绿化景观管理要求</w:t>
      </w:r>
    </w:p>
    <w:p>
      <w:pPr>
        <w:ind w:firstLine="480" w:firstLineChars="200"/>
        <w:rPr>
          <w:rFonts w:ascii="仿宋_GB2312" w:eastAsia="仿宋_GB2312"/>
          <w:szCs w:val="24"/>
        </w:rPr>
      </w:pPr>
      <w:r>
        <w:rPr>
          <w:rFonts w:hint="eastAsia" w:ascii="仿宋_GB2312" w:eastAsia="仿宋_GB2312"/>
          <w:szCs w:val="24"/>
        </w:rPr>
        <w:t>绿地景观应做到植物群落结构合理，植株疏密得当，层次分明，生长势良好，无显著病虫害，整体景观优美，具体要求如下：</w:t>
      </w:r>
    </w:p>
    <w:p>
      <w:pPr>
        <w:ind w:firstLine="480" w:firstLineChars="200"/>
        <w:rPr>
          <w:rFonts w:ascii="仿宋_GB2312" w:eastAsia="仿宋_GB2312"/>
          <w:szCs w:val="24"/>
        </w:rPr>
      </w:pPr>
      <w:r>
        <w:rPr>
          <w:rFonts w:hint="eastAsia" w:ascii="仿宋_GB2312" w:eastAsia="仿宋_GB2312"/>
          <w:szCs w:val="24"/>
        </w:rPr>
        <w:t>（1）绿化植物养护应按《园林绿化养护标准》DG/TJ 08-19-2023和市局白玉兰杯的考核标准执行。绿化元素包含的树木、花卉、草坪和草地、地被植物、水生植物、竹类、行道树、古树名木和古树后续资源、立体绿化、容器绿化、园林建构筑物、道路和地坪、假山和叠石、园桌、园椅和园凳、娱乐健身设施、垃圾箱、雕塑、标识标牌和宣传设施、灯光和照明设施、广播和监控设施、消防设施、无障碍设施、土壤、水体等进行科学养管，达到相应标准。</w:t>
      </w:r>
    </w:p>
    <w:p>
      <w:pPr>
        <w:ind w:firstLine="480" w:firstLineChars="200"/>
        <w:rPr>
          <w:rFonts w:ascii="仿宋_GB2312" w:eastAsia="仿宋_GB2312"/>
          <w:szCs w:val="24"/>
        </w:rPr>
      </w:pPr>
      <w:r>
        <w:rPr>
          <w:rFonts w:hint="eastAsia" w:ascii="仿宋_GB2312" w:eastAsia="仿宋_GB2312"/>
          <w:szCs w:val="24"/>
        </w:rPr>
        <w:t>（2）中标单位应按照绿地总体规划和植物配置设计，实施植物的栽植、调整和养护，使绿地的园林景观面貌始终保持最佳状态。</w:t>
      </w:r>
    </w:p>
    <w:p>
      <w:pPr>
        <w:ind w:firstLine="480" w:firstLineChars="200"/>
        <w:rPr>
          <w:rFonts w:ascii="仿宋_GB2312" w:eastAsia="仿宋_GB2312"/>
          <w:szCs w:val="24"/>
        </w:rPr>
      </w:pPr>
      <w:r>
        <w:rPr>
          <w:rFonts w:hint="eastAsia" w:ascii="仿宋_GB2312" w:eastAsia="仿宋_GB2312"/>
          <w:szCs w:val="24"/>
        </w:rPr>
        <w:t>（3）中标单位应提供全年养护计划、技术措施及植物调整计划，应有元旦、春节、五一、七一、十一、进博会等重要节日花坛、景点、立体绿化布置和全年用花计划。做好花坛花境的方案设计工作和花卉布置实施工作，确保在全市的花坛花境评比中取得好成绩。</w:t>
      </w:r>
    </w:p>
    <w:p>
      <w:pPr>
        <w:ind w:firstLine="480" w:firstLineChars="200"/>
        <w:rPr>
          <w:rFonts w:ascii="仿宋_GB2312" w:eastAsia="仿宋_GB2312"/>
          <w:szCs w:val="24"/>
        </w:rPr>
      </w:pPr>
      <w:r>
        <w:rPr>
          <w:rFonts w:hint="eastAsia" w:ascii="仿宋_GB2312" w:eastAsia="仿宋_GB2312"/>
          <w:szCs w:val="24"/>
        </w:rPr>
        <w:t>（4）中标单位应做好日常养护、巡查、自检工作、重点区域、一般区域巡查频率、巡查记录工作的记录，建立口袋公园、绿化特色道路、绿道、花道、重点树种的专项档案和养护日志，逐步建立精细化养护方案。</w:t>
      </w:r>
    </w:p>
    <w:p>
      <w:pPr>
        <w:ind w:firstLine="480" w:firstLineChars="200"/>
        <w:rPr>
          <w:rFonts w:ascii="仿宋_GB2312" w:eastAsia="仿宋_GB2312"/>
          <w:szCs w:val="24"/>
        </w:rPr>
      </w:pPr>
      <w:r>
        <w:rPr>
          <w:rFonts w:hint="eastAsia" w:ascii="仿宋_GB2312" w:eastAsia="仿宋_GB2312"/>
          <w:szCs w:val="24"/>
        </w:rPr>
        <w:t>（5）中标单位应做好绿地内的古树名木及古树后续资源保护工作。保持植株自然面貌，观赏价值高，设立有效保护范围，竖立保护铭牌，古树名木保护应符合《上海市古树名木和古树后续资源保护条例》各项规定。</w:t>
      </w:r>
    </w:p>
    <w:p>
      <w:pPr>
        <w:ind w:firstLine="480" w:firstLineChars="200"/>
        <w:outlineLvl w:val="0"/>
        <w:rPr>
          <w:rFonts w:ascii="仿宋_GB2312" w:hAnsi="宋体" w:eastAsia="仿宋_GB2312"/>
          <w:szCs w:val="24"/>
        </w:rPr>
      </w:pPr>
      <w:r>
        <w:rPr>
          <w:rFonts w:hint="eastAsia" w:ascii="仿宋_GB2312" w:eastAsia="仿宋_GB2312"/>
          <w:szCs w:val="24"/>
        </w:rPr>
        <w:t>（6）</w:t>
      </w:r>
      <w:r>
        <w:rPr>
          <w:rFonts w:hint="eastAsia" w:ascii="仿宋_GB2312" w:hAnsi="宋体" w:eastAsia="仿宋_GB2312"/>
          <w:szCs w:val="24"/>
        </w:rPr>
        <w:t>中标单位应按《绿化植物保护技术规程》DG/TJ08-35-2014做好绿地的植物保护工作，“预防为主、科学防控”以提高植物保护工作能力和质量。要确保养护费用中植保经费的专项使用。植保工作要有专人负责，做到工作有计划、有总结，监测有数据，防治有记录。做好防治药剂和防治机械设备的储备。做好有害生物监测工作，落实专人负责监测数据的记录和按要求上报制度。</w:t>
      </w:r>
    </w:p>
    <w:p>
      <w:pPr>
        <w:ind w:firstLine="480" w:firstLineChars="200"/>
        <w:outlineLvl w:val="0"/>
        <w:rPr>
          <w:rFonts w:ascii="仿宋_GB2312" w:hAnsi="宋体" w:eastAsia="仿宋_GB2312"/>
          <w:szCs w:val="24"/>
        </w:rPr>
      </w:pPr>
      <w:r>
        <w:rPr>
          <w:rFonts w:hint="eastAsia" w:ascii="仿宋_GB2312" w:hAnsi="宋体" w:eastAsia="仿宋_GB2312"/>
          <w:szCs w:val="24"/>
        </w:rPr>
        <w:t>（7）加强对检疫性害虫（特别是美国白蛾）及悬铃木方翅网蝽、星天牛、白蚁、枫香刺小蠹、悬铃木白粉病及煤污病（即“四虫二病”）等绿化重点有害生物的监测和防控，同时做好其它绿化有害生物的防控工作。防控工作以“绿色、环保、可控”为目标，推进药剂减量化，因虫施策，绿色防控，并做好“绿色防控”技术的推广。</w:t>
      </w:r>
    </w:p>
    <w:p>
      <w:pPr>
        <w:ind w:firstLine="480" w:firstLineChars="200"/>
        <w:rPr>
          <w:rFonts w:ascii="仿宋_GB2312" w:eastAsia="仿宋_GB2312"/>
          <w:szCs w:val="24"/>
        </w:rPr>
      </w:pPr>
      <w:bookmarkStart w:id="6" w:name="_Hlk150954628"/>
      <w:r>
        <w:rPr>
          <w:rFonts w:hint="eastAsia" w:ascii="仿宋_GB2312" w:eastAsia="仿宋_GB2312"/>
          <w:szCs w:val="24"/>
        </w:rPr>
        <w:t>（8）中标单位应按照区绿化中心要求做好市局和区政府的各项行业考核工作，确保绿地的养护管理工作在各项考核中达到优秀。</w:t>
      </w:r>
    </w:p>
    <w:bookmarkEnd w:id="6"/>
    <w:p>
      <w:pPr>
        <w:ind w:firstLine="480" w:firstLineChars="200"/>
        <w:rPr>
          <w:rFonts w:ascii="仿宋_GB2312" w:eastAsia="仿宋_GB2312"/>
          <w:szCs w:val="24"/>
        </w:rPr>
      </w:pPr>
      <w:r>
        <w:rPr>
          <w:rFonts w:hint="eastAsia" w:ascii="仿宋_GB2312" w:eastAsia="仿宋_GB2312"/>
          <w:szCs w:val="24"/>
        </w:rPr>
        <w:t xml:space="preserve"> (9) 中标单位应做好绿地监管工作，如遇调查统计、审批改造、行政许可苗木搬迁等情况，积极配合。如遇毁绿、占绿行为，应及时制止，并向区绿化中心及相关管理部门报告。</w:t>
      </w:r>
    </w:p>
    <w:p>
      <w:pPr>
        <w:ind w:firstLine="480" w:firstLineChars="200"/>
        <w:rPr>
          <w:rFonts w:ascii="仿宋_GB2312" w:eastAsia="仿宋_GB2312"/>
          <w:szCs w:val="24"/>
        </w:rPr>
      </w:pPr>
      <w:r>
        <w:rPr>
          <w:rFonts w:hint="eastAsia" w:ascii="仿宋_GB2312" w:eastAsia="仿宋_GB2312"/>
          <w:szCs w:val="24"/>
        </w:rPr>
        <w:t>2、绿地设施设备管理要求</w:t>
      </w:r>
    </w:p>
    <w:p>
      <w:pPr>
        <w:adjustRightInd w:val="0"/>
        <w:snapToGrid w:val="0"/>
        <w:ind w:firstLine="480" w:firstLineChars="200"/>
        <w:rPr>
          <w:rFonts w:ascii="仿宋_GB2312" w:eastAsia="仿宋_GB2312"/>
          <w:szCs w:val="24"/>
        </w:rPr>
      </w:pPr>
      <w:r>
        <w:rPr>
          <w:rFonts w:hint="eastAsia" w:ascii="仿宋_GB2312" w:eastAsia="仿宋_GB2312"/>
          <w:szCs w:val="24"/>
        </w:rPr>
        <w:t>中标单位应确保绿地的设施设备“正常运行无故障、安全生产无事故、维修及时无影响、日常检查无隐患”，具体要求如下：</w:t>
      </w:r>
    </w:p>
    <w:p>
      <w:pPr>
        <w:adjustRightInd w:val="0"/>
        <w:snapToGrid w:val="0"/>
        <w:ind w:firstLine="240" w:firstLineChars="100"/>
        <w:outlineLvl w:val="0"/>
        <w:rPr>
          <w:rFonts w:ascii="仿宋_GB2312" w:eastAsia="仿宋_GB2312"/>
          <w:szCs w:val="24"/>
        </w:rPr>
      </w:pPr>
      <w:r>
        <w:rPr>
          <w:rFonts w:hint="eastAsia" w:ascii="仿宋_GB2312" w:eastAsia="仿宋_GB2312"/>
          <w:szCs w:val="24"/>
        </w:rPr>
        <w:t>（1）建筑物、小品</w:t>
      </w:r>
    </w:p>
    <w:p>
      <w:pPr>
        <w:ind w:firstLine="480" w:firstLineChars="200"/>
        <w:rPr>
          <w:rFonts w:ascii="仿宋_GB2312" w:eastAsia="仿宋_GB2312"/>
          <w:szCs w:val="24"/>
        </w:rPr>
      </w:pPr>
      <w:r>
        <w:rPr>
          <w:rFonts w:hint="eastAsia" w:ascii="仿宋_GB2312" w:eastAsia="仿宋_GB2312"/>
          <w:szCs w:val="24"/>
        </w:rPr>
        <w:t>建筑小品均不得有违章搭建，要保持外型完好整洁，无乱张贴、乱涂写、乱刻画；绿地内各类附属设施应每日检查保持设施完好。如有损坏应即时修复，大面积的修复时应设有临时围护隔离。设施油漆每年应至少一次，于每年5月1日或10月1日前完成；椅、凳、台、花坛应固定位置，根据游人活动规律在不影响绿化情况下可增设安放椅凳。</w:t>
      </w:r>
    </w:p>
    <w:p>
      <w:pPr>
        <w:adjustRightInd w:val="0"/>
        <w:snapToGrid w:val="0"/>
        <w:ind w:firstLine="240" w:firstLineChars="100"/>
        <w:outlineLvl w:val="0"/>
        <w:rPr>
          <w:rFonts w:ascii="仿宋_GB2312" w:eastAsia="仿宋_GB2312"/>
          <w:szCs w:val="24"/>
        </w:rPr>
      </w:pPr>
      <w:r>
        <w:rPr>
          <w:rFonts w:hint="eastAsia" w:ascii="仿宋_GB2312" w:eastAsia="仿宋_GB2312"/>
          <w:szCs w:val="24"/>
        </w:rPr>
        <w:t>（2）雕塑</w:t>
      </w:r>
    </w:p>
    <w:p>
      <w:pPr>
        <w:ind w:firstLine="480" w:firstLineChars="200"/>
        <w:rPr>
          <w:rFonts w:ascii="仿宋_GB2312" w:eastAsia="仿宋_GB2312"/>
          <w:szCs w:val="24"/>
        </w:rPr>
      </w:pPr>
      <w:r>
        <w:rPr>
          <w:rFonts w:hint="eastAsia" w:ascii="仿宋_GB2312" w:eastAsia="仿宋_GB2312"/>
          <w:szCs w:val="24"/>
        </w:rPr>
        <w:t>中标单位应做好绿地中的雕塑定期检查、按期保养工作，保持好绿地雕塑的结构、基础安全稳定。</w:t>
      </w:r>
    </w:p>
    <w:p>
      <w:pPr>
        <w:adjustRightInd w:val="0"/>
        <w:snapToGrid w:val="0"/>
        <w:ind w:firstLine="240" w:firstLineChars="100"/>
        <w:outlineLvl w:val="0"/>
        <w:rPr>
          <w:rFonts w:ascii="仿宋_GB2312" w:eastAsia="仿宋_GB2312"/>
          <w:szCs w:val="24"/>
        </w:rPr>
      </w:pPr>
      <w:r>
        <w:rPr>
          <w:rFonts w:hint="eastAsia" w:ascii="仿宋_GB2312" w:eastAsia="仿宋_GB2312"/>
          <w:szCs w:val="24"/>
        </w:rPr>
        <w:t>（3）道路地坪</w:t>
      </w:r>
    </w:p>
    <w:p>
      <w:pPr>
        <w:ind w:firstLine="480" w:firstLineChars="200"/>
        <w:rPr>
          <w:rFonts w:ascii="仿宋_GB2312" w:eastAsia="仿宋_GB2312"/>
          <w:szCs w:val="24"/>
        </w:rPr>
      </w:pPr>
      <w:r>
        <w:rPr>
          <w:rFonts w:hint="eastAsia" w:ascii="仿宋_GB2312" w:eastAsia="仿宋_GB2312"/>
          <w:szCs w:val="24"/>
        </w:rPr>
        <w:t>中标单位应确保绿地中的道路地坪平整无破损，无积水，如有损坏应及时维修，木质地坪需每年防腐油漆1次，于每年5月1日前完成。如日常巡查中发现，有褪色、锈蚀现象，应在10月1日前再行修补一次。</w:t>
      </w:r>
    </w:p>
    <w:p>
      <w:pPr>
        <w:adjustRightInd w:val="0"/>
        <w:snapToGrid w:val="0"/>
        <w:ind w:firstLine="240" w:firstLineChars="100"/>
        <w:outlineLvl w:val="0"/>
        <w:rPr>
          <w:rFonts w:ascii="仿宋_GB2312" w:eastAsia="仿宋_GB2312"/>
          <w:szCs w:val="24"/>
        </w:rPr>
      </w:pPr>
      <w:r>
        <w:rPr>
          <w:rFonts w:hint="eastAsia" w:ascii="仿宋_GB2312" w:eastAsia="仿宋_GB2312"/>
          <w:szCs w:val="24"/>
        </w:rPr>
        <w:t>（4）市政给水、排水</w:t>
      </w:r>
    </w:p>
    <w:p>
      <w:pPr>
        <w:ind w:firstLine="480" w:firstLineChars="200"/>
        <w:rPr>
          <w:rFonts w:ascii="仿宋_GB2312" w:eastAsia="仿宋_GB2312"/>
          <w:szCs w:val="24"/>
        </w:rPr>
      </w:pPr>
      <w:r>
        <w:rPr>
          <w:rFonts w:hint="eastAsia" w:ascii="仿宋_GB2312" w:eastAsia="仿宋_GB2312"/>
          <w:szCs w:val="24"/>
        </w:rPr>
        <w:t>中标单位应确保绿地中的上下水管道保持畅通、无污染、无渗漏。现有排水管线应定期检修疏通；中标单位应确保绿地中的消防龙头、灌溉龙头、喷泉喷嘴、供水龙头等外露的给水设备，应随坏随修，随窃随装，避免浪费、污染环境；中标单位应确保绿地中的窨井、进水口、涵洞、闸门、泵房等外露的排水设备应保持完整、清洁，无隐患，老化、损坏、被盗窃的设施应及时更新。</w:t>
      </w:r>
    </w:p>
    <w:p>
      <w:pPr>
        <w:adjustRightInd w:val="0"/>
        <w:snapToGrid w:val="0"/>
        <w:ind w:firstLine="240" w:firstLineChars="100"/>
        <w:outlineLvl w:val="0"/>
        <w:rPr>
          <w:rFonts w:ascii="仿宋_GB2312" w:eastAsia="仿宋_GB2312"/>
          <w:szCs w:val="24"/>
        </w:rPr>
      </w:pPr>
      <w:r>
        <w:rPr>
          <w:rFonts w:hint="eastAsia" w:ascii="仿宋_GB2312" w:eastAsia="仿宋_GB2312"/>
          <w:szCs w:val="24"/>
        </w:rPr>
        <w:t>（5）供电、照明、动力</w:t>
      </w:r>
    </w:p>
    <w:p>
      <w:pPr>
        <w:ind w:firstLine="480" w:firstLineChars="200"/>
        <w:rPr>
          <w:rFonts w:ascii="仿宋_GB2312" w:eastAsia="仿宋_GB2312"/>
          <w:szCs w:val="24"/>
        </w:rPr>
      </w:pPr>
      <w:r>
        <w:rPr>
          <w:rFonts w:hint="eastAsia" w:ascii="仿宋_GB2312" w:eastAsia="仿宋_GB2312"/>
          <w:szCs w:val="24"/>
        </w:rPr>
        <w:t>中标单位应确保绿地中的路灯、庭院灯、草坪灯、泛光灯、地埋灯、水下灯、低压装饰灯等照明设施正常使用，应保持完整、清洁，无安全隐患，损坏后立即维修更换；中标单位应确保绿地中的泵房、空调、水箱、机修等各种动力设备应安全用电。</w:t>
      </w:r>
    </w:p>
    <w:p>
      <w:pPr>
        <w:adjustRightInd w:val="0"/>
        <w:snapToGrid w:val="0"/>
        <w:ind w:firstLine="240" w:firstLineChars="100"/>
        <w:outlineLvl w:val="0"/>
        <w:rPr>
          <w:rFonts w:ascii="仿宋_GB2312" w:eastAsia="仿宋_GB2312"/>
          <w:szCs w:val="24"/>
        </w:rPr>
      </w:pPr>
      <w:r>
        <w:rPr>
          <w:rFonts w:hint="eastAsia" w:ascii="仿宋_GB2312" w:eastAsia="仿宋_GB2312"/>
          <w:szCs w:val="24"/>
        </w:rPr>
        <w:t>（6）门牌、导向牌、告示牌、广告牌报纸宣传廊及临时设置的各种横幅</w:t>
      </w:r>
    </w:p>
    <w:p>
      <w:pPr>
        <w:ind w:firstLine="480" w:firstLineChars="200"/>
        <w:rPr>
          <w:rFonts w:ascii="仿宋_GB2312" w:eastAsia="仿宋_GB2312"/>
          <w:szCs w:val="24"/>
        </w:rPr>
      </w:pPr>
      <w:r>
        <w:rPr>
          <w:rFonts w:hint="eastAsia" w:ascii="仿宋_GB2312" w:eastAsia="仿宋_GB2312"/>
          <w:szCs w:val="24"/>
        </w:rPr>
        <w:t>中标单位应确保绿地中各项陈列资料应有专人负责，保持完整清洁，定期更换，报廊内报纸应每日更新；布告、宣传资料、临时设置的横幅等应在活动有效期过后即行更换拆除；广告宣传类应报经有关部门批准，其内容不得超越核定范围，应在规定期内拆除。</w:t>
      </w:r>
    </w:p>
    <w:p>
      <w:pPr>
        <w:adjustRightInd w:val="0"/>
        <w:snapToGrid w:val="0"/>
        <w:ind w:firstLine="240" w:firstLineChars="100"/>
        <w:outlineLvl w:val="0"/>
        <w:rPr>
          <w:rFonts w:ascii="仿宋_GB2312" w:eastAsia="仿宋_GB2312"/>
          <w:szCs w:val="24"/>
        </w:rPr>
      </w:pPr>
      <w:r>
        <w:rPr>
          <w:rFonts w:hint="eastAsia" w:ascii="仿宋_GB2312" w:eastAsia="仿宋_GB2312"/>
          <w:szCs w:val="24"/>
        </w:rPr>
        <w:t>（7）无障碍设施</w:t>
      </w:r>
    </w:p>
    <w:p>
      <w:pPr>
        <w:adjustRightInd w:val="0"/>
        <w:snapToGrid w:val="0"/>
        <w:ind w:firstLine="480"/>
        <w:rPr>
          <w:rFonts w:ascii="仿宋_GB2312" w:eastAsia="仿宋_GB2312"/>
          <w:szCs w:val="24"/>
        </w:rPr>
      </w:pPr>
      <w:r>
        <w:rPr>
          <w:rFonts w:hint="eastAsia" w:ascii="仿宋_GB2312" w:eastAsia="仿宋_GB2312"/>
          <w:szCs w:val="24"/>
        </w:rPr>
        <w:t>中标单位须确保绿地无障碍设施的安全有效。应有专人负责，随坏随修，确保无障碍设施的安全有效使用。</w:t>
      </w:r>
    </w:p>
    <w:p>
      <w:pPr>
        <w:adjustRightInd w:val="0"/>
        <w:snapToGrid w:val="0"/>
        <w:ind w:firstLine="240" w:firstLineChars="100"/>
        <w:outlineLvl w:val="0"/>
        <w:rPr>
          <w:rFonts w:ascii="仿宋_GB2312" w:eastAsia="仿宋_GB2312"/>
          <w:szCs w:val="24"/>
        </w:rPr>
      </w:pPr>
      <w:r>
        <w:rPr>
          <w:rFonts w:hint="eastAsia" w:ascii="仿宋_GB2312" w:eastAsia="仿宋_GB2312"/>
          <w:szCs w:val="24"/>
        </w:rPr>
        <w:t>（8）设备、设施维护维修</w:t>
      </w:r>
    </w:p>
    <w:p>
      <w:pPr>
        <w:adjustRightInd w:val="0"/>
        <w:snapToGrid w:val="0"/>
        <w:ind w:firstLine="480" w:firstLineChars="200"/>
        <w:rPr>
          <w:rFonts w:ascii="仿宋_GB2312" w:eastAsia="仿宋_GB2312"/>
          <w:szCs w:val="24"/>
        </w:rPr>
      </w:pPr>
      <w:r>
        <w:rPr>
          <w:rFonts w:hint="eastAsia" w:ascii="仿宋_GB2312" w:eastAsia="仿宋_GB2312"/>
          <w:szCs w:val="24"/>
        </w:rPr>
        <w:t>中标单位应对绿地中各类设备设施定期检查，发现问题应首先做好记录，及时维修解决。如有需要更换设备原厂配件或大、中修等项目，中标养护单位应及时上报区绿化中心，由绿化中心核实情况后统一采购设备、统一委托施工单位进行维修，维修完成后需由施工方、管理方和区绿化中心共同验收合格后再交付使用。</w:t>
      </w:r>
    </w:p>
    <w:p>
      <w:pPr>
        <w:rPr>
          <w:rFonts w:ascii="仿宋_GB2312" w:eastAsia="仿宋_GB2312"/>
          <w:szCs w:val="24"/>
        </w:rPr>
      </w:pPr>
      <w:r>
        <w:rPr>
          <w:rFonts w:hint="eastAsia" w:ascii="仿宋_GB2312" w:eastAsia="仿宋_GB2312"/>
          <w:szCs w:val="24"/>
        </w:rPr>
        <w:t>3、立体绿化管理要求</w:t>
      </w:r>
    </w:p>
    <w:p>
      <w:pPr>
        <w:rPr>
          <w:rFonts w:ascii="仿宋_GB2312" w:eastAsia="仿宋_GB2312"/>
          <w:szCs w:val="24"/>
        </w:rPr>
      </w:pPr>
      <w:r>
        <w:rPr>
          <w:rFonts w:hint="eastAsia" w:ascii="仿宋_GB2312" w:eastAsia="仿宋_GB2312"/>
          <w:szCs w:val="24"/>
        </w:rPr>
        <w:t>（1） 立体绿化设施维护要求</w:t>
      </w:r>
    </w:p>
    <w:p>
      <w:pPr>
        <w:ind w:firstLine="480" w:firstLineChars="200"/>
        <w:rPr>
          <w:rFonts w:ascii="仿宋_GB2312" w:eastAsia="仿宋_GB2312"/>
          <w:szCs w:val="24"/>
        </w:rPr>
      </w:pPr>
      <w:r>
        <w:rPr>
          <w:rFonts w:hint="eastAsia" w:ascii="仿宋_GB2312" w:hAnsi="宋体" w:eastAsia="仿宋_GB2312"/>
          <w:szCs w:val="24"/>
        </w:rPr>
        <w:t>①</w:t>
      </w:r>
      <w:r>
        <w:rPr>
          <w:rFonts w:hint="eastAsia" w:ascii="仿宋_GB2312" w:eastAsia="仿宋_GB2312"/>
          <w:szCs w:val="24"/>
        </w:rPr>
        <w:t>垂直绿化：挂网、铁质线、墙体支撑、给排水系统等设施应及时检修、保证完好。</w:t>
      </w:r>
    </w:p>
    <w:p>
      <w:pPr>
        <w:ind w:firstLine="480" w:firstLineChars="200"/>
        <w:rPr>
          <w:rFonts w:ascii="仿宋_GB2312" w:eastAsia="仿宋_GB2312"/>
          <w:szCs w:val="24"/>
        </w:rPr>
      </w:pPr>
      <w:r>
        <w:rPr>
          <w:rFonts w:hint="eastAsia" w:ascii="仿宋_GB2312" w:hAnsi="宋体" w:eastAsia="仿宋_GB2312"/>
          <w:szCs w:val="24"/>
        </w:rPr>
        <w:t>②</w:t>
      </w:r>
      <w:r>
        <w:rPr>
          <w:rFonts w:hint="eastAsia" w:ascii="仿宋_GB2312" w:eastAsia="仿宋_GB2312"/>
          <w:szCs w:val="24"/>
        </w:rPr>
        <w:t>容器花箱：定期检查、及时替换已破损的构件，保证花箱景观的整体性和完整性。</w:t>
      </w:r>
    </w:p>
    <w:p>
      <w:pPr>
        <w:rPr>
          <w:rFonts w:ascii="仿宋_GB2312" w:eastAsia="仿宋_GB2312"/>
          <w:szCs w:val="24"/>
        </w:rPr>
      </w:pPr>
      <w:r>
        <w:rPr>
          <w:rFonts w:hint="eastAsia" w:ascii="仿宋_GB2312" w:eastAsia="仿宋_GB2312"/>
          <w:szCs w:val="24"/>
        </w:rPr>
        <w:t>（2） 立体绿化植物养护要求</w:t>
      </w:r>
    </w:p>
    <w:p>
      <w:pPr>
        <w:ind w:firstLine="480" w:firstLineChars="200"/>
        <w:rPr>
          <w:rFonts w:ascii="仿宋_GB2312" w:eastAsia="仿宋_GB2312"/>
          <w:szCs w:val="24"/>
        </w:rPr>
      </w:pPr>
      <w:r>
        <w:rPr>
          <w:rFonts w:hint="eastAsia" w:ascii="仿宋_GB2312" w:eastAsia="仿宋_GB2312"/>
          <w:szCs w:val="24"/>
        </w:rPr>
        <w:t>垂直绿化：应按照《园林绿化养护技术规程》（DG/TJ08-19）相关条款规定执行；墙面攀爬或墙面贴植、春季应做好牵引固定；攀援植物秋季应及时松绑；攀援植物应及时修剪枯叶枯枝，并对向外生长枝条进行短截；新种植株修剪宜与理藤同时进行；栽植2年以上植株宜在2月—3月或花后进行；构件绿墙应及时更新长势差的植物；不可强行拉扯具有吸盘的植物落叶。</w:t>
      </w:r>
    </w:p>
    <w:p>
      <w:pPr>
        <w:ind w:firstLine="480" w:firstLineChars="200"/>
        <w:rPr>
          <w:rFonts w:ascii="仿宋_GB2312" w:eastAsia="仿宋_GB2312"/>
          <w:szCs w:val="24"/>
        </w:rPr>
      </w:pPr>
      <w:r>
        <w:rPr>
          <w:rFonts w:hint="eastAsia" w:ascii="仿宋_GB2312" w:eastAsia="仿宋_GB2312"/>
          <w:szCs w:val="24"/>
        </w:rPr>
        <w:t>（3）其他养护作业要求：</w:t>
      </w:r>
    </w:p>
    <w:p>
      <w:pPr>
        <w:ind w:firstLine="480" w:firstLineChars="200"/>
        <w:rPr>
          <w:rFonts w:ascii="仿宋_GB2312" w:eastAsia="仿宋_GB2312"/>
          <w:szCs w:val="24"/>
        </w:rPr>
      </w:pPr>
      <w:r>
        <w:rPr>
          <w:rFonts w:hint="eastAsia" w:ascii="仿宋_GB2312" w:hAnsi="宋体" w:eastAsia="仿宋_GB2312"/>
          <w:szCs w:val="24"/>
        </w:rPr>
        <w:t>①</w:t>
      </w:r>
      <w:r>
        <w:rPr>
          <w:rFonts w:hint="eastAsia" w:ascii="仿宋_GB2312" w:eastAsia="仿宋_GB2312"/>
          <w:szCs w:val="24"/>
        </w:rPr>
        <w:t>中标单位应提供养护计划、技术措施及植物调整计划。</w:t>
      </w:r>
    </w:p>
    <w:p>
      <w:pPr>
        <w:ind w:firstLine="480" w:firstLineChars="200"/>
        <w:rPr>
          <w:rFonts w:ascii="仿宋_GB2312" w:eastAsia="仿宋_GB2312"/>
          <w:szCs w:val="24"/>
        </w:rPr>
      </w:pPr>
      <w:r>
        <w:rPr>
          <w:rFonts w:hint="eastAsia" w:ascii="仿宋_GB2312" w:hAnsi="宋体" w:eastAsia="仿宋_GB2312"/>
          <w:szCs w:val="24"/>
        </w:rPr>
        <w:t>②</w:t>
      </w:r>
      <w:r>
        <w:rPr>
          <w:rFonts w:hint="eastAsia" w:ascii="仿宋_GB2312" w:eastAsia="仿宋_GB2312"/>
          <w:szCs w:val="24"/>
        </w:rPr>
        <w:t>中标单位应做好日常养护工作的记录，逐步建立精细化养护方案。</w:t>
      </w:r>
    </w:p>
    <w:p>
      <w:pPr>
        <w:ind w:firstLine="480" w:firstLineChars="200"/>
        <w:rPr>
          <w:rFonts w:ascii="仿宋_GB2312" w:eastAsia="仿宋_GB2312"/>
          <w:szCs w:val="24"/>
        </w:rPr>
      </w:pPr>
      <w:r>
        <w:rPr>
          <w:rFonts w:hint="eastAsia" w:ascii="仿宋_GB2312" w:hAnsi="宋体" w:eastAsia="仿宋_GB2312"/>
          <w:szCs w:val="24"/>
        </w:rPr>
        <w:t>③</w:t>
      </w:r>
      <w:r>
        <w:rPr>
          <w:rFonts w:hint="eastAsia" w:ascii="仿宋_GB2312" w:eastAsia="仿宋_GB2312"/>
          <w:szCs w:val="24"/>
        </w:rPr>
        <w:t>中标单位应参加区绿化中心组织的养护管理例会，汇报管理情况和管理计划等工作。</w:t>
      </w:r>
    </w:p>
    <w:p>
      <w:pPr>
        <w:ind w:firstLine="480" w:firstLineChars="200"/>
        <w:rPr>
          <w:rFonts w:ascii="仿宋_GB2312" w:eastAsia="仿宋_GB2312"/>
          <w:szCs w:val="24"/>
        </w:rPr>
      </w:pPr>
      <w:r>
        <w:rPr>
          <w:rFonts w:hint="eastAsia" w:ascii="仿宋_GB2312" w:hAnsi="宋体" w:eastAsia="仿宋_GB2312"/>
          <w:szCs w:val="24"/>
        </w:rPr>
        <w:t>④</w:t>
      </w:r>
      <w:r>
        <w:rPr>
          <w:rFonts w:hint="eastAsia" w:ascii="仿宋_GB2312" w:eastAsia="仿宋_GB2312"/>
          <w:szCs w:val="24"/>
        </w:rPr>
        <w:t>中标单位应按照区绿化中心要求做好市局和区政府的各项行业考核工作，确保绿地的养护管理工作在各项考核中达到优秀。</w:t>
      </w:r>
    </w:p>
    <w:p>
      <w:pPr>
        <w:adjustRightInd w:val="0"/>
        <w:snapToGrid w:val="0"/>
        <w:ind w:firstLine="480" w:firstLineChars="200"/>
        <w:rPr>
          <w:rFonts w:ascii="仿宋_GB2312" w:eastAsia="仿宋_GB2312"/>
          <w:szCs w:val="24"/>
        </w:rPr>
      </w:pPr>
      <w:r>
        <w:rPr>
          <w:rFonts w:hint="eastAsia" w:ascii="仿宋_GB2312" w:hAnsi="宋体" w:eastAsia="仿宋_GB2312"/>
          <w:szCs w:val="24"/>
        </w:rPr>
        <w:t>⑤</w:t>
      </w:r>
      <w:r>
        <w:rPr>
          <w:rFonts w:hint="eastAsia" w:ascii="仿宋_GB2312" w:eastAsia="仿宋_GB2312"/>
          <w:szCs w:val="24"/>
        </w:rPr>
        <w:t>园林废弃物的收集利用：中标单位应建立垃圾分类、整理和回收利用体制，提倡再生物资的生产、利用；中标单位应对绿地修剪后的枯枝落叶应自行回收利用，严禁私自焚烧、填埋。</w:t>
      </w:r>
    </w:p>
    <w:p>
      <w:pPr>
        <w:adjustRightInd w:val="0"/>
        <w:snapToGrid w:val="0"/>
        <w:ind w:firstLine="480" w:firstLineChars="200"/>
        <w:rPr>
          <w:rFonts w:ascii="仿宋_GB2312" w:eastAsia="仿宋_GB2312"/>
          <w:szCs w:val="24"/>
        </w:rPr>
      </w:pPr>
      <w:r>
        <w:rPr>
          <w:rFonts w:hint="eastAsia" w:ascii="仿宋_GB2312" w:hAnsi="宋体" w:eastAsia="仿宋_GB2312"/>
          <w:szCs w:val="24"/>
        </w:rPr>
        <w:t>⑥</w:t>
      </w:r>
      <w:r>
        <w:rPr>
          <w:rFonts w:hint="eastAsia" w:ascii="仿宋_GB2312" w:eastAsia="仿宋_GB2312"/>
          <w:szCs w:val="24"/>
        </w:rPr>
        <w:t>遵守各项规章制度；统一着装，佩戴胸牌；不得在工作岗位上吸烟、进食，阅读书报及听广播、干私活；不得串岗、并岗，因事离岗必须经队长同意；工作中必须严格执行《安全操作规程》，按《安全操作规程》进行养护工作；必须仪表整洁，礼貌待客，不与市民争吵。</w:t>
      </w:r>
    </w:p>
    <w:p>
      <w:pPr>
        <w:adjustRightInd w:val="0"/>
        <w:snapToGrid w:val="0"/>
        <w:ind w:firstLine="480" w:firstLineChars="200"/>
        <w:rPr>
          <w:rFonts w:ascii="仿宋_GB2312" w:eastAsia="仿宋_GB2312"/>
          <w:szCs w:val="24"/>
        </w:rPr>
      </w:pPr>
      <w:r>
        <w:rPr>
          <w:rFonts w:hint="eastAsia" w:ascii="仿宋_GB2312" w:hAnsi="宋体" w:eastAsia="仿宋_GB2312"/>
          <w:szCs w:val="24"/>
        </w:rPr>
        <w:t>⑦</w:t>
      </w:r>
      <w:r>
        <w:rPr>
          <w:rFonts w:hint="eastAsia" w:ascii="仿宋_GB2312" w:eastAsia="仿宋_GB2312"/>
          <w:szCs w:val="24"/>
        </w:rPr>
        <w:t>做好相关养护范围内的保洁工作。</w:t>
      </w:r>
    </w:p>
    <w:p>
      <w:pPr>
        <w:adjustRightInd w:val="0"/>
        <w:snapToGrid w:val="0"/>
        <w:ind w:firstLine="480" w:firstLineChars="200"/>
        <w:rPr>
          <w:rFonts w:ascii="仿宋_GB2312" w:eastAsia="仿宋_GB2312"/>
          <w:szCs w:val="24"/>
        </w:rPr>
      </w:pPr>
      <w:r>
        <w:rPr>
          <w:rFonts w:hint="eastAsia" w:ascii="仿宋_GB2312" w:eastAsia="仿宋_GB2312"/>
          <w:szCs w:val="24"/>
        </w:rPr>
        <w:t>（4）立体绿化安全和保卫管理要求</w:t>
      </w:r>
    </w:p>
    <w:p>
      <w:pPr>
        <w:adjustRightInd w:val="0"/>
        <w:snapToGrid w:val="0"/>
        <w:ind w:firstLine="480" w:firstLineChars="200"/>
        <w:rPr>
          <w:rFonts w:ascii="仿宋_GB2312" w:eastAsia="仿宋_GB2312"/>
          <w:szCs w:val="24"/>
        </w:rPr>
      </w:pPr>
      <w:r>
        <w:rPr>
          <w:rFonts w:hint="eastAsia" w:ascii="仿宋_GB2312" w:hAnsi="宋体" w:eastAsia="仿宋_GB2312"/>
          <w:szCs w:val="24"/>
        </w:rPr>
        <w:t>①</w:t>
      </w:r>
      <w:r>
        <w:rPr>
          <w:rFonts w:hint="eastAsia" w:ascii="仿宋_GB2312" w:eastAsia="仿宋_GB2312"/>
          <w:szCs w:val="24"/>
        </w:rPr>
        <w:t>中标单位一定要牢固树立“安全第一”、“安全责任重于泰山”的工作理念，提高对安全管理工作的认识，把保证安全工作放在各项工作的首位，要配备专（兼）职的安全管理人员，完善各项安全生产规章制度，切实落实安全生产措施，明确安全生产工作责任，定期对职工和作业人员的安全生产教育，做到警钟长鸣，长治久安。</w:t>
      </w:r>
    </w:p>
    <w:p>
      <w:pPr>
        <w:adjustRightInd w:val="0"/>
        <w:snapToGrid w:val="0"/>
        <w:ind w:firstLine="480" w:firstLineChars="200"/>
        <w:rPr>
          <w:rFonts w:ascii="仿宋_GB2312" w:eastAsia="仿宋_GB2312"/>
          <w:szCs w:val="24"/>
        </w:rPr>
      </w:pPr>
      <w:r>
        <w:rPr>
          <w:rFonts w:hint="eastAsia" w:ascii="仿宋_GB2312" w:hAnsi="宋体" w:eastAsia="仿宋_GB2312"/>
          <w:szCs w:val="24"/>
        </w:rPr>
        <w:t>②</w:t>
      </w:r>
      <w:r>
        <w:rPr>
          <w:rFonts w:hint="eastAsia" w:ascii="仿宋_GB2312" w:eastAsia="仿宋_GB2312"/>
          <w:szCs w:val="24"/>
        </w:rPr>
        <w:t>中标单位要加强消防安全监管，切实做好防火工作，院内禁止擅自烧烤、焚烧枯枝落叶等行为。</w:t>
      </w:r>
    </w:p>
    <w:p>
      <w:pPr>
        <w:adjustRightInd w:val="0"/>
        <w:snapToGrid w:val="0"/>
        <w:ind w:firstLine="480" w:firstLineChars="200"/>
        <w:rPr>
          <w:rFonts w:ascii="仿宋_GB2312" w:eastAsia="仿宋_GB2312"/>
          <w:szCs w:val="24"/>
        </w:rPr>
      </w:pPr>
      <w:r>
        <w:rPr>
          <w:rFonts w:hint="eastAsia" w:ascii="仿宋_GB2312" w:hAnsi="宋体" w:eastAsia="仿宋_GB2312"/>
          <w:szCs w:val="24"/>
        </w:rPr>
        <w:t>③</w:t>
      </w:r>
      <w:r>
        <w:rPr>
          <w:rFonts w:hint="eastAsia" w:ascii="仿宋_GB2312" w:eastAsia="仿宋_GB2312"/>
          <w:szCs w:val="24"/>
        </w:rPr>
        <w:t>中标单位要强化绿地内用电安全管理。</w:t>
      </w:r>
    </w:p>
    <w:p>
      <w:pPr>
        <w:adjustRightInd w:val="0"/>
        <w:snapToGrid w:val="0"/>
        <w:ind w:firstLine="480" w:firstLineChars="200"/>
        <w:rPr>
          <w:rFonts w:ascii="仿宋_GB2312" w:eastAsia="仿宋_GB2312"/>
          <w:szCs w:val="24"/>
        </w:rPr>
      </w:pPr>
      <w:r>
        <w:rPr>
          <w:rFonts w:hint="eastAsia" w:ascii="仿宋_GB2312" w:hAnsi="宋体" w:eastAsia="仿宋_GB2312"/>
          <w:szCs w:val="24"/>
        </w:rPr>
        <w:t>④</w:t>
      </w:r>
      <w:r>
        <w:rPr>
          <w:rFonts w:hint="eastAsia" w:ascii="仿宋_GB2312" w:eastAsia="仿宋_GB2312"/>
          <w:szCs w:val="24"/>
        </w:rPr>
        <w:t>绿地内农药、试剂、汽油等危险品、易燃品要落实专人保管，使用要登记。</w:t>
      </w:r>
      <w:r>
        <w:rPr>
          <w:rFonts w:hint="eastAsia" w:ascii="仿宋_GB2312" w:eastAsia="仿宋_GB2312"/>
          <w:szCs w:val="24"/>
        </w:rPr>
        <w:br w:type="textWrapping"/>
      </w:r>
      <w:r>
        <w:rPr>
          <w:rFonts w:hint="eastAsia" w:ascii="仿宋_GB2312" w:hAnsi="宋体" w:eastAsia="仿宋_GB2312"/>
          <w:szCs w:val="24"/>
        </w:rPr>
        <w:t>⑤</w:t>
      </w:r>
      <w:r>
        <w:rPr>
          <w:rFonts w:hint="eastAsia" w:ascii="仿宋_GB2312" w:eastAsia="仿宋_GB2312"/>
          <w:szCs w:val="24"/>
        </w:rPr>
        <w:t>中标单位要加强信息沟通。中标单位负责人应保持手机等通讯工具24小时通畅，如发生安全、伤亡等事故，应及时向区绿化中心及相关管理部门报告，并按规定保护事故现场。</w:t>
      </w:r>
    </w:p>
    <w:p>
      <w:pPr>
        <w:adjustRightInd w:val="0"/>
        <w:snapToGrid w:val="0"/>
        <w:ind w:firstLine="480" w:firstLineChars="200"/>
        <w:rPr>
          <w:rFonts w:ascii="仿宋_GB2312" w:eastAsia="仿宋_GB2312"/>
          <w:szCs w:val="24"/>
        </w:rPr>
      </w:pPr>
      <w:r>
        <w:rPr>
          <w:rFonts w:hint="eastAsia" w:ascii="仿宋_GB2312" w:eastAsia="仿宋_GB2312"/>
          <w:szCs w:val="24"/>
        </w:rPr>
        <w:t>4、绿地安全和保卫管理要求</w:t>
      </w:r>
    </w:p>
    <w:p>
      <w:pPr>
        <w:adjustRightInd w:val="0"/>
        <w:snapToGrid w:val="0"/>
        <w:ind w:firstLine="480" w:firstLineChars="200"/>
        <w:rPr>
          <w:rFonts w:ascii="仿宋_GB2312" w:eastAsia="仿宋_GB2312"/>
          <w:szCs w:val="24"/>
        </w:rPr>
      </w:pPr>
      <w:r>
        <w:rPr>
          <w:rFonts w:hint="eastAsia" w:ascii="仿宋_GB2312" w:eastAsia="仿宋_GB2312"/>
          <w:szCs w:val="24"/>
        </w:rPr>
        <w:t>（1）中标单位一定要牢固树立“安全第一”、“安全责任重于泰山”的工作理念，提高对安全管理工作的认识，把保证安全工作放在各项工作的首位，要配备安全管理人员，完善各项安全生产规章制度，切实落实安全生产措施，明确安全生产工作责任，定期对职工和作业人员的安全生产教育，做到警钟长鸣，长治久安。</w:t>
      </w:r>
    </w:p>
    <w:p>
      <w:pPr>
        <w:adjustRightInd w:val="0"/>
        <w:snapToGrid w:val="0"/>
        <w:ind w:firstLine="480" w:firstLineChars="200"/>
        <w:rPr>
          <w:rFonts w:ascii="仿宋_GB2312" w:eastAsia="仿宋_GB2312"/>
          <w:szCs w:val="24"/>
        </w:rPr>
      </w:pPr>
      <w:r>
        <w:rPr>
          <w:rFonts w:hint="eastAsia" w:ascii="仿宋_GB2312" w:eastAsia="仿宋_GB2312"/>
          <w:szCs w:val="24"/>
        </w:rPr>
        <w:t>（2）中标单位要加强消防安全监管，切实做好防火工作，院内禁止擅自烧烤、焚烧枯枝落叶等行为，主要建筑物和设施内，如办公室、地下室、配电间、弱电室、仓库、电动工具充电场所等必须按照消防要求配备一定数量的灭火器材，防患于未然。</w:t>
      </w:r>
    </w:p>
    <w:p>
      <w:pPr>
        <w:adjustRightInd w:val="0"/>
        <w:snapToGrid w:val="0"/>
        <w:ind w:firstLine="360" w:firstLineChars="150"/>
        <w:rPr>
          <w:rFonts w:ascii="仿宋_GB2312" w:eastAsia="仿宋_GB2312"/>
          <w:szCs w:val="24"/>
        </w:rPr>
      </w:pPr>
      <w:r>
        <w:rPr>
          <w:rFonts w:hint="eastAsia" w:ascii="仿宋_GB2312" w:eastAsia="仿宋_GB2312"/>
          <w:szCs w:val="24"/>
        </w:rPr>
        <w:t>（3）中标单位要强化绿地内用电安全管理，配电间门要常锁闭，钥匙由专人管理，出入要登记。路灯、庭院灯、草坪灯、泛光灯、地埋灯、水下灯、低压装饰灯等照明设施，应保持完整、清洁，无安全隐患。泵房、空调、水箱、机修等各种动力设备应安全用电，由具有资质人员操作，喷水池等可能存在隐患供电点应为低压供电，安保、通讯、网络等各种弱电系统应有专业人员负责养管，保证设备完整运转。绿地内电器设施维修工作人员必须持证上岗。</w:t>
      </w:r>
    </w:p>
    <w:p>
      <w:pPr>
        <w:adjustRightInd w:val="0"/>
        <w:snapToGrid w:val="0"/>
        <w:ind w:firstLine="480" w:firstLineChars="200"/>
        <w:rPr>
          <w:rFonts w:ascii="仿宋_GB2312" w:eastAsia="仿宋_GB2312"/>
          <w:szCs w:val="24"/>
        </w:rPr>
      </w:pPr>
      <w:r>
        <w:rPr>
          <w:rFonts w:hint="eastAsia" w:ascii="仿宋_GB2312" w:eastAsia="仿宋_GB2312"/>
          <w:szCs w:val="24"/>
        </w:rPr>
        <w:t>（4）中标单位要严格按照技术规程，制定安全措施，确保工作人员和游客的安全，作业或养护有可能对游客正常游园造成影响的，要事先告之，项目作业、养护时要注意加强现场围护，作业堆料、绿化垃圾要划定专门区域堆放并用遮盖物覆盖，作业完毕后要工完场清。绿地内农药、试剂、汽油等危险品、易燃品要落实专人保管，使用要登记。</w:t>
      </w:r>
    </w:p>
    <w:p>
      <w:pPr>
        <w:adjustRightInd w:val="0"/>
        <w:snapToGrid w:val="0"/>
        <w:rPr>
          <w:rFonts w:ascii="仿宋_GB2312" w:eastAsia="仿宋_GB2312"/>
          <w:szCs w:val="24"/>
        </w:rPr>
      </w:pPr>
      <w:r>
        <w:rPr>
          <w:rFonts w:hint="eastAsia" w:ascii="仿宋_GB2312" w:eastAsia="仿宋_GB2312"/>
          <w:szCs w:val="24"/>
        </w:rPr>
        <w:t>　　（5）中标单位要加强信息沟通。中标单位负责人应保持手机等通讯工具24小时通畅，如发生安全、伤亡等事故，应及时向区绿化中心及相关管理部门报告，并按规定保护事故现场。</w:t>
      </w:r>
    </w:p>
    <w:p>
      <w:pPr>
        <w:ind w:firstLine="480" w:firstLineChars="200"/>
        <w:rPr>
          <w:rFonts w:ascii="仿宋_GB2312" w:eastAsia="仿宋_GB2312"/>
          <w:szCs w:val="24"/>
        </w:rPr>
      </w:pPr>
      <w:r>
        <w:rPr>
          <w:rFonts w:hint="eastAsia" w:ascii="仿宋_GB2312" w:eastAsia="仿宋_GB2312"/>
          <w:szCs w:val="24"/>
        </w:rPr>
        <w:t>5、绿地具体养护操作规范</w:t>
      </w:r>
    </w:p>
    <w:p>
      <w:pPr>
        <w:ind w:firstLine="480" w:firstLineChars="200"/>
        <w:rPr>
          <w:rFonts w:ascii="仿宋_GB2312" w:eastAsia="仿宋_GB2312"/>
          <w:szCs w:val="24"/>
        </w:rPr>
      </w:pPr>
      <w:r>
        <w:rPr>
          <w:rFonts w:hint="eastAsia" w:ascii="仿宋_GB2312" w:eastAsia="仿宋_GB2312"/>
          <w:szCs w:val="24"/>
        </w:rPr>
        <w:t>（1）总体要求：</w:t>
      </w:r>
    </w:p>
    <w:p>
      <w:pPr>
        <w:ind w:firstLine="480" w:firstLineChars="200"/>
        <w:rPr>
          <w:rFonts w:ascii="仿宋_GB2312" w:eastAsia="仿宋_GB2312"/>
          <w:szCs w:val="24"/>
        </w:rPr>
      </w:pPr>
      <w:r>
        <w:rPr>
          <w:rFonts w:hint="eastAsia" w:ascii="仿宋_GB2312" w:eastAsia="仿宋_GB2312"/>
          <w:szCs w:val="24"/>
        </w:rPr>
        <w:t>遵守各项规章制度；统一着装，佩戴胸牌；不得在工作岗位上吸烟、进食，阅读书报及听广播、干私活；不得串岗、并岗，因事离岗必须经队长同意；工作中必须严格执行《安全操作规程》，按《安全操作规程》进行养护工作；必须仪表整洁，礼貌待客，不与游客争吵；所有街区绿地养护均需配备专职的保洁和设施维护人员。</w:t>
      </w:r>
    </w:p>
    <w:p>
      <w:pPr>
        <w:ind w:firstLine="480" w:firstLineChars="200"/>
        <w:rPr>
          <w:rFonts w:ascii="仿宋_GB2312" w:eastAsia="仿宋_GB2312"/>
          <w:szCs w:val="24"/>
        </w:rPr>
      </w:pPr>
      <w:r>
        <w:rPr>
          <w:rFonts w:hint="eastAsia" w:ascii="仿宋_GB2312" w:eastAsia="仿宋_GB2312"/>
          <w:szCs w:val="24"/>
        </w:rPr>
        <w:t>（2）绿化养护：</w:t>
      </w:r>
    </w:p>
    <w:p>
      <w:pPr>
        <w:ind w:firstLine="480"/>
        <w:rPr>
          <w:rFonts w:ascii="仿宋_GB2312" w:eastAsia="仿宋_GB2312"/>
          <w:szCs w:val="24"/>
        </w:rPr>
      </w:pPr>
      <w:r>
        <w:rPr>
          <w:rFonts w:hint="eastAsia" w:ascii="仿宋_GB2312" w:hAnsi="宋体" w:eastAsia="仿宋_GB2312"/>
          <w:szCs w:val="24"/>
        </w:rPr>
        <w:t>①</w:t>
      </w:r>
      <w:r>
        <w:rPr>
          <w:rFonts w:hint="eastAsia" w:ascii="仿宋_GB2312" w:eastAsia="仿宋_GB2312"/>
          <w:szCs w:val="24"/>
        </w:rPr>
        <w:t>除执行绿地养护景观标准外，应结合绿地的实际情况，根据新种植物的生长习性和要求，适时进行根外施肥和施基肥，树杆伤口或大剪口应用羊毛脂封口。</w:t>
      </w:r>
    </w:p>
    <w:p>
      <w:pPr>
        <w:ind w:firstLine="465"/>
        <w:rPr>
          <w:rFonts w:ascii="仿宋_GB2312" w:eastAsia="仿宋_GB2312"/>
          <w:szCs w:val="24"/>
        </w:rPr>
      </w:pPr>
      <w:r>
        <w:rPr>
          <w:rFonts w:hint="eastAsia" w:ascii="仿宋_GB2312" w:hAnsi="宋体" w:eastAsia="仿宋_GB2312"/>
          <w:szCs w:val="24"/>
        </w:rPr>
        <w:t>②</w:t>
      </w:r>
      <w:r>
        <w:rPr>
          <w:rFonts w:hint="eastAsia" w:ascii="仿宋_GB2312" w:eastAsia="仿宋_GB2312"/>
          <w:szCs w:val="24"/>
        </w:rPr>
        <w:t>加强花灌木修剪管理，积极推进花灌木自然式修剪，充分发挥花灌木的观赏价值和生态价值。</w:t>
      </w:r>
    </w:p>
    <w:p>
      <w:pPr>
        <w:ind w:firstLine="465"/>
        <w:rPr>
          <w:rFonts w:ascii="仿宋_GB2312" w:eastAsia="仿宋_GB2312"/>
          <w:szCs w:val="24"/>
        </w:rPr>
      </w:pPr>
      <w:r>
        <w:rPr>
          <w:rFonts w:hint="eastAsia" w:ascii="仿宋_GB2312" w:hAnsi="宋体" w:eastAsia="仿宋_GB2312"/>
          <w:szCs w:val="24"/>
        </w:rPr>
        <w:t>③</w:t>
      </w:r>
      <w:r>
        <w:rPr>
          <w:rFonts w:hint="eastAsia" w:ascii="仿宋_GB2312" w:eastAsia="仿宋_GB2312"/>
          <w:szCs w:val="24"/>
        </w:rPr>
        <w:t>加强新种引进苗木病虫害的监测，及时发现及早防治。</w:t>
      </w:r>
    </w:p>
    <w:p>
      <w:pPr>
        <w:ind w:firstLine="465"/>
        <w:rPr>
          <w:rFonts w:ascii="仿宋_GB2312" w:eastAsia="仿宋_GB2312"/>
          <w:szCs w:val="24"/>
        </w:rPr>
      </w:pPr>
      <w:r>
        <w:rPr>
          <w:rFonts w:hint="eastAsia" w:ascii="仿宋_GB2312" w:hAnsi="宋体" w:eastAsia="仿宋_GB2312"/>
          <w:szCs w:val="24"/>
        </w:rPr>
        <w:t>④</w:t>
      </w:r>
      <w:r>
        <w:rPr>
          <w:rFonts w:hint="eastAsia" w:ascii="仿宋_GB2312" w:eastAsia="仿宋_GB2312"/>
          <w:szCs w:val="24"/>
        </w:rPr>
        <w:t>做好新种大树的抗旱工作，抗旱浇水应避开高温，宜晨或夜间浇水。</w:t>
      </w:r>
    </w:p>
    <w:p>
      <w:pPr>
        <w:ind w:firstLine="465"/>
        <w:rPr>
          <w:rFonts w:ascii="仿宋_GB2312" w:eastAsia="仿宋_GB2312"/>
          <w:szCs w:val="24"/>
        </w:rPr>
      </w:pPr>
      <w:r>
        <w:rPr>
          <w:rFonts w:hint="eastAsia" w:ascii="仿宋_GB2312" w:hAnsi="宋体" w:eastAsia="仿宋_GB2312"/>
          <w:szCs w:val="24"/>
        </w:rPr>
        <w:t>⑤</w:t>
      </w:r>
      <w:r>
        <w:rPr>
          <w:rFonts w:hint="eastAsia" w:ascii="仿宋_GB2312" w:eastAsia="仿宋_GB2312"/>
          <w:szCs w:val="24"/>
        </w:rPr>
        <w:t>做好防汛防台和应急抢险工作。</w:t>
      </w:r>
    </w:p>
    <w:p>
      <w:pPr>
        <w:ind w:firstLine="465"/>
        <w:rPr>
          <w:rFonts w:ascii="仿宋_GB2312" w:eastAsia="仿宋_GB2312"/>
          <w:szCs w:val="24"/>
        </w:rPr>
      </w:pPr>
      <w:r>
        <w:rPr>
          <w:rFonts w:hint="eastAsia" w:ascii="仿宋_GB2312" w:hAnsi="宋体" w:eastAsia="仿宋_GB2312"/>
          <w:szCs w:val="24"/>
        </w:rPr>
        <w:t>⑥</w:t>
      </w:r>
      <w:r>
        <w:rPr>
          <w:rFonts w:hint="eastAsia" w:ascii="仿宋_GB2312" w:eastAsia="仿宋_GB2312"/>
          <w:szCs w:val="24"/>
        </w:rPr>
        <w:t>草坪养护根据季节及时修剪，高度控制在3-5厘米，每年冬季施一次基肥，其他季节每月一次追肥。</w:t>
      </w:r>
    </w:p>
    <w:p>
      <w:pPr>
        <w:ind w:firstLine="480" w:firstLineChars="200"/>
        <w:rPr>
          <w:rFonts w:ascii="仿宋_GB2312" w:eastAsia="仿宋_GB2312"/>
          <w:szCs w:val="24"/>
        </w:rPr>
      </w:pPr>
      <w:r>
        <w:rPr>
          <w:rFonts w:hint="eastAsia" w:ascii="仿宋_GB2312" w:eastAsia="仿宋_GB2312"/>
          <w:szCs w:val="24"/>
        </w:rPr>
        <w:t>（3）水体：</w:t>
      </w:r>
    </w:p>
    <w:p>
      <w:pPr>
        <w:ind w:firstLine="480"/>
        <w:rPr>
          <w:rFonts w:ascii="仿宋_GB2312" w:eastAsia="仿宋_GB2312"/>
          <w:szCs w:val="24"/>
        </w:rPr>
      </w:pPr>
      <w:r>
        <w:rPr>
          <w:rFonts w:hint="eastAsia" w:ascii="仿宋_GB2312" w:hAnsi="宋体" w:eastAsia="仿宋_GB2312"/>
          <w:szCs w:val="24"/>
        </w:rPr>
        <w:t>①</w:t>
      </w:r>
      <w:r>
        <w:rPr>
          <w:rFonts w:hint="eastAsia" w:ascii="仿宋_GB2312" w:eastAsia="仿宋_GB2312"/>
          <w:szCs w:val="24"/>
        </w:rPr>
        <w:t>执行瀑布水泵开放时间规定。</w:t>
      </w:r>
    </w:p>
    <w:p>
      <w:pPr>
        <w:ind w:firstLine="465"/>
        <w:rPr>
          <w:rFonts w:ascii="仿宋_GB2312" w:eastAsia="仿宋_GB2312"/>
          <w:szCs w:val="24"/>
        </w:rPr>
      </w:pPr>
      <w:r>
        <w:rPr>
          <w:rFonts w:hint="eastAsia" w:ascii="仿宋_GB2312" w:hAnsi="宋体" w:eastAsia="仿宋_GB2312"/>
          <w:szCs w:val="24"/>
        </w:rPr>
        <w:t>②</w:t>
      </w:r>
      <w:r>
        <w:rPr>
          <w:rFonts w:hint="eastAsia" w:ascii="仿宋_GB2312" w:eastAsia="仿宋_GB2312"/>
          <w:szCs w:val="24"/>
        </w:rPr>
        <w:t>水体必须保持清洁，不能有垃圾和漂浮物。</w:t>
      </w:r>
    </w:p>
    <w:p>
      <w:pPr>
        <w:ind w:firstLine="465"/>
        <w:rPr>
          <w:rFonts w:ascii="仿宋_GB2312" w:eastAsia="仿宋_GB2312"/>
          <w:szCs w:val="24"/>
        </w:rPr>
      </w:pPr>
      <w:r>
        <w:rPr>
          <w:rFonts w:hint="eastAsia" w:ascii="仿宋_GB2312" w:hAnsi="宋体" w:eastAsia="仿宋_GB2312"/>
          <w:szCs w:val="24"/>
        </w:rPr>
        <w:t>③</w:t>
      </w:r>
      <w:r>
        <w:rPr>
          <w:rFonts w:hint="eastAsia" w:ascii="仿宋_GB2312" w:eastAsia="仿宋_GB2312"/>
          <w:szCs w:val="24"/>
        </w:rPr>
        <w:t>水生植物不能有残花败叶，观赏鱼每天定时投饵一次。</w:t>
      </w:r>
    </w:p>
    <w:p>
      <w:pPr>
        <w:ind w:firstLine="465"/>
        <w:rPr>
          <w:rFonts w:ascii="仿宋_GB2312" w:eastAsia="仿宋_GB2312"/>
          <w:szCs w:val="24"/>
        </w:rPr>
      </w:pPr>
      <w:r>
        <w:rPr>
          <w:rFonts w:hint="eastAsia" w:ascii="仿宋_GB2312" w:hAnsi="宋体" w:eastAsia="仿宋_GB2312"/>
          <w:szCs w:val="24"/>
        </w:rPr>
        <w:t>④</w:t>
      </w:r>
      <w:r>
        <w:rPr>
          <w:rFonts w:hint="eastAsia" w:ascii="仿宋_GB2312" w:eastAsia="仿宋_GB2312"/>
          <w:szCs w:val="24"/>
        </w:rPr>
        <w:t>不准在水池中洗涤东西。</w:t>
      </w:r>
    </w:p>
    <w:p>
      <w:pPr>
        <w:ind w:firstLine="480" w:firstLineChars="200"/>
        <w:rPr>
          <w:rFonts w:ascii="仿宋_GB2312" w:eastAsia="仿宋_GB2312"/>
          <w:szCs w:val="24"/>
        </w:rPr>
      </w:pPr>
      <w:r>
        <w:rPr>
          <w:rFonts w:hint="eastAsia" w:ascii="仿宋_GB2312" w:eastAsia="仿宋_GB2312"/>
          <w:szCs w:val="24"/>
        </w:rPr>
        <w:t>（4）保洁：</w:t>
      </w:r>
    </w:p>
    <w:p>
      <w:pPr>
        <w:ind w:firstLine="480"/>
        <w:rPr>
          <w:rFonts w:ascii="仿宋_GB2312" w:eastAsia="仿宋_GB2312"/>
          <w:szCs w:val="24"/>
        </w:rPr>
      </w:pPr>
      <w:r>
        <w:rPr>
          <w:rFonts w:hint="eastAsia" w:ascii="仿宋_GB2312" w:hAnsi="宋体" w:eastAsia="仿宋_GB2312"/>
          <w:szCs w:val="24"/>
        </w:rPr>
        <w:t>①</w:t>
      </w:r>
      <w:r>
        <w:rPr>
          <w:rFonts w:hint="eastAsia" w:ascii="仿宋_GB2312" w:eastAsia="仿宋_GB2312"/>
          <w:szCs w:val="24"/>
        </w:rPr>
        <w:t>每天包干区不间断打扫，并随时捡拾保洁，做到绿地、水体保洁无死角，绿地内无废弃物，无痰痕、无烟蒂，道路侧石，台阶无泥浆淤结。</w:t>
      </w:r>
    </w:p>
    <w:p>
      <w:pPr>
        <w:ind w:firstLine="480"/>
        <w:rPr>
          <w:rFonts w:ascii="仿宋_GB2312" w:eastAsia="仿宋_GB2312"/>
          <w:szCs w:val="24"/>
        </w:rPr>
      </w:pPr>
      <w:r>
        <w:rPr>
          <w:rFonts w:hint="eastAsia" w:ascii="仿宋_GB2312" w:hAnsi="宋体" w:eastAsia="仿宋_GB2312"/>
          <w:szCs w:val="24"/>
        </w:rPr>
        <w:t>②</w:t>
      </w:r>
      <w:r>
        <w:rPr>
          <w:rFonts w:hint="eastAsia" w:ascii="仿宋_GB2312" w:eastAsia="仿宋_GB2312"/>
          <w:szCs w:val="24"/>
        </w:rPr>
        <w:t>废物箱每天清洗不少于1次，清除废物箱垃圾一天二次，亭、廊及绿地内的石台、石凳要每天擦二次，保证所有座椅无水迹。</w:t>
      </w:r>
    </w:p>
    <w:p>
      <w:pPr>
        <w:ind w:firstLine="480"/>
        <w:rPr>
          <w:rFonts w:ascii="仿宋_GB2312" w:hAnsi="宋体" w:eastAsia="仿宋_GB2312"/>
          <w:szCs w:val="24"/>
        </w:rPr>
      </w:pPr>
      <w:r>
        <w:rPr>
          <w:rFonts w:hint="eastAsia" w:ascii="仿宋_GB2312" w:hAnsi="宋体" w:eastAsia="仿宋_GB2312"/>
          <w:szCs w:val="24"/>
        </w:rPr>
        <w:t>③绿地内的厕所每天应不间断打扫，并随时捡拾保洁，做到厕所内无痰痕、无烟蒂，便器清洁无黄渍。厕所应定期消毒、杀菌、除异味。</w:t>
      </w:r>
    </w:p>
    <w:p>
      <w:pPr>
        <w:rPr>
          <w:rFonts w:ascii="仿宋_GB2312" w:hAnsi="宋体" w:eastAsia="仿宋_GB2312"/>
          <w:szCs w:val="24"/>
        </w:rPr>
      </w:pPr>
      <w:r>
        <w:rPr>
          <w:rFonts w:hint="eastAsia" w:ascii="仿宋_GB2312" w:hAnsi="宋体" w:eastAsia="仿宋_GB2312"/>
          <w:szCs w:val="24"/>
        </w:rPr>
        <w:t>6、口袋公园及街心花园，除满足前四项养护管理要求以外，还需确保：</w:t>
      </w:r>
    </w:p>
    <w:p>
      <w:pPr>
        <w:pStyle w:val="78"/>
        <w:ind w:left="0" w:firstLine="480" w:firstLineChars="200"/>
        <w:rPr>
          <w:rFonts w:ascii="仿宋_GB2312" w:eastAsia="仿宋_GB2312"/>
          <w:szCs w:val="24"/>
        </w:rPr>
      </w:pPr>
      <w:r>
        <w:rPr>
          <w:rFonts w:hint="eastAsia" w:ascii="仿宋_GB2312" w:eastAsia="仿宋_GB2312"/>
          <w:szCs w:val="24"/>
        </w:rPr>
        <w:t>（1）需针对口袋公园和街心花园特点，制定专类植物养护、花卉更新、设施维护、保洁等方案，落实专业养护单位开展日常养护工作。</w:t>
      </w:r>
    </w:p>
    <w:p>
      <w:pPr>
        <w:pStyle w:val="78"/>
        <w:ind w:left="0" w:firstLine="480" w:firstLineChars="200"/>
        <w:rPr>
          <w:rFonts w:ascii="仿宋_GB2312" w:eastAsia="仿宋_GB2312"/>
          <w:szCs w:val="24"/>
        </w:rPr>
      </w:pPr>
      <w:r>
        <w:rPr>
          <w:rFonts w:hint="eastAsia" w:ascii="仿宋_GB2312" w:eastAsia="仿宋_GB2312"/>
          <w:szCs w:val="24"/>
        </w:rPr>
        <w:t>（2）口袋公园均指定一人，确保每日在园时间上午不少于2小时，下午不少于2小时，进行养护，确保每日养护、保洁、设施检查、灯光检查、游客劝导工作，做到精细化、园艺化养护，提高口袋公园服务质量，养护单位应运用信息化手段建立养护台账及相关打卡记录。</w:t>
      </w:r>
    </w:p>
    <w:p>
      <w:pPr>
        <w:pStyle w:val="78"/>
        <w:ind w:left="0" w:firstLine="480" w:firstLineChars="200"/>
        <w:rPr>
          <w:rFonts w:ascii="仿宋_GB2312" w:eastAsia="仿宋_GB2312"/>
          <w:szCs w:val="24"/>
        </w:rPr>
      </w:pPr>
      <w:r>
        <w:rPr>
          <w:rFonts w:hint="eastAsia" w:ascii="仿宋_GB2312" w:eastAsia="仿宋_GB2312"/>
          <w:szCs w:val="24"/>
        </w:rPr>
        <w:t>（3）口袋公园和街心花园保洁要求：常规保洁包含地面、座椅、栏杆、水体、绿化带等保洁，应确保至少每天2次；整体保洁包含建构筑物、园林小品、灯具等保洁，应确保至少每周1次。</w:t>
      </w:r>
    </w:p>
    <w:p>
      <w:pPr>
        <w:pStyle w:val="78"/>
        <w:ind w:left="0" w:firstLine="480" w:firstLineChars="200"/>
        <w:rPr>
          <w:rFonts w:ascii="仿宋_GB2312" w:eastAsia="仿宋_GB2312"/>
          <w:szCs w:val="24"/>
        </w:rPr>
      </w:pPr>
      <w:r>
        <w:rPr>
          <w:rFonts w:hint="eastAsia" w:ascii="仿宋_GB2312" w:eastAsia="仿宋_GB2312"/>
          <w:szCs w:val="24"/>
        </w:rPr>
        <w:t>（4）口袋公园和街心花园设施维护要求：口袋公园养护人员需每日对园内设施进行检查，如有损坏，及时维修；园内栏杆、小品的油漆、粉刷应确保至少每年1次（于每年5月1日之前完成）。</w:t>
      </w:r>
    </w:p>
    <w:p>
      <w:pPr>
        <w:pStyle w:val="78"/>
        <w:ind w:left="0" w:firstLine="480" w:firstLineChars="200"/>
        <w:rPr>
          <w:rFonts w:ascii="仿宋_GB2312" w:eastAsia="仿宋_GB2312"/>
          <w:szCs w:val="24"/>
        </w:rPr>
      </w:pPr>
      <w:r>
        <w:rPr>
          <w:rFonts w:hint="eastAsia" w:ascii="仿宋_GB2312" w:eastAsia="仿宋_GB2312"/>
          <w:szCs w:val="24"/>
        </w:rPr>
        <w:t>（5）口袋公园和街心花园内照明设施应确保夜间常亮（开闭时间于路灯一致）。</w:t>
      </w:r>
    </w:p>
    <w:p>
      <w:pPr>
        <w:pStyle w:val="78"/>
        <w:ind w:left="0" w:firstLine="480" w:firstLineChars="200"/>
        <w:rPr>
          <w:rFonts w:ascii="仿宋_GB2312" w:eastAsia="仿宋_GB2312"/>
          <w:szCs w:val="24"/>
        </w:rPr>
      </w:pPr>
      <w:r>
        <w:rPr>
          <w:rFonts w:hint="eastAsia" w:ascii="仿宋_GB2312" w:eastAsia="仿宋_GB2312"/>
          <w:szCs w:val="24"/>
        </w:rPr>
        <w:t>（6）没有安保服务的口袋公园养护人员在园期间应兼任安保、劝导游客的工作。</w:t>
      </w:r>
    </w:p>
    <w:p>
      <w:pPr>
        <w:pStyle w:val="78"/>
        <w:ind w:left="1200" w:firstLine="0"/>
        <w:rPr>
          <w:rFonts w:ascii="仿宋_GB2312" w:eastAsia="仿宋_GB2312"/>
          <w:szCs w:val="24"/>
        </w:rPr>
      </w:pPr>
    </w:p>
    <w:p>
      <w:pPr>
        <w:pStyle w:val="78"/>
        <w:ind w:left="0" w:firstLine="0"/>
        <w:jc w:val="center"/>
        <w:rPr>
          <w:rFonts w:ascii="仿宋_GB2312" w:eastAsia="仿宋_GB2312"/>
          <w:b/>
          <w:bCs/>
          <w:szCs w:val="24"/>
        </w:rPr>
      </w:pPr>
      <w:r>
        <w:rPr>
          <w:rFonts w:hint="eastAsia" w:ascii="仿宋_GB2312" w:eastAsia="仿宋_GB2312"/>
          <w:b/>
          <w:bCs/>
          <w:szCs w:val="24"/>
        </w:rPr>
        <w:t>静安区口袋公园名录</w:t>
      </w:r>
    </w:p>
    <w:tbl>
      <w:tblPr>
        <w:tblStyle w:val="6"/>
        <w:tblW w:w="7792"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2459"/>
        <w:gridCol w:w="4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1080"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序号</w:t>
            </w:r>
          </w:p>
        </w:tc>
        <w:tc>
          <w:tcPr>
            <w:tcW w:w="2459"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公园名称</w:t>
            </w:r>
          </w:p>
        </w:tc>
        <w:tc>
          <w:tcPr>
            <w:tcW w:w="4253"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trPr>
        <w:tc>
          <w:tcPr>
            <w:tcW w:w="1080"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1</w:t>
            </w:r>
          </w:p>
        </w:tc>
        <w:tc>
          <w:tcPr>
            <w:tcW w:w="2459"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同福花园</w:t>
            </w:r>
          </w:p>
        </w:tc>
        <w:tc>
          <w:tcPr>
            <w:tcW w:w="4253"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石门一路南京西路西南角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080"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2</w:t>
            </w:r>
          </w:p>
        </w:tc>
        <w:tc>
          <w:tcPr>
            <w:tcW w:w="2459"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曹家渡花园</w:t>
            </w:r>
          </w:p>
        </w:tc>
        <w:tc>
          <w:tcPr>
            <w:tcW w:w="4253"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余姚路康定路路口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080"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3</w:t>
            </w:r>
          </w:p>
        </w:tc>
        <w:tc>
          <w:tcPr>
            <w:tcW w:w="2459"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昌新花园</w:t>
            </w:r>
          </w:p>
        </w:tc>
        <w:tc>
          <w:tcPr>
            <w:tcW w:w="4253"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新闸路昌化路西北角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080"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4</w:t>
            </w:r>
          </w:p>
        </w:tc>
        <w:tc>
          <w:tcPr>
            <w:tcW w:w="2459"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威海路花园</w:t>
            </w:r>
          </w:p>
        </w:tc>
        <w:tc>
          <w:tcPr>
            <w:tcW w:w="4253"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威海路陕西北路路口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080"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5</w:t>
            </w:r>
          </w:p>
        </w:tc>
        <w:tc>
          <w:tcPr>
            <w:tcW w:w="2459"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音花园</w:t>
            </w:r>
          </w:p>
        </w:tc>
        <w:tc>
          <w:tcPr>
            <w:tcW w:w="4253"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胶州路安远路路口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080"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6</w:t>
            </w:r>
          </w:p>
        </w:tc>
        <w:tc>
          <w:tcPr>
            <w:tcW w:w="2459"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锦绣花园</w:t>
            </w:r>
          </w:p>
        </w:tc>
        <w:tc>
          <w:tcPr>
            <w:tcW w:w="4253"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光复路长安西路路口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080"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7</w:t>
            </w:r>
          </w:p>
        </w:tc>
        <w:tc>
          <w:tcPr>
            <w:tcW w:w="2459"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芷江花园</w:t>
            </w:r>
          </w:p>
        </w:tc>
        <w:tc>
          <w:tcPr>
            <w:tcW w:w="4253"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共和新路736号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080"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8</w:t>
            </w:r>
          </w:p>
        </w:tc>
        <w:tc>
          <w:tcPr>
            <w:tcW w:w="2459"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永源浜花园</w:t>
            </w:r>
          </w:p>
        </w:tc>
        <w:tc>
          <w:tcPr>
            <w:tcW w:w="4253"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南京西路永源路路口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080"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9</w:t>
            </w:r>
          </w:p>
        </w:tc>
        <w:tc>
          <w:tcPr>
            <w:tcW w:w="2459"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知秋园</w:t>
            </w:r>
          </w:p>
        </w:tc>
        <w:tc>
          <w:tcPr>
            <w:tcW w:w="4253"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光复路梅园路西北角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080"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10</w:t>
            </w:r>
          </w:p>
        </w:tc>
        <w:tc>
          <w:tcPr>
            <w:tcW w:w="2459"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拾影花园</w:t>
            </w:r>
          </w:p>
        </w:tc>
        <w:tc>
          <w:tcPr>
            <w:tcW w:w="4253"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南京西路青海路东南角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080"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11</w:t>
            </w:r>
          </w:p>
        </w:tc>
        <w:tc>
          <w:tcPr>
            <w:tcW w:w="2459"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曹家渡绿岛花园</w:t>
            </w:r>
          </w:p>
        </w:tc>
        <w:tc>
          <w:tcPr>
            <w:tcW w:w="4253"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长宁路万航渡路西南角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080"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12</w:t>
            </w:r>
          </w:p>
        </w:tc>
        <w:tc>
          <w:tcPr>
            <w:tcW w:w="2459"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幸福花园</w:t>
            </w:r>
          </w:p>
        </w:tc>
        <w:tc>
          <w:tcPr>
            <w:tcW w:w="4253"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彭浦镇幸福新苑南侧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080"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13</w:t>
            </w:r>
          </w:p>
        </w:tc>
        <w:tc>
          <w:tcPr>
            <w:tcW w:w="2459" w:type="dxa"/>
            <w:shd w:val="clear" w:color="auto" w:fill="auto"/>
            <w:noWrap/>
            <w:vAlign w:val="center"/>
          </w:tcPr>
          <w:p>
            <w:pPr>
              <w:widowControl/>
              <w:jc w:val="center"/>
              <w:rPr>
                <w:rFonts w:ascii="仿宋_GB2312" w:eastAsia="仿宋_GB2312"/>
                <w:szCs w:val="24"/>
              </w:rPr>
            </w:pPr>
            <w:r>
              <w:rPr>
                <w:rFonts w:hint="eastAsia" w:ascii="微软雅黑" w:hAnsi="微软雅黑" w:eastAsia="微软雅黑" w:cs="微软雅黑"/>
                <w:szCs w:val="24"/>
              </w:rPr>
              <w:t>蓁园</w:t>
            </w:r>
          </w:p>
        </w:tc>
        <w:tc>
          <w:tcPr>
            <w:tcW w:w="4253"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江场西路510号东侧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080"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14</w:t>
            </w:r>
          </w:p>
        </w:tc>
        <w:tc>
          <w:tcPr>
            <w:tcW w:w="2459" w:type="dxa"/>
            <w:shd w:val="clear" w:color="auto" w:fill="auto"/>
            <w:noWrap/>
            <w:vAlign w:val="center"/>
          </w:tcPr>
          <w:p>
            <w:pPr>
              <w:widowControl/>
              <w:jc w:val="center"/>
              <w:rPr>
                <w:rFonts w:ascii="仿宋_GB2312" w:eastAsia="仿宋_GB2312"/>
                <w:szCs w:val="24"/>
              </w:rPr>
            </w:pPr>
            <w:r>
              <w:rPr>
                <w:rFonts w:hint="eastAsia" w:ascii="微软雅黑" w:hAnsi="微软雅黑" w:eastAsia="微软雅黑" w:cs="微软雅黑"/>
                <w:szCs w:val="24"/>
              </w:rPr>
              <w:t>芃</w:t>
            </w:r>
            <w:r>
              <w:rPr>
                <w:rFonts w:hint="eastAsia" w:ascii="仿宋_GB2312" w:hAnsi="仿宋_GB2312" w:eastAsia="仿宋_GB2312" w:cs="仿宋_GB2312"/>
                <w:szCs w:val="24"/>
              </w:rPr>
              <w:t>园</w:t>
            </w:r>
          </w:p>
        </w:tc>
        <w:tc>
          <w:tcPr>
            <w:tcW w:w="4253"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江场西路501号东侧</w:t>
            </w:r>
          </w:p>
        </w:tc>
      </w:tr>
    </w:tbl>
    <w:p>
      <w:pPr>
        <w:pStyle w:val="78"/>
        <w:ind w:left="0" w:firstLine="0"/>
        <w:jc w:val="center"/>
        <w:rPr>
          <w:rFonts w:ascii="仿宋_GB2312" w:eastAsia="仿宋_GB2312"/>
          <w:b/>
          <w:bCs/>
          <w:szCs w:val="24"/>
        </w:rPr>
      </w:pPr>
    </w:p>
    <w:p>
      <w:pPr>
        <w:pStyle w:val="78"/>
        <w:ind w:left="0" w:firstLine="0"/>
        <w:jc w:val="center"/>
        <w:rPr>
          <w:rFonts w:ascii="仿宋_GB2312" w:eastAsia="仿宋_GB2312"/>
          <w:b/>
          <w:bCs/>
          <w:szCs w:val="24"/>
        </w:rPr>
      </w:pPr>
      <w:r>
        <w:rPr>
          <w:rFonts w:hint="eastAsia" w:ascii="仿宋_GB2312" w:eastAsia="仿宋_GB2312"/>
          <w:b/>
          <w:bCs/>
          <w:szCs w:val="24"/>
        </w:rPr>
        <w:t>静安区街心花园名录</w:t>
      </w:r>
    </w:p>
    <w:tbl>
      <w:tblPr>
        <w:tblStyle w:val="6"/>
        <w:tblW w:w="8028" w:type="dxa"/>
        <w:tblInd w:w="113" w:type="dxa"/>
        <w:tblLayout w:type="autofit"/>
        <w:tblCellMar>
          <w:top w:w="0" w:type="dxa"/>
          <w:left w:w="108" w:type="dxa"/>
          <w:bottom w:w="0" w:type="dxa"/>
          <w:right w:w="108" w:type="dxa"/>
        </w:tblCellMar>
      </w:tblPr>
      <w:tblGrid>
        <w:gridCol w:w="1047"/>
        <w:gridCol w:w="2492"/>
        <w:gridCol w:w="4253"/>
        <w:gridCol w:w="236"/>
      </w:tblGrid>
      <w:tr>
        <w:tblPrEx>
          <w:tblCellMar>
            <w:top w:w="0" w:type="dxa"/>
            <w:left w:w="108" w:type="dxa"/>
            <w:bottom w:w="0" w:type="dxa"/>
            <w:right w:w="108" w:type="dxa"/>
          </w:tblCellMar>
        </w:tblPrEx>
        <w:trPr>
          <w:gridAfter w:val="1"/>
          <w:wAfter w:w="236" w:type="dxa"/>
          <w:trHeight w:val="645" w:hRule="atLeast"/>
        </w:trPr>
        <w:tc>
          <w:tcPr>
            <w:tcW w:w="104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序号</w:t>
            </w:r>
          </w:p>
        </w:tc>
        <w:tc>
          <w:tcPr>
            <w:tcW w:w="249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绿地名称</w:t>
            </w:r>
          </w:p>
        </w:tc>
        <w:tc>
          <w:tcPr>
            <w:tcW w:w="425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地 址</w:t>
            </w:r>
          </w:p>
        </w:tc>
      </w:tr>
      <w:tr>
        <w:tblPrEx>
          <w:tblCellMar>
            <w:top w:w="0" w:type="dxa"/>
            <w:left w:w="108" w:type="dxa"/>
            <w:bottom w:w="0" w:type="dxa"/>
            <w:right w:w="108" w:type="dxa"/>
          </w:tblCellMar>
        </w:tblPrEx>
        <w:trPr>
          <w:trHeight w:val="255" w:hRule="atLeast"/>
        </w:trPr>
        <w:tc>
          <w:tcPr>
            <w:tcW w:w="1047"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4"/>
              </w:rPr>
            </w:pPr>
          </w:p>
        </w:tc>
        <w:tc>
          <w:tcPr>
            <w:tcW w:w="2492"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4"/>
              </w:rPr>
            </w:pPr>
          </w:p>
        </w:tc>
        <w:tc>
          <w:tcPr>
            <w:tcW w:w="4253"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4"/>
              </w:rPr>
            </w:pPr>
          </w:p>
        </w:tc>
        <w:tc>
          <w:tcPr>
            <w:tcW w:w="236" w:type="dxa"/>
            <w:tcBorders>
              <w:top w:val="nil"/>
              <w:left w:val="nil"/>
              <w:bottom w:val="nil"/>
              <w:right w:val="nil"/>
            </w:tcBorders>
            <w:shd w:val="clear" w:color="auto" w:fill="auto"/>
            <w:noWrap/>
            <w:vAlign w:val="center"/>
          </w:tcPr>
          <w:p>
            <w:pPr>
              <w:widowControl/>
              <w:jc w:val="center"/>
              <w:rPr>
                <w:rFonts w:ascii="仿宋_GB2312" w:eastAsia="仿宋_GB2312"/>
                <w:szCs w:val="24"/>
              </w:rPr>
            </w:pPr>
          </w:p>
        </w:tc>
      </w:tr>
      <w:tr>
        <w:tblPrEx>
          <w:tblCellMar>
            <w:top w:w="0" w:type="dxa"/>
            <w:left w:w="108" w:type="dxa"/>
            <w:bottom w:w="0" w:type="dxa"/>
            <w:right w:w="108" w:type="dxa"/>
          </w:tblCellMar>
        </w:tblPrEx>
        <w:trPr>
          <w:trHeight w:val="63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3"/>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西藏北路、中山北路西北角绿地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西藏北路中山北路西北角</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63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3"/>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西康路771号绿地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西康路771号绿地</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63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3"/>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白玉兰广场绿地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天目西路恒丰路东北角</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63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3"/>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外事办绿地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南京西路铜仁路口</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63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3"/>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彭浦新村地铁站西侧绿地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彭浦新村地铁站西侧</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63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3"/>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彭浦新村地铁站东侧绿地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彭浦新村地铁站东侧</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63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3"/>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宝山路，虬江路街心花园</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宝山地铁站</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63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3"/>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大宁路181弄绿地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大宁路181弄</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63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3"/>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悦广场绿地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文安路曲阜路交叉口</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63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3"/>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大统路绿地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大统路、天目西路</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63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3"/>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市北壹中心</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共和新路江场路</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63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3"/>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闸环绿地建设项目</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场中路云欣路路口</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63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3"/>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粤秀名邸走马塘公共绿地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走马塘北岸（平型关路-粤秀北路）</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285"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3"/>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石门二路凤阳路临时绿地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石门二路凤阳路东北角</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285"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3"/>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玫瑰花园</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南京西路1398号</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285"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3"/>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云和花园</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延平路新闸路西北角</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48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3"/>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昌平路38-3号地块公共绿地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昌平路北侧（江宁路-昌化路）</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48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3"/>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昌平路北侧（句容路-昌化路）临时绿地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昌平路北侧（句容路-昌化路）</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51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3"/>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M8线西藏北路站（平型关路-宝山路）绿地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西藏北路地铁2号口</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285"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3"/>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云欣绿地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云欣路200号南侧</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285"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3"/>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龙盛佳苑沿街绿地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沪太路1329弄</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285"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3"/>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象屿地产周边绿地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象屿大宁悦府西北角东南角</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285"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3"/>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协信广场公共绿地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协信广场西侧与南侧</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285"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3"/>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广中路平型关路东北角绿地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广中路平型关路东北角</w:t>
            </w:r>
          </w:p>
        </w:tc>
        <w:tc>
          <w:tcPr>
            <w:tcW w:w="236" w:type="dxa"/>
            <w:vAlign w:val="center"/>
          </w:tcPr>
          <w:p>
            <w:pPr>
              <w:widowControl/>
              <w:rPr>
                <w:rFonts w:ascii="仿宋_GB2312" w:eastAsia="仿宋_GB2312"/>
                <w:szCs w:val="24"/>
              </w:rPr>
            </w:pPr>
          </w:p>
        </w:tc>
      </w:tr>
    </w:tbl>
    <w:p>
      <w:pPr>
        <w:ind w:firstLine="480" w:firstLineChars="200"/>
        <w:rPr>
          <w:rFonts w:ascii="仿宋_GB2312" w:eastAsia="仿宋_GB2312"/>
          <w:szCs w:val="24"/>
        </w:rPr>
      </w:pPr>
      <w:r>
        <w:rPr>
          <w:rFonts w:hint="eastAsia" w:ascii="仿宋_GB2312" w:eastAsia="仿宋_GB2312"/>
          <w:szCs w:val="24"/>
        </w:rPr>
        <w:t>3.9养护考核细则</w:t>
      </w:r>
    </w:p>
    <w:p>
      <w:pPr>
        <w:ind w:firstLine="480" w:firstLineChars="200"/>
        <w:rPr>
          <w:rFonts w:ascii="仿宋_GB2312" w:eastAsia="仿宋_GB2312"/>
          <w:szCs w:val="24"/>
        </w:rPr>
      </w:pPr>
      <w:r>
        <w:rPr>
          <w:rFonts w:hint="eastAsia" w:ascii="仿宋_GB2312" w:eastAsia="仿宋_GB2312"/>
          <w:szCs w:val="24"/>
        </w:rPr>
        <w:t>3.9.1考核原则</w:t>
      </w:r>
    </w:p>
    <w:p>
      <w:pPr>
        <w:ind w:firstLine="480" w:firstLineChars="200"/>
        <w:rPr>
          <w:rFonts w:ascii="仿宋_GB2312" w:eastAsia="仿宋_GB2312"/>
          <w:szCs w:val="24"/>
        </w:rPr>
      </w:pPr>
      <w:r>
        <w:rPr>
          <w:rFonts w:hint="eastAsia" w:ascii="仿宋_GB2312" w:eastAsia="仿宋_GB2312"/>
          <w:szCs w:val="24"/>
        </w:rPr>
        <w:t>按照“科室考评与第三方考评相结合，养护管理考评与重点工作考评相结合”的原则，对各绿化养护单位的工作进行综合考核。</w:t>
      </w:r>
    </w:p>
    <w:p>
      <w:pPr>
        <w:ind w:firstLine="480" w:firstLineChars="200"/>
        <w:rPr>
          <w:rFonts w:ascii="仿宋_GB2312" w:eastAsia="仿宋_GB2312"/>
          <w:szCs w:val="24"/>
        </w:rPr>
      </w:pPr>
      <w:r>
        <w:rPr>
          <w:rFonts w:hint="eastAsia" w:ascii="仿宋_GB2312" w:eastAsia="仿宋_GB2312"/>
          <w:szCs w:val="24"/>
        </w:rPr>
        <w:t>3.9.2考核内容和方式</w:t>
      </w:r>
    </w:p>
    <w:p>
      <w:pPr>
        <w:ind w:firstLine="552"/>
        <w:rPr>
          <w:rFonts w:ascii="仿宋_GB2312" w:eastAsia="仿宋_GB2312"/>
          <w:szCs w:val="24"/>
        </w:rPr>
      </w:pPr>
      <w:r>
        <w:rPr>
          <w:rFonts w:hint="eastAsia" w:ascii="仿宋_GB2312" w:eastAsia="仿宋_GB2312"/>
          <w:szCs w:val="24"/>
        </w:rPr>
        <w:t>1、养护管理工作：公园、公共绿地、行道树、花街、立体绿化、社会绿地（代管）、古树名木及后续资源养护考核工作由区绿化管理中心规划发展科负责，采用第三方考评与相关职能部门日常考评相结合，注重工作实效和常态长效。</w:t>
      </w:r>
    </w:p>
    <w:p>
      <w:pPr>
        <w:ind w:firstLine="552"/>
        <w:rPr>
          <w:rFonts w:ascii="仿宋_GB2312" w:eastAsia="仿宋_GB2312"/>
          <w:szCs w:val="24"/>
        </w:rPr>
      </w:pPr>
      <w:r>
        <w:rPr>
          <w:rFonts w:hint="eastAsia" w:ascii="仿宋_GB2312" w:eastAsia="仿宋_GB2312"/>
          <w:szCs w:val="24"/>
        </w:rPr>
        <w:t>2、重点工作：星级公园创建、绿化特色道路创建、花坛花境评比、园艺特色营造工作，根据市级行业部门评定结果，由职能部门在考评时评定附加分。</w:t>
      </w:r>
    </w:p>
    <w:p>
      <w:pPr>
        <w:ind w:firstLine="480" w:firstLineChars="200"/>
        <w:rPr>
          <w:rFonts w:ascii="仿宋_GB2312" w:eastAsia="仿宋_GB2312"/>
          <w:szCs w:val="24"/>
        </w:rPr>
      </w:pPr>
      <w:r>
        <w:rPr>
          <w:rFonts w:hint="eastAsia" w:ascii="仿宋_GB2312" w:eastAsia="仿宋_GB2312"/>
          <w:szCs w:val="24"/>
        </w:rPr>
        <w:t>3.9.3考核形式</w:t>
      </w:r>
    </w:p>
    <w:p>
      <w:pPr>
        <w:ind w:firstLine="480" w:firstLineChars="200"/>
        <w:rPr>
          <w:rFonts w:ascii="仿宋_GB2312" w:eastAsia="仿宋_GB2312"/>
          <w:szCs w:val="24"/>
        </w:rPr>
      </w:pPr>
      <w:r>
        <w:rPr>
          <w:rFonts w:hint="eastAsia" w:ascii="仿宋_GB2312" w:eastAsia="仿宋_GB2312"/>
          <w:szCs w:val="24"/>
        </w:rPr>
        <w:t>1、由考核工作办公室牵头，委托第三方（市园林绿化行业协会、市公园行业协会）按养护标段每季度一次对绿化养护情况进行考核,并整改督办。</w:t>
      </w:r>
    </w:p>
    <w:p>
      <w:pPr>
        <w:ind w:firstLine="480" w:firstLineChars="200"/>
        <w:rPr>
          <w:rFonts w:ascii="仿宋_GB2312" w:eastAsia="仿宋_GB2312"/>
          <w:szCs w:val="24"/>
        </w:rPr>
      </w:pPr>
      <w:r>
        <w:rPr>
          <w:rFonts w:hint="eastAsia" w:ascii="仿宋_GB2312" w:eastAsia="仿宋_GB2312"/>
          <w:szCs w:val="24"/>
        </w:rPr>
        <w:t>2、职能部门负责对养护标段的日常养护管理和重点工作情况进行考核评分。（鼓励中标单位积极参与市局和区政府各项行业考核，在考核中成绩优秀的，可适当考虑加分；中标单位应参加区绿化中心组织的养护管理例会，汇报养护管理情况和计划，汇报质量计入考核评分。）</w:t>
      </w:r>
    </w:p>
    <w:p>
      <w:pPr>
        <w:ind w:firstLine="480" w:firstLineChars="200"/>
        <w:rPr>
          <w:rFonts w:ascii="仿宋_GB2312" w:eastAsia="仿宋_GB2312"/>
          <w:szCs w:val="24"/>
        </w:rPr>
      </w:pPr>
      <w:r>
        <w:rPr>
          <w:rFonts w:hint="eastAsia" w:ascii="仿宋_GB2312" w:eastAsia="仿宋_GB2312"/>
          <w:szCs w:val="24"/>
        </w:rPr>
        <w:t>3、考核工作办公室根据第三方及职能部门考评评分，测算综合考评评分，提出考核等次建议，经领导小组审核确定后，向各养护单位公布考核结果。</w:t>
      </w:r>
    </w:p>
    <w:p>
      <w:pPr>
        <w:adjustRightInd w:val="0"/>
        <w:snapToGrid w:val="0"/>
        <w:ind w:firstLine="480" w:firstLineChars="200"/>
        <w:rPr>
          <w:rFonts w:ascii="仿宋_GB2312" w:eastAsia="仿宋_GB2312"/>
          <w:szCs w:val="24"/>
        </w:rPr>
      </w:pPr>
      <w:r>
        <w:rPr>
          <w:rFonts w:hint="eastAsia" w:ascii="仿宋_GB2312" w:eastAsia="仿宋_GB2312"/>
          <w:szCs w:val="24"/>
        </w:rPr>
        <w:t>3.9.</w:t>
      </w:r>
      <w:r>
        <w:rPr>
          <w:rFonts w:hint="eastAsia" w:ascii="仿宋_GB2312" w:eastAsia="仿宋_GB2312"/>
          <w:szCs w:val="24"/>
          <w:lang w:val="en-US" w:eastAsia="zh-CN"/>
        </w:rPr>
        <w:t>4</w:t>
      </w:r>
      <w:bookmarkStart w:id="7" w:name="_GoBack"/>
      <w:bookmarkEnd w:id="7"/>
      <w:r>
        <w:rPr>
          <w:rFonts w:hint="eastAsia" w:ascii="仿宋_GB2312" w:eastAsia="仿宋_GB2312"/>
          <w:szCs w:val="24"/>
        </w:rPr>
        <w:t>考核评分与标准说明</w:t>
      </w:r>
    </w:p>
    <w:p>
      <w:pPr>
        <w:adjustRightInd w:val="0"/>
        <w:snapToGrid w:val="0"/>
        <w:ind w:firstLine="480" w:firstLineChars="200"/>
        <w:rPr>
          <w:rFonts w:ascii="仿宋_GB2312" w:eastAsia="仿宋_GB2312"/>
          <w:szCs w:val="24"/>
        </w:rPr>
      </w:pPr>
      <w:r>
        <w:rPr>
          <w:rFonts w:hint="eastAsia" w:ascii="仿宋_GB2312" w:eastAsia="仿宋_GB2312"/>
          <w:szCs w:val="24"/>
        </w:rPr>
        <w:t>1、养护管理（满分80分）</w:t>
      </w:r>
    </w:p>
    <w:p>
      <w:pPr>
        <w:adjustRightInd w:val="0"/>
        <w:snapToGrid w:val="0"/>
        <w:ind w:firstLine="480" w:firstLineChars="200"/>
        <w:rPr>
          <w:rFonts w:ascii="仿宋_GB2312" w:eastAsia="仿宋_GB2312"/>
          <w:szCs w:val="24"/>
        </w:rPr>
      </w:pPr>
      <w:r>
        <w:rPr>
          <w:rFonts w:hint="eastAsia" w:ascii="仿宋_GB2312" w:eastAsia="仿宋_GB2312"/>
          <w:szCs w:val="24"/>
        </w:rPr>
        <w:t>（1）植物养护（标准分35分）</w:t>
      </w:r>
    </w:p>
    <w:p>
      <w:pPr>
        <w:adjustRightInd w:val="0"/>
        <w:snapToGrid w:val="0"/>
        <w:ind w:firstLine="480" w:firstLineChars="200"/>
        <w:rPr>
          <w:rFonts w:ascii="仿宋_GB2312" w:eastAsia="仿宋_GB2312"/>
          <w:szCs w:val="24"/>
        </w:rPr>
      </w:pPr>
      <w:r>
        <w:rPr>
          <w:rFonts w:hint="eastAsia" w:ascii="仿宋_GB2312" w:hAnsi="宋体" w:eastAsia="仿宋_GB2312"/>
          <w:szCs w:val="24"/>
        </w:rPr>
        <w:t>①</w:t>
      </w:r>
      <w:r>
        <w:rPr>
          <w:rFonts w:hint="eastAsia" w:ascii="仿宋_GB2312" w:eastAsia="仿宋_GB2312"/>
          <w:szCs w:val="24"/>
        </w:rPr>
        <w:t>乔灌木树冠完整，生长旺盛，无病虫枝无枯枝——标准分8分。发现有死株，每株扣2分、树冠不完整，每2株扣0.5-1分、明显枯枝，每1株扣0.1-0.5分。</w:t>
      </w:r>
    </w:p>
    <w:p>
      <w:pPr>
        <w:adjustRightInd w:val="0"/>
        <w:snapToGrid w:val="0"/>
        <w:ind w:firstLine="480" w:firstLineChars="200"/>
        <w:rPr>
          <w:rFonts w:ascii="仿宋_GB2312" w:eastAsia="仿宋_GB2312"/>
          <w:szCs w:val="24"/>
        </w:rPr>
      </w:pPr>
      <w:r>
        <w:rPr>
          <w:rFonts w:hint="eastAsia" w:ascii="仿宋_GB2312" w:hAnsi="宋体" w:eastAsia="仿宋_GB2312"/>
          <w:szCs w:val="24"/>
        </w:rPr>
        <w:t>②</w:t>
      </w:r>
      <w:r>
        <w:rPr>
          <w:rFonts w:hint="eastAsia" w:ascii="仿宋_GB2312" w:eastAsia="仿宋_GB2312"/>
          <w:szCs w:val="24"/>
        </w:rPr>
        <w:t>绿篱、色块整齐形态完美，控制高度适宜无破残，有效控制徒长枝、无残枝、死株——标准分8分。死株，每2株扣0.5-1分，破残〉0.3m</w:t>
      </w:r>
      <w:r>
        <w:rPr>
          <w:rFonts w:ascii="Calibri" w:eastAsia="仿宋_GB2312" w:cs="Calibri"/>
          <w:szCs w:val="24"/>
        </w:rPr>
        <w:t>²</w:t>
      </w:r>
      <w:r>
        <w:rPr>
          <w:rFonts w:hint="eastAsia" w:ascii="仿宋_GB2312" w:hAnsi="仿宋_GB2312" w:eastAsia="仿宋_GB2312" w:cs="仿宋_GB2312"/>
          <w:szCs w:val="24"/>
        </w:rPr>
        <w:t>扣</w:t>
      </w:r>
      <w:r>
        <w:rPr>
          <w:rFonts w:hint="eastAsia" w:ascii="仿宋_GB2312" w:eastAsia="仿宋_GB2312"/>
          <w:szCs w:val="24"/>
        </w:rPr>
        <w:t>0.2分，徒长枝未得到控制、未适时修剪的每处扣0.1分，生长一般的扣1-3分，生长较差的扣3-5分。</w:t>
      </w:r>
    </w:p>
    <w:p>
      <w:pPr>
        <w:adjustRightInd w:val="0"/>
        <w:snapToGrid w:val="0"/>
        <w:ind w:firstLine="480" w:firstLineChars="200"/>
        <w:rPr>
          <w:rFonts w:ascii="仿宋_GB2312" w:eastAsia="仿宋_GB2312"/>
          <w:szCs w:val="24"/>
        </w:rPr>
      </w:pPr>
      <w:r>
        <w:rPr>
          <w:rFonts w:hint="eastAsia" w:ascii="仿宋_GB2312" w:hAnsi="宋体" w:eastAsia="仿宋_GB2312"/>
          <w:szCs w:val="24"/>
        </w:rPr>
        <w:t>③</w:t>
      </w:r>
      <w:r>
        <w:rPr>
          <w:rFonts w:hint="eastAsia" w:ascii="仿宋_GB2312" w:eastAsia="仿宋_GB2312"/>
          <w:szCs w:val="24"/>
        </w:rPr>
        <w:t>地被植物长势茂盛，无杂草，无明显残叶枯花，草坪高度控制平坦整齐，生长良好，无明显杂草裸地积水，嵌草砖内草坪全覆盖〉标准分8分。明显高度杂草扣0.5分/ m</w:t>
      </w:r>
      <w:r>
        <w:rPr>
          <w:rFonts w:ascii="Calibri" w:eastAsia="仿宋_GB2312" w:cs="Calibri"/>
          <w:szCs w:val="24"/>
        </w:rPr>
        <w:t>²</w:t>
      </w:r>
      <w:r>
        <w:rPr>
          <w:rFonts w:hint="eastAsia" w:ascii="仿宋_GB2312" w:hAnsi="仿宋_GB2312" w:eastAsia="仿宋_GB2312" w:cs="仿宋_GB2312"/>
          <w:szCs w:val="24"/>
        </w:rPr>
        <w:t>，残缺扣</w:t>
      </w:r>
      <w:r>
        <w:rPr>
          <w:rFonts w:hint="eastAsia" w:ascii="仿宋_GB2312" w:eastAsia="仿宋_GB2312"/>
          <w:szCs w:val="24"/>
        </w:rPr>
        <w:t>0.1-0.5分/ m</w:t>
      </w:r>
      <w:r>
        <w:rPr>
          <w:rFonts w:ascii="Calibri" w:eastAsia="仿宋_GB2312" w:cs="Calibri"/>
          <w:szCs w:val="24"/>
        </w:rPr>
        <w:t>²</w:t>
      </w:r>
      <w:r>
        <w:rPr>
          <w:rFonts w:hint="eastAsia" w:ascii="仿宋_GB2312" w:hAnsi="仿宋_GB2312" w:eastAsia="仿宋_GB2312" w:cs="仿宋_GB2312"/>
          <w:szCs w:val="24"/>
        </w:rPr>
        <w:t>，裸地扣</w:t>
      </w:r>
      <w:r>
        <w:rPr>
          <w:rFonts w:hint="eastAsia" w:ascii="仿宋_GB2312" w:eastAsia="仿宋_GB2312"/>
          <w:szCs w:val="24"/>
        </w:rPr>
        <w:t>0.5-1分/ m</w:t>
      </w:r>
      <w:r>
        <w:rPr>
          <w:rFonts w:ascii="Calibri" w:eastAsia="仿宋_GB2312" w:cs="Calibri"/>
          <w:szCs w:val="24"/>
        </w:rPr>
        <w:t>²</w:t>
      </w:r>
      <w:r>
        <w:rPr>
          <w:rFonts w:hint="eastAsia" w:ascii="仿宋_GB2312" w:hAnsi="仿宋_GB2312" w:eastAsia="仿宋_GB2312" w:cs="仿宋_GB2312"/>
          <w:szCs w:val="24"/>
        </w:rPr>
        <w:t>，嵌草砖裸地扣</w:t>
      </w:r>
      <w:r>
        <w:rPr>
          <w:rFonts w:hint="eastAsia" w:ascii="仿宋_GB2312" w:eastAsia="仿宋_GB2312"/>
          <w:szCs w:val="24"/>
        </w:rPr>
        <w:t>0.5分/ m</w:t>
      </w:r>
      <w:r>
        <w:rPr>
          <w:rFonts w:ascii="Calibri" w:eastAsia="仿宋_GB2312" w:cs="Calibri"/>
          <w:szCs w:val="24"/>
        </w:rPr>
        <w:t>²</w:t>
      </w:r>
      <w:r>
        <w:rPr>
          <w:rFonts w:hint="eastAsia" w:ascii="仿宋_GB2312" w:hAnsi="仿宋_GB2312" w:eastAsia="仿宋_GB2312" w:cs="仿宋_GB2312"/>
          <w:szCs w:val="24"/>
        </w:rPr>
        <w:t>。</w:t>
      </w:r>
    </w:p>
    <w:p>
      <w:pPr>
        <w:adjustRightInd w:val="0"/>
        <w:snapToGrid w:val="0"/>
        <w:ind w:firstLine="480" w:firstLineChars="200"/>
        <w:rPr>
          <w:rFonts w:ascii="仿宋_GB2312" w:eastAsia="仿宋_GB2312"/>
          <w:szCs w:val="24"/>
        </w:rPr>
      </w:pPr>
      <w:r>
        <w:rPr>
          <w:rFonts w:hint="eastAsia" w:ascii="仿宋_GB2312" w:hAnsi="宋体" w:eastAsia="仿宋_GB2312"/>
          <w:szCs w:val="24"/>
        </w:rPr>
        <w:t>④</w:t>
      </w:r>
      <w:r>
        <w:rPr>
          <w:rFonts w:hint="eastAsia" w:ascii="仿宋_GB2312" w:eastAsia="仿宋_GB2312"/>
          <w:szCs w:val="24"/>
        </w:rPr>
        <w:t>造型植物保持优美形态，生长旺盛，无明显残缺，有效控制徒长枝——标准分4分。每株残缺面〉10%扣0.1分，〉20%扣0.2分，徒长枝未得到控制，影响形态的每处扣0.5-1分，造型差的每处扣1-2分。</w:t>
      </w:r>
    </w:p>
    <w:p>
      <w:pPr>
        <w:adjustRightInd w:val="0"/>
        <w:snapToGrid w:val="0"/>
        <w:ind w:firstLine="360" w:firstLineChars="150"/>
        <w:rPr>
          <w:rFonts w:ascii="仿宋_GB2312" w:eastAsia="仿宋_GB2312"/>
          <w:szCs w:val="24"/>
        </w:rPr>
      </w:pPr>
      <w:r>
        <w:rPr>
          <w:rFonts w:hint="eastAsia" w:ascii="仿宋_GB2312" w:hAnsi="宋体" w:eastAsia="仿宋_GB2312"/>
          <w:szCs w:val="24"/>
        </w:rPr>
        <w:t>⑤</w:t>
      </w:r>
      <w:r>
        <w:rPr>
          <w:rFonts w:hint="eastAsia" w:ascii="仿宋_GB2312" w:eastAsia="仿宋_GB2312"/>
          <w:szCs w:val="24"/>
        </w:rPr>
        <w:t>花坛养护做到植株健壮，花型正，花色艳，始花期方可上花坛种植，株行距适宜，不露底土，无缺株倒伏，无枯枝残花，花坛内无垃圾杂草，花坛边界应切边——标准分4分，植株型色差，株行距不适宜，每处扣0.1-0.5分；露底土、有缺株倒伏或枯枝残花，每处扣0.1-0.5分；有垃圾杂草，每处扣0.1-0.5分，未切边，每处扣0.1-0.5分。</w:t>
      </w:r>
    </w:p>
    <w:p>
      <w:pPr>
        <w:adjustRightInd w:val="0"/>
        <w:snapToGrid w:val="0"/>
        <w:ind w:firstLine="360" w:firstLineChars="150"/>
        <w:rPr>
          <w:rFonts w:ascii="仿宋_GB2312" w:eastAsia="仿宋_GB2312"/>
          <w:szCs w:val="24"/>
        </w:rPr>
      </w:pPr>
      <w:r>
        <w:rPr>
          <w:rFonts w:hint="eastAsia" w:ascii="仿宋_GB2312" w:hAnsi="宋体" w:eastAsia="仿宋_GB2312"/>
          <w:szCs w:val="24"/>
        </w:rPr>
        <w:t>⑥</w:t>
      </w:r>
      <w:r>
        <w:rPr>
          <w:rFonts w:hint="eastAsia" w:ascii="仿宋_GB2312" w:eastAsia="仿宋_GB2312"/>
          <w:szCs w:val="24"/>
        </w:rPr>
        <w:t>花境应做到适时开花，有整体形态和色彩效果。花卉生长正常，不露底土，基本无枯枝残花。无大型野草，杂草高度低于花卉植株，并保持卫生整洁——标准分3分。未适时开花、整体形色差，每处扣0.1-0.5分；露底土、有枯枝残花，每处扣0.1-0.5分；有野草、杂草、有垃圾，每处扣0.1-0.5分。</w:t>
      </w:r>
    </w:p>
    <w:p>
      <w:pPr>
        <w:adjustRightInd w:val="0"/>
        <w:snapToGrid w:val="0"/>
        <w:ind w:firstLine="360" w:firstLineChars="150"/>
        <w:rPr>
          <w:rFonts w:ascii="仿宋_GB2312" w:eastAsia="仿宋_GB2312"/>
          <w:szCs w:val="24"/>
        </w:rPr>
      </w:pPr>
      <w:r>
        <w:rPr>
          <w:rFonts w:hint="eastAsia" w:ascii="仿宋_GB2312" w:hAnsi="宋体" w:eastAsia="仿宋_GB2312"/>
          <w:szCs w:val="24"/>
        </w:rPr>
        <w:t>⑦</w:t>
      </w:r>
      <w:r>
        <w:rPr>
          <w:rFonts w:hint="eastAsia" w:ascii="仿宋_GB2312" w:eastAsia="仿宋_GB2312"/>
          <w:szCs w:val="24"/>
        </w:rPr>
        <w:t>绿化有害生物防控及时，不得出现危险性、检疫性有害生物；其它各类绿化有害生物危害率控制在5%以下——标准分5分，明显病虫害每处扣0.5-1分。</w:t>
      </w:r>
    </w:p>
    <w:p>
      <w:pPr>
        <w:adjustRightInd w:val="0"/>
        <w:snapToGrid w:val="0"/>
        <w:ind w:firstLine="360" w:firstLineChars="150"/>
        <w:rPr>
          <w:rFonts w:ascii="仿宋_GB2312" w:eastAsia="仿宋_GB2312"/>
          <w:szCs w:val="24"/>
        </w:rPr>
      </w:pPr>
      <w:r>
        <w:rPr>
          <w:rFonts w:hint="eastAsia" w:ascii="仿宋_GB2312" w:eastAsia="仿宋_GB2312"/>
          <w:szCs w:val="24"/>
        </w:rPr>
        <w:t>（2）景观面貌（标准分15分）</w:t>
      </w:r>
    </w:p>
    <w:p>
      <w:pPr>
        <w:adjustRightInd w:val="0"/>
        <w:snapToGrid w:val="0"/>
        <w:ind w:firstLine="480" w:firstLineChars="200"/>
        <w:rPr>
          <w:rFonts w:ascii="仿宋_GB2312" w:eastAsia="仿宋_GB2312"/>
          <w:szCs w:val="24"/>
        </w:rPr>
      </w:pPr>
      <w:r>
        <w:rPr>
          <w:rFonts w:hint="eastAsia" w:ascii="仿宋_GB2312" w:hAnsi="宋体" w:eastAsia="仿宋_GB2312"/>
          <w:szCs w:val="24"/>
        </w:rPr>
        <w:t>①</w:t>
      </w:r>
      <w:r>
        <w:rPr>
          <w:rFonts w:hint="eastAsia" w:ascii="仿宋_GB2312" w:eastAsia="仿宋_GB2312"/>
          <w:szCs w:val="24"/>
        </w:rPr>
        <w:t>老树保存率98%以上，补种及时，成活率在95%以上，无死——标准分5分。老树每死亡减少1株扣1分，发现乔木死树1株扣0.5分，发现灌木死亡每处扣0.1-0.5分，未及时补种每处扣0.1-0.5分。</w:t>
      </w:r>
    </w:p>
    <w:p>
      <w:pPr>
        <w:adjustRightInd w:val="0"/>
        <w:snapToGrid w:val="0"/>
        <w:ind w:firstLine="480"/>
        <w:rPr>
          <w:rFonts w:ascii="仿宋_GB2312" w:eastAsia="仿宋_GB2312"/>
          <w:szCs w:val="24"/>
        </w:rPr>
      </w:pPr>
      <w:r>
        <w:rPr>
          <w:rFonts w:hint="eastAsia" w:ascii="仿宋_GB2312" w:hAnsi="宋体" w:eastAsia="仿宋_GB2312"/>
          <w:szCs w:val="24"/>
        </w:rPr>
        <w:t>②</w:t>
      </w:r>
      <w:r>
        <w:rPr>
          <w:rFonts w:hint="eastAsia" w:ascii="仿宋_GB2312" w:eastAsia="仿宋_GB2312"/>
          <w:szCs w:val="24"/>
        </w:rPr>
        <w:t>绿化景观效果显著，无植物倒伏，无景点破坏——标准分5分，植物倒伏每处扣0.5分，植物造景破坏每处扣0.5分，杂草每处扣0.1-0.5分。</w:t>
      </w:r>
    </w:p>
    <w:p>
      <w:pPr>
        <w:adjustRightInd w:val="0"/>
        <w:snapToGrid w:val="0"/>
        <w:ind w:firstLine="480" w:firstLineChars="200"/>
        <w:rPr>
          <w:rFonts w:ascii="仿宋_GB2312" w:eastAsia="仿宋_GB2312"/>
          <w:szCs w:val="24"/>
        </w:rPr>
      </w:pPr>
      <w:r>
        <w:rPr>
          <w:rFonts w:hint="eastAsia" w:ascii="仿宋_GB2312" w:eastAsia="仿宋_GB2312"/>
          <w:szCs w:val="24"/>
        </w:rPr>
        <w:t>（3）清卫管理（标准分14分）</w:t>
      </w:r>
    </w:p>
    <w:p>
      <w:pPr>
        <w:adjustRightInd w:val="0"/>
        <w:snapToGrid w:val="0"/>
        <w:ind w:firstLine="480"/>
        <w:rPr>
          <w:rFonts w:ascii="仿宋_GB2312" w:eastAsia="仿宋_GB2312"/>
          <w:szCs w:val="24"/>
        </w:rPr>
      </w:pPr>
      <w:r>
        <w:rPr>
          <w:rFonts w:hint="eastAsia" w:ascii="仿宋_GB2312" w:hAnsi="宋体" w:eastAsia="仿宋_GB2312"/>
          <w:szCs w:val="24"/>
        </w:rPr>
        <w:t>①</w:t>
      </w:r>
      <w:r>
        <w:rPr>
          <w:rFonts w:hint="eastAsia" w:ascii="仿宋_GB2312" w:eastAsia="仿宋_GB2312"/>
          <w:szCs w:val="24"/>
        </w:rPr>
        <w:t>绿地、水体清洁、无明显纸屑、果壳、杂物、垃圾、建筑物保持整洁卫生——标准分7分，发现绿地或水体内明显有杂物每处扣0.1-0.5分，建筑物室内外不整洁每处扣0.5-1分。</w:t>
      </w:r>
    </w:p>
    <w:p>
      <w:pPr>
        <w:adjustRightInd w:val="0"/>
        <w:snapToGrid w:val="0"/>
        <w:ind w:firstLine="480"/>
        <w:rPr>
          <w:rFonts w:ascii="仿宋_GB2312" w:eastAsia="仿宋_GB2312"/>
          <w:szCs w:val="24"/>
        </w:rPr>
      </w:pPr>
      <w:r>
        <w:rPr>
          <w:rFonts w:hint="eastAsia" w:ascii="仿宋_GB2312" w:hAnsi="宋体" w:eastAsia="仿宋_GB2312"/>
          <w:szCs w:val="24"/>
        </w:rPr>
        <w:t>②</w:t>
      </w:r>
      <w:r>
        <w:rPr>
          <w:rFonts w:hint="eastAsia" w:ascii="仿宋_GB2312" w:eastAsia="仿宋_GB2312"/>
          <w:szCs w:val="24"/>
        </w:rPr>
        <w:t>园路、广场全日保洁，无明显垃圾异物和积水，无死角、无明显鼠害——标准分7分，发现明显垃圾每处扣0.5分，积水每处扣0.5分，发现死角每处扣1-2分，发现鼠害扣1-2分。</w:t>
      </w:r>
    </w:p>
    <w:p>
      <w:pPr>
        <w:adjustRightInd w:val="0"/>
        <w:snapToGrid w:val="0"/>
        <w:ind w:firstLine="480" w:firstLineChars="200"/>
        <w:rPr>
          <w:rFonts w:ascii="仿宋_GB2312" w:eastAsia="仿宋_GB2312"/>
          <w:szCs w:val="24"/>
        </w:rPr>
      </w:pPr>
      <w:r>
        <w:rPr>
          <w:rFonts w:hint="eastAsia" w:ascii="仿宋_GB2312" w:eastAsia="仿宋_GB2312"/>
          <w:szCs w:val="24"/>
        </w:rPr>
        <w:t>（4）设施维护（标准分16分）</w:t>
      </w:r>
    </w:p>
    <w:p>
      <w:pPr>
        <w:adjustRightInd w:val="0"/>
        <w:snapToGrid w:val="0"/>
        <w:ind w:firstLine="480"/>
        <w:rPr>
          <w:rFonts w:ascii="仿宋_GB2312" w:eastAsia="仿宋_GB2312"/>
          <w:szCs w:val="24"/>
        </w:rPr>
      </w:pPr>
      <w:r>
        <w:rPr>
          <w:rFonts w:hint="eastAsia" w:ascii="仿宋_GB2312" w:hAnsi="宋体" w:eastAsia="仿宋_GB2312"/>
          <w:szCs w:val="24"/>
        </w:rPr>
        <w:t>①</w:t>
      </w:r>
      <w:r>
        <w:rPr>
          <w:rFonts w:hint="eastAsia" w:ascii="仿宋_GB2312" w:eastAsia="仿宋_GB2312"/>
          <w:szCs w:val="24"/>
        </w:rPr>
        <w:t>亭、廊、平台等整洁，无剥落物及痕迹——标准分8分。发现亭、廊刻划每处扣0.1-0.5分，油漆脱落有碍观瞻的每处扣0.1-0.5分。</w:t>
      </w:r>
    </w:p>
    <w:p>
      <w:pPr>
        <w:adjustRightInd w:val="0"/>
        <w:snapToGrid w:val="0"/>
        <w:ind w:firstLine="480"/>
        <w:rPr>
          <w:rFonts w:ascii="仿宋_GB2312" w:eastAsia="仿宋_GB2312"/>
          <w:szCs w:val="24"/>
        </w:rPr>
      </w:pPr>
      <w:r>
        <w:rPr>
          <w:rFonts w:hint="eastAsia" w:ascii="仿宋_GB2312" w:hAnsi="宋体" w:eastAsia="仿宋_GB2312"/>
          <w:szCs w:val="24"/>
        </w:rPr>
        <w:t>②</w:t>
      </w:r>
      <w:r>
        <w:rPr>
          <w:rFonts w:hint="eastAsia" w:ascii="仿宋_GB2312" w:eastAsia="仿宋_GB2312"/>
          <w:szCs w:val="24"/>
        </w:rPr>
        <w:t>各种设施不得无故减少，位置不得随意变动，园灯、园椅、园路、果壳箱、导游牌、指示牌、园路小品等设施无破损、喷灌、喷泉等设施完好——标准分8分。设施每减少1处扣0.5-1分，随意变动1处扣0.5分，发现破损1处扣0.1-0.5分，节日不能如期运行1处扣2分。</w:t>
      </w:r>
    </w:p>
    <w:p>
      <w:pPr>
        <w:adjustRightInd w:val="0"/>
        <w:snapToGrid w:val="0"/>
        <w:ind w:firstLine="480" w:firstLineChars="200"/>
        <w:rPr>
          <w:rFonts w:ascii="仿宋_GB2312" w:eastAsia="仿宋_GB2312"/>
          <w:szCs w:val="24"/>
        </w:rPr>
      </w:pPr>
      <w:r>
        <w:rPr>
          <w:rFonts w:hint="eastAsia" w:ascii="仿宋_GB2312" w:eastAsia="仿宋_GB2312"/>
          <w:szCs w:val="24"/>
        </w:rPr>
        <w:t>2、安全文明作业与社会监督（标准分12分）</w:t>
      </w:r>
    </w:p>
    <w:p>
      <w:pPr>
        <w:adjustRightInd w:val="0"/>
        <w:snapToGrid w:val="0"/>
        <w:ind w:firstLine="480" w:firstLineChars="200"/>
        <w:rPr>
          <w:rFonts w:ascii="仿宋_GB2312" w:eastAsia="仿宋_GB2312"/>
          <w:szCs w:val="24"/>
        </w:rPr>
      </w:pPr>
      <w:r>
        <w:rPr>
          <w:rFonts w:hint="eastAsia" w:ascii="仿宋_GB2312" w:eastAsia="仿宋_GB2312"/>
          <w:szCs w:val="24"/>
        </w:rPr>
        <w:t>（1）安全文明及文明作业（标准分7分）</w:t>
      </w:r>
    </w:p>
    <w:p>
      <w:pPr>
        <w:adjustRightInd w:val="0"/>
        <w:snapToGrid w:val="0"/>
        <w:ind w:firstLine="480"/>
        <w:rPr>
          <w:rFonts w:ascii="仿宋_GB2312" w:eastAsia="仿宋_GB2312"/>
          <w:szCs w:val="24"/>
        </w:rPr>
      </w:pPr>
      <w:r>
        <w:rPr>
          <w:rFonts w:hint="eastAsia" w:ascii="仿宋_GB2312" w:hAnsi="宋体" w:eastAsia="仿宋_GB2312"/>
          <w:szCs w:val="24"/>
        </w:rPr>
        <w:t>①</w:t>
      </w:r>
      <w:r>
        <w:rPr>
          <w:rFonts w:hint="eastAsia" w:ascii="仿宋_GB2312" w:eastAsia="仿宋_GB2312"/>
          <w:szCs w:val="24"/>
        </w:rPr>
        <w:t>有安全管理网络，制度齐全，责任落实，严格按照制定的安全规程作业——标准分4分，有安全制度但达不到要求的扣0.5-1分，无安全管理制度的扣1-2分，未按照安全管理制度作业的、出现事故的扣2-4分。</w:t>
      </w:r>
    </w:p>
    <w:p>
      <w:pPr>
        <w:adjustRightInd w:val="0"/>
        <w:snapToGrid w:val="0"/>
        <w:ind w:firstLine="480"/>
        <w:rPr>
          <w:rFonts w:ascii="仿宋_GB2312" w:eastAsia="仿宋_GB2312"/>
          <w:szCs w:val="24"/>
        </w:rPr>
      </w:pPr>
      <w:r>
        <w:rPr>
          <w:rFonts w:hint="eastAsia" w:ascii="仿宋_GB2312" w:hAnsi="宋体" w:eastAsia="仿宋_GB2312"/>
          <w:szCs w:val="24"/>
        </w:rPr>
        <w:t>②</w:t>
      </w:r>
      <w:r>
        <w:rPr>
          <w:rFonts w:hint="eastAsia" w:ascii="仿宋_GB2312" w:eastAsia="仿宋_GB2312"/>
          <w:szCs w:val="24"/>
        </w:rPr>
        <w:t>提倡文明生产作业，礼貌用语，不与居民、行人争吵——标准分2分。发生争吵的每起扣0.5-1分，情节严重造成一定影响的扣1-2分。</w:t>
      </w:r>
    </w:p>
    <w:p>
      <w:pPr>
        <w:adjustRightInd w:val="0"/>
        <w:snapToGrid w:val="0"/>
        <w:ind w:firstLine="480"/>
        <w:rPr>
          <w:rFonts w:ascii="仿宋_GB2312" w:eastAsia="仿宋_GB2312"/>
          <w:szCs w:val="24"/>
        </w:rPr>
      </w:pPr>
      <w:r>
        <w:rPr>
          <w:rFonts w:hint="eastAsia" w:ascii="仿宋_GB2312" w:hAnsi="宋体" w:eastAsia="仿宋_GB2312"/>
          <w:szCs w:val="24"/>
        </w:rPr>
        <w:t>③</w:t>
      </w:r>
      <w:r>
        <w:rPr>
          <w:rFonts w:hint="eastAsia" w:ascii="仿宋_GB2312" w:eastAsia="仿宋_GB2312"/>
          <w:szCs w:val="24"/>
        </w:rPr>
        <w:t>涉及供电、物业公司的相关作业，必须事先与供电部门和物业公司取得联系——标准分1分。未事先沟通联系造成矛盾的扣0.5-1分。</w:t>
      </w:r>
    </w:p>
    <w:p>
      <w:pPr>
        <w:adjustRightInd w:val="0"/>
        <w:snapToGrid w:val="0"/>
        <w:ind w:firstLine="480" w:firstLineChars="200"/>
        <w:rPr>
          <w:rFonts w:ascii="仿宋_GB2312" w:eastAsia="仿宋_GB2312"/>
          <w:szCs w:val="24"/>
        </w:rPr>
      </w:pPr>
      <w:r>
        <w:rPr>
          <w:rFonts w:hint="eastAsia" w:ascii="仿宋_GB2312" w:eastAsia="仿宋_GB2312"/>
          <w:szCs w:val="24"/>
        </w:rPr>
        <w:t>（2）社会监督（标准分5分）</w:t>
      </w:r>
    </w:p>
    <w:p>
      <w:pPr>
        <w:adjustRightInd w:val="0"/>
        <w:snapToGrid w:val="0"/>
        <w:ind w:firstLine="480"/>
        <w:rPr>
          <w:rFonts w:ascii="仿宋_GB2312" w:eastAsia="仿宋_GB2312"/>
          <w:szCs w:val="24"/>
        </w:rPr>
      </w:pPr>
      <w:r>
        <w:rPr>
          <w:rFonts w:hint="eastAsia" w:ascii="仿宋_GB2312" w:hAnsi="宋体" w:eastAsia="仿宋_GB2312"/>
          <w:szCs w:val="24"/>
        </w:rPr>
        <w:t>①</w:t>
      </w:r>
      <w:r>
        <w:rPr>
          <w:rFonts w:hint="eastAsia" w:ascii="仿宋_GB2312" w:eastAsia="仿宋_GB2312"/>
          <w:szCs w:val="24"/>
        </w:rPr>
        <w:t>失管、失养或养护不当受到群众举报属实的或受到市、区领导部门批评的或受到区级媒体曝光，每次每处扣1-2分。</w:t>
      </w:r>
    </w:p>
    <w:p>
      <w:pPr>
        <w:adjustRightInd w:val="0"/>
        <w:snapToGrid w:val="0"/>
        <w:ind w:firstLine="480"/>
        <w:rPr>
          <w:rFonts w:ascii="仿宋_GB2312" w:eastAsia="仿宋_GB2312"/>
          <w:szCs w:val="24"/>
        </w:rPr>
      </w:pPr>
      <w:r>
        <w:rPr>
          <w:rFonts w:hint="eastAsia" w:ascii="仿宋_GB2312" w:hAnsi="宋体" w:eastAsia="仿宋_GB2312"/>
          <w:szCs w:val="24"/>
        </w:rPr>
        <w:t>②</w:t>
      </w:r>
      <w:r>
        <w:rPr>
          <w:rFonts w:hint="eastAsia" w:ascii="仿宋_GB2312" w:eastAsia="仿宋_GB2312"/>
          <w:szCs w:val="24"/>
        </w:rPr>
        <w:t>失管、失养或养护不当受到市级媒体曝光的，每次每处扣1-2分。</w:t>
      </w:r>
    </w:p>
    <w:p>
      <w:pPr>
        <w:adjustRightInd w:val="0"/>
        <w:snapToGrid w:val="0"/>
        <w:ind w:firstLine="480"/>
        <w:rPr>
          <w:rFonts w:ascii="仿宋_GB2312" w:eastAsia="仿宋_GB2312"/>
          <w:szCs w:val="24"/>
        </w:rPr>
      </w:pPr>
      <w:r>
        <w:rPr>
          <w:rFonts w:hint="eastAsia" w:ascii="仿宋_GB2312" w:hAnsi="宋体" w:eastAsia="仿宋_GB2312"/>
          <w:szCs w:val="24"/>
        </w:rPr>
        <w:t>③</w:t>
      </w:r>
      <w:r>
        <w:rPr>
          <w:rFonts w:hint="eastAsia" w:ascii="仿宋_GB2312" w:eastAsia="仿宋_GB2312"/>
          <w:szCs w:val="24"/>
        </w:rPr>
        <w:t>受到举报或批评或曝光后不及时整改的，每次每处扣1-2分。</w:t>
      </w:r>
    </w:p>
    <w:p>
      <w:pPr>
        <w:adjustRightInd w:val="0"/>
        <w:snapToGrid w:val="0"/>
        <w:ind w:firstLine="480" w:firstLineChars="200"/>
        <w:rPr>
          <w:rFonts w:ascii="仿宋_GB2312" w:eastAsia="仿宋_GB2312"/>
          <w:szCs w:val="24"/>
        </w:rPr>
      </w:pPr>
      <w:r>
        <w:rPr>
          <w:rFonts w:hint="eastAsia" w:ascii="仿宋_GB2312" w:eastAsia="仿宋_GB2312"/>
          <w:szCs w:val="24"/>
        </w:rPr>
        <w:t>3、业内资料（满分8分）</w:t>
      </w:r>
    </w:p>
    <w:p>
      <w:pPr>
        <w:adjustRightInd w:val="0"/>
        <w:snapToGrid w:val="0"/>
        <w:ind w:firstLine="480" w:firstLineChars="200"/>
        <w:rPr>
          <w:rFonts w:ascii="仿宋_GB2312" w:eastAsia="仿宋_GB2312"/>
          <w:szCs w:val="24"/>
        </w:rPr>
      </w:pPr>
      <w:r>
        <w:rPr>
          <w:rFonts w:hint="eastAsia" w:ascii="仿宋_GB2312" w:eastAsia="仿宋_GB2312"/>
          <w:szCs w:val="24"/>
        </w:rPr>
        <w:t>（1）各类原始台账、记录、报表、签证、计划、总结齐全准确、能按要求及时上报。</w:t>
      </w:r>
    </w:p>
    <w:p>
      <w:pPr>
        <w:adjustRightInd w:val="0"/>
        <w:snapToGrid w:val="0"/>
        <w:ind w:firstLine="480" w:firstLineChars="200"/>
        <w:rPr>
          <w:rFonts w:ascii="仿宋_GB2312" w:eastAsia="仿宋_GB2312"/>
          <w:szCs w:val="24"/>
        </w:rPr>
      </w:pPr>
      <w:r>
        <w:rPr>
          <w:rFonts w:hint="eastAsia" w:ascii="仿宋_GB2312" w:eastAsia="仿宋_GB2312"/>
          <w:szCs w:val="24"/>
        </w:rPr>
        <w:t>（2）在规定时限内完成指令性任务，配合做好各类群众性活动工作。</w:t>
      </w:r>
    </w:p>
    <w:p>
      <w:pPr>
        <w:adjustRightInd w:val="0"/>
        <w:snapToGrid w:val="0"/>
        <w:ind w:firstLine="480" w:firstLineChars="200"/>
        <w:rPr>
          <w:rFonts w:ascii="仿宋_GB2312" w:eastAsia="仿宋_GB2312"/>
          <w:szCs w:val="24"/>
        </w:rPr>
      </w:pPr>
      <w:r>
        <w:rPr>
          <w:rFonts w:hint="eastAsia" w:ascii="仿宋_GB2312" w:eastAsia="仿宋_GB2312"/>
          <w:szCs w:val="24"/>
        </w:rPr>
        <w:t>（3）按每季向绿化中心建管科报送绿化养护计划，做好季初有计划，季中有落实、季终有总结。</w:t>
      </w:r>
    </w:p>
    <w:p>
      <w:pPr>
        <w:adjustRightInd w:val="0"/>
        <w:snapToGrid w:val="0"/>
        <w:ind w:firstLine="480" w:firstLineChars="200"/>
        <w:rPr>
          <w:rFonts w:ascii="仿宋_GB2312" w:eastAsia="仿宋_GB2312"/>
          <w:szCs w:val="24"/>
        </w:rPr>
      </w:pPr>
      <w:r>
        <w:rPr>
          <w:rFonts w:hint="eastAsia" w:ascii="仿宋_GB2312" w:eastAsia="仿宋_GB2312"/>
          <w:szCs w:val="24"/>
        </w:rPr>
        <w:t>（4）“三冬”工作期间要及时做好树木管护工作。</w:t>
      </w:r>
    </w:p>
    <w:p>
      <w:pPr>
        <w:ind w:firstLine="480" w:firstLineChars="200"/>
        <w:rPr>
          <w:rFonts w:ascii="仿宋_GB2312" w:eastAsia="仿宋_GB2312"/>
          <w:szCs w:val="24"/>
        </w:rPr>
      </w:pPr>
      <w:r>
        <w:rPr>
          <w:rFonts w:hint="eastAsia" w:ascii="仿宋_GB2312" w:eastAsia="仿宋_GB2312"/>
          <w:szCs w:val="24"/>
        </w:rPr>
        <w:t>以上各项做不到的每项每次扣0.5-1分，应报到未报的、每项每处扣0.5-1分，弄虚作假的不得分。</w:t>
      </w:r>
    </w:p>
    <w:p>
      <w:pPr>
        <w:widowControl/>
        <w:spacing w:line="240" w:lineRule="auto"/>
        <w:rPr>
          <w:rFonts w:ascii="仿宋_GB2312" w:eastAsia="仿宋_GB2312"/>
          <w:i/>
          <w:iCs/>
          <w:szCs w:val="24"/>
        </w:rPr>
      </w:pPr>
      <w:r>
        <w:rPr>
          <w:rFonts w:ascii="仿宋_GB2312" w:eastAsia="仿宋_GB2312"/>
          <w:i/>
          <w:iCs/>
          <w:szCs w:val="24"/>
        </w:rPr>
        <w:br w:type="page"/>
      </w:r>
    </w:p>
    <w:p>
      <w:pPr>
        <w:rPr>
          <w:rFonts w:ascii="仿宋_GB2312" w:eastAsia="仿宋_GB2312"/>
          <w:b/>
          <w:bCs/>
          <w:szCs w:val="24"/>
        </w:rPr>
      </w:pPr>
      <w:r>
        <w:rPr>
          <w:rFonts w:hint="eastAsia" w:ascii="仿宋_GB2312" w:eastAsia="仿宋_GB2312"/>
          <w:b/>
          <w:bCs/>
          <w:szCs w:val="24"/>
        </w:rPr>
        <w:t>附件：</w:t>
      </w:r>
    </w:p>
    <w:p>
      <w:pPr>
        <w:jc w:val="center"/>
        <w:rPr>
          <w:rFonts w:ascii="仿宋_GB2312" w:eastAsia="仿宋_GB2312"/>
          <w:b/>
          <w:bCs/>
          <w:szCs w:val="24"/>
        </w:rPr>
      </w:pPr>
      <w:r>
        <w:rPr>
          <w:rFonts w:hint="eastAsia" w:ascii="仿宋_GB2312" w:eastAsia="仿宋_GB2312"/>
          <w:b/>
          <w:bCs/>
          <w:szCs w:val="24"/>
        </w:rPr>
        <w:t>街区绿化养护清单（图斑与清单不符时，以清单为准）</w:t>
      </w:r>
    </w:p>
    <w:tbl>
      <w:tblPr>
        <w:tblStyle w:val="6"/>
        <w:tblW w:w="0" w:type="auto"/>
        <w:tblInd w:w="113" w:type="dxa"/>
        <w:tblLayout w:type="autofit"/>
        <w:tblCellMar>
          <w:top w:w="0" w:type="dxa"/>
          <w:left w:w="108" w:type="dxa"/>
          <w:bottom w:w="0" w:type="dxa"/>
          <w:right w:w="108" w:type="dxa"/>
        </w:tblCellMar>
      </w:tblPr>
      <w:tblGrid>
        <w:gridCol w:w="401"/>
        <w:gridCol w:w="770"/>
        <w:gridCol w:w="587"/>
        <w:gridCol w:w="2708"/>
        <w:gridCol w:w="1647"/>
        <w:gridCol w:w="447"/>
        <w:gridCol w:w="401"/>
        <w:gridCol w:w="401"/>
        <w:gridCol w:w="1047"/>
      </w:tblGrid>
      <w:tr>
        <w:tblPrEx>
          <w:tblCellMar>
            <w:top w:w="0" w:type="dxa"/>
            <w:left w:w="108" w:type="dxa"/>
            <w:bottom w:w="0" w:type="dxa"/>
            <w:right w:w="108" w:type="dxa"/>
          </w:tblCellMar>
        </w:tblPrEx>
        <w:trPr>
          <w:trHeight w:val="27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b/>
                <w:bCs/>
                <w:kern w:val="0"/>
                <w:sz w:val="22"/>
              </w:rPr>
            </w:pPr>
            <w:r>
              <w:rPr>
                <w:rFonts w:hint="eastAsia" w:ascii="仿宋_GB2312" w:hAnsi="宋体" w:eastAsia="仿宋_GB2312" w:cs="宋体"/>
                <w:b/>
                <w:bCs/>
                <w:kern w:val="0"/>
                <w:sz w:val="22"/>
              </w:rPr>
              <w:t>序号</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b/>
                <w:bCs/>
                <w:kern w:val="0"/>
                <w:sz w:val="22"/>
              </w:rPr>
            </w:pPr>
            <w:r>
              <w:rPr>
                <w:rFonts w:hint="eastAsia" w:ascii="仿宋_GB2312" w:hAnsi="宋体" w:eastAsia="仿宋_GB2312" w:cs="宋体"/>
                <w:b/>
                <w:bCs/>
                <w:kern w:val="0"/>
                <w:sz w:val="22"/>
              </w:rPr>
              <w:t>街道</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b/>
                <w:bCs/>
                <w:kern w:val="0"/>
                <w:sz w:val="22"/>
              </w:rPr>
            </w:pPr>
            <w:r>
              <w:rPr>
                <w:rFonts w:hint="eastAsia" w:ascii="仿宋_GB2312" w:hAnsi="宋体" w:eastAsia="仿宋_GB2312" w:cs="宋体"/>
                <w:b/>
                <w:bCs/>
                <w:kern w:val="0"/>
                <w:sz w:val="22"/>
              </w:rPr>
              <w:t>绿地属性</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b/>
                <w:bCs/>
                <w:kern w:val="0"/>
                <w:sz w:val="22"/>
              </w:rPr>
            </w:pPr>
            <w:r>
              <w:rPr>
                <w:rFonts w:hint="eastAsia" w:ascii="仿宋_GB2312" w:hAnsi="宋体" w:eastAsia="仿宋_GB2312" w:cs="宋体"/>
                <w:b/>
                <w:bCs/>
                <w:kern w:val="0"/>
                <w:sz w:val="22"/>
              </w:rPr>
              <w:t>绿地名称</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b/>
                <w:bCs/>
                <w:kern w:val="0"/>
                <w:sz w:val="22"/>
              </w:rPr>
            </w:pPr>
            <w:r>
              <w:rPr>
                <w:rFonts w:hint="eastAsia" w:ascii="仿宋_GB2312" w:hAnsi="宋体" w:eastAsia="仿宋_GB2312" w:cs="宋体"/>
                <w:b/>
                <w:bCs/>
                <w:kern w:val="0"/>
                <w:sz w:val="22"/>
              </w:rPr>
              <w:t>绿地地址</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b/>
                <w:bCs/>
                <w:kern w:val="0"/>
                <w:sz w:val="22"/>
              </w:rPr>
            </w:pPr>
            <w:r>
              <w:rPr>
                <w:rFonts w:hint="eastAsia" w:ascii="仿宋_GB2312" w:hAnsi="宋体" w:eastAsia="仿宋_GB2312" w:cs="宋体"/>
                <w:b/>
                <w:bCs/>
                <w:kern w:val="0"/>
                <w:sz w:val="22"/>
              </w:rPr>
              <w:t>面积</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b/>
                <w:bCs/>
                <w:kern w:val="0"/>
                <w:sz w:val="22"/>
              </w:rPr>
            </w:pPr>
            <w:r>
              <w:rPr>
                <w:rFonts w:hint="eastAsia" w:ascii="仿宋_GB2312" w:hAnsi="宋体" w:eastAsia="仿宋_GB2312" w:cs="宋体"/>
                <w:b/>
                <w:bCs/>
                <w:kern w:val="0"/>
                <w:sz w:val="22"/>
              </w:rPr>
              <w:t>等级</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b/>
                <w:bCs/>
                <w:kern w:val="0"/>
                <w:sz w:val="22"/>
              </w:rPr>
            </w:pPr>
            <w:r>
              <w:rPr>
                <w:rFonts w:hint="eastAsia" w:ascii="仿宋_GB2312" w:hAnsi="宋体" w:eastAsia="仿宋_GB2312" w:cs="宋体"/>
                <w:b/>
                <w:bCs/>
                <w:kern w:val="0"/>
                <w:sz w:val="22"/>
              </w:rPr>
              <w:t>包件</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b/>
                <w:bCs/>
                <w:kern w:val="0"/>
                <w:sz w:val="22"/>
              </w:rPr>
            </w:pPr>
            <w:r>
              <w:rPr>
                <w:rFonts w:hint="eastAsia" w:ascii="仿宋_GB2312" w:hAnsi="宋体" w:eastAsia="仿宋_GB2312" w:cs="宋体"/>
                <w:b/>
                <w:bCs/>
                <w:kern w:val="0"/>
                <w:sz w:val="22"/>
              </w:rPr>
              <w:t>备注</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北站街道</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北苏州路668号门前绿地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北苏州河路668号门前西面</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304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八</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苏河贯通</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北站街道</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光复路晋元路绿地（双拥公园）</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国庆路83弄小区东侧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2624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八</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苏河贯通</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3</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北站街道</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河南北路桥堍西侧临时绿地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天潼路-北苏州河</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273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八</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苏河贯通</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4</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北站街道</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晋元路两侧绿地（光复路-国庆路）</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光复路-国庆路东南角</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582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一级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八</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苏河贯通</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5</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江宁路街道</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西苏州河路西侧（安远路-昌平路）绿地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西苏州河路西侧（安远路-昌平路）</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5680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一级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八</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苏河贯通</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6</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石门二路街道</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顺德苑群街</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南苏州路539弄</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717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八</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苏河贯通</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7</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石门二路街道</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苏河贯通改造公共绿地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苏河贯通改造公共绿地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35794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一级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八</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苏河贯通，无图斑</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8</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石门二路街道</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社会绿地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大田路苏州河路（石二警署门口）绿地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大田路苏州河路（石二警署门口）</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165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四级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八</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苏河贯通</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9</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天目西路街道</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119、120地块</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7046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八</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苏河贯通，无图斑</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10</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天目西路街道</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恒丰古北家苑前绿地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光复路871号</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560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八</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苏河贯通</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11</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天目西路街道</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光复路（长寿路桥-普济路桥）人行道绿化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光复路（长寿路桥-普济路桥）</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4371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一级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八</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苏河贯通</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12</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天目西路街道</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光复路梅园路公共绿地（问秋园）</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光复路（梅园路-恒丰路）北侧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2760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一级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八</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苏河贯通，口袋公园</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13</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天目西路街道</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苏河贯通长安路节点公共绿地（长安路长寿路）（锦绣花园）</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 w:val="22"/>
              </w:rPr>
            </w:pPr>
            <w:r>
              <w:rPr>
                <w:rFonts w:hint="eastAsia" w:ascii="仿宋_GB2312" w:hAnsi="宋体" w:eastAsia="仿宋_GB2312" w:cs="宋体"/>
                <w:color w:val="000000"/>
                <w:kern w:val="0"/>
                <w:sz w:val="22"/>
              </w:rPr>
              <w:t>光复路长安西路</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4359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一级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八</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苏河贯通，口袋公园</w:t>
            </w:r>
          </w:p>
        </w:tc>
      </w:tr>
    </w:tbl>
    <w:p>
      <w:pPr>
        <w:rPr>
          <w:rFonts w:ascii="仿宋_GB2312" w:eastAsia="仿宋_GB2312"/>
          <w:szCs w:val="24"/>
        </w:rPr>
      </w:pPr>
    </w:p>
    <w:tbl>
      <w:tblPr>
        <w:tblStyle w:val="6"/>
        <w:tblW w:w="8260" w:type="dxa"/>
        <w:tblInd w:w="108" w:type="dxa"/>
        <w:tblLayout w:type="autofit"/>
        <w:tblCellMar>
          <w:top w:w="0" w:type="dxa"/>
          <w:left w:w="108" w:type="dxa"/>
          <w:bottom w:w="0" w:type="dxa"/>
          <w:right w:w="108" w:type="dxa"/>
        </w:tblCellMar>
      </w:tblPr>
      <w:tblGrid>
        <w:gridCol w:w="1080"/>
        <w:gridCol w:w="1080"/>
        <w:gridCol w:w="1080"/>
        <w:gridCol w:w="1080"/>
        <w:gridCol w:w="1080"/>
        <w:gridCol w:w="1080"/>
        <w:gridCol w:w="700"/>
        <w:gridCol w:w="1080"/>
      </w:tblGrid>
      <w:tr>
        <w:tblPrEx>
          <w:tblCellMar>
            <w:top w:w="0" w:type="dxa"/>
            <w:left w:w="108" w:type="dxa"/>
            <w:bottom w:w="0" w:type="dxa"/>
            <w:right w:w="108" w:type="dxa"/>
          </w:tblCellMar>
        </w:tblPrEx>
        <w:trPr>
          <w:trHeight w:val="270" w:hRule="atLeast"/>
        </w:trPr>
        <w:tc>
          <w:tcPr>
            <w:tcW w:w="8260" w:type="dxa"/>
            <w:gridSpan w:val="8"/>
            <w:tcBorders>
              <w:top w:val="nil"/>
              <w:left w:val="nil"/>
              <w:bottom w:val="single" w:color="auto" w:sz="4" w:space="0"/>
              <w:right w:val="nil"/>
            </w:tcBorders>
            <w:shd w:val="clear" w:color="auto" w:fill="auto"/>
            <w:vAlign w:val="center"/>
          </w:tcPr>
          <w:p>
            <w:pPr>
              <w:widowControl/>
              <w:spacing w:line="240" w:lineRule="auto"/>
              <w:jc w:val="center"/>
              <w:rPr>
                <w:rFonts w:ascii="仿宋_GB2312" w:hAnsi="等线" w:eastAsia="仿宋_GB2312" w:cs="宋体"/>
                <w:b/>
                <w:bCs/>
                <w:color w:val="000000"/>
                <w:kern w:val="0"/>
                <w:sz w:val="22"/>
              </w:rPr>
            </w:pPr>
            <w:r>
              <w:rPr>
                <w:rFonts w:hint="eastAsia" w:ascii="仿宋_GB2312" w:hAnsi="等线" w:eastAsia="仿宋_GB2312" w:cs="宋体"/>
                <w:b/>
                <w:bCs/>
                <w:color w:val="000000"/>
                <w:kern w:val="0"/>
                <w:sz w:val="22"/>
              </w:rPr>
              <w:t>苏河贯通行道树养护清单</w:t>
            </w:r>
          </w:p>
        </w:tc>
      </w:tr>
      <w:tr>
        <w:tblPrEx>
          <w:tblCellMar>
            <w:top w:w="0" w:type="dxa"/>
            <w:left w:w="108" w:type="dxa"/>
            <w:bottom w:w="0" w:type="dxa"/>
            <w:right w:w="108" w:type="dxa"/>
          </w:tblCellMar>
        </w:tblPrEx>
        <w:trPr>
          <w:trHeight w:val="27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序号</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道路名称</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路段起</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路段迄</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所属街道</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总数</w:t>
            </w:r>
          </w:p>
        </w:tc>
        <w:tc>
          <w:tcPr>
            <w:tcW w:w="70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树种</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等级</w:t>
            </w:r>
          </w:p>
        </w:tc>
      </w:tr>
      <w:tr>
        <w:tblPrEx>
          <w:tblCellMar>
            <w:top w:w="0" w:type="dxa"/>
            <w:left w:w="108" w:type="dxa"/>
            <w:bottom w:w="0" w:type="dxa"/>
            <w:right w:w="108" w:type="dxa"/>
          </w:tblCellMar>
        </w:tblPrEx>
        <w:trPr>
          <w:trHeight w:val="54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1</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光复路</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恒丰路</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汉中路</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天目西路街道</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11</w:t>
            </w:r>
          </w:p>
        </w:tc>
        <w:tc>
          <w:tcPr>
            <w:tcW w:w="70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香椿</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一级</w:t>
            </w:r>
          </w:p>
        </w:tc>
      </w:tr>
      <w:tr>
        <w:tblPrEx>
          <w:tblCellMar>
            <w:top w:w="0" w:type="dxa"/>
            <w:left w:w="108" w:type="dxa"/>
            <w:bottom w:w="0" w:type="dxa"/>
            <w:right w:w="108" w:type="dxa"/>
          </w:tblCellMar>
        </w:tblPrEx>
        <w:trPr>
          <w:trHeight w:val="27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2</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光复路</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西藏中路</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晋元路</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北站街道</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4</w:t>
            </w:r>
          </w:p>
        </w:tc>
        <w:tc>
          <w:tcPr>
            <w:tcW w:w="70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悬铃木</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一级</w:t>
            </w:r>
          </w:p>
        </w:tc>
      </w:tr>
      <w:tr>
        <w:tblPrEx>
          <w:tblCellMar>
            <w:top w:w="0" w:type="dxa"/>
            <w:left w:w="108" w:type="dxa"/>
            <w:bottom w:w="0" w:type="dxa"/>
            <w:right w:w="108" w:type="dxa"/>
          </w:tblCellMar>
        </w:tblPrEx>
        <w:trPr>
          <w:trHeight w:val="54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3</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西苏州路</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昌平路</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海防路</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江宁路街道</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14</w:t>
            </w:r>
          </w:p>
        </w:tc>
        <w:tc>
          <w:tcPr>
            <w:tcW w:w="70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香樟</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一级</w:t>
            </w:r>
          </w:p>
        </w:tc>
      </w:tr>
      <w:tr>
        <w:tblPrEx>
          <w:tblCellMar>
            <w:top w:w="0" w:type="dxa"/>
            <w:left w:w="108" w:type="dxa"/>
            <w:bottom w:w="0" w:type="dxa"/>
            <w:right w:w="108" w:type="dxa"/>
          </w:tblCellMar>
        </w:tblPrEx>
        <w:trPr>
          <w:trHeight w:val="54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4</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西苏州路</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海防路</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安远路</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江宁路街道</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23</w:t>
            </w:r>
          </w:p>
        </w:tc>
        <w:tc>
          <w:tcPr>
            <w:tcW w:w="70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香樟</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一级</w:t>
            </w:r>
          </w:p>
        </w:tc>
      </w:tr>
      <w:tr>
        <w:tblPrEx>
          <w:tblCellMar>
            <w:top w:w="0" w:type="dxa"/>
            <w:left w:w="108" w:type="dxa"/>
            <w:bottom w:w="0" w:type="dxa"/>
            <w:right w:w="108" w:type="dxa"/>
          </w:tblCellMar>
        </w:tblPrEx>
        <w:trPr>
          <w:trHeight w:val="27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5</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北苏州路</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浙江北路</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福建北路</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　</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42</w:t>
            </w:r>
          </w:p>
        </w:tc>
        <w:tc>
          <w:tcPr>
            <w:tcW w:w="70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北美枫香</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一级</w:t>
            </w:r>
          </w:p>
        </w:tc>
      </w:tr>
      <w:tr>
        <w:tblPrEx>
          <w:tblCellMar>
            <w:top w:w="0" w:type="dxa"/>
            <w:left w:w="108" w:type="dxa"/>
            <w:bottom w:w="0" w:type="dxa"/>
            <w:right w:w="108" w:type="dxa"/>
          </w:tblCellMar>
        </w:tblPrEx>
        <w:trPr>
          <w:trHeight w:val="27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6</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光复路</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普济路桥</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长寿路桥</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　</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95</w:t>
            </w:r>
          </w:p>
        </w:tc>
        <w:tc>
          <w:tcPr>
            <w:tcW w:w="70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巨紫荆</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一级</w:t>
            </w:r>
          </w:p>
        </w:tc>
      </w:tr>
    </w:tbl>
    <w:p>
      <w:pPr>
        <w:rPr>
          <w:rFonts w:ascii="仿宋_GB2312" w:eastAsia="仿宋_GB2312"/>
          <w:szCs w:val="24"/>
        </w:rPr>
      </w:pPr>
    </w:p>
    <w:tbl>
      <w:tblPr>
        <w:tblStyle w:val="6"/>
        <w:tblW w:w="7100" w:type="dxa"/>
        <w:tblInd w:w="108" w:type="dxa"/>
        <w:tblLayout w:type="autofit"/>
        <w:tblCellMar>
          <w:top w:w="0" w:type="dxa"/>
          <w:left w:w="108" w:type="dxa"/>
          <w:bottom w:w="0" w:type="dxa"/>
          <w:right w:w="108" w:type="dxa"/>
        </w:tblCellMar>
      </w:tblPr>
      <w:tblGrid>
        <w:gridCol w:w="808"/>
        <w:gridCol w:w="1676"/>
        <w:gridCol w:w="1427"/>
        <w:gridCol w:w="3189"/>
      </w:tblGrid>
      <w:tr>
        <w:tblPrEx>
          <w:tblCellMar>
            <w:top w:w="0" w:type="dxa"/>
            <w:left w:w="108" w:type="dxa"/>
            <w:bottom w:w="0" w:type="dxa"/>
            <w:right w:w="108" w:type="dxa"/>
          </w:tblCellMar>
        </w:tblPrEx>
        <w:trPr>
          <w:trHeight w:val="285" w:hRule="atLeast"/>
        </w:trPr>
        <w:tc>
          <w:tcPr>
            <w:tcW w:w="7100" w:type="dxa"/>
            <w:gridSpan w:val="4"/>
            <w:tcBorders>
              <w:top w:val="nil"/>
              <w:left w:val="nil"/>
              <w:bottom w:val="single" w:color="auto" w:sz="4" w:space="0"/>
              <w:right w:val="nil"/>
            </w:tcBorders>
            <w:shd w:val="clear" w:color="auto" w:fill="auto"/>
            <w:noWrap/>
            <w:vAlign w:val="center"/>
          </w:tcPr>
          <w:p>
            <w:pPr>
              <w:widowControl/>
              <w:spacing w:line="240" w:lineRule="auto"/>
              <w:jc w:val="center"/>
              <w:rPr>
                <w:rFonts w:ascii="仿宋_GB2312" w:hAnsi="等线" w:eastAsia="仿宋_GB2312" w:cs="宋体"/>
                <w:b/>
                <w:bCs/>
                <w:color w:val="000000"/>
                <w:kern w:val="0"/>
                <w:sz w:val="22"/>
              </w:rPr>
            </w:pPr>
            <w:r>
              <w:rPr>
                <w:rFonts w:hint="eastAsia" w:ascii="仿宋_GB2312" w:hAnsi="等线" w:eastAsia="仿宋_GB2312" w:cs="宋体"/>
                <w:b/>
                <w:bCs/>
                <w:color w:val="000000"/>
                <w:kern w:val="0"/>
                <w:sz w:val="22"/>
              </w:rPr>
              <w:t>公园养护清单</w:t>
            </w:r>
          </w:p>
        </w:tc>
      </w:tr>
      <w:tr>
        <w:tblPrEx>
          <w:tblCellMar>
            <w:top w:w="0" w:type="dxa"/>
            <w:left w:w="108" w:type="dxa"/>
            <w:bottom w:w="0" w:type="dxa"/>
            <w:right w:w="108" w:type="dxa"/>
          </w:tblCellMar>
        </w:tblPrEx>
        <w:trPr>
          <w:trHeight w:val="540" w:hRule="atLeast"/>
        </w:trPr>
        <w:tc>
          <w:tcPr>
            <w:tcW w:w="808"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序号</w:t>
            </w:r>
          </w:p>
        </w:tc>
        <w:tc>
          <w:tcPr>
            <w:tcW w:w="1676" w:type="dxa"/>
            <w:tcBorders>
              <w:top w:val="nil"/>
              <w:left w:val="nil"/>
              <w:bottom w:val="single" w:color="auto" w:sz="4" w:space="0"/>
              <w:right w:val="single" w:color="auto" w:sz="4" w:space="0"/>
            </w:tcBorders>
            <w:shd w:val="clear" w:color="000000" w:fill="FFFFFF"/>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地块</w:t>
            </w:r>
          </w:p>
        </w:tc>
        <w:tc>
          <w:tcPr>
            <w:tcW w:w="1427" w:type="dxa"/>
            <w:tcBorders>
              <w:top w:val="nil"/>
              <w:left w:val="nil"/>
              <w:bottom w:val="single" w:color="auto" w:sz="4" w:space="0"/>
              <w:right w:val="single" w:color="auto" w:sz="4" w:space="0"/>
            </w:tcBorders>
            <w:shd w:val="clear" w:color="000000" w:fill="FFFFFF"/>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面积/株数</w:t>
            </w:r>
          </w:p>
        </w:tc>
        <w:tc>
          <w:tcPr>
            <w:tcW w:w="3189" w:type="dxa"/>
            <w:tcBorders>
              <w:top w:val="single" w:color="auto" w:sz="4" w:space="0"/>
              <w:left w:val="nil"/>
              <w:bottom w:val="single" w:color="auto" w:sz="4" w:space="0"/>
              <w:right w:val="single" w:color="auto" w:sz="4" w:space="0"/>
            </w:tcBorders>
            <w:shd w:val="clear" w:color="000000" w:fill="FFFFFF"/>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备注</w:t>
            </w:r>
          </w:p>
        </w:tc>
      </w:tr>
      <w:tr>
        <w:tblPrEx>
          <w:tblCellMar>
            <w:top w:w="0" w:type="dxa"/>
            <w:left w:w="108" w:type="dxa"/>
            <w:bottom w:w="0" w:type="dxa"/>
            <w:right w:w="108" w:type="dxa"/>
          </w:tblCellMar>
        </w:tblPrEx>
        <w:trPr>
          <w:trHeight w:val="285" w:hRule="atLeast"/>
        </w:trPr>
        <w:tc>
          <w:tcPr>
            <w:tcW w:w="808"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1</w:t>
            </w:r>
          </w:p>
        </w:tc>
        <w:tc>
          <w:tcPr>
            <w:tcW w:w="1676" w:type="dxa"/>
            <w:tcBorders>
              <w:top w:val="nil"/>
              <w:left w:val="nil"/>
              <w:bottom w:val="single" w:color="auto" w:sz="4" w:space="0"/>
              <w:right w:val="single" w:color="auto" w:sz="4" w:space="0"/>
            </w:tcBorders>
            <w:shd w:val="clear" w:color="000000" w:fill="FFFFFF"/>
            <w:vAlign w:val="center"/>
          </w:tcPr>
          <w:p>
            <w:pPr>
              <w:widowControl/>
              <w:spacing w:line="240" w:lineRule="auto"/>
              <w:jc w:val="center"/>
              <w:rPr>
                <w:rFonts w:ascii="仿宋_GB2312" w:hAnsi="等线" w:eastAsia="仿宋_GB2312" w:cs="宋体"/>
                <w:kern w:val="0"/>
                <w:sz w:val="22"/>
              </w:rPr>
            </w:pPr>
            <w:r>
              <w:rPr>
                <w:rFonts w:hint="eastAsia" w:ascii="仿宋_GB2312" w:hAnsi="等线" w:eastAsia="仿宋_GB2312" w:cs="宋体"/>
                <w:kern w:val="0"/>
                <w:sz w:val="22"/>
              </w:rPr>
              <w:t>蝴蝶湾公园</w:t>
            </w:r>
          </w:p>
        </w:tc>
        <w:tc>
          <w:tcPr>
            <w:tcW w:w="1427" w:type="dxa"/>
            <w:tcBorders>
              <w:top w:val="nil"/>
              <w:left w:val="nil"/>
              <w:bottom w:val="single" w:color="auto" w:sz="4" w:space="0"/>
              <w:right w:val="single" w:color="auto" w:sz="4" w:space="0"/>
            </w:tcBorders>
            <w:shd w:val="clear" w:color="000000" w:fill="FFFFFF"/>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 xml:space="preserve">14196 </w:t>
            </w:r>
          </w:p>
        </w:tc>
        <w:tc>
          <w:tcPr>
            <w:tcW w:w="318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包含养护费、维保费</w:t>
            </w:r>
          </w:p>
        </w:tc>
      </w:tr>
    </w:tbl>
    <w:p>
      <w:pPr>
        <w:rPr>
          <w:rFonts w:ascii="仿宋_GB2312" w:eastAsia="仿宋_GB2312"/>
          <w:szCs w:val="24"/>
        </w:rPr>
      </w:pPr>
    </w:p>
    <w:tbl>
      <w:tblPr>
        <w:tblStyle w:val="6"/>
        <w:tblW w:w="8320" w:type="dxa"/>
        <w:tblInd w:w="108" w:type="dxa"/>
        <w:tblLayout w:type="autofit"/>
        <w:tblCellMar>
          <w:top w:w="0" w:type="dxa"/>
          <w:left w:w="108" w:type="dxa"/>
          <w:bottom w:w="0" w:type="dxa"/>
          <w:right w:w="108" w:type="dxa"/>
        </w:tblCellMar>
      </w:tblPr>
      <w:tblGrid>
        <w:gridCol w:w="845"/>
        <w:gridCol w:w="2093"/>
        <w:gridCol w:w="1294"/>
        <w:gridCol w:w="4088"/>
      </w:tblGrid>
      <w:tr>
        <w:tblPrEx>
          <w:tblCellMar>
            <w:top w:w="0" w:type="dxa"/>
            <w:left w:w="108" w:type="dxa"/>
            <w:bottom w:w="0" w:type="dxa"/>
            <w:right w:w="108" w:type="dxa"/>
          </w:tblCellMar>
        </w:tblPrEx>
        <w:trPr>
          <w:trHeight w:val="285" w:hRule="atLeast"/>
        </w:trPr>
        <w:tc>
          <w:tcPr>
            <w:tcW w:w="8320" w:type="dxa"/>
            <w:gridSpan w:val="4"/>
            <w:tcBorders>
              <w:top w:val="nil"/>
              <w:left w:val="nil"/>
              <w:bottom w:val="single" w:color="auto" w:sz="4" w:space="0"/>
              <w:right w:val="nil"/>
            </w:tcBorders>
            <w:shd w:val="clear" w:color="auto" w:fill="auto"/>
            <w:noWrap/>
            <w:vAlign w:val="center"/>
          </w:tcPr>
          <w:p>
            <w:pPr>
              <w:widowControl/>
              <w:spacing w:line="240" w:lineRule="auto"/>
              <w:jc w:val="center"/>
              <w:rPr>
                <w:rFonts w:ascii="仿宋_GB2312" w:hAnsi="等线" w:eastAsia="仿宋_GB2312" w:cs="宋体"/>
                <w:b/>
                <w:bCs/>
                <w:color w:val="000000"/>
                <w:kern w:val="0"/>
                <w:sz w:val="22"/>
              </w:rPr>
            </w:pPr>
            <w:r>
              <w:rPr>
                <w:rFonts w:hint="eastAsia" w:ascii="仿宋_GB2312" w:hAnsi="等线" w:eastAsia="仿宋_GB2312" w:cs="宋体"/>
                <w:b/>
                <w:bCs/>
                <w:color w:val="000000"/>
                <w:kern w:val="0"/>
                <w:sz w:val="22"/>
              </w:rPr>
              <w:t>街区绿化花卉布置</w:t>
            </w:r>
          </w:p>
        </w:tc>
      </w:tr>
      <w:tr>
        <w:tblPrEx>
          <w:tblCellMar>
            <w:top w:w="0" w:type="dxa"/>
            <w:left w:w="108" w:type="dxa"/>
            <w:bottom w:w="0" w:type="dxa"/>
            <w:right w:w="108" w:type="dxa"/>
          </w:tblCellMar>
        </w:tblPrEx>
        <w:trPr>
          <w:trHeight w:val="540" w:hRule="atLeast"/>
        </w:trPr>
        <w:tc>
          <w:tcPr>
            <w:tcW w:w="845"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序号</w:t>
            </w:r>
          </w:p>
        </w:tc>
        <w:tc>
          <w:tcPr>
            <w:tcW w:w="2093" w:type="dxa"/>
            <w:tcBorders>
              <w:top w:val="nil"/>
              <w:left w:val="nil"/>
              <w:bottom w:val="single" w:color="auto" w:sz="4" w:space="0"/>
              <w:right w:val="single" w:color="auto" w:sz="4" w:space="0"/>
            </w:tcBorders>
            <w:shd w:val="clear" w:color="000000" w:fill="FFFFFF"/>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地块</w:t>
            </w:r>
          </w:p>
        </w:tc>
        <w:tc>
          <w:tcPr>
            <w:tcW w:w="1294" w:type="dxa"/>
            <w:tcBorders>
              <w:top w:val="nil"/>
              <w:left w:val="nil"/>
              <w:bottom w:val="single" w:color="auto" w:sz="4" w:space="0"/>
              <w:right w:val="single" w:color="auto" w:sz="4" w:space="0"/>
            </w:tcBorders>
            <w:shd w:val="clear" w:color="000000" w:fill="FFFFFF"/>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面积/株数</w:t>
            </w:r>
          </w:p>
        </w:tc>
        <w:tc>
          <w:tcPr>
            <w:tcW w:w="4088" w:type="dxa"/>
            <w:tcBorders>
              <w:top w:val="single" w:color="auto" w:sz="4" w:space="0"/>
              <w:left w:val="nil"/>
              <w:bottom w:val="single" w:color="auto" w:sz="4" w:space="0"/>
              <w:right w:val="single" w:color="auto" w:sz="4" w:space="0"/>
            </w:tcBorders>
            <w:shd w:val="clear" w:color="000000" w:fill="FFFFFF"/>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备注</w:t>
            </w:r>
          </w:p>
        </w:tc>
      </w:tr>
      <w:tr>
        <w:tblPrEx>
          <w:tblCellMar>
            <w:top w:w="0" w:type="dxa"/>
            <w:left w:w="108" w:type="dxa"/>
            <w:bottom w:w="0" w:type="dxa"/>
            <w:right w:w="108" w:type="dxa"/>
          </w:tblCellMar>
        </w:tblPrEx>
        <w:trPr>
          <w:trHeight w:val="285" w:hRule="atLeast"/>
        </w:trPr>
        <w:tc>
          <w:tcPr>
            <w:tcW w:w="845"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1</w:t>
            </w:r>
          </w:p>
        </w:tc>
        <w:tc>
          <w:tcPr>
            <w:tcW w:w="2093" w:type="dxa"/>
            <w:tcBorders>
              <w:top w:val="nil"/>
              <w:left w:val="nil"/>
              <w:bottom w:val="single" w:color="auto" w:sz="4" w:space="0"/>
              <w:right w:val="single" w:color="auto" w:sz="4" w:space="0"/>
            </w:tcBorders>
            <w:shd w:val="clear" w:color="000000" w:fill="FFFFFF"/>
            <w:vAlign w:val="center"/>
          </w:tcPr>
          <w:p>
            <w:pPr>
              <w:widowControl/>
              <w:spacing w:line="240" w:lineRule="auto"/>
              <w:jc w:val="center"/>
              <w:rPr>
                <w:rFonts w:ascii="仿宋_GB2312" w:hAnsi="等线" w:eastAsia="仿宋_GB2312" w:cs="宋体"/>
                <w:kern w:val="0"/>
                <w:sz w:val="22"/>
              </w:rPr>
            </w:pPr>
            <w:r>
              <w:rPr>
                <w:rFonts w:hint="eastAsia" w:ascii="仿宋_GB2312" w:hAnsi="等线" w:eastAsia="仿宋_GB2312" w:cs="宋体"/>
                <w:kern w:val="0"/>
                <w:sz w:val="22"/>
              </w:rPr>
              <w:t>苏河贯通草花</w:t>
            </w:r>
          </w:p>
        </w:tc>
        <w:tc>
          <w:tcPr>
            <w:tcW w:w="1294"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615</w:t>
            </w:r>
          </w:p>
        </w:tc>
        <w:tc>
          <w:tcPr>
            <w:tcW w:w="4088"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密度按照40株/平方，一年按照6季</w:t>
            </w:r>
          </w:p>
        </w:tc>
      </w:tr>
    </w:tbl>
    <w:p>
      <w:pPr>
        <w:rPr>
          <w:rFonts w:ascii="仿宋_GB2312" w:eastAsia="仿宋_GB2312"/>
          <w:szCs w:val="24"/>
        </w:rPr>
      </w:pPr>
    </w:p>
    <w:p>
      <w:pPr>
        <w:rPr>
          <w:rFonts w:ascii="仿宋_GB2312" w:eastAsia="仿宋_GB2312"/>
          <w:szCs w:val="24"/>
        </w:rPr>
      </w:pPr>
    </w:p>
    <w:p>
      <w:pPr>
        <w:rPr>
          <w:rFonts w:ascii="仿宋_GB2312" w:eastAsia="仿宋_GB2312"/>
          <w:szCs w:val="24"/>
        </w:rPr>
      </w:pPr>
      <w:r>
        <w:rPr>
          <w:rFonts w:hint="eastAsia" w:ascii="仿宋_GB2312" w:eastAsia="仿宋_GB2312"/>
          <w:szCs w:val="24"/>
        </w:rPr>
        <w:t>苏河贯通</w:t>
      </w:r>
    </w:p>
    <w:p>
      <w:pPr>
        <w:rPr>
          <w:rFonts w:ascii="仿宋_GB2312" w:eastAsia="仿宋_GB2312"/>
          <w:szCs w:val="24"/>
        </w:rPr>
      </w:pPr>
      <w:r>
        <w:drawing>
          <wp:inline distT="0" distB="0" distL="0" distR="0">
            <wp:extent cx="5274310" cy="3729990"/>
            <wp:effectExtent l="0" t="0" r="2540" b="3810"/>
            <wp:docPr id="114883832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838329"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274310" cy="3729990"/>
                    </a:xfrm>
                    <a:prstGeom prst="rect">
                      <a:avLst/>
                    </a:prstGeom>
                    <a:noFill/>
                    <a:ln>
                      <a:noFill/>
                    </a:ln>
                  </pic:spPr>
                </pic:pic>
              </a:graphicData>
            </a:graphic>
          </wp:inline>
        </w:drawing>
      </w:r>
    </w:p>
    <w:p>
      <w:pPr>
        <w:rPr>
          <w:rFonts w:ascii="仿宋_GB2312" w:eastAsia="仿宋_GB2312"/>
          <w:szCs w:val="24"/>
        </w:rPr>
      </w:pPr>
    </w:p>
    <w:p>
      <w:pPr>
        <w:rPr>
          <w:rFonts w:ascii="仿宋_GB2312" w:eastAsia="仿宋_GB2312"/>
          <w:szCs w:val="24"/>
        </w:rPr>
      </w:pPr>
    </w:p>
    <w:p>
      <w:pPr>
        <w:rPr>
          <w:rFonts w:ascii="仿宋_GB2312" w:eastAsia="仿宋_GB2312"/>
          <w:szCs w:val="24"/>
        </w:rPr>
      </w:pPr>
    </w:p>
    <w:p>
      <w:pPr>
        <w:rPr>
          <w:rFonts w:ascii="仿宋_GB2312" w:eastAsia="仿宋_GB2312"/>
          <w:szCs w:val="24"/>
        </w:rPr>
      </w:pPr>
    </w:p>
    <w:p>
      <w:pPr>
        <w:rPr>
          <w:rFonts w:ascii="仿宋_GB2312" w:eastAsia="仿宋_GB2312"/>
          <w:szCs w:val="24"/>
        </w:rPr>
      </w:pPr>
    </w:p>
    <w:p>
      <w:pPr>
        <w:rPr>
          <w:rFonts w:ascii="仿宋_GB2312" w:eastAsia="仿宋_GB2312"/>
          <w:szCs w:val="24"/>
        </w:rPr>
      </w:pPr>
    </w:p>
    <w:p>
      <w:pPr>
        <w:rPr>
          <w:rFonts w:ascii="仿宋_GB2312" w:eastAsia="仿宋_GB2312"/>
          <w:szCs w:val="24"/>
        </w:rPr>
      </w:pPr>
    </w:p>
    <w:p>
      <w:pPr>
        <w:rPr>
          <w:rFonts w:ascii="仿宋_GB2312" w:eastAsia="仿宋_GB2312"/>
          <w:szCs w:val="24"/>
        </w:rPr>
      </w:pPr>
    </w:p>
    <w:p>
      <w:pPr>
        <w:rPr>
          <w:rFonts w:ascii="仿宋_GB2312" w:eastAsia="仿宋_GB2312"/>
          <w:szCs w:val="24"/>
        </w:rPr>
      </w:pPr>
    </w:p>
    <w:p>
      <w:pPr>
        <w:rPr>
          <w:rFonts w:ascii="仿宋_GB2312" w:eastAsia="仿宋_GB2312"/>
          <w:szCs w:val="24"/>
        </w:rPr>
      </w:pPr>
    </w:p>
    <w:p>
      <w:pPr>
        <w:rPr>
          <w:rFonts w:ascii="仿宋_GB2312" w:eastAsia="仿宋_GB2312"/>
          <w:szCs w:val="24"/>
        </w:rPr>
      </w:pPr>
    </w:p>
    <w:p>
      <w:pPr>
        <w:rPr>
          <w:rFonts w:ascii="仿宋_GB2312" w:eastAsia="仿宋_GB2312"/>
          <w:szCs w:val="24"/>
        </w:rPr>
      </w:pP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path/>
          <v:fill on="f" focussize="0,0"/>
          <v:stroke on="f" weight="0.5pt" joinstyle="miter"/>
          <v:imagedata o:title=""/>
          <o:lock v:ext="edit"/>
          <v:textbox inset="0mm,0mm,0mm,0mm" style="mso-fit-shape-to-text:t;">
            <w:txbxContent>
              <w:p>
                <w:pPr>
                  <w:pStyle w:val="3"/>
                </w:pPr>
                <w:r>
                  <w:fldChar w:fldCharType="begin"/>
                </w:r>
                <w:r>
                  <w:instrText xml:space="preserve"> PAGE  \* MERGEFORMAT </w:instrText>
                </w:r>
                <w:r>
                  <w:fldChar w:fldCharType="separate"/>
                </w:r>
                <w:r>
                  <w:t>25</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7D7761"/>
    <w:multiLevelType w:val="multilevel"/>
    <w:tmpl w:val="217D7761"/>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2E7506D8"/>
    <w:multiLevelType w:val="multilevel"/>
    <w:tmpl w:val="2E7506D8"/>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4D504B12"/>
    <w:multiLevelType w:val="multilevel"/>
    <w:tmpl w:val="4D504B12"/>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zRlYWY5ZWE5ZTAzZjc1ZWNhMDNjOTJmZmI5MWE1NGYifQ=="/>
  </w:docVars>
  <w:rsids>
    <w:rsidRoot w:val="00786CE9"/>
    <w:rsid w:val="00022DBB"/>
    <w:rsid w:val="0006054E"/>
    <w:rsid w:val="00064D69"/>
    <w:rsid w:val="00126A3D"/>
    <w:rsid w:val="00256DAE"/>
    <w:rsid w:val="002673A4"/>
    <w:rsid w:val="00271216"/>
    <w:rsid w:val="00336A2E"/>
    <w:rsid w:val="003465E9"/>
    <w:rsid w:val="003C0354"/>
    <w:rsid w:val="004158B8"/>
    <w:rsid w:val="004874EE"/>
    <w:rsid w:val="004B51FE"/>
    <w:rsid w:val="004D0381"/>
    <w:rsid w:val="004E5C62"/>
    <w:rsid w:val="004F0743"/>
    <w:rsid w:val="00501EEE"/>
    <w:rsid w:val="00514917"/>
    <w:rsid w:val="00524384"/>
    <w:rsid w:val="005B643D"/>
    <w:rsid w:val="005E5351"/>
    <w:rsid w:val="0061091F"/>
    <w:rsid w:val="00633626"/>
    <w:rsid w:val="00655B38"/>
    <w:rsid w:val="006810DB"/>
    <w:rsid w:val="006842A6"/>
    <w:rsid w:val="006D3D2C"/>
    <w:rsid w:val="007611AD"/>
    <w:rsid w:val="00786CE9"/>
    <w:rsid w:val="00790F5D"/>
    <w:rsid w:val="007B2CA4"/>
    <w:rsid w:val="007F6F74"/>
    <w:rsid w:val="0083172A"/>
    <w:rsid w:val="008438EC"/>
    <w:rsid w:val="00846470"/>
    <w:rsid w:val="00851052"/>
    <w:rsid w:val="00863495"/>
    <w:rsid w:val="00872D3C"/>
    <w:rsid w:val="00895297"/>
    <w:rsid w:val="00896058"/>
    <w:rsid w:val="008E1A2D"/>
    <w:rsid w:val="00913903"/>
    <w:rsid w:val="00930CBA"/>
    <w:rsid w:val="00941173"/>
    <w:rsid w:val="00985ACD"/>
    <w:rsid w:val="009A3164"/>
    <w:rsid w:val="009C33FC"/>
    <w:rsid w:val="009D7AA2"/>
    <w:rsid w:val="00A26145"/>
    <w:rsid w:val="00A6255B"/>
    <w:rsid w:val="00AA7C57"/>
    <w:rsid w:val="00B10B56"/>
    <w:rsid w:val="00B120AE"/>
    <w:rsid w:val="00B37B34"/>
    <w:rsid w:val="00B37E03"/>
    <w:rsid w:val="00B424B7"/>
    <w:rsid w:val="00B43484"/>
    <w:rsid w:val="00B96666"/>
    <w:rsid w:val="00C04C2E"/>
    <w:rsid w:val="00C21469"/>
    <w:rsid w:val="00C3275C"/>
    <w:rsid w:val="00C3698C"/>
    <w:rsid w:val="00C414E6"/>
    <w:rsid w:val="00CB284B"/>
    <w:rsid w:val="00CE54B3"/>
    <w:rsid w:val="00CF3C20"/>
    <w:rsid w:val="00CF6E09"/>
    <w:rsid w:val="00D85B56"/>
    <w:rsid w:val="00D85D0E"/>
    <w:rsid w:val="00D8754D"/>
    <w:rsid w:val="00DD55F8"/>
    <w:rsid w:val="00DF732D"/>
    <w:rsid w:val="00E07E16"/>
    <w:rsid w:val="00E37D59"/>
    <w:rsid w:val="00E61A42"/>
    <w:rsid w:val="00E7376B"/>
    <w:rsid w:val="00F1470B"/>
    <w:rsid w:val="00F31F14"/>
    <w:rsid w:val="00F66BC1"/>
    <w:rsid w:val="00F7592A"/>
    <w:rsid w:val="00F8154F"/>
    <w:rsid w:val="00F977D2"/>
    <w:rsid w:val="00FC70C2"/>
    <w:rsid w:val="06B92D8C"/>
    <w:rsid w:val="1AE26670"/>
    <w:rsid w:val="28404A10"/>
    <w:rsid w:val="2AAE7A81"/>
    <w:rsid w:val="2FE97062"/>
    <w:rsid w:val="32606840"/>
    <w:rsid w:val="38413F56"/>
    <w:rsid w:val="38E57F64"/>
    <w:rsid w:val="42C17A83"/>
    <w:rsid w:val="4E9E169A"/>
    <w:rsid w:val="54CE2592"/>
    <w:rsid w:val="603D05A0"/>
    <w:rsid w:val="642B4EB8"/>
    <w:rsid w:val="68B53C46"/>
    <w:rsid w:val="76A0798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qFormat="1" w:unhideWhenUsed="0"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pPr>
    <w:rPr>
      <w:rFonts w:ascii="宋体" w:hAnsi="Calibri" w:eastAsia="宋体" w:cs="Times New Roman"/>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1"/>
    <w:semiHidden/>
    <w:unhideWhenUsed/>
    <w:qFormat/>
    <w:uiPriority w:val="99"/>
    <w:pPr>
      <w:ind w:left="100" w:leftChars="2500"/>
    </w:pPr>
  </w:style>
  <w:style w:type="paragraph" w:styleId="3">
    <w:name w:val="footer"/>
    <w:basedOn w:val="1"/>
    <w:link w:val="12"/>
    <w:semiHidden/>
    <w:qFormat/>
    <w:uiPriority w:val="99"/>
    <w:pPr>
      <w:tabs>
        <w:tab w:val="center" w:pos="4153"/>
        <w:tab w:val="right" w:pos="8306"/>
      </w:tabs>
      <w:snapToGrid w:val="0"/>
      <w:spacing w:line="240" w:lineRule="auto"/>
    </w:pPr>
    <w:rPr>
      <w:sz w:val="18"/>
      <w:szCs w:val="18"/>
    </w:rPr>
  </w:style>
  <w:style w:type="paragraph" w:styleId="4">
    <w:name w:val="header"/>
    <w:basedOn w:val="1"/>
    <w:link w:val="13"/>
    <w:semiHidden/>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5">
    <w:name w:val="Normal (Web)"/>
    <w:basedOn w:val="1"/>
    <w:qFormat/>
    <w:uiPriority w:val="99"/>
    <w:pPr>
      <w:widowControl/>
      <w:spacing w:before="100" w:beforeAutospacing="1" w:after="100" w:afterAutospacing="1" w:line="240" w:lineRule="auto"/>
    </w:pPr>
    <w:rPr>
      <w:rFonts w:hAnsi="宋体" w:cs="宋体"/>
      <w:kern w:val="0"/>
      <w:szCs w:val="24"/>
    </w:rPr>
  </w:style>
  <w:style w:type="table" w:styleId="7">
    <w:name w:val="Table Grid"/>
    <w:basedOn w:val="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FollowedHyperlink"/>
    <w:semiHidden/>
    <w:qFormat/>
    <w:uiPriority w:val="99"/>
    <w:rPr>
      <w:rFonts w:cs="Times New Roman"/>
      <w:color w:val="800080"/>
      <w:u w:val="single"/>
    </w:rPr>
  </w:style>
  <w:style w:type="character" w:styleId="10">
    <w:name w:val="Hyperlink"/>
    <w:semiHidden/>
    <w:qFormat/>
    <w:uiPriority w:val="99"/>
    <w:rPr>
      <w:rFonts w:cs="Times New Roman"/>
      <w:color w:val="0000FF"/>
      <w:u w:val="single"/>
    </w:rPr>
  </w:style>
  <w:style w:type="character" w:customStyle="1" w:styleId="11">
    <w:name w:val="日期 Char"/>
    <w:basedOn w:val="8"/>
    <w:link w:val="2"/>
    <w:semiHidden/>
    <w:qFormat/>
    <w:uiPriority w:val="99"/>
    <w:rPr>
      <w:rFonts w:ascii="宋体" w:hAnsi="Calibri" w:eastAsia="宋体" w:cs="Times New Roman"/>
      <w:sz w:val="24"/>
    </w:rPr>
  </w:style>
  <w:style w:type="character" w:customStyle="1" w:styleId="12">
    <w:name w:val="页脚 Char"/>
    <w:basedOn w:val="8"/>
    <w:link w:val="3"/>
    <w:semiHidden/>
    <w:qFormat/>
    <w:uiPriority w:val="99"/>
    <w:rPr>
      <w:rFonts w:ascii="宋体" w:hAnsi="Calibri" w:eastAsia="宋体" w:cs="Times New Roman"/>
      <w:sz w:val="18"/>
      <w:szCs w:val="18"/>
    </w:rPr>
  </w:style>
  <w:style w:type="character" w:customStyle="1" w:styleId="13">
    <w:name w:val="页眉 Char"/>
    <w:basedOn w:val="8"/>
    <w:link w:val="4"/>
    <w:semiHidden/>
    <w:qFormat/>
    <w:uiPriority w:val="99"/>
    <w:rPr>
      <w:rFonts w:ascii="宋体" w:hAnsi="Calibri" w:eastAsia="宋体" w:cs="Times New Roman"/>
      <w:sz w:val="18"/>
      <w:szCs w:val="18"/>
    </w:rPr>
  </w:style>
  <w:style w:type="paragraph" w:customStyle="1" w:styleId="14">
    <w:name w:val="font5"/>
    <w:basedOn w:val="1"/>
    <w:qFormat/>
    <w:uiPriority w:val="0"/>
    <w:pPr>
      <w:widowControl/>
      <w:spacing w:before="100" w:beforeAutospacing="1" w:after="100" w:afterAutospacing="1" w:line="240" w:lineRule="auto"/>
    </w:pPr>
    <w:rPr>
      <w:rFonts w:hAnsi="宋体" w:cs="宋体"/>
      <w:kern w:val="0"/>
      <w:sz w:val="18"/>
      <w:szCs w:val="18"/>
    </w:rPr>
  </w:style>
  <w:style w:type="paragraph" w:customStyle="1" w:styleId="15">
    <w:name w:val="font6"/>
    <w:basedOn w:val="1"/>
    <w:qFormat/>
    <w:uiPriority w:val="0"/>
    <w:pPr>
      <w:widowControl/>
      <w:spacing w:before="100" w:beforeAutospacing="1" w:after="100" w:afterAutospacing="1" w:line="240" w:lineRule="auto"/>
    </w:pPr>
    <w:rPr>
      <w:rFonts w:hAnsi="宋体" w:cs="宋体"/>
      <w:kern w:val="0"/>
      <w:sz w:val="18"/>
      <w:szCs w:val="18"/>
    </w:rPr>
  </w:style>
  <w:style w:type="paragraph" w:customStyle="1" w:styleId="16">
    <w:name w:val="font7"/>
    <w:basedOn w:val="1"/>
    <w:qFormat/>
    <w:uiPriority w:val="0"/>
    <w:pPr>
      <w:widowControl/>
      <w:spacing w:before="100" w:beforeAutospacing="1" w:after="100" w:afterAutospacing="1" w:line="240" w:lineRule="auto"/>
    </w:pPr>
    <w:rPr>
      <w:rFonts w:hAnsi="宋体" w:cs="宋体"/>
      <w:color w:val="000000"/>
      <w:kern w:val="0"/>
      <w:szCs w:val="24"/>
    </w:rPr>
  </w:style>
  <w:style w:type="paragraph" w:customStyle="1" w:styleId="17">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1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hAnsi="宋体" w:cs="宋体"/>
      <w:kern w:val="0"/>
      <w:szCs w:val="24"/>
    </w:rPr>
  </w:style>
  <w:style w:type="paragraph" w:customStyle="1" w:styleId="19">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color w:val="000000"/>
      <w:kern w:val="0"/>
      <w:szCs w:val="24"/>
    </w:rPr>
  </w:style>
  <w:style w:type="paragraph" w:customStyle="1" w:styleId="20">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color w:val="000000"/>
      <w:kern w:val="0"/>
      <w:szCs w:val="24"/>
    </w:rPr>
  </w:style>
  <w:style w:type="paragraph" w:customStyle="1" w:styleId="21">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22">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23">
    <w:name w:val="xl77"/>
    <w:basedOn w:val="1"/>
    <w:qFormat/>
    <w:uiPriority w:val="0"/>
    <w:pPr>
      <w:widowControl/>
      <w:pBdr>
        <w:top w:val="single" w:color="auto" w:sz="4" w:space="0"/>
        <w:left w:val="single" w:color="auto" w:sz="4" w:space="0"/>
        <w:bottom w:val="single" w:color="auto" w:sz="4" w:space="0"/>
      </w:pBdr>
      <w:spacing w:before="100" w:beforeAutospacing="1" w:after="100" w:afterAutospacing="1" w:line="240" w:lineRule="auto"/>
      <w:jc w:val="center"/>
    </w:pPr>
    <w:rPr>
      <w:rFonts w:hAnsi="宋体" w:cs="宋体"/>
      <w:color w:val="000000"/>
      <w:kern w:val="0"/>
      <w:szCs w:val="24"/>
    </w:rPr>
  </w:style>
  <w:style w:type="paragraph" w:customStyle="1" w:styleId="24">
    <w:name w:val="xl78"/>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jc w:val="center"/>
    </w:pPr>
    <w:rPr>
      <w:rFonts w:hAnsi="宋体" w:cs="宋体"/>
      <w:color w:val="000000"/>
      <w:kern w:val="0"/>
      <w:szCs w:val="24"/>
    </w:rPr>
  </w:style>
  <w:style w:type="paragraph" w:customStyle="1" w:styleId="25">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bottom"/>
    </w:pPr>
    <w:rPr>
      <w:rFonts w:hAnsi="宋体" w:cs="宋体"/>
      <w:color w:val="000000"/>
      <w:kern w:val="0"/>
      <w:szCs w:val="24"/>
    </w:rPr>
  </w:style>
  <w:style w:type="paragraph" w:customStyle="1" w:styleId="26">
    <w:name w:val="xl80"/>
    <w:basedOn w:val="1"/>
    <w:qFormat/>
    <w:uiPriority w:val="0"/>
    <w:pPr>
      <w:widowControl/>
      <w:spacing w:before="100" w:beforeAutospacing="1" w:after="100" w:afterAutospacing="1" w:line="240" w:lineRule="auto"/>
      <w:jc w:val="center"/>
    </w:pPr>
    <w:rPr>
      <w:rFonts w:hAnsi="宋体" w:cs="宋体"/>
      <w:kern w:val="0"/>
      <w:szCs w:val="24"/>
    </w:rPr>
  </w:style>
  <w:style w:type="paragraph" w:customStyle="1" w:styleId="27">
    <w:name w:val="xl81"/>
    <w:basedOn w:val="1"/>
    <w:qFormat/>
    <w:uiPriority w:val="0"/>
    <w:pPr>
      <w:widowControl/>
      <w:spacing w:before="100" w:beforeAutospacing="1" w:after="100" w:afterAutospacing="1" w:line="240" w:lineRule="auto"/>
      <w:jc w:val="center"/>
    </w:pPr>
    <w:rPr>
      <w:rFonts w:hAnsi="宋体" w:cs="宋体"/>
      <w:b/>
      <w:bCs/>
      <w:kern w:val="0"/>
      <w:szCs w:val="24"/>
    </w:rPr>
  </w:style>
  <w:style w:type="paragraph" w:customStyle="1" w:styleId="28">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29">
    <w:name w:val="xl83"/>
    <w:basedOn w:val="1"/>
    <w:qFormat/>
    <w:uiPriority w:val="0"/>
    <w:pPr>
      <w:widowControl/>
      <w:pBdr>
        <w:bottom w:val="single" w:color="auto" w:sz="4" w:space="0"/>
      </w:pBdr>
      <w:spacing w:before="100" w:beforeAutospacing="1" w:after="100" w:afterAutospacing="1" w:line="240" w:lineRule="auto"/>
      <w:jc w:val="center"/>
    </w:pPr>
    <w:rPr>
      <w:rFonts w:hAnsi="宋体" w:cs="宋体"/>
      <w:b/>
      <w:bCs/>
      <w:kern w:val="0"/>
      <w:szCs w:val="24"/>
    </w:rPr>
  </w:style>
  <w:style w:type="paragraph" w:customStyle="1" w:styleId="30">
    <w:name w:val="xl84"/>
    <w:basedOn w:val="1"/>
    <w:qFormat/>
    <w:uiPriority w:val="0"/>
    <w:pPr>
      <w:widowControl/>
      <w:spacing w:before="100" w:beforeAutospacing="1" w:after="100" w:afterAutospacing="1" w:line="240" w:lineRule="auto"/>
      <w:jc w:val="center"/>
    </w:pPr>
    <w:rPr>
      <w:rFonts w:hAnsi="宋体" w:cs="宋体"/>
      <w:b/>
      <w:bCs/>
      <w:color w:val="000000"/>
      <w:kern w:val="0"/>
      <w:szCs w:val="24"/>
    </w:rPr>
  </w:style>
  <w:style w:type="paragraph" w:customStyle="1" w:styleId="31">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32">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33">
    <w:name w:val="xl86"/>
    <w:basedOn w:val="1"/>
    <w:qFormat/>
    <w:uiPriority w:val="0"/>
    <w:pPr>
      <w:widowControl/>
      <w:spacing w:before="100" w:beforeAutospacing="1" w:after="100" w:afterAutospacing="1" w:line="240" w:lineRule="auto"/>
    </w:pPr>
    <w:rPr>
      <w:rFonts w:hAnsi="宋体" w:cs="宋体"/>
      <w:kern w:val="0"/>
      <w:szCs w:val="24"/>
    </w:rPr>
  </w:style>
  <w:style w:type="paragraph" w:customStyle="1" w:styleId="34">
    <w:name w:val="xl87"/>
    <w:basedOn w:val="1"/>
    <w:qFormat/>
    <w:uiPriority w:val="0"/>
    <w:pPr>
      <w:widowControl/>
      <w:spacing w:before="100" w:beforeAutospacing="1" w:after="100" w:afterAutospacing="1" w:line="240" w:lineRule="auto"/>
    </w:pPr>
    <w:rPr>
      <w:rFonts w:hAnsi="宋体" w:cs="宋体"/>
      <w:b/>
      <w:bCs/>
      <w:kern w:val="0"/>
      <w:szCs w:val="24"/>
    </w:rPr>
  </w:style>
  <w:style w:type="paragraph" w:customStyle="1" w:styleId="35">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36">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37">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38">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39">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40">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41">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42">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43">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44">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top"/>
    </w:pPr>
    <w:rPr>
      <w:rFonts w:hAnsi="宋体" w:cs="宋体"/>
      <w:kern w:val="0"/>
      <w:szCs w:val="24"/>
    </w:rPr>
  </w:style>
  <w:style w:type="paragraph" w:customStyle="1" w:styleId="45">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46">
    <w:name w:val="xl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47">
    <w:name w:val="xl1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48">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49">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b/>
      <w:bCs/>
      <w:kern w:val="0"/>
      <w:szCs w:val="24"/>
    </w:rPr>
  </w:style>
  <w:style w:type="paragraph" w:customStyle="1" w:styleId="50">
    <w:name w:val="xl103"/>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51">
    <w:name w:val="xl104"/>
    <w:basedOn w:val="1"/>
    <w:qFormat/>
    <w:uiPriority w:val="0"/>
    <w:pPr>
      <w:widowControl/>
      <w:pBdr>
        <w:left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52">
    <w:name w:val="xl105"/>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53">
    <w:name w:val="xl106"/>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54">
    <w:name w:val="xl107"/>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55">
    <w:name w:val="xl108"/>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56">
    <w:name w:val="xl109"/>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57">
    <w:name w:val="xl110"/>
    <w:basedOn w:val="1"/>
    <w:qFormat/>
    <w:uiPriority w:val="0"/>
    <w:pPr>
      <w:widowControl/>
      <w:pBdr>
        <w:left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58">
    <w:name w:val="xl111"/>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59">
    <w:name w:val="xl112"/>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60">
    <w:name w:val="xl113"/>
    <w:basedOn w:val="1"/>
    <w:qFormat/>
    <w:uiPriority w:val="0"/>
    <w:pPr>
      <w:widowControl/>
      <w:pBdr>
        <w:left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61">
    <w:name w:val="xl114"/>
    <w:basedOn w:val="1"/>
    <w:qFormat/>
    <w:uiPriority w:val="0"/>
    <w:pPr>
      <w:widowControl/>
      <w:pBdr>
        <w:left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62">
    <w:name w:val="xl115"/>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63">
    <w:name w:val="xl116"/>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64">
    <w:name w:val="xl117"/>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65">
    <w:name w:val="xl118"/>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66">
    <w:name w:val="xl119"/>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67">
    <w:name w:val="xl120"/>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68">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69">
    <w:name w:val="xl66"/>
    <w:basedOn w:val="1"/>
    <w:qFormat/>
    <w:uiPriority w:val="0"/>
    <w:pPr>
      <w:widowControl/>
      <w:spacing w:before="100" w:beforeAutospacing="1" w:after="100" w:afterAutospacing="1" w:line="240" w:lineRule="auto"/>
    </w:pPr>
    <w:rPr>
      <w:rFonts w:hAnsi="宋体" w:cs="宋体"/>
      <w:kern w:val="0"/>
      <w:szCs w:val="24"/>
    </w:rPr>
  </w:style>
  <w:style w:type="paragraph" w:customStyle="1" w:styleId="70">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hAnsi="宋体" w:cs="宋体"/>
      <w:kern w:val="0"/>
      <w:szCs w:val="24"/>
    </w:rPr>
  </w:style>
  <w:style w:type="paragraph" w:customStyle="1" w:styleId="71">
    <w:name w:val="xl68"/>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72">
    <w:name w:val="xl69"/>
    <w:basedOn w:val="1"/>
    <w:qFormat/>
    <w:uiPriority w:val="0"/>
    <w:pPr>
      <w:widowControl/>
      <w:pBdr>
        <w:top w:val="single" w:color="auto" w:sz="4" w:space="0"/>
        <w:left w:val="single" w:color="auto" w:sz="4" w:space="0"/>
      </w:pBdr>
      <w:spacing w:before="100" w:beforeAutospacing="1" w:after="100" w:afterAutospacing="1" w:line="240" w:lineRule="auto"/>
      <w:jc w:val="center"/>
    </w:pPr>
    <w:rPr>
      <w:rFonts w:hAnsi="宋体" w:cs="宋体"/>
      <w:kern w:val="0"/>
      <w:szCs w:val="24"/>
    </w:rPr>
  </w:style>
  <w:style w:type="character" w:customStyle="1" w:styleId="73">
    <w:name w:val="font21"/>
    <w:qFormat/>
    <w:uiPriority w:val="99"/>
    <w:rPr>
      <w:rFonts w:ascii="宋体" w:hAnsi="宋体" w:eastAsia="宋体" w:cs="宋体"/>
      <w:color w:val="000000"/>
      <w:sz w:val="20"/>
      <w:szCs w:val="20"/>
      <w:u w:val="none"/>
    </w:rPr>
  </w:style>
  <w:style w:type="character" w:customStyle="1" w:styleId="74">
    <w:name w:val="font01"/>
    <w:qFormat/>
    <w:uiPriority w:val="99"/>
    <w:rPr>
      <w:rFonts w:ascii="宋体" w:hAnsi="宋体" w:eastAsia="宋体" w:cs="宋体"/>
      <w:color w:val="000000"/>
      <w:sz w:val="20"/>
      <w:szCs w:val="20"/>
      <w:u w:val="none"/>
      <w:vertAlign w:val="superscript"/>
    </w:rPr>
  </w:style>
  <w:style w:type="character" w:customStyle="1" w:styleId="75">
    <w:name w:val="font71"/>
    <w:qFormat/>
    <w:uiPriority w:val="99"/>
    <w:rPr>
      <w:rFonts w:ascii="宋体" w:hAnsi="宋体" w:eastAsia="宋体" w:cs="宋体"/>
      <w:color w:val="000000"/>
      <w:sz w:val="20"/>
      <w:szCs w:val="20"/>
      <w:u w:val="none"/>
    </w:rPr>
  </w:style>
  <w:style w:type="character" w:customStyle="1" w:styleId="76">
    <w:name w:val="font11"/>
    <w:qFormat/>
    <w:uiPriority w:val="99"/>
    <w:rPr>
      <w:rFonts w:ascii="宋体" w:hAnsi="宋体" w:eastAsia="宋体" w:cs="宋体"/>
      <w:color w:val="000000"/>
      <w:sz w:val="12"/>
      <w:szCs w:val="12"/>
      <w:u w:val="none"/>
    </w:rPr>
  </w:style>
  <w:style w:type="paragraph" w:customStyle="1" w:styleId="77">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 w:val="20"/>
      <w:szCs w:val="20"/>
    </w:rPr>
  </w:style>
  <w:style w:type="paragraph" w:styleId="78">
    <w:name w:val="List Paragraph"/>
    <w:basedOn w:val="1"/>
    <w:qFormat/>
    <w:uiPriority w:val="34"/>
    <w:pPr>
      <w:ind w:left="320" w:firstLine="624"/>
    </w:pPr>
  </w:style>
  <w:style w:type="character" w:customStyle="1" w:styleId="79">
    <w:name w:val="font61"/>
    <w:qFormat/>
    <w:uiPriority w:val="0"/>
    <w:rPr>
      <w:rFonts w:hint="eastAsia" w:ascii="宋体" w:hAnsi="宋体" w:eastAsia="宋体" w:cs="宋体"/>
      <w:color w:val="000000"/>
      <w:sz w:val="22"/>
      <w:szCs w:val="22"/>
      <w:u w:val="none"/>
      <w:vertAlign w:val="superscript"/>
    </w:rPr>
  </w:style>
  <w:style w:type="paragraph" w:customStyle="1" w:styleId="80">
    <w:name w:val="msonormal"/>
    <w:basedOn w:val="1"/>
    <w:qFormat/>
    <w:uiPriority w:val="0"/>
    <w:pPr>
      <w:widowControl/>
      <w:spacing w:before="100" w:beforeAutospacing="1" w:after="100" w:afterAutospacing="1" w:line="240" w:lineRule="auto"/>
    </w:pPr>
    <w:rPr>
      <w:rFonts w:hAnsi="宋体" w:cs="宋体"/>
      <w:kern w:val="0"/>
      <w:szCs w:val="24"/>
    </w:rPr>
  </w:style>
  <w:style w:type="paragraph" w:customStyle="1" w:styleId="81">
    <w:name w:val="font0"/>
    <w:basedOn w:val="1"/>
    <w:qFormat/>
    <w:uiPriority w:val="0"/>
    <w:pPr>
      <w:widowControl/>
      <w:spacing w:before="100" w:beforeAutospacing="1" w:after="100" w:afterAutospacing="1" w:line="240" w:lineRule="auto"/>
    </w:pPr>
    <w:rPr>
      <w:rFonts w:ascii="等线" w:hAnsi="等线" w:eastAsia="等线" w:cs="宋体"/>
      <w:color w:val="000000"/>
      <w:kern w:val="0"/>
      <w:sz w:val="22"/>
    </w:rPr>
  </w:style>
  <w:style w:type="paragraph" w:customStyle="1" w:styleId="82">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bottom"/>
    </w:pPr>
    <w:rPr>
      <w:rFonts w:hAnsi="宋体" w:cs="宋体"/>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D9F734-D997-405F-B25C-87A8DAC78B53}">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26</Pages>
  <Words>2637</Words>
  <Characters>15033</Characters>
  <Lines>125</Lines>
  <Paragraphs>35</Paragraphs>
  <TotalTime>6</TotalTime>
  <ScaleCrop>false</ScaleCrop>
  <LinksUpToDate>false</LinksUpToDate>
  <CharactersWithSpaces>17635</CharactersWithSpaces>
  <Application>WPS Office_12.1.0.15946_F1E327BC-269C-435d-A152-05C5408002CA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2023-11-23T02:54:00Z</dcterms:created>
  <dc:creator>lorraine tsang</dc:creator>
  <cp:lastModifiedBy>水银</cp:lastModifiedBy>
  <dcterms:modified xsi:type="dcterms:W3CDTF">2023-12-19T05:48:20Z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2052-12.1.0.15946</vt:lpwstr>
  </property>
  <property fmtid="{D5CDD505-2E9C-101B-9397-08002B2CF9AE}" pid="3" name="ICV">
    <vt:lpwstr>3F5695A302A843BDA423785A2706F3CA_13</vt:lpwstr>
  </property>
</Properties>
</file>