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D6699">
      <w:pPr>
        <w:jc w:val="center"/>
        <w:rPr>
          <w:b/>
          <w:bCs/>
          <w:sz w:val="32"/>
          <w:szCs w:val="32"/>
        </w:rPr>
      </w:pPr>
      <w:r>
        <w:rPr>
          <w:b/>
          <w:bCs/>
          <w:sz w:val="32"/>
          <w:szCs w:val="32"/>
        </w:rPr>
        <w:t>202</w:t>
      </w:r>
      <w:r>
        <w:rPr>
          <w:rFonts w:hint="eastAsia"/>
          <w:b/>
          <w:bCs/>
          <w:sz w:val="32"/>
          <w:szCs w:val="32"/>
          <w:lang w:val="en-US" w:eastAsia="zh-CN"/>
        </w:rPr>
        <w:t>5</w:t>
      </w:r>
      <w:r>
        <w:rPr>
          <w:b/>
          <w:bCs/>
          <w:sz w:val="32"/>
          <w:szCs w:val="32"/>
        </w:rPr>
        <w:t>年</w:t>
      </w:r>
      <w:r>
        <w:rPr>
          <w:rFonts w:hint="eastAsia"/>
          <w:b/>
          <w:bCs/>
          <w:sz w:val="32"/>
          <w:szCs w:val="32"/>
        </w:rPr>
        <w:t>上海市静安区中心医院</w:t>
      </w:r>
      <w:r>
        <w:rPr>
          <w:b/>
          <w:bCs/>
          <w:sz w:val="32"/>
          <w:szCs w:val="32"/>
        </w:rPr>
        <w:t>医责险</w:t>
      </w:r>
      <w:r>
        <w:rPr>
          <w:rFonts w:hint="eastAsia"/>
          <w:b/>
          <w:bCs/>
          <w:sz w:val="32"/>
          <w:szCs w:val="32"/>
        </w:rPr>
        <w:t>项目采购</w:t>
      </w:r>
      <w:r>
        <w:rPr>
          <w:b/>
          <w:bCs/>
          <w:sz w:val="32"/>
          <w:szCs w:val="32"/>
        </w:rPr>
        <w:t>需求</w:t>
      </w:r>
    </w:p>
    <w:p w14:paraId="42EA80F1">
      <w:pPr>
        <w:pStyle w:val="5"/>
        <w:ind w:firstLine="422"/>
        <w:rPr>
          <w:rFonts w:hint="eastAsia"/>
          <w:highlight w:val="none"/>
        </w:rPr>
      </w:pPr>
      <w:r>
        <w:rPr>
          <w:rFonts w:hint="eastAsia"/>
          <w:highlight w:val="none"/>
        </w:rPr>
        <w:t>采购编号：0625-00002615</w:t>
      </w:r>
    </w:p>
    <w:p w14:paraId="11147000">
      <w:pPr>
        <w:pStyle w:val="5"/>
        <w:ind w:firstLine="422"/>
        <w:rPr>
          <w:rFonts w:hint="default" w:eastAsia="宋体"/>
          <w:highlight w:val="yellow"/>
          <w:lang w:val="en-US" w:eastAsia="zh-CN"/>
        </w:rPr>
      </w:pPr>
      <w:r>
        <w:rPr>
          <w:rFonts w:hint="eastAsia"/>
          <w:highlight w:val="none"/>
        </w:rPr>
        <w:t>预算金额：</w:t>
      </w:r>
      <w:r>
        <w:rPr>
          <w:rFonts w:hint="eastAsia"/>
          <w:highlight w:val="none"/>
          <w:lang w:val="en-US" w:eastAsia="zh-CN"/>
        </w:rPr>
        <w:t>140万</w:t>
      </w:r>
    </w:p>
    <w:p w14:paraId="4AE7F1AE">
      <w:pPr>
        <w:pStyle w:val="5"/>
        <w:ind w:firstLine="422"/>
      </w:pPr>
      <w:r>
        <w:rPr>
          <w:rFonts w:hint="eastAsia"/>
        </w:rPr>
        <w:t>支付方式：被保险人收到保单后一个月内全额支付</w:t>
      </w:r>
    </w:p>
    <w:p w14:paraId="1BF61214">
      <w:pPr>
        <w:pStyle w:val="5"/>
        <w:ind w:firstLine="422"/>
      </w:pPr>
      <w:r>
        <w:rPr>
          <w:rFonts w:hint="eastAsia"/>
        </w:rPr>
        <w:t>采购目录：保险服务</w:t>
      </w:r>
    </w:p>
    <w:p w14:paraId="3F1F5CCE">
      <w:pPr>
        <w:pStyle w:val="5"/>
        <w:ind w:firstLine="422"/>
      </w:pPr>
      <w:r>
        <w:rPr>
          <w:rFonts w:hint="eastAsia"/>
        </w:rPr>
        <w:t>该项目面向大、中、小、微企业</w:t>
      </w:r>
    </w:p>
    <w:p w14:paraId="4BF5F372"/>
    <w:p w14:paraId="73D13144">
      <w:r>
        <w:t>项目说明：本项目为上海市静安区中心医院202</w:t>
      </w:r>
      <w:r>
        <w:rPr>
          <w:rFonts w:hint="eastAsia"/>
          <w:lang w:val="en-US" w:eastAsia="zh-CN"/>
        </w:rPr>
        <w:t>5</w:t>
      </w:r>
      <w:r>
        <w:t>年</w:t>
      </w:r>
      <w:r>
        <w:rPr>
          <w:rFonts w:hint="eastAsia"/>
        </w:rPr>
        <w:t>医责险</w:t>
      </w:r>
      <w:r>
        <w:t xml:space="preserve">采购。 </w:t>
      </w:r>
    </w:p>
    <w:p w14:paraId="1C6EF75F">
      <w:r>
        <w:t>项目概况：</w:t>
      </w:r>
    </w:p>
    <w:p w14:paraId="1DF5BAF6">
      <w:pPr>
        <w:rPr>
          <w:rFonts w:hint="eastAsia"/>
        </w:rPr>
      </w:pPr>
      <w:r>
        <w:rPr>
          <w:rFonts w:hint="eastAsia"/>
        </w:rPr>
        <w:t>上海市静安区中心医院为三级乙等综合性医院，核定床位645张，截止2024年底，医院共有临床医生279人，技师139人，护士408人；上年度门(急)诊人次：75.1万人次；</w:t>
      </w:r>
    </w:p>
    <w:p w14:paraId="63D65BE8">
      <w:r>
        <w:rPr>
          <w:rFonts w:hint="eastAsia"/>
        </w:rPr>
        <w:t>医疗纠纷历史情况：</w:t>
      </w:r>
    </w:p>
    <w:p w14:paraId="770DA4EC">
      <w:r>
        <w:t>2018年度</w:t>
      </w:r>
      <w:r>
        <w:rPr>
          <w:color w:val="auto"/>
        </w:rPr>
        <w:t>：纠纷赔偿</w:t>
      </w:r>
      <w:r>
        <w:rPr>
          <w:rFonts w:hint="eastAsia"/>
          <w:color w:val="auto"/>
          <w:lang w:val="en-US" w:eastAsia="zh-CN"/>
        </w:rPr>
        <w:t>7</w:t>
      </w:r>
      <w:r>
        <w:rPr>
          <w:color w:val="auto"/>
        </w:rPr>
        <w:t>起，总赔偿额：</w:t>
      </w:r>
      <w:r>
        <w:rPr>
          <w:rFonts w:hint="eastAsia"/>
          <w:color w:val="auto"/>
          <w:lang w:val="en-US" w:eastAsia="zh-CN"/>
        </w:rPr>
        <w:t>195.15</w:t>
      </w:r>
      <w:r>
        <w:rPr>
          <w:color w:val="auto"/>
        </w:rPr>
        <w:t>万元，单次最高赔偿金额：4</w:t>
      </w:r>
      <w:r>
        <w:t>4万元；</w:t>
      </w:r>
    </w:p>
    <w:p w14:paraId="7818E3D3">
      <w:pPr>
        <w:rPr>
          <w:color w:val="auto"/>
        </w:rPr>
      </w:pPr>
      <w:r>
        <w:rPr>
          <w:color w:val="auto"/>
        </w:rPr>
        <w:t>2019年度：纠纷赔偿</w:t>
      </w:r>
      <w:r>
        <w:rPr>
          <w:rFonts w:hint="eastAsia"/>
          <w:color w:val="auto"/>
          <w:lang w:val="en-US" w:eastAsia="zh-CN"/>
        </w:rPr>
        <w:t>9</w:t>
      </w:r>
      <w:r>
        <w:rPr>
          <w:color w:val="auto"/>
        </w:rPr>
        <w:t>起，总赔偿额：</w:t>
      </w:r>
      <w:r>
        <w:rPr>
          <w:rFonts w:hint="eastAsia"/>
          <w:color w:val="auto"/>
          <w:lang w:val="en-US" w:eastAsia="zh-CN"/>
        </w:rPr>
        <w:t>175.94</w:t>
      </w:r>
      <w:r>
        <w:rPr>
          <w:color w:val="auto"/>
        </w:rPr>
        <w:t>万元，单次最高赔偿金额：</w:t>
      </w:r>
      <w:r>
        <w:rPr>
          <w:rFonts w:hint="eastAsia"/>
          <w:color w:val="auto"/>
          <w:lang w:val="en-US" w:eastAsia="zh-CN"/>
        </w:rPr>
        <w:t>82.8</w:t>
      </w:r>
      <w:r>
        <w:rPr>
          <w:color w:val="auto"/>
        </w:rPr>
        <w:t>万元；</w:t>
      </w:r>
    </w:p>
    <w:p w14:paraId="028DA1D7">
      <w:pPr>
        <w:rPr>
          <w:color w:val="auto"/>
        </w:rPr>
      </w:pPr>
      <w:r>
        <w:rPr>
          <w:color w:val="auto"/>
        </w:rPr>
        <w:t>2020年度：纠纷赔偿</w:t>
      </w:r>
      <w:r>
        <w:rPr>
          <w:rFonts w:hint="eastAsia"/>
          <w:color w:val="auto"/>
          <w:lang w:val="en-US" w:eastAsia="zh-CN"/>
        </w:rPr>
        <w:t>10</w:t>
      </w:r>
      <w:r>
        <w:rPr>
          <w:color w:val="auto"/>
        </w:rPr>
        <w:t>起，总赔偿额预计：</w:t>
      </w:r>
      <w:r>
        <w:rPr>
          <w:rFonts w:hint="eastAsia"/>
          <w:color w:val="auto"/>
          <w:lang w:val="en-US" w:eastAsia="zh-CN"/>
        </w:rPr>
        <w:t>210.6</w:t>
      </w:r>
      <w:r>
        <w:rPr>
          <w:color w:val="auto"/>
        </w:rPr>
        <w:t>万元，单次最高赔偿金额预计：</w:t>
      </w:r>
      <w:r>
        <w:rPr>
          <w:rFonts w:hint="eastAsia"/>
          <w:color w:val="auto"/>
          <w:lang w:val="en-US" w:eastAsia="zh-CN"/>
        </w:rPr>
        <w:t>83</w:t>
      </w:r>
      <w:r>
        <w:rPr>
          <w:color w:val="auto"/>
        </w:rPr>
        <w:t>万元</w:t>
      </w:r>
      <w:r>
        <w:rPr>
          <w:rFonts w:hint="eastAsia"/>
          <w:color w:val="auto"/>
        </w:rPr>
        <w:t>；</w:t>
      </w:r>
      <w:r>
        <w:rPr>
          <w:color w:val="auto"/>
        </w:rPr>
        <w:t>202</w:t>
      </w:r>
      <w:r>
        <w:rPr>
          <w:rFonts w:hint="eastAsia"/>
          <w:color w:val="auto"/>
        </w:rPr>
        <w:t>1</w:t>
      </w:r>
      <w:r>
        <w:rPr>
          <w:color w:val="auto"/>
        </w:rPr>
        <w:t>年度：纠纷赔偿</w:t>
      </w:r>
      <w:r>
        <w:rPr>
          <w:rFonts w:hint="eastAsia"/>
          <w:color w:val="auto"/>
          <w:lang w:val="en-US" w:eastAsia="zh-CN"/>
        </w:rPr>
        <w:t>10</w:t>
      </w:r>
      <w:r>
        <w:rPr>
          <w:color w:val="auto"/>
        </w:rPr>
        <w:t>起，总赔偿额：</w:t>
      </w:r>
      <w:r>
        <w:rPr>
          <w:rFonts w:hint="eastAsia"/>
          <w:color w:val="auto"/>
          <w:lang w:val="en-US" w:eastAsia="zh-CN"/>
        </w:rPr>
        <w:t>148.89</w:t>
      </w:r>
      <w:r>
        <w:rPr>
          <w:color w:val="auto"/>
        </w:rPr>
        <w:t>万元，单次最高赔偿金额预计：</w:t>
      </w:r>
      <w:r>
        <w:rPr>
          <w:rFonts w:hint="eastAsia"/>
          <w:color w:val="auto"/>
          <w:lang w:val="en-US" w:eastAsia="zh-CN"/>
        </w:rPr>
        <w:t>70</w:t>
      </w:r>
      <w:r>
        <w:rPr>
          <w:color w:val="auto"/>
        </w:rPr>
        <w:t>万元；</w:t>
      </w:r>
    </w:p>
    <w:p w14:paraId="30E95347">
      <w:r>
        <w:rPr>
          <w:rFonts w:hint="eastAsia"/>
        </w:rPr>
        <w:t>2022年度：</w:t>
      </w:r>
      <w:r>
        <w:t>纠纷赔偿</w:t>
      </w:r>
      <w:r>
        <w:rPr>
          <w:rFonts w:hint="eastAsia"/>
          <w:lang w:val="en-US" w:eastAsia="zh-CN"/>
        </w:rPr>
        <w:t>8</w:t>
      </w:r>
      <w:r>
        <w:t>起</w:t>
      </w:r>
      <w:r>
        <w:rPr>
          <w:rFonts w:hint="eastAsia"/>
        </w:rPr>
        <w:t>，</w:t>
      </w:r>
      <w:r>
        <w:t>总赔偿额预计：</w:t>
      </w:r>
      <w:r>
        <w:rPr>
          <w:rFonts w:hint="eastAsia"/>
        </w:rPr>
        <w:t>159</w:t>
      </w:r>
      <w:r>
        <w:t>万元，单次最高赔偿金额预计：</w:t>
      </w:r>
      <w:r>
        <w:rPr>
          <w:rFonts w:hint="eastAsia"/>
        </w:rPr>
        <w:t>69.5</w:t>
      </w:r>
      <w:r>
        <w:t>万元</w:t>
      </w:r>
      <w:r>
        <w:rPr>
          <w:rFonts w:hint="eastAsia"/>
        </w:rPr>
        <w:t>；</w:t>
      </w:r>
    </w:p>
    <w:p w14:paraId="2FD91391">
      <w:pPr>
        <w:rPr>
          <w:rFonts w:hint="default" w:eastAsia="宋体"/>
          <w:color w:val="auto"/>
          <w:lang w:val="en-US" w:eastAsia="zh-CN"/>
        </w:rPr>
      </w:pPr>
      <w:r>
        <w:rPr>
          <w:rFonts w:hint="eastAsia"/>
          <w:color w:val="auto"/>
          <w:lang w:val="en-US" w:eastAsia="zh-CN"/>
        </w:rPr>
        <w:t>2023年度</w:t>
      </w:r>
      <w:r>
        <w:rPr>
          <w:rFonts w:hint="eastAsia"/>
          <w:color w:val="auto"/>
        </w:rPr>
        <w:t>：</w:t>
      </w:r>
      <w:r>
        <w:rPr>
          <w:color w:val="auto"/>
        </w:rPr>
        <w:t>纠纷赔偿</w:t>
      </w:r>
      <w:r>
        <w:rPr>
          <w:rFonts w:hint="eastAsia"/>
          <w:color w:val="auto"/>
          <w:lang w:val="en-US" w:eastAsia="zh-CN"/>
        </w:rPr>
        <w:t>17</w:t>
      </w:r>
      <w:r>
        <w:rPr>
          <w:color w:val="auto"/>
        </w:rPr>
        <w:t>起</w:t>
      </w:r>
      <w:r>
        <w:rPr>
          <w:rFonts w:hint="eastAsia"/>
          <w:color w:val="auto"/>
        </w:rPr>
        <w:t>，</w:t>
      </w:r>
      <w:r>
        <w:rPr>
          <w:color w:val="auto"/>
        </w:rPr>
        <w:t>总赔偿额预计：</w:t>
      </w:r>
      <w:r>
        <w:rPr>
          <w:rFonts w:hint="eastAsia"/>
          <w:color w:val="auto"/>
          <w:lang w:val="en-US" w:eastAsia="zh-CN"/>
        </w:rPr>
        <w:t>74.86</w:t>
      </w:r>
      <w:r>
        <w:rPr>
          <w:color w:val="auto"/>
        </w:rPr>
        <w:t>万元，单次最高赔偿金额预计：</w:t>
      </w:r>
      <w:r>
        <w:rPr>
          <w:rFonts w:hint="eastAsia"/>
          <w:color w:val="auto"/>
          <w:lang w:val="en-US" w:eastAsia="zh-CN"/>
        </w:rPr>
        <w:t>35</w:t>
      </w:r>
      <w:r>
        <w:rPr>
          <w:color w:val="auto"/>
        </w:rPr>
        <w:t>万元</w:t>
      </w:r>
      <w:r>
        <w:rPr>
          <w:rFonts w:hint="eastAsia"/>
          <w:color w:val="auto"/>
        </w:rPr>
        <w:t>；</w:t>
      </w:r>
    </w:p>
    <w:p w14:paraId="305573BA"/>
    <w:p w14:paraId="298DC847">
      <w:r>
        <w:rPr>
          <w:rFonts w:hint="eastAsia"/>
        </w:rPr>
        <w:t>招标险种：医疗机构责任保险</w:t>
      </w:r>
      <w:r>
        <w:t xml:space="preserve">(医责险)。 </w:t>
      </w:r>
    </w:p>
    <w:p w14:paraId="5AADE224">
      <w:r>
        <w:t>医疗机构责任保险(医责险)的保险责任系投保医疗机构在保险期内，因医患纠纷发生经济赔偿或法律费用，保险公司</w:t>
      </w:r>
      <w:r>
        <w:rPr>
          <w:rFonts w:hint="eastAsia"/>
        </w:rPr>
        <w:t>依照约定承担人的赔偿责任。涵盖医疗过错、服务不当、告知不全及药品器械等引起的医疗损害责任，场所责任等民事责</w:t>
      </w:r>
      <w:r>
        <w:t>任，医患双方均无过错时的公平责任等。</w:t>
      </w:r>
    </w:p>
    <w:p w14:paraId="6DF7EEF2">
      <w:r>
        <w:rPr>
          <w:rFonts w:hint="eastAsia"/>
        </w:rPr>
        <w:t>上海市静安区中心医院医疗责任保险的承保人应当需根据医院实际情况，为医院制定符合实际需要的保险方案，承诺</w:t>
      </w:r>
      <w:r>
        <w:t>按照保险合同约定提供理赔服务及协助风险管理等附加服务。</w:t>
      </w:r>
    </w:p>
    <w:p w14:paraId="2AF53F76">
      <w:pPr>
        <w:rPr>
          <w:b/>
          <w:bCs/>
        </w:rPr>
      </w:pPr>
      <w:r>
        <w:rPr>
          <w:rFonts w:hint="eastAsia"/>
          <w:b/>
          <w:bCs/>
        </w:rPr>
        <w:t>医责险技术需求表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938"/>
        <w:gridCol w:w="5229"/>
      </w:tblGrid>
      <w:tr w14:paraId="632E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13C5671F">
            <w:r>
              <w:rPr>
                <w:rFonts w:hint="eastAsia"/>
              </w:rPr>
              <w:t>序号</w:t>
            </w:r>
          </w:p>
        </w:tc>
        <w:tc>
          <w:tcPr>
            <w:tcW w:w="1938" w:type="dxa"/>
            <w:noWrap/>
            <w:vAlign w:val="top"/>
          </w:tcPr>
          <w:p w14:paraId="17FBEC84">
            <w:r>
              <w:rPr>
                <w:rFonts w:hint="eastAsia"/>
              </w:rPr>
              <w:t>项目</w:t>
            </w:r>
          </w:p>
        </w:tc>
        <w:tc>
          <w:tcPr>
            <w:tcW w:w="5229" w:type="dxa"/>
            <w:noWrap/>
            <w:vAlign w:val="top"/>
          </w:tcPr>
          <w:p w14:paraId="19A1C730">
            <w:r>
              <w:rPr>
                <w:rFonts w:hint="eastAsia"/>
              </w:rPr>
              <w:t>技术规格</w:t>
            </w:r>
            <w:r>
              <w:t>及要求</w:t>
            </w:r>
          </w:p>
        </w:tc>
      </w:tr>
      <w:tr w14:paraId="2C18B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19AA6A7E">
            <w:r>
              <w:rPr>
                <w:rFonts w:hint="eastAsia"/>
              </w:rPr>
              <w:t>1</w:t>
            </w:r>
          </w:p>
        </w:tc>
        <w:tc>
          <w:tcPr>
            <w:tcW w:w="1938" w:type="dxa"/>
            <w:noWrap/>
            <w:vAlign w:val="top"/>
          </w:tcPr>
          <w:p w14:paraId="56EA3A76">
            <w:r>
              <w:rPr>
                <w:rFonts w:hint="eastAsia"/>
              </w:rPr>
              <w:t>保障方案</w:t>
            </w:r>
          </w:p>
        </w:tc>
        <w:tc>
          <w:tcPr>
            <w:tcW w:w="5229" w:type="dxa"/>
            <w:noWrap/>
            <w:vAlign w:val="top"/>
          </w:tcPr>
          <w:p w14:paraId="7C48D3A0">
            <w:r>
              <w:rPr>
                <w:rFonts w:hint="eastAsia"/>
              </w:rPr>
              <w:t>医疗机构</w:t>
            </w:r>
            <w:r>
              <w:t>责任保险</w:t>
            </w:r>
          </w:p>
        </w:tc>
      </w:tr>
      <w:tr w14:paraId="5C07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25152DFF">
            <w:r>
              <w:rPr>
                <w:rFonts w:hint="eastAsia"/>
              </w:rPr>
              <w:t>1.1</w:t>
            </w:r>
          </w:p>
        </w:tc>
        <w:tc>
          <w:tcPr>
            <w:tcW w:w="1938" w:type="dxa"/>
            <w:noWrap/>
            <w:vAlign w:val="top"/>
          </w:tcPr>
          <w:p w14:paraId="365B7AC8">
            <w:r>
              <w:rPr>
                <w:rFonts w:hint="eastAsia"/>
              </w:rPr>
              <w:t>保险期限</w:t>
            </w:r>
          </w:p>
        </w:tc>
        <w:tc>
          <w:tcPr>
            <w:tcW w:w="5229" w:type="dxa"/>
            <w:noWrap/>
            <w:vAlign w:val="top"/>
          </w:tcPr>
          <w:p w14:paraId="65926FFD">
            <w:pPr>
              <w:rPr>
                <w:rFonts w:hint="default" w:eastAsia="宋体"/>
                <w:lang w:val="en-US" w:eastAsia="zh-CN"/>
              </w:rPr>
            </w:pPr>
            <w:r>
              <w:rPr>
                <w:rFonts w:hint="eastAsia"/>
                <w:lang w:val="en-US" w:eastAsia="zh-CN"/>
              </w:rPr>
              <w:t>自2025年7月29日至2026年7</w:t>
            </w:r>
            <w:bookmarkStart w:id="0" w:name="_GoBack"/>
            <w:bookmarkEnd w:id="0"/>
            <w:r>
              <w:rPr>
                <w:rFonts w:hint="eastAsia"/>
                <w:lang w:val="en-US" w:eastAsia="zh-CN"/>
              </w:rPr>
              <w:t>月28日</w:t>
            </w:r>
          </w:p>
        </w:tc>
      </w:tr>
      <w:tr w14:paraId="522C8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2FAFB7DA">
            <w:r>
              <w:rPr>
                <w:rFonts w:hint="eastAsia"/>
              </w:rPr>
              <w:t>1.2</w:t>
            </w:r>
          </w:p>
        </w:tc>
        <w:tc>
          <w:tcPr>
            <w:tcW w:w="7167" w:type="dxa"/>
            <w:gridSpan w:val="2"/>
            <w:noWrap/>
            <w:vAlign w:val="top"/>
          </w:tcPr>
          <w:p w14:paraId="40B1CC03">
            <w:r>
              <w:rPr>
                <w:rFonts w:hint="eastAsia"/>
              </w:rPr>
              <w:t>保险责任及责任限额</w:t>
            </w:r>
          </w:p>
        </w:tc>
      </w:tr>
      <w:tr w14:paraId="55F8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297FC327">
            <w:r>
              <w:t>1.2.1</w:t>
            </w:r>
          </w:p>
        </w:tc>
        <w:tc>
          <w:tcPr>
            <w:tcW w:w="1938" w:type="dxa"/>
            <w:noWrap/>
            <w:vAlign w:val="top"/>
          </w:tcPr>
          <w:p w14:paraId="76008C46">
            <w:r>
              <w:rPr>
                <w:rFonts w:hint="eastAsia"/>
              </w:rPr>
              <w:t>保险责任</w:t>
            </w:r>
          </w:p>
        </w:tc>
        <w:tc>
          <w:tcPr>
            <w:tcW w:w="5229" w:type="dxa"/>
            <w:noWrap/>
            <w:vAlign w:val="top"/>
          </w:tcPr>
          <w:p w14:paraId="0979EFA2">
            <w:r>
              <w:rPr>
                <w:rFonts w:hint="eastAsia"/>
              </w:rPr>
              <w:t>以《中华人民共和国民法典》、《侵权责任法》等为法律依据，涵盖包括医疗过错、服务不当、告知不全及药品器械等引起的医疗损害；</w:t>
            </w:r>
          </w:p>
        </w:tc>
      </w:tr>
      <w:tr w14:paraId="6A77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23CD69F5">
            <w:r>
              <w:t>1.2.2</w:t>
            </w:r>
          </w:p>
        </w:tc>
        <w:tc>
          <w:tcPr>
            <w:tcW w:w="1938" w:type="dxa"/>
            <w:vMerge w:val="restart"/>
            <w:noWrap/>
            <w:vAlign w:val="top"/>
          </w:tcPr>
          <w:p w14:paraId="345C7FF7">
            <w:r>
              <w:rPr>
                <w:rFonts w:hint="eastAsia"/>
              </w:rPr>
              <w:t>责任限额</w:t>
            </w:r>
          </w:p>
        </w:tc>
        <w:tc>
          <w:tcPr>
            <w:tcW w:w="5229" w:type="dxa"/>
            <w:noWrap/>
            <w:vAlign w:val="top"/>
          </w:tcPr>
          <w:p w14:paraId="038C36FE">
            <w:pPr>
              <w:rPr>
                <w:b w:val="0"/>
                <w:bCs w:val="0"/>
              </w:rPr>
            </w:pPr>
            <w:r>
              <w:rPr>
                <w:rFonts w:hint="eastAsia"/>
                <w:b w:val="0"/>
                <w:bCs w:val="0"/>
              </w:rPr>
              <w:t>保单累计责任限额不低于RMB 230 万元；</w:t>
            </w:r>
          </w:p>
        </w:tc>
      </w:tr>
      <w:tr w14:paraId="47CB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7C965C86"/>
        </w:tc>
        <w:tc>
          <w:tcPr>
            <w:tcW w:w="1938" w:type="dxa"/>
            <w:vMerge w:val="continue"/>
            <w:noWrap/>
            <w:vAlign w:val="top"/>
          </w:tcPr>
          <w:p w14:paraId="1D8CC657"/>
        </w:tc>
        <w:tc>
          <w:tcPr>
            <w:tcW w:w="5229" w:type="dxa"/>
            <w:noWrap/>
            <w:vAlign w:val="top"/>
          </w:tcPr>
          <w:p w14:paraId="42306464">
            <w:pPr>
              <w:rPr>
                <w:b w:val="0"/>
                <w:bCs w:val="0"/>
              </w:rPr>
            </w:pPr>
            <w:r>
              <w:rPr>
                <w:rFonts w:hint="eastAsia"/>
                <w:b w:val="0"/>
                <w:bCs w:val="0"/>
              </w:rPr>
              <w:t>医疗</w:t>
            </w:r>
            <w:r>
              <w:rPr>
                <w:b w:val="0"/>
                <w:bCs w:val="0"/>
              </w:rPr>
              <w:t>损害责任限额不低于</w:t>
            </w:r>
            <w:r>
              <w:rPr>
                <w:rFonts w:hint="eastAsia"/>
                <w:b w:val="0"/>
                <w:bCs w:val="0"/>
              </w:rPr>
              <w:t>RMB</w:t>
            </w:r>
            <w:r>
              <w:rPr>
                <w:rFonts w:hint="eastAsia"/>
                <w:b w:val="0"/>
                <w:bCs w:val="0"/>
                <w:lang w:val="en-US" w:eastAsia="zh-CN"/>
              </w:rPr>
              <w:t xml:space="preserve"> </w:t>
            </w:r>
            <w:r>
              <w:rPr>
                <w:rFonts w:hint="eastAsia"/>
                <w:b w:val="0"/>
                <w:bCs w:val="0"/>
              </w:rPr>
              <w:t>165万</w:t>
            </w:r>
            <w:r>
              <w:rPr>
                <w:b w:val="0"/>
                <w:bCs w:val="0"/>
              </w:rPr>
              <w:t>元；</w:t>
            </w:r>
          </w:p>
        </w:tc>
      </w:tr>
      <w:tr w14:paraId="61CE7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4A738D01"/>
        </w:tc>
        <w:tc>
          <w:tcPr>
            <w:tcW w:w="1938" w:type="dxa"/>
            <w:vMerge w:val="continue"/>
            <w:noWrap/>
            <w:vAlign w:val="top"/>
          </w:tcPr>
          <w:p w14:paraId="2A63750E"/>
        </w:tc>
        <w:tc>
          <w:tcPr>
            <w:tcW w:w="5229" w:type="dxa"/>
            <w:noWrap/>
            <w:vAlign w:val="top"/>
          </w:tcPr>
          <w:p w14:paraId="2E24DDF0">
            <w:r>
              <w:t>每次事故责任限额不低于RMB</w:t>
            </w:r>
            <w:r>
              <w:rPr>
                <w:rFonts w:hint="eastAsia"/>
                <w:lang w:val="en-US" w:eastAsia="zh-CN"/>
              </w:rPr>
              <w:t xml:space="preserve"> </w:t>
            </w:r>
            <w:r>
              <w:t>1</w:t>
            </w:r>
            <w:r>
              <w:rPr>
                <w:rFonts w:hint="eastAsia"/>
              </w:rPr>
              <w:t>2</w:t>
            </w:r>
            <w:r>
              <w:t>0万元；</w:t>
            </w:r>
          </w:p>
        </w:tc>
      </w:tr>
      <w:tr w14:paraId="345D7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45934607"/>
        </w:tc>
        <w:tc>
          <w:tcPr>
            <w:tcW w:w="1938" w:type="dxa"/>
            <w:vMerge w:val="continue"/>
            <w:noWrap/>
            <w:vAlign w:val="top"/>
          </w:tcPr>
          <w:p w14:paraId="0A14CEE9"/>
        </w:tc>
        <w:tc>
          <w:tcPr>
            <w:tcW w:w="5229" w:type="dxa"/>
            <w:noWrap/>
            <w:vAlign w:val="top"/>
          </w:tcPr>
          <w:p w14:paraId="7516BF45">
            <w:pPr>
              <w:pStyle w:val="2"/>
              <w:rPr>
                <w:rFonts w:hint="eastAsia" w:eastAsia="宋体"/>
                <w:sz w:val="18"/>
                <w:szCs w:val="18"/>
                <w:lang w:eastAsia="zh-CN"/>
              </w:rPr>
            </w:pPr>
            <w:r>
              <w:t>每次事故每位患者责任限额不低于：RMB</w:t>
            </w:r>
            <w:r>
              <w:rPr>
                <w:rFonts w:hint="eastAsia"/>
                <w:lang w:val="en-US" w:eastAsia="zh-CN"/>
              </w:rPr>
              <w:t xml:space="preserve"> </w:t>
            </w:r>
            <w:r>
              <w:t>80万元；对患者因保险事故残疾的，伤残级别依照《人体损伤致残程度分级》（2017年1月1日起施行）确定，该标准划分为10个等级，从一级(人体致残率100%)到十级(人体致残率10%)，每级致残率相差10%</w:t>
            </w:r>
            <w:r>
              <w:rPr>
                <w:rFonts w:hint="eastAsia"/>
                <w:lang w:eastAsia="zh-CN"/>
              </w:rPr>
              <w:t>；</w:t>
            </w:r>
          </w:p>
        </w:tc>
      </w:tr>
      <w:tr w14:paraId="52CD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700E848E"/>
          <w:p w14:paraId="772DC65E">
            <w:r>
              <w:t>1.2.3</w:t>
            </w:r>
          </w:p>
        </w:tc>
        <w:tc>
          <w:tcPr>
            <w:tcW w:w="1938" w:type="dxa"/>
            <w:vMerge w:val="restart"/>
            <w:noWrap/>
            <w:vAlign w:val="top"/>
          </w:tcPr>
          <w:p w14:paraId="43F27E7A">
            <w:r>
              <w:rPr>
                <w:spacing w:val="2"/>
              </w:rPr>
              <w:t>公</w:t>
            </w:r>
            <w:r>
              <w:t>平责任</w:t>
            </w:r>
          </w:p>
        </w:tc>
        <w:tc>
          <w:tcPr>
            <w:tcW w:w="5229" w:type="dxa"/>
            <w:noWrap/>
            <w:vAlign w:val="top"/>
          </w:tcPr>
          <w:p w14:paraId="027A9133">
            <w:pPr>
              <w:rPr>
                <w:rFonts w:hint="eastAsia" w:eastAsia="宋体"/>
                <w:lang w:eastAsia="zh-CN"/>
              </w:rPr>
            </w:pPr>
            <w:r>
              <w:t>患者在被保险人从事与其资格相符的诊疗活动中受到人身损害，且患者和被保险人对事故的发生都无过错的情况下，出于公平责任，被保险人需对患者的损失给与适当补偿的一种责任</w:t>
            </w:r>
            <w:r>
              <w:rPr>
                <w:rFonts w:hint="eastAsia"/>
                <w:lang w:eastAsia="zh-CN"/>
              </w:rPr>
              <w:t>；</w:t>
            </w:r>
          </w:p>
        </w:tc>
      </w:tr>
      <w:tr w14:paraId="7284D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4F1F38A7"/>
        </w:tc>
        <w:tc>
          <w:tcPr>
            <w:tcW w:w="1938" w:type="dxa"/>
            <w:vMerge w:val="continue"/>
            <w:noWrap/>
            <w:vAlign w:val="top"/>
          </w:tcPr>
          <w:p w14:paraId="68293367"/>
        </w:tc>
        <w:tc>
          <w:tcPr>
            <w:tcW w:w="5229" w:type="dxa"/>
            <w:noWrap/>
            <w:vAlign w:val="top"/>
          </w:tcPr>
          <w:p w14:paraId="28766FDF">
            <w:r>
              <w:t>每次事故每位患者责任限额不低于：RMB 2万元；</w:t>
            </w:r>
          </w:p>
        </w:tc>
      </w:tr>
      <w:tr w14:paraId="11C82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4DDE8E6E">
            <w:r>
              <w:t>1.2.4</w:t>
            </w:r>
          </w:p>
        </w:tc>
        <w:tc>
          <w:tcPr>
            <w:tcW w:w="1938" w:type="dxa"/>
            <w:vMerge w:val="restart"/>
            <w:noWrap/>
            <w:vAlign w:val="top"/>
          </w:tcPr>
          <w:p w14:paraId="6CECBB98">
            <w:r>
              <w:t>特</w:t>
            </w:r>
            <w:r>
              <w:rPr>
                <w:spacing w:val="2"/>
              </w:rPr>
              <w:t>别</w:t>
            </w:r>
            <w:r>
              <w:t>会诊</w:t>
            </w:r>
            <w:r>
              <w:rPr>
                <w:spacing w:val="2"/>
              </w:rPr>
              <w:t>费</w:t>
            </w:r>
            <w:r>
              <w:t>用</w:t>
            </w:r>
          </w:p>
        </w:tc>
        <w:tc>
          <w:tcPr>
            <w:tcW w:w="5229" w:type="dxa"/>
            <w:noWrap/>
            <w:vAlign w:val="top"/>
          </w:tcPr>
          <w:p w14:paraId="630C0D44">
            <w:r>
              <w:rPr>
                <w:rFonts w:hint="eastAsia"/>
              </w:rPr>
              <w:t>发生保险事故后，被保险人为防止或减少患者的人身损害，且超出被保险人医疗水平时，以被保险人名义外请医务人员所支付的必要的、合理的会诊费用；</w:t>
            </w:r>
          </w:p>
        </w:tc>
      </w:tr>
      <w:tr w14:paraId="3F4C0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6092DCA3"/>
        </w:tc>
        <w:tc>
          <w:tcPr>
            <w:tcW w:w="1938" w:type="dxa"/>
            <w:vMerge w:val="continue"/>
            <w:noWrap/>
            <w:vAlign w:val="top"/>
          </w:tcPr>
          <w:p w14:paraId="3DA4948E"/>
        </w:tc>
        <w:tc>
          <w:tcPr>
            <w:tcW w:w="5229" w:type="dxa"/>
            <w:noWrap/>
            <w:vAlign w:val="top"/>
          </w:tcPr>
          <w:p w14:paraId="5092C793">
            <w:r>
              <w:rPr>
                <w:rFonts w:hint="eastAsia"/>
              </w:rPr>
              <w:t>每次事故每位患者责任限额不低于：</w:t>
            </w:r>
            <w:r>
              <w:t>RMB 2万元；</w:t>
            </w:r>
          </w:p>
        </w:tc>
      </w:tr>
      <w:tr w14:paraId="52E66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06D807AC">
            <w:r>
              <w:t>1.2.5</w:t>
            </w:r>
          </w:p>
        </w:tc>
        <w:tc>
          <w:tcPr>
            <w:tcW w:w="1938" w:type="dxa"/>
            <w:vMerge w:val="restart"/>
            <w:noWrap/>
            <w:vAlign w:val="top"/>
          </w:tcPr>
          <w:p w14:paraId="24D6569B">
            <w:r>
              <w:rPr>
                <w:rFonts w:hint="eastAsia"/>
              </w:rPr>
              <w:t>法律费用</w:t>
            </w:r>
          </w:p>
        </w:tc>
        <w:tc>
          <w:tcPr>
            <w:tcW w:w="5229" w:type="dxa"/>
            <w:noWrap/>
            <w:vAlign w:val="top"/>
          </w:tcPr>
          <w:p w14:paraId="0DA2A04A">
            <w:r>
              <w:rPr>
                <w:rFonts w:hint="eastAsia"/>
              </w:rPr>
              <w:t>被保险人被提起诉讼或仲裁，事先经保险人书面同意支付的合理的、必要的</w:t>
            </w:r>
            <w:r>
              <w:t>诉讼费、鉴定费、取证费、案件受理费律师费、仲裁费及其他相关费用等</w:t>
            </w:r>
            <w:r>
              <w:rPr>
                <w:rFonts w:hint="eastAsia"/>
              </w:rPr>
              <w:t>；</w:t>
            </w:r>
          </w:p>
        </w:tc>
      </w:tr>
      <w:tr w14:paraId="1D99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29D567A6"/>
        </w:tc>
        <w:tc>
          <w:tcPr>
            <w:tcW w:w="1938" w:type="dxa"/>
            <w:vMerge w:val="continue"/>
            <w:noWrap/>
            <w:vAlign w:val="top"/>
          </w:tcPr>
          <w:p w14:paraId="6340644A"/>
        </w:tc>
        <w:tc>
          <w:tcPr>
            <w:tcW w:w="5229" w:type="dxa"/>
            <w:noWrap/>
            <w:vAlign w:val="top"/>
          </w:tcPr>
          <w:p w14:paraId="4B1A0656">
            <w:r>
              <w:rPr>
                <w:rFonts w:hint="eastAsia"/>
              </w:rPr>
              <w:t>累计法律费用责任限额不低于：</w:t>
            </w:r>
            <w:r>
              <w:t>RMB</w:t>
            </w:r>
            <w:r>
              <w:rPr>
                <w:rFonts w:hint="eastAsia"/>
                <w:lang w:val="en-US" w:eastAsia="zh-CN"/>
              </w:rPr>
              <w:t xml:space="preserve"> </w:t>
            </w:r>
            <w:r>
              <w:t>15万元。</w:t>
            </w:r>
          </w:p>
        </w:tc>
      </w:tr>
      <w:tr w14:paraId="4AAD7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4A7C2B8D">
            <w:r>
              <w:t>1.2.6</w:t>
            </w:r>
          </w:p>
        </w:tc>
        <w:tc>
          <w:tcPr>
            <w:tcW w:w="1938" w:type="dxa"/>
            <w:vMerge w:val="restart"/>
            <w:noWrap/>
            <w:vAlign w:val="top"/>
          </w:tcPr>
          <w:p w14:paraId="6A3681FD">
            <w:r>
              <w:rPr>
                <w:rFonts w:hint="eastAsia"/>
              </w:rPr>
              <w:t>公众责任</w:t>
            </w:r>
          </w:p>
        </w:tc>
        <w:tc>
          <w:tcPr>
            <w:tcW w:w="5229" w:type="dxa"/>
            <w:noWrap/>
            <w:vAlign w:val="top"/>
          </w:tcPr>
          <w:p w14:paraId="59B00A28">
            <w:r>
              <w:rPr>
                <w:rFonts w:hint="eastAsia"/>
              </w:rPr>
              <w:t>被保险人在保险单列明的承保区域范围内依法从事诊疗护理活动过程中，由于未尽安全保障义务造成患者或其陪同人员的人身损害或财产损失，依法应由被保险人承担的经济赔偿责任。</w:t>
            </w:r>
          </w:p>
          <w:p w14:paraId="6EA86936">
            <w:r>
              <w:rPr>
                <w:rFonts w:hint="eastAsia"/>
              </w:rPr>
              <w:t>承保场所范围被保险人所在地（保险事故发生后承保场所范围还包括受事故影响的周边地区）</w:t>
            </w:r>
          </w:p>
        </w:tc>
      </w:tr>
      <w:tr w14:paraId="6FABB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3510CC24"/>
        </w:tc>
        <w:tc>
          <w:tcPr>
            <w:tcW w:w="1938" w:type="dxa"/>
            <w:vMerge w:val="continue"/>
            <w:noWrap/>
            <w:vAlign w:val="top"/>
          </w:tcPr>
          <w:p w14:paraId="7A07D4FE"/>
        </w:tc>
        <w:tc>
          <w:tcPr>
            <w:tcW w:w="5229" w:type="dxa"/>
            <w:noWrap/>
            <w:vAlign w:val="top"/>
          </w:tcPr>
          <w:p w14:paraId="01175CAB">
            <w:r>
              <w:t>每次事故及累计责任限额：不低于RMB</w:t>
            </w:r>
            <w:r>
              <w:rPr>
                <w:rFonts w:hint="eastAsia"/>
                <w:lang w:val="en-US" w:eastAsia="zh-CN"/>
              </w:rPr>
              <w:t xml:space="preserve"> </w:t>
            </w:r>
            <w:r>
              <w:t>50万元；</w:t>
            </w:r>
          </w:p>
        </w:tc>
      </w:tr>
      <w:tr w14:paraId="68A5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4E8E8CAE"/>
        </w:tc>
        <w:tc>
          <w:tcPr>
            <w:tcW w:w="1938" w:type="dxa"/>
            <w:vMerge w:val="continue"/>
            <w:noWrap/>
            <w:vAlign w:val="top"/>
          </w:tcPr>
          <w:p w14:paraId="76D7536D"/>
        </w:tc>
        <w:tc>
          <w:tcPr>
            <w:tcW w:w="5229" w:type="dxa"/>
            <w:noWrap/>
            <w:vAlign w:val="top"/>
          </w:tcPr>
          <w:p w14:paraId="25910587">
            <w:r>
              <w:t>免赔额：每次事故财产损失与人身伤害均无免赔。</w:t>
            </w:r>
          </w:p>
        </w:tc>
      </w:tr>
      <w:tr w14:paraId="105C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1B2B81F5">
            <w:r>
              <w:rPr>
                <w:rFonts w:hint="eastAsia"/>
              </w:rPr>
              <w:t>1.2.7</w:t>
            </w:r>
          </w:p>
        </w:tc>
        <w:tc>
          <w:tcPr>
            <w:tcW w:w="1938" w:type="dxa"/>
            <w:vMerge w:val="restart"/>
            <w:noWrap/>
            <w:vAlign w:val="top"/>
          </w:tcPr>
          <w:p w14:paraId="0716440F">
            <w:r>
              <w:rPr>
                <w:rFonts w:hint="eastAsia"/>
              </w:rPr>
              <w:t>附加</w:t>
            </w:r>
            <w:r>
              <w:t>医务人员</w:t>
            </w:r>
            <w:r>
              <w:rPr>
                <w:rFonts w:hint="eastAsia"/>
              </w:rPr>
              <w:t>人身</w:t>
            </w:r>
            <w:r>
              <w:t>意外保障</w:t>
            </w:r>
          </w:p>
        </w:tc>
        <w:tc>
          <w:tcPr>
            <w:tcW w:w="5229" w:type="dxa"/>
            <w:noWrap/>
            <w:vAlign w:val="top"/>
          </w:tcPr>
          <w:p w14:paraId="449381F9">
            <w:r>
              <w:rPr>
                <w:rFonts w:hint="eastAsia"/>
              </w:rPr>
              <w:t>在保险期间内，被保险人的投保医务人员出现下列任一情形的，对依法应由被保险人承担的经济赔偿责任，保险人按照本附加险合同的约定负责赔偿：</w:t>
            </w:r>
          </w:p>
          <w:p w14:paraId="3A14B724">
            <w:r>
              <w:rPr>
                <w:rFonts w:hint="eastAsia"/>
              </w:rPr>
              <w:t>（一）在保单列明的承保区域内从事诊疗护理活动时，由于发生医疗纠纷而遭受患者方的故意伤害，因此发生人身损害；</w:t>
            </w:r>
          </w:p>
          <w:p w14:paraId="5A7191F4">
            <w:r>
              <w:rPr>
                <w:rFonts w:hint="eastAsia"/>
              </w:rPr>
              <w:t>（二）由于工作原因首次确诊罹患法定的</w:t>
            </w:r>
            <w:r>
              <w:rPr>
                <w:rFonts w:hint="eastAsia"/>
                <w:lang w:val="en-US" w:eastAsia="zh-CN"/>
              </w:rPr>
              <w:t>甲类、乙类</w:t>
            </w:r>
            <w:r>
              <w:rPr>
                <w:rFonts w:hint="eastAsia"/>
              </w:rPr>
              <w:t xml:space="preserve">传染病或职业病； </w:t>
            </w:r>
          </w:p>
          <w:p w14:paraId="4B438B8A">
            <w:r>
              <w:rPr>
                <w:rFonts w:hint="eastAsia"/>
              </w:rPr>
              <w:t>（三）在工作时间和工作岗位上，突发疾病死亡或在48小时之内经抢救无效死亡。</w:t>
            </w:r>
          </w:p>
        </w:tc>
      </w:tr>
      <w:tr w14:paraId="38BCE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3D6DFDC4"/>
        </w:tc>
        <w:tc>
          <w:tcPr>
            <w:tcW w:w="1938" w:type="dxa"/>
            <w:vMerge w:val="continue"/>
            <w:noWrap/>
            <w:vAlign w:val="top"/>
          </w:tcPr>
          <w:p w14:paraId="72F83461"/>
        </w:tc>
        <w:tc>
          <w:tcPr>
            <w:tcW w:w="5229" w:type="dxa"/>
            <w:noWrap/>
            <w:vAlign w:val="top"/>
          </w:tcPr>
          <w:p w14:paraId="27B6A588">
            <w:r>
              <w:rPr>
                <w:rFonts w:hint="eastAsia"/>
              </w:rPr>
              <w:t>每人</w:t>
            </w:r>
            <w:r>
              <w:t>责任</w:t>
            </w:r>
            <w:r>
              <w:rPr>
                <w:rFonts w:hint="eastAsia"/>
              </w:rPr>
              <w:t>限额 RMB 10万</w:t>
            </w:r>
            <w:r>
              <w:t>元</w:t>
            </w:r>
            <w:r>
              <w:rPr>
                <w:rFonts w:hint="eastAsia"/>
              </w:rPr>
              <w:t>；累计</w:t>
            </w:r>
            <w:r>
              <w:t>责任限额不低于</w:t>
            </w:r>
            <w:r>
              <w:rPr>
                <w:rFonts w:hint="eastAsia"/>
              </w:rPr>
              <w:t>RMB 30万</w:t>
            </w:r>
            <w:r>
              <w:t>元；</w:t>
            </w:r>
          </w:p>
        </w:tc>
      </w:tr>
      <w:tr w14:paraId="798B7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noWrap/>
            <w:vAlign w:val="top"/>
          </w:tcPr>
          <w:p w14:paraId="6A260C5F">
            <w:r>
              <w:rPr>
                <w:rFonts w:hint="eastAsia"/>
              </w:rPr>
              <w:t>1</w:t>
            </w:r>
            <w:r>
              <w:rPr>
                <w:spacing w:val="4"/>
              </w:rPr>
              <w:t>.</w:t>
            </w:r>
            <w:r>
              <w:t>3</w:t>
            </w:r>
          </w:p>
        </w:tc>
        <w:tc>
          <w:tcPr>
            <w:tcW w:w="1938" w:type="dxa"/>
            <w:vMerge w:val="restart"/>
            <w:noWrap/>
            <w:vAlign w:val="top"/>
          </w:tcPr>
          <w:p w14:paraId="017C7D87">
            <w:pPr>
              <w:rPr>
                <w:color w:val="auto"/>
              </w:rPr>
            </w:pPr>
            <w:r>
              <w:rPr>
                <w:color w:val="auto"/>
              </w:rPr>
              <w:t>追溯期</w:t>
            </w:r>
          </w:p>
        </w:tc>
        <w:tc>
          <w:tcPr>
            <w:tcW w:w="5229" w:type="dxa"/>
            <w:noWrap/>
            <w:vAlign w:val="top"/>
          </w:tcPr>
          <w:p w14:paraId="07611D4B">
            <w:pPr>
              <w:rPr>
                <w:color w:val="auto"/>
              </w:rPr>
            </w:pPr>
            <w:r>
              <w:rPr>
                <w:color w:val="auto"/>
              </w:rPr>
              <w:t>是指保险合同中约定的从保险期间起始之日向前追溯的一段时间。在追溯期内发生的保险事故，若患者或其近亲属在保险期间内首次向被保险人提出赔偿请求的，保险人将按照保险合同约定承担赔偿责任。</w:t>
            </w:r>
          </w:p>
        </w:tc>
      </w:tr>
      <w:tr w14:paraId="038B3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noWrap/>
            <w:vAlign w:val="top"/>
          </w:tcPr>
          <w:p w14:paraId="56E58BFC"/>
        </w:tc>
        <w:tc>
          <w:tcPr>
            <w:tcW w:w="1938" w:type="dxa"/>
            <w:vMerge w:val="continue"/>
            <w:noWrap/>
            <w:vAlign w:val="top"/>
          </w:tcPr>
          <w:p w14:paraId="5D7C219D">
            <w:pPr>
              <w:rPr>
                <w:color w:val="auto"/>
              </w:rPr>
            </w:pPr>
          </w:p>
        </w:tc>
        <w:tc>
          <w:tcPr>
            <w:tcW w:w="5229" w:type="dxa"/>
            <w:noWrap/>
            <w:vAlign w:val="top"/>
          </w:tcPr>
          <w:p w14:paraId="552B01FA">
            <w:pPr>
              <w:rPr>
                <w:color w:val="auto"/>
                <w:highlight w:val="red"/>
              </w:rPr>
            </w:pPr>
            <w:r>
              <w:rPr>
                <w:rFonts w:hint="eastAsia"/>
                <w:color w:val="auto"/>
                <w:shd w:val="clear" w:color="auto" w:fill="FFFFFF"/>
                <w:lang w:val="en-US" w:eastAsia="zh-CN"/>
              </w:rPr>
              <w:t>24</w:t>
            </w:r>
            <w:r>
              <w:rPr>
                <w:color w:val="auto"/>
                <w:shd w:val="clear" w:color="auto" w:fill="FFFFFF"/>
              </w:rPr>
              <w:t>个月</w:t>
            </w:r>
          </w:p>
        </w:tc>
      </w:tr>
      <w:tr w14:paraId="685BF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735FECC5">
            <w:r>
              <w:t>1.4</w:t>
            </w:r>
          </w:p>
        </w:tc>
        <w:tc>
          <w:tcPr>
            <w:tcW w:w="7167" w:type="dxa"/>
            <w:gridSpan w:val="2"/>
            <w:noWrap/>
            <w:vAlign w:val="top"/>
          </w:tcPr>
          <w:p w14:paraId="4B47A3B5">
            <w:r>
              <w:t>赔偿处理约定</w:t>
            </w:r>
          </w:p>
        </w:tc>
      </w:tr>
      <w:tr w14:paraId="78497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27F9E0F4">
            <w:r>
              <w:t>1.4.1</w:t>
            </w:r>
          </w:p>
        </w:tc>
        <w:tc>
          <w:tcPr>
            <w:tcW w:w="1938" w:type="dxa"/>
            <w:noWrap/>
            <w:vAlign w:val="top"/>
          </w:tcPr>
          <w:p w14:paraId="3ED0A535">
            <w:r>
              <w:t>赔偿</w:t>
            </w:r>
            <w:r>
              <w:rPr>
                <w:spacing w:val="2"/>
              </w:rPr>
              <w:t>基</w:t>
            </w:r>
            <w:r>
              <w:t>础</w:t>
            </w:r>
          </w:p>
        </w:tc>
        <w:tc>
          <w:tcPr>
            <w:tcW w:w="5229" w:type="dxa"/>
            <w:noWrap/>
            <w:vAlign w:val="top"/>
          </w:tcPr>
          <w:p w14:paraId="78B0E0BD">
            <w:r>
              <w:t>赔偿基础以</w:t>
            </w:r>
            <w:r>
              <w:rPr>
                <w:rFonts w:hint="eastAsia"/>
              </w:rPr>
              <w:t>民法典中侵权</w:t>
            </w:r>
            <w:r>
              <w:t>责任为基础，可以以院内调解、人民调解、法院调解以及法院判决作为依据，且无需进行二次定损定责。</w:t>
            </w:r>
          </w:p>
        </w:tc>
      </w:tr>
      <w:tr w14:paraId="72F3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3867B11A">
            <w:r>
              <w:t>1.4.2</w:t>
            </w:r>
          </w:p>
        </w:tc>
        <w:tc>
          <w:tcPr>
            <w:tcW w:w="1938" w:type="dxa"/>
            <w:noWrap/>
            <w:vAlign w:val="top"/>
          </w:tcPr>
          <w:p w14:paraId="43102004">
            <w:r>
              <w:t>小</w:t>
            </w:r>
            <w:r>
              <w:rPr>
                <w:spacing w:val="2"/>
              </w:rPr>
              <w:t>额</w:t>
            </w:r>
            <w:r>
              <w:t>快速</w:t>
            </w:r>
            <w:r>
              <w:rPr>
                <w:spacing w:val="2"/>
              </w:rPr>
              <w:t>赔</w:t>
            </w:r>
            <w:r>
              <w:t>偿</w:t>
            </w:r>
          </w:p>
        </w:tc>
        <w:tc>
          <w:tcPr>
            <w:tcW w:w="5229" w:type="dxa"/>
            <w:noWrap/>
            <w:vAlign w:val="top"/>
          </w:tcPr>
          <w:p w14:paraId="53BD0357">
            <w:r>
              <w:t>同意设定小额快速赔偿通道</w:t>
            </w:r>
            <w:r>
              <w:rPr>
                <w:rFonts w:hint="eastAsia"/>
              </w:rPr>
              <w:t>，单次小于5000元的属小额快赔，保险期限内累计额度不小于4万元</w:t>
            </w:r>
            <w:r>
              <w:t>。被保险人从事与其资格相符的诊疗活动中存在过失行为但未造成患者人身伤害的，按小额案件简易程序处理。</w:t>
            </w:r>
          </w:p>
        </w:tc>
      </w:tr>
      <w:tr w14:paraId="298B5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16453E10">
            <w:r>
              <w:t>1.4.3</w:t>
            </w:r>
          </w:p>
        </w:tc>
        <w:tc>
          <w:tcPr>
            <w:tcW w:w="1938" w:type="dxa"/>
            <w:noWrap/>
            <w:vAlign w:val="top"/>
          </w:tcPr>
          <w:p w14:paraId="307DA8BA">
            <w:r>
              <w:t>赔</w:t>
            </w:r>
            <w:r>
              <w:rPr>
                <w:spacing w:val="2"/>
              </w:rPr>
              <w:t>款</w:t>
            </w:r>
            <w:r>
              <w:t>支付</w:t>
            </w:r>
            <w:r>
              <w:rPr>
                <w:spacing w:val="2"/>
              </w:rPr>
              <w:t>时</w:t>
            </w:r>
            <w:r>
              <w:t>间</w:t>
            </w:r>
          </w:p>
        </w:tc>
        <w:tc>
          <w:tcPr>
            <w:tcW w:w="5229" w:type="dxa"/>
            <w:noWrap/>
            <w:vAlign w:val="top"/>
          </w:tcPr>
          <w:p w14:paraId="09E348CD">
            <w:r>
              <w:t>收到索赔材料后，承诺在10个工作日内完成理赔审核并完成支付。</w:t>
            </w:r>
          </w:p>
        </w:tc>
      </w:tr>
      <w:tr w14:paraId="43CA1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49E2FBA2">
            <w:r>
              <w:t>1.4.4</w:t>
            </w:r>
          </w:p>
        </w:tc>
        <w:tc>
          <w:tcPr>
            <w:tcW w:w="1938" w:type="dxa"/>
            <w:noWrap/>
            <w:vAlign w:val="top"/>
          </w:tcPr>
          <w:p w14:paraId="74D0B763">
            <w:r>
              <w:rPr>
                <w:spacing w:val="2"/>
              </w:rPr>
              <w:t>索</w:t>
            </w:r>
            <w:r>
              <w:t>赔单证</w:t>
            </w:r>
          </w:p>
        </w:tc>
        <w:tc>
          <w:tcPr>
            <w:tcW w:w="5229" w:type="dxa"/>
            <w:noWrap/>
            <w:vAlign w:val="top"/>
          </w:tcPr>
          <w:p w14:paraId="1327A813">
            <w:r>
              <w:t>被保险人应尽可能收集医责险定损计赔所需证据单证，保险人不得以材料不齐为由拒绝赔偿。</w:t>
            </w:r>
          </w:p>
          <w:p w14:paraId="2E78550B">
            <w:r>
              <w:t>索赔资料包含但不限于如下</w:t>
            </w:r>
          </w:p>
          <w:p w14:paraId="0C77C784">
            <w:r>
              <w:t>（1）被保险人身份证明；</w:t>
            </w:r>
          </w:p>
          <w:p w14:paraId="39C43DB6">
            <w:r>
              <w:t>（2）实施手术的医疗机构出具的病历、诊断证明、手术证明；</w:t>
            </w:r>
          </w:p>
          <w:p w14:paraId="69FE21C6">
            <w:r>
              <w:t>（3）实施手术的医疗机构出具的被保险人死亡证明（适用于身故保险金申请的）；</w:t>
            </w:r>
          </w:p>
          <w:p w14:paraId="3DD3493C">
            <w:r>
              <w:t>（4）有鉴定资质的鉴定机构出具的伤残鉴定诊断书（适用于伤残保险金申请的）；</w:t>
            </w:r>
          </w:p>
          <w:p w14:paraId="7977856C">
            <w:r>
              <w:t>（5）医疗费用发票原件（如被保险人已从其他途径获得医疗费用补偿的，需提供第三方赔付证明原件、医疗费用发票复印件）、医疗费用明细清单（适用于医疗保险金申请的）；</w:t>
            </w:r>
          </w:p>
          <w:p w14:paraId="21CC443B">
            <w:r>
              <w:t>（6）受益人的身份证明及与被保险人的关系证明；</w:t>
            </w:r>
          </w:p>
          <w:p w14:paraId="00DC4D07">
            <w:r>
              <w:t>（7）受益人确认的银行账户。</w:t>
            </w:r>
          </w:p>
        </w:tc>
      </w:tr>
      <w:tr w14:paraId="6FFC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53EF336C">
            <w:r>
              <w:t>2</w:t>
            </w:r>
          </w:p>
        </w:tc>
        <w:tc>
          <w:tcPr>
            <w:tcW w:w="7167" w:type="dxa"/>
            <w:gridSpan w:val="2"/>
            <w:noWrap/>
            <w:vAlign w:val="top"/>
          </w:tcPr>
          <w:p w14:paraId="5D6CCC39">
            <w:r>
              <w:t>服务要求</w:t>
            </w:r>
          </w:p>
        </w:tc>
      </w:tr>
      <w:tr w14:paraId="7C696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center"/>
          </w:tcPr>
          <w:p w14:paraId="7F13BECA">
            <w:r>
              <w:t>2.1</w:t>
            </w:r>
          </w:p>
        </w:tc>
        <w:tc>
          <w:tcPr>
            <w:tcW w:w="1938" w:type="dxa"/>
            <w:noWrap/>
            <w:vAlign w:val="top"/>
          </w:tcPr>
          <w:p w14:paraId="5CFDD4B6">
            <w:r>
              <w:t>保险服务费用</w:t>
            </w:r>
          </w:p>
        </w:tc>
        <w:tc>
          <w:tcPr>
            <w:tcW w:w="5229" w:type="dxa"/>
            <w:noWrap/>
            <w:vAlign w:val="top"/>
          </w:tcPr>
          <w:p w14:paraId="45E3903E">
            <w:r>
              <w:t>投标人履行保险责任，并须承担在发生保险事故后，为防止或减少患者的人身损害所支付的合理的、必要的费用，以及案件处理等费用，上述费用应在保单中予以明确并载明，投标方需提供相关承诺</w:t>
            </w:r>
          </w:p>
        </w:tc>
      </w:tr>
      <w:tr w14:paraId="1CF63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center"/>
          </w:tcPr>
          <w:p w14:paraId="1F331AB9">
            <w:r>
              <w:rPr>
                <w:rFonts w:hint="eastAsia"/>
              </w:rPr>
              <w:t>2.2</w:t>
            </w:r>
          </w:p>
        </w:tc>
        <w:tc>
          <w:tcPr>
            <w:tcW w:w="1938" w:type="dxa"/>
            <w:noWrap/>
            <w:vAlign w:val="top"/>
          </w:tcPr>
          <w:p w14:paraId="125C32BA">
            <w:r>
              <w:rPr>
                <w:rFonts w:hint="eastAsia"/>
              </w:rPr>
              <w:t>应急</w:t>
            </w:r>
            <w:r>
              <w:t>响应</w:t>
            </w:r>
            <w:r>
              <w:rPr>
                <w:rFonts w:hint="eastAsia"/>
                <w:lang w:val="en-US" w:eastAsia="zh-CN"/>
              </w:rPr>
              <w:t>服</w:t>
            </w:r>
            <w:r>
              <w:t>务</w:t>
            </w:r>
            <w:r>
              <w:rPr>
                <w:spacing w:val="2"/>
              </w:rPr>
              <w:t>与</w:t>
            </w:r>
            <w:r>
              <w:t>纠纷</w:t>
            </w:r>
            <w:r>
              <w:rPr>
                <w:spacing w:val="2"/>
              </w:rPr>
              <w:t>处</w:t>
            </w:r>
            <w:r>
              <w:t>置</w:t>
            </w:r>
          </w:p>
        </w:tc>
        <w:tc>
          <w:tcPr>
            <w:tcW w:w="5229" w:type="dxa"/>
            <w:noWrap/>
            <w:vAlign w:val="top"/>
          </w:tcPr>
          <w:p w14:paraId="38FF7A8B">
            <w:r>
              <w:rPr>
                <w:rFonts w:hint="eastAsia"/>
              </w:rPr>
              <w:t>配备不少于1名具有专业资质的专职接待人员提供应急响应、在院驻点咨询、纠纷接待及纠纷处置、</w:t>
            </w:r>
            <w:r>
              <w:t>开展第三方见证谈话推动医疗风险分担</w:t>
            </w:r>
            <w:r>
              <w:rPr>
                <w:rFonts w:hint="eastAsia"/>
              </w:rPr>
              <w:t>等相关工作。接待人员每周驻院时间不少于3个工作日。接待人员驻院期间，需配合医院相关管理部门工作并根据合同协议接受考核。须提供投标人（或其代理机构）与服务人员签订的劳动合同复印件、服务人员履历及专业技术证书。制定详细的驻院服务方案（包括工作时间、考核标准、工作流程规范的）。</w:t>
            </w:r>
          </w:p>
        </w:tc>
      </w:tr>
      <w:tr w14:paraId="2716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2DE3CBD5">
            <w:r>
              <w:rPr>
                <w:rFonts w:hint="eastAsia"/>
              </w:rPr>
              <w:t>2.3</w:t>
            </w:r>
          </w:p>
        </w:tc>
        <w:tc>
          <w:tcPr>
            <w:tcW w:w="1938" w:type="dxa"/>
            <w:noWrap/>
            <w:vAlign w:val="top"/>
          </w:tcPr>
          <w:p w14:paraId="61228829">
            <w:r>
              <w:t>评</w:t>
            </w:r>
            <w:r>
              <w:rPr>
                <w:spacing w:val="2"/>
              </w:rPr>
              <w:t>估</w:t>
            </w:r>
            <w:r>
              <w:t>服务</w:t>
            </w:r>
            <w:r>
              <w:rPr>
                <w:spacing w:val="2"/>
              </w:rPr>
              <w:t>及</w:t>
            </w:r>
            <w:r>
              <w:t>理赔</w:t>
            </w:r>
            <w:r>
              <w:rPr>
                <w:spacing w:val="2"/>
              </w:rPr>
              <w:t>服</w:t>
            </w:r>
            <w:r>
              <w:t>务</w:t>
            </w:r>
          </w:p>
        </w:tc>
        <w:tc>
          <w:tcPr>
            <w:tcW w:w="5229" w:type="dxa"/>
            <w:noWrap/>
            <w:vAlign w:val="top"/>
          </w:tcPr>
          <w:p w14:paraId="4358129C">
            <w:r>
              <w:t>提供纠纷案件责任评估服务，投保人提交材料后3个工作日内反馈协商赔付金额参考意见，急案1个工作日内反馈，出具《上海市医疗责任保险赔偿处理意见书》，作为理赔时重要的参考依据之一。投标人（或其代理机构）内部须有专职医疗损害评估团队及专职理赔服务团队，需提供投标人（或其代理机构）与评估团队人员及理赔人员签订的劳动合同复印件或聘书、履历及专业技术证书。评估人员应包含有高级职称医务人员，并且从事医疗损害评鉴工作的专职人员；具备法律从业背景，并且在医疗损害方面有5年以上工作经验的专职人员。</w:t>
            </w:r>
          </w:p>
          <w:p w14:paraId="64F88AB8">
            <w:r>
              <w:t>理赔人员应具备三年以上医疗责任险项目理赔经验。</w:t>
            </w:r>
          </w:p>
        </w:tc>
      </w:tr>
      <w:tr w14:paraId="2A72A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7F71C12F">
            <w:r>
              <w:t>2.</w:t>
            </w:r>
            <w:r>
              <w:rPr>
                <w:rFonts w:hint="eastAsia"/>
              </w:rPr>
              <w:t>4</w:t>
            </w:r>
          </w:p>
        </w:tc>
        <w:tc>
          <w:tcPr>
            <w:tcW w:w="1938" w:type="dxa"/>
            <w:noWrap/>
            <w:vAlign w:val="top"/>
          </w:tcPr>
          <w:p w14:paraId="667D3EB2">
            <w:r>
              <w:rPr>
                <w:spacing w:val="2"/>
              </w:rPr>
              <w:t>专</w:t>
            </w:r>
            <w:r>
              <w:t>项培训</w:t>
            </w:r>
          </w:p>
        </w:tc>
        <w:tc>
          <w:tcPr>
            <w:tcW w:w="5229" w:type="dxa"/>
            <w:noWrap/>
            <w:vAlign w:val="top"/>
          </w:tcPr>
          <w:p w14:paraId="269BD0EF">
            <w:r>
              <w:t>能提供法律风险防范、纠纷处置与心理建设等相关专项培训。须提供培训内容描述及培训计划；及至少3份本院或其他</w:t>
            </w:r>
            <w:r>
              <w:rPr>
                <w:rFonts w:hint="eastAsia"/>
              </w:rPr>
              <w:t>三</w:t>
            </w:r>
            <w:r>
              <w:t>级医院的培训报告，建立培训机制。</w:t>
            </w:r>
          </w:p>
        </w:tc>
      </w:tr>
      <w:tr w14:paraId="7110A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3C20B65D">
            <w:r>
              <w:rPr>
                <w:rFonts w:hint="eastAsia"/>
              </w:rPr>
              <w:t>2.5</w:t>
            </w:r>
          </w:p>
        </w:tc>
        <w:tc>
          <w:tcPr>
            <w:tcW w:w="7167" w:type="dxa"/>
            <w:gridSpan w:val="2"/>
            <w:noWrap/>
            <w:vAlign w:val="top"/>
          </w:tcPr>
          <w:p w14:paraId="3927E2C7">
            <w:r>
              <w:rPr>
                <w:rFonts w:hint="eastAsia"/>
              </w:rPr>
              <w:t>风险管理</w:t>
            </w:r>
          </w:p>
        </w:tc>
      </w:tr>
      <w:tr w14:paraId="235E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4A7B64C6">
            <w:r>
              <w:t>2.</w:t>
            </w:r>
            <w:r>
              <w:rPr>
                <w:rFonts w:hint="eastAsia"/>
              </w:rPr>
              <w:t>5</w:t>
            </w:r>
            <w:r>
              <w:t>.1</w:t>
            </w:r>
          </w:p>
        </w:tc>
        <w:tc>
          <w:tcPr>
            <w:tcW w:w="1938" w:type="dxa"/>
            <w:noWrap/>
            <w:vAlign w:val="top"/>
          </w:tcPr>
          <w:p w14:paraId="39FE1D32">
            <w:r>
              <w:t>早</w:t>
            </w:r>
            <w:r>
              <w:rPr>
                <w:spacing w:val="2"/>
              </w:rPr>
              <w:t>期</w:t>
            </w:r>
            <w:r>
              <w:t>风险</w:t>
            </w:r>
            <w:r>
              <w:rPr>
                <w:spacing w:val="2"/>
              </w:rPr>
              <w:t>介</w:t>
            </w:r>
            <w:r>
              <w:t>入</w:t>
            </w:r>
          </w:p>
        </w:tc>
        <w:tc>
          <w:tcPr>
            <w:tcW w:w="5229" w:type="dxa"/>
            <w:noWrap/>
            <w:vAlign w:val="top"/>
          </w:tcPr>
          <w:p w14:paraId="7D5716A2">
            <w:r>
              <w:t>配备具有专业心理咨询师资质及有丰富医患沟通经验的的人员提供早期风险介入应急响应，对于抗拒(干涉）治疗、沟通困难、自我伤残倾向、暴力倾向、群体性事件、心理疾病等情况及时出现场进行心理疏导，接到保险人报告后，一般案例20分钟内到场。非紧急情况可以适当延长至24小时内。需提供早期风险介入应急响应报告，配备具有专业心理咨询师资质的人员。</w:t>
            </w:r>
          </w:p>
        </w:tc>
      </w:tr>
      <w:tr w14:paraId="3048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1A4045DB">
            <w:r>
              <w:t>2.</w:t>
            </w:r>
            <w:r>
              <w:rPr>
                <w:rFonts w:hint="eastAsia"/>
              </w:rPr>
              <w:t>5</w:t>
            </w:r>
            <w:r>
              <w:t>.2</w:t>
            </w:r>
          </w:p>
        </w:tc>
        <w:tc>
          <w:tcPr>
            <w:tcW w:w="1938" w:type="dxa"/>
            <w:noWrap/>
            <w:vAlign w:val="top"/>
          </w:tcPr>
          <w:p w14:paraId="4A183505">
            <w:r>
              <w:t>协</w:t>
            </w:r>
            <w:r>
              <w:rPr>
                <w:spacing w:val="2"/>
              </w:rPr>
              <w:t>助</w:t>
            </w:r>
            <w:r>
              <w:t>风险</w:t>
            </w:r>
            <w:r>
              <w:rPr>
                <w:spacing w:val="2"/>
              </w:rPr>
              <w:t>防</w:t>
            </w:r>
            <w:r>
              <w:t>控</w:t>
            </w:r>
          </w:p>
        </w:tc>
        <w:tc>
          <w:tcPr>
            <w:tcW w:w="5229" w:type="dxa"/>
            <w:noWrap/>
            <w:vAlign w:val="top"/>
          </w:tcPr>
          <w:p w14:paraId="07BB6977">
            <w:r>
              <w:t>分析医疗行为风险和法律漏洞，每例赔案做到“一案一反馈”，并提供至少3</w:t>
            </w:r>
            <w:r>
              <w:rPr>
                <w:rFonts w:hint="eastAsia"/>
              </w:rPr>
              <w:t>份</w:t>
            </w:r>
            <w:r>
              <w:t>反馈报告备查。</w:t>
            </w:r>
          </w:p>
        </w:tc>
      </w:tr>
      <w:tr w14:paraId="28E09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41464D99">
            <w:r>
              <w:t>2.</w:t>
            </w:r>
            <w:r>
              <w:rPr>
                <w:rFonts w:hint="eastAsia"/>
              </w:rPr>
              <w:t>5</w:t>
            </w:r>
            <w:r>
              <w:t>.3</w:t>
            </w:r>
          </w:p>
        </w:tc>
        <w:tc>
          <w:tcPr>
            <w:tcW w:w="1938" w:type="dxa"/>
            <w:noWrap/>
            <w:vAlign w:val="top"/>
          </w:tcPr>
          <w:p w14:paraId="396B8D0B">
            <w:r>
              <w:rPr>
                <w:spacing w:val="2"/>
              </w:rPr>
              <w:t>定</w:t>
            </w:r>
            <w:r>
              <w:t>期汇报</w:t>
            </w:r>
          </w:p>
        </w:tc>
        <w:tc>
          <w:tcPr>
            <w:tcW w:w="5229" w:type="dxa"/>
            <w:noWrap/>
            <w:vAlign w:val="top"/>
          </w:tcPr>
          <w:p w14:paraId="47B32D1C">
            <w:r>
              <w:t>按季度提供风险分析报告，并能根据医院的要求提供各类相关管理报告，提供至少2分定期报告备查。</w:t>
            </w:r>
          </w:p>
        </w:tc>
      </w:tr>
      <w:tr w14:paraId="59388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5A29F9D8">
            <w:r>
              <w:t>2.</w:t>
            </w:r>
            <w:r>
              <w:rPr>
                <w:rFonts w:hint="eastAsia"/>
              </w:rPr>
              <w:t>6</w:t>
            </w:r>
          </w:p>
        </w:tc>
        <w:tc>
          <w:tcPr>
            <w:tcW w:w="1938" w:type="dxa"/>
            <w:noWrap/>
            <w:vAlign w:val="top"/>
          </w:tcPr>
          <w:p w14:paraId="4F026975">
            <w:r>
              <w:rPr>
                <w:spacing w:val="2"/>
              </w:rPr>
              <w:t>法</w:t>
            </w:r>
            <w:r>
              <w:t>律协助</w:t>
            </w:r>
          </w:p>
        </w:tc>
        <w:tc>
          <w:tcPr>
            <w:tcW w:w="5229" w:type="dxa"/>
            <w:noWrap/>
            <w:vAlign w:val="top"/>
          </w:tcPr>
          <w:p w14:paraId="129EE7FE">
            <w:r>
              <w:t>配备有资质的专业律师，针对疑难或有争议的案件，能够根据医院的需求提供法律咨询、律师见证、参与术前谈话、医疗纠纷协商处置等服务，需提供律师履历。</w:t>
            </w:r>
          </w:p>
        </w:tc>
      </w:tr>
      <w:tr w14:paraId="5A509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33E744F1">
            <w:r>
              <w:t>2.</w:t>
            </w:r>
            <w:r>
              <w:rPr>
                <w:rFonts w:hint="eastAsia"/>
              </w:rPr>
              <w:t>7</w:t>
            </w:r>
          </w:p>
        </w:tc>
        <w:tc>
          <w:tcPr>
            <w:tcW w:w="1938" w:type="dxa"/>
            <w:noWrap/>
            <w:vAlign w:val="top"/>
          </w:tcPr>
          <w:p w14:paraId="7447937A">
            <w:r>
              <w:rPr>
                <w:spacing w:val="2"/>
              </w:rPr>
              <w:t>增</w:t>
            </w:r>
            <w:r>
              <w:t>值服务</w:t>
            </w:r>
          </w:p>
        </w:tc>
        <w:tc>
          <w:tcPr>
            <w:tcW w:w="5229" w:type="dxa"/>
            <w:noWrap/>
            <w:vAlign w:val="top"/>
          </w:tcPr>
          <w:p w14:paraId="539E99FF">
            <w:r>
              <w:t>投标人能够提出有利于被保险人的扩展责任条款，或有利于被保险人提高风险管理的其他配套产品方案。</w:t>
            </w:r>
          </w:p>
        </w:tc>
      </w:tr>
      <w:tr w14:paraId="2F3B7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530BE47B">
            <w:pPr>
              <w:rPr>
                <w:rFonts w:hint="default" w:eastAsia="宋体"/>
                <w:lang w:val="en-US" w:eastAsia="zh-CN"/>
              </w:rPr>
            </w:pPr>
            <w:r>
              <w:rPr>
                <w:rFonts w:hint="eastAsia"/>
                <w:lang w:val="en-US" w:eastAsia="zh-CN"/>
              </w:rPr>
              <w:t>2.8</w:t>
            </w:r>
          </w:p>
        </w:tc>
        <w:tc>
          <w:tcPr>
            <w:tcW w:w="1938" w:type="dxa"/>
            <w:noWrap/>
            <w:vAlign w:val="top"/>
          </w:tcPr>
          <w:p w14:paraId="44549028">
            <w:pPr>
              <w:rPr>
                <w:rFonts w:hint="default" w:eastAsia="宋体"/>
                <w:spacing w:val="2"/>
                <w:lang w:val="en-US" w:eastAsia="zh-CN"/>
              </w:rPr>
            </w:pPr>
            <w:r>
              <w:rPr>
                <w:rFonts w:hint="eastAsia"/>
                <w:spacing w:val="2"/>
                <w:lang w:val="en-US" w:eastAsia="zh-CN"/>
              </w:rPr>
              <w:t>人员要求</w:t>
            </w:r>
          </w:p>
        </w:tc>
        <w:tc>
          <w:tcPr>
            <w:tcW w:w="5229" w:type="dxa"/>
            <w:noWrap/>
            <w:vAlign w:val="top"/>
          </w:tcPr>
          <w:p w14:paraId="0616E617">
            <w:r>
              <w:rPr>
                <w:rFonts w:hint="eastAsia" w:ascii="宋体" w:hAnsi="宋体" w:eastAsia="宋体" w:cs="宋体"/>
                <w:color w:val="000000"/>
                <w:kern w:val="0"/>
                <w:sz w:val="22"/>
                <w:szCs w:val="22"/>
                <w:lang w:val="en-US" w:eastAsia="zh-CN" w:bidi="ar"/>
              </w:rPr>
              <w:t>本项目中人员岗位要求（但不仅限于）</w:t>
            </w:r>
            <w:r>
              <w:rPr>
                <w:rFonts w:hint="eastAsia" w:cs="宋体"/>
                <w:color w:val="000000"/>
                <w:kern w:val="0"/>
                <w:sz w:val="22"/>
                <w:szCs w:val="22"/>
                <w:lang w:val="en-US" w:eastAsia="zh-CN" w:bidi="ar"/>
              </w:rPr>
              <w:t>如下</w:t>
            </w:r>
          </w:p>
        </w:tc>
      </w:tr>
      <w:tr w14:paraId="5DEC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7E498EC2">
            <w:pPr>
              <w:rPr>
                <w:rFonts w:hint="default"/>
                <w:lang w:val="en-US" w:eastAsia="zh-CN"/>
              </w:rPr>
            </w:pPr>
            <w:r>
              <w:rPr>
                <w:rFonts w:hint="eastAsia"/>
                <w:lang w:val="en-US" w:eastAsia="zh-CN"/>
              </w:rPr>
              <w:t>2.8.1</w:t>
            </w:r>
          </w:p>
        </w:tc>
        <w:tc>
          <w:tcPr>
            <w:tcW w:w="1938" w:type="dxa"/>
            <w:noWrap/>
            <w:vAlign w:val="top"/>
          </w:tcPr>
          <w:p w14:paraId="3B944ED8">
            <w:pPr>
              <w:rPr>
                <w:rFonts w:hint="default"/>
                <w:spacing w:val="2"/>
                <w:lang w:val="en-US" w:eastAsia="zh-CN"/>
              </w:rPr>
            </w:pPr>
            <w:r>
              <w:rPr>
                <w:rFonts w:hint="eastAsia" w:ascii="宋体" w:hAnsi="宋体" w:eastAsia="宋体" w:cs="宋体"/>
                <w:color w:val="000000"/>
                <w:kern w:val="0"/>
                <w:sz w:val="22"/>
                <w:szCs w:val="22"/>
                <w:lang w:val="en-US" w:eastAsia="zh-CN" w:bidi="ar"/>
              </w:rPr>
              <w:t>项目负责人</w:t>
            </w:r>
            <w:r>
              <w:rPr>
                <w:rFonts w:hint="eastAsia" w:cs="宋体"/>
                <w:color w:val="000000"/>
                <w:kern w:val="0"/>
                <w:sz w:val="22"/>
                <w:szCs w:val="22"/>
                <w:lang w:val="en-US" w:eastAsia="zh-CN" w:bidi="ar"/>
              </w:rPr>
              <w:t xml:space="preserve"> 1人</w:t>
            </w:r>
          </w:p>
        </w:tc>
        <w:tc>
          <w:tcPr>
            <w:tcW w:w="5229" w:type="dxa"/>
            <w:noWrap/>
            <w:vAlign w:val="top"/>
          </w:tcPr>
          <w:p w14:paraId="4F79F39D">
            <w:r>
              <w:rPr>
                <w:rFonts w:hint="eastAsia" w:ascii="宋体" w:hAnsi="宋体" w:eastAsia="宋体" w:cs="宋体"/>
                <w:color w:val="000000"/>
                <w:kern w:val="0"/>
                <w:sz w:val="22"/>
                <w:szCs w:val="22"/>
                <w:lang w:val="en-US" w:eastAsia="zh-CN" w:bidi="ar"/>
              </w:rPr>
              <w:t>本科及以上学历，具有金融类中级职称，从事相关行业有</w:t>
            </w:r>
            <w:r>
              <w:rPr>
                <w:rFonts w:hint="eastAsia" w:cs="宋体"/>
                <w:color w:val="000000"/>
                <w:kern w:val="0"/>
                <w:sz w:val="22"/>
                <w:szCs w:val="22"/>
                <w:lang w:val="en-US" w:eastAsia="zh-CN" w:bidi="ar"/>
              </w:rPr>
              <w:t>十</w:t>
            </w:r>
            <w:r>
              <w:rPr>
                <w:rFonts w:hint="eastAsia" w:ascii="宋体" w:hAnsi="宋体" w:eastAsia="宋体" w:cs="宋体"/>
                <w:color w:val="000000"/>
                <w:kern w:val="0"/>
                <w:sz w:val="22"/>
                <w:szCs w:val="22"/>
                <w:lang w:val="en-US" w:eastAsia="zh-CN" w:bidi="ar"/>
              </w:rPr>
              <w:t>年以上的工作经验</w:t>
            </w:r>
          </w:p>
        </w:tc>
      </w:tr>
      <w:tr w14:paraId="11C59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09CCD512">
            <w:pPr>
              <w:rPr>
                <w:rFonts w:hint="default"/>
                <w:lang w:val="en-US" w:eastAsia="zh-CN"/>
              </w:rPr>
            </w:pPr>
            <w:r>
              <w:rPr>
                <w:rFonts w:hint="eastAsia"/>
                <w:lang w:val="en-US" w:eastAsia="zh-CN"/>
              </w:rPr>
              <w:t>2.8.2</w:t>
            </w:r>
          </w:p>
        </w:tc>
        <w:tc>
          <w:tcPr>
            <w:tcW w:w="1938" w:type="dxa"/>
            <w:noWrap/>
            <w:vAlign w:val="top"/>
          </w:tcPr>
          <w:p w14:paraId="4433C14D">
            <w:pP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评估人员</w:t>
            </w:r>
            <w:r>
              <w:rPr>
                <w:rFonts w:hint="eastAsia" w:cs="宋体"/>
                <w:color w:val="000000"/>
                <w:kern w:val="0"/>
                <w:sz w:val="22"/>
                <w:szCs w:val="22"/>
                <w:lang w:val="en-US" w:eastAsia="zh-CN" w:bidi="ar"/>
              </w:rPr>
              <w:t xml:space="preserve"> 3人</w:t>
            </w:r>
          </w:p>
        </w:tc>
        <w:tc>
          <w:tcPr>
            <w:tcW w:w="5229" w:type="dxa"/>
            <w:noWrap/>
            <w:vAlign w:val="top"/>
          </w:tcPr>
          <w:p w14:paraId="2E5E1841">
            <w:pP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评估人员包含从事医疗损害评鉴工作的人员、专业医务人员及具备法律从业背景并且在医疗损害方面有</w:t>
            </w:r>
            <w:r>
              <w:rPr>
                <w:rFonts w:hint="eastAsia" w:cs="宋体"/>
                <w:color w:val="000000"/>
                <w:kern w:val="0"/>
                <w:sz w:val="22"/>
                <w:szCs w:val="22"/>
                <w:lang w:val="en-US" w:eastAsia="zh-CN" w:bidi="ar"/>
              </w:rPr>
              <w:t>五</w:t>
            </w:r>
            <w:r>
              <w:rPr>
                <w:rFonts w:hint="eastAsia" w:ascii="宋体" w:hAnsi="宋体" w:eastAsia="宋体" w:cs="宋体"/>
                <w:color w:val="000000"/>
                <w:kern w:val="0"/>
                <w:sz w:val="22"/>
                <w:szCs w:val="22"/>
                <w:lang w:val="en-US" w:eastAsia="zh-CN" w:bidi="ar"/>
              </w:rPr>
              <w:t>年以上工作经验的专职人员，其中至少有一人具备高级职称（医疗类专业）</w:t>
            </w:r>
          </w:p>
        </w:tc>
      </w:tr>
      <w:tr w14:paraId="67672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61F8F497">
            <w:pPr>
              <w:rPr>
                <w:rFonts w:hint="default"/>
                <w:lang w:val="en-US" w:eastAsia="zh-CN"/>
              </w:rPr>
            </w:pPr>
            <w:r>
              <w:rPr>
                <w:rFonts w:hint="eastAsia"/>
                <w:lang w:val="en-US" w:eastAsia="zh-CN"/>
              </w:rPr>
              <w:t>2.8.3</w:t>
            </w:r>
          </w:p>
        </w:tc>
        <w:tc>
          <w:tcPr>
            <w:tcW w:w="1938" w:type="dxa"/>
            <w:noWrap/>
            <w:vAlign w:val="top"/>
          </w:tcPr>
          <w:p w14:paraId="6145CEA9">
            <w:pPr>
              <w:rPr>
                <w:rFonts w:hint="default" w:ascii="宋体" w:hAnsi="宋体" w:eastAsia="宋体" w:cs="宋体"/>
                <w:color w:val="000000"/>
                <w:kern w:val="0"/>
                <w:sz w:val="22"/>
                <w:szCs w:val="22"/>
                <w:lang w:val="en-US" w:eastAsia="zh-CN" w:bidi="ar"/>
              </w:rPr>
            </w:pPr>
            <w:r>
              <w:rPr>
                <w:rFonts w:hint="eastAsia" w:cs="宋体"/>
                <w:color w:val="000000"/>
                <w:kern w:val="0"/>
                <w:sz w:val="22"/>
                <w:szCs w:val="22"/>
                <w:lang w:val="en-US" w:eastAsia="zh-CN" w:bidi="ar"/>
              </w:rPr>
              <w:t>理赔人员 1人</w:t>
            </w:r>
          </w:p>
        </w:tc>
        <w:tc>
          <w:tcPr>
            <w:tcW w:w="5229" w:type="dxa"/>
            <w:noWrap/>
            <w:vAlign w:val="top"/>
          </w:tcPr>
          <w:p w14:paraId="42870E91">
            <w:pP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具备三年以上医疗责任险项目理赔经验。</w:t>
            </w:r>
          </w:p>
        </w:tc>
      </w:tr>
      <w:tr w14:paraId="53D05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29" w:type="dxa"/>
            <w:noWrap/>
            <w:vAlign w:val="top"/>
          </w:tcPr>
          <w:p w14:paraId="211CA048">
            <w:r>
              <w:rPr>
                <w:rFonts w:hint="eastAsia"/>
              </w:rPr>
              <w:t>3</w:t>
            </w:r>
          </w:p>
        </w:tc>
        <w:tc>
          <w:tcPr>
            <w:tcW w:w="7167" w:type="dxa"/>
            <w:gridSpan w:val="2"/>
            <w:noWrap/>
            <w:vAlign w:val="top"/>
          </w:tcPr>
          <w:p w14:paraId="03C7AA79">
            <w:r>
              <w:rPr>
                <w:rFonts w:hint="eastAsia"/>
              </w:rPr>
              <w:t>资质要求</w:t>
            </w:r>
          </w:p>
        </w:tc>
      </w:tr>
      <w:tr w14:paraId="76B41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1D9760CD">
            <w:r>
              <w:t>3.1</w:t>
            </w:r>
          </w:p>
        </w:tc>
        <w:tc>
          <w:tcPr>
            <w:tcW w:w="1938" w:type="dxa"/>
            <w:noWrap/>
            <w:vAlign w:val="top"/>
          </w:tcPr>
          <w:p w14:paraId="344E5A62"/>
        </w:tc>
        <w:tc>
          <w:tcPr>
            <w:tcW w:w="5229" w:type="dxa"/>
            <w:noWrap/>
            <w:vAlign w:val="top"/>
          </w:tcPr>
          <w:p w14:paraId="57A54F8A">
            <w:r>
              <w:t>经营范围涵盖非寿险业务的各个领域，必须包含企业财产保险类、责任险类、短期健康保险和意外伤害保险类。</w:t>
            </w:r>
          </w:p>
        </w:tc>
      </w:tr>
      <w:tr w14:paraId="54868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0DE174B8">
            <w:r>
              <w:t>3.2</w:t>
            </w:r>
          </w:p>
        </w:tc>
        <w:tc>
          <w:tcPr>
            <w:tcW w:w="1938" w:type="dxa"/>
            <w:noWrap/>
            <w:vAlign w:val="top"/>
          </w:tcPr>
          <w:p w14:paraId="05D363B1"/>
        </w:tc>
        <w:tc>
          <w:tcPr>
            <w:tcW w:w="5229" w:type="dxa"/>
            <w:noWrap/>
            <w:vAlign w:val="top"/>
          </w:tcPr>
          <w:p w14:paraId="421B2C8E">
            <w:r>
              <w:t>投标人须是经中国保险监督管理委员会批准成立，具有在本市开展相关保险业务资格，并以其总公司或省级分公司（或同级机构）的名义投标和承保；须提供加盖公章的工商营业执照、税务登记证书、组织机构代码复印件（或加盖公章的三证合一的营业执照）；</w:t>
            </w:r>
          </w:p>
        </w:tc>
      </w:tr>
      <w:tr w14:paraId="32589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29" w:type="dxa"/>
            <w:noWrap/>
            <w:vAlign w:val="top"/>
          </w:tcPr>
          <w:p w14:paraId="3E74459F">
            <w:r>
              <w:t>3.3</w:t>
            </w:r>
          </w:p>
        </w:tc>
        <w:tc>
          <w:tcPr>
            <w:tcW w:w="1938" w:type="dxa"/>
            <w:noWrap/>
            <w:vAlign w:val="top"/>
          </w:tcPr>
          <w:p w14:paraId="4487A1AA"/>
        </w:tc>
        <w:tc>
          <w:tcPr>
            <w:tcW w:w="5229" w:type="dxa"/>
            <w:noWrap/>
            <w:vAlign w:val="top"/>
          </w:tcPr>
          <w:p w14:paraId="4E267B7C">
            <w:r>
              <w:t>投标人具有中国保险监督管理委员会颁发的经营保险业务许可证。</w:t>
            </w:r>
          </w:p>
        </w:tc>
      </w:tr>
      <w:tr w14:paraId="2328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182F26B3">
            <w:r>
              <w:rPr>
                <w:rFonts w:hint="eastAsia"/>
              </w:rPr>
              <w:t>4</w:t>
            </w:r>
          </w:p>
        </w:tc>
        <w:tc>
          <w:tcPr>
            <w:tcW w:w="7167" w:type="dxa"/>
            <w:gridSpan w:val="2"/>
            <w:noWrap/>
            <w:vAlign w:val="top"/>
          </w:tcPr>
          <w:p w14:paraId="68689917">
            <w:r>
              <w:rPr>
                <w:rFonts w:hint="eastAsia"/>
              </w:rPr>
              <w:t>成功案例</w:t>
            </w:r>
          </w:p>
        </w:tc>
      </w:tr>
      <w:tr w14:paraId="66C6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69FAB0FE">
            <w:r>
              <w:rPr>
                <w:rFonts w:hint="eastAsia"/>
              </w:rPr>
              <w:t>4.1</w:t>
            </w:r>
          </w:p>
        </w:tc>
        <w:tc>
          <w:tcPr>
            <w:tcW w:w="1938" w:type="dxa"/>
            <w:noWrap/>
            <w:vAlign w:val="top"/>
          </w:tcPr>
          <w:p w14:paraId="46CA1B55"/>
        </w:tc>
        <w:tc>
          <w:tcPr>
            <w:tcW w:w="5229" w:type="dxa"/>
            <w:noWrap/>
            <w:vAlign w:val="top"/>
          </w:tcPr>
          <w:p w14:paraId="43738321">
            <w:r>
              <w:rPr>
                <w:rFonts w:hint="eastAsia"/>
              </w:rPr>
              <w:t>投标人</w:t>
            </w:r>
            <w:r>
              <w:rPr>
                <w:rFonts w:hint="eastAsia"/>
                <w:lang w:val="en-US" w:eastAsia="zh-CN"/>
              </w:rPr>
              <w:t>近三年</w:t>
            </w:r>
            <w:r>
              <w:rPr>
                <w:rFonts w:hint="eastAsia"/>
              </w:rPr>
              <w:t>以来承接类似项目获得的业主的评价函。</w:t>
            </w:r>
          </w:p>
        </w:tc>
      </w:tr>
      <w:tr w14:paraId="42935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ign w:val="top"/>
          </w:tcPr>
          <w:p w14:paraId="7630665C">
            <w:r>
              <w:rPr>
                <w:rFonts w:hint="eastAsia"/>
              </w:rPr>
              <w:t>4.2</w:t>
            </w:r>
          </w:p>
        </w:tc>
        <w:tc>
          <w:tcPr>
            <w:tcW w:w="1938" w:type="dxa"/>
            <w:noWrap/>
            <w:vAlign w:val="top"/>
          </w:tcPr>
          <w:p w14:paraId="1EA9E8A6"/>
        </w:tc>
        <w:tc>
          <w:tcPr>
            <w:tcW w:w="5229" w:type="dxa"/>
            <w:noWrap/>
            <w:vAlign w:val="top"/>
          </w:tcPr>
          <w:p w14:paraId="5FF67089">
            <w:r>
              <w:rPr>
                <w:rFonts w:hint="eastAsia"/>
              </w:rPr>
              <w:t>投标人</w:t>
            </w:r>
            <w:r>
              <w:rPr>
                <w:rFonts w:hint="eastAsia"/>
                <w:lang w:val="en-US" w:eastAsia="zh-CN"/>
              </w:rPr>
              <w:t>近三年</w:t>
            </w:r>
            <w:r>
              <w:rPr>
                <w:rFonts w:hint="eastAsia"/>
              </w:rPr>
              <w:t>以来（以合同签订时间为准）承接类似项目的成功案例，并提供合同复印件等证明资料。</w:t>
            </w:r>
          </w:p>
        </w:tc>
      </w:tr>
    </w:tbl>
    <w:p w14:paraId="68D74197"/>
    <w:p w14:paraId="31D1AB0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lMWRjY2MxYzY5MjZhZDY0NWY3ZWQxOTkzZjcwYmMifQ=="/>
  </w:docVars>
  <w:rsids>
    <w:rsidRoot w:val="42E10E59"/>
    <w:rsid w:val="04F7436C"/>
    <w:rsid w:val="07013F3A"/>
    <w:rsid w:val="088F5575"/>
    <w:rsid w:val="15064DE7"/>
    <w:rsid w:val="163C3B51"/>
    <w:rsid w:val="16442E4A"/>
    <w:rsid w:val="176851B1"/>
    <w:rsid w:val="1AFC6A9A"/>
    <w:rsid w:val="1DF87682"/>
    <w:rsid w:val="259E13FD"/>
    <w:rsid w:val="26063F40"/>
    <w:rsid w:val="28B76E23"/>
    <w:rsid w:val="314A4FAB"/>
    <w:rsid w:val="334A33CD"/>
    <w:rsid w:val="33F71E1E"/>
    <w:rsid w:val="373B1322"/>
    <w:rsid w:val="42E10E59"/>
    <w:rsid w:val="42F11DB3"/>
    <w:rsid w:val="43C35FFD"/>
    <w:rsid w:val="442F364F"/>
    <w:rsid w:val="4C066EC9"/>
    <w:rsid w:val="4E2234FC"/>
    <w:rsid w:val="53510D75"/>
    <w:rsid w:val="5EDD0CDB"/>
    <w:rsid w:val="63497B65"/>
    <w:rsid w:val="6D5C2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宋体" w:hAnsi="宋体"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customStyle="1" w:styleId="5">
    <w:name w:val="标题二、"/>
    <w:basedOn w:val="1"/>
    <w:qFormat/>
    <w:uiPriority w:val="99"/>
    <w:pPr>
      <w:spacing w:line="360" w:lineRule="auto"/>
      <w:ind w:firstLine="200" w:firstLineChars="200"/>
      <w:outlineLvl w:val="2"/>
    </w:pPr>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3507</Words>
  <Characters>3738</Characters>
  <Lines>0</Lines>
  <Paragraphs>0</Paragraphs>
  <TotalTime>1258</TotalTime>
  <ScaleCrop>false</ScaleCrop>
  <LinksUpToDate>false</LinksUpToDate>
  <CharactersWithSpaces>3753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2024-06-05T02:23:00Z</dcterms:created>
  <dc:creator>Camélia</dc:creator>
  <cp:lastModifiedBy>快到伟哥碗里来丶</cp:lastModifiedBy>
  <dcterms:modified xsi:type="dcterms:W3CDTF">2025-06-20T05:46:25Z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F2DE06E17B2543C4AB1FAD9BDA5193D1_13</vt:lpwstr>
  </property>
  <property fmtid="{D5CDD505-2E9C-101B-9397-08002B2CF9AE}" pid="4" name="KSOTemplateDocerSaveRecord">
    <vt:lpwstr>eyJoZGlkIjoiYzFkM2M4ODk5NmRhNDAzMDA3NWZlZGJkYmMyODZmMzMiLCJ1c2VySWQiOiIyNTI3OTk4OTAifQ==</vt:lpwstr>
  </property>
</Properties>
</file>