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7D120">
      <w:pPr>
        <w:pStyle w:val="2"/>
        <w:spacing w:line="500" w:lineRule="exact"/>
        <w:ind w:left="24" w:leftChars="10" w:right="113" w:firstLine="4"/>
        <w:jc w:val="center"/>
        <w:rPr>
          <w:rFonts w:hint="eastAsia"/>
          <w:b/>
          <w:bCs/>
          <w:color w:val="auto"/>
          <w:sz w:val="30"/>
          <w:szCs w:val="30"/>
        </w:rPr>
      </w:pPr>
      <w:r>
        <w:rPr>
          <w:rFonts w:hint="eastAsia"/>
          <w:b/>
          <w:bCs/>
          <w:color w:val="auto"/>
          <w:sz w:val="30"/>
          <w:szCs w:val="30"/>
          <w:lang w:val="en-US" w:eastAsia="zh-CN"/>
        </w:rPr>
        <w:t>静安区</w:t>
      </w:r>
      <w:r>
        <w:rPr>
          <w:rFonts w:hint="eastAsia"/>
          <w:b/>
          <w:bCs/>
          <w:color w:val="auto"/>
          <w:sz w:val="30"/>
          <w:szCs w:val="30"/>
        </w:rPr>
        <w:t>彭浦新村街道社区卫生服务中心</w:t>
      </w:r>
    </w:p>
    <w:p w14:paraId="6AF0D6D4">
      <w:pPr>
        <w:pStyle w:val="2"/>
        <w:spacing w:line="500" w:lineRule="exact"/>
        <w:ind w:left="24" w:leftChars="10" w:right="113" w:firstLine="4"/>
        <w:jc w:val="center"/>
        <w:rPr>
          <w:rFonts w:hint="eastAsia"/>
          <w:b/>
          <w:bCs/>
          <w:color w:val="auto"/>
          <w:sz w:val="30"/>
          <w:szCs w:val="30"/>
        </w:rPr>
      </w:pPr>
      <w:r>
        <w:rPr>
          <w:rFonts w:hint="eastAsia"/>
          <w:b/>
          <w:bCs/>
          <w:color w:val="auto"/>
          <w:sz w:val="30"/>
          <w:szCs w:val="30"/>
        </w:rPr>
        <w:t>5G社区主动健康与智慧管理系统建设项目需求</w:t>
      </w:r>
    </w:p>
    <w:p w14:paraId="671073A9">
      <w:pPr>
        <w:rPr>
          <w:rFonts w:hint="eastAsia"/>
        </w:rPr>
      </w:pPr>
    </w:p>
    <w:p w14:paraId="346E80E5">
      <w:pPr>
        <w:pStyle w:val="3"/>
        <w:numPr>
          <w:ilvl w:val="0"/>
          <w:numId w:val="2"/>
        </w:numPr>
        <w:spacing w:after="0" w:line="500" w:lineRule="exact"/>
        <w:ind w:left="24" w:leftChars="10" w:right="113"/>
        <w:rPr>
          <w:rFonts w:hint="eastAsia" w:ascii="宋体" w:hAnsi="宋体" w:eastAsia="宋体" w:cs="宋体"/>
          <w:b/>
          <w:bCs/>
        </w:rPr>
      </w:pPr>
      <w:r>
        <w:rPr>
          <w:rFonts w:hint="eastAsia" w:ascii="宋体" w:hAnsi="宋体" w:eastAsia="宋体" w:cs="宋体"/>
          <w:b/>
          <w:bCs/>
        </w:rPr>
        <w:t xml:space="preserve">项目背景 </w:t>
      </w:r>
    </w:p>
    <w:p w14:paraId="0E53B107">
      <w:pPr>
        <w:spacing w:after="0" w:line="500" w:lineRule="exact"/>
        <w:ind w:left="24" w:leftChars="10" w:right="113" w:firstLine="480" w:firstLineChars="200"/>
        <w:rPr>
          <w:rFonts w:hint="eastAsia"/>
        </w:rPr>
      </w:pPr>
      <w:r>
        <w:rPr>
          <w:rFonts w:hint="eastAsia"/>
          <w:szCs w:val="24"/>
        </w:rPr>
        <w:t>为贯彻落实《关于进一步完善医疗卫生服务体系的意见》、《关于促进</w:t>
      </w:r>
      <w:r>
        <w:rPr>
          <w:rFonts w:hint="eastAsia"/>
          <w:szCs w:val="24"/>
          <w:lang w:val="zh-CN"/>
        </w:rPr>
        <w:t>“互</w:t>
      </w:r>
      <w:r>
        <w:rPr>
          <w:rFonts w:hint="eastAsia"/>
          <w:szCs w:val="24"/>
        </w:rPr>
        <w:t>联网+医疗健康”发展的意见》精神以及《2023年度上海市“便捷就医服务”数字化转型3.0工作方案》要求，实现以人为本、便民惠民，以人民群众多层次多元化医疗健康需求为导向的建设目标。本项目依托5G互联网、云技术等新兴技术，提高医疗健康服务质量和可及性；以社区健康管理中心管理居民的</w:t>
      </w:r>
      <w:r>
        <w:rPr>
          <w:rFonts w:hint="eastAsia"/>
          <w:szCs w:val="24"/>
          <w:lang w:eastAsia="zh-Hans"/>
        </w:rPr>
        <w:t>高发疾病糖尿病、高血压和慢性阻塞性肺疾病为试点病种，开展</w:t>
      </w:r>
      <w:r>
        <w:rPr>
          <w:rFonts w:hint="eastAsia"/>
          <w:szCs w:val="24"/>
        </w:rPr>
        <w:t>疾病风险预警模型分析及精准干预</w:t>
      </w:r>
      <w:r>
        <w:rPr>
          <w:rFonts w:hint="eastAsia"/>
          <w:szCs w:val="24"/>
          <w:lang w:eastAsia="zh-Hans"/>
        </w:rPr>
        <w:t>系统构建</w:t>
      </w:r>
      <w:r>
        <w:rPr>
          <w:rFonts w:hint="eastAsia"/>
          <w:szCs w:val="24"/>
        </w:rPr>
        <w:t>，为签约居民提供个性化的健康干预，把家庭医生签而有约做实。通过5G互联网、可穿戴设备、智能健康家居等技术的应用，进一步缩减医患信息沟通成本，突破传统医疗空间限制，形成了线上线下整合一体化的慢性疾病高效管理模式。创新驱动融合发展，推动医疗健康与互联网深度融合，优化医疗资源配置，提髙服务体系整体效能。实现以社区家庭医生团队为核心，应用智慧社区互联网，提供签约居民的健康管理服务，拓宽医疗信息化市场空间。</w:t>
      </w:r>
      <w:r>
        <w:rPr>
          <w:rFonts w:hint="eastAsia"/>
        </w:rPr>
        <w:t xml:space="preserve"> </w:t>
      </w:r>
    </w:p>
    <w:p w14:paraId="3BBB193C">
      <w:pPr>
        <w:spacing w:after="0" w:line="500" w:lineRule="exact"/>
        <w:ind w:left="24" w:leftChars="10" w:right="113" w:firstLine="480" w:firstLineChars="200"/>
        <w:rPr>
          <w:rFonts w:hint="eastAsia"/>
        </w:rPr>
      </w:pPr>
    </w:p>
    <w:p w14:paraId="13C3D569">
      <w:pPr>
        <w:pStyle w:val="3"/>
        <w:numPr>
          <w:ilvl w:val="0"/>
          <w:numId w:val="2"/>
        </w:numPr>
        <w:spacing w:after="0" w:line="500" w:lineRule="exact"/>
        <w:ind w:left="24" w:leftChars="10" w:right="113"/>
        <w:rPr>
          <w:rFonts w:hint="eastAsia" w:ascii="宋体" w:hAnsi="宋体" w:eastAsia="宋体" w:cs="宋体"/>
          <w:b/>
          <w:bCs/>
        </w:rPr>
      </w:pPr>
      <w:r>
        <w:rPr>
          <w:rFonts w:hint="eastAsia" w:ascii="宋体" w:hAnsi="宋体" w:eastAsia="宋体" w:cs="宋体"/>
          <w:b/>
          <w:bCs/>
        </w:rPr>
        <w:t xml:space="preserve">项目概述 </w:t>
      </w:r>
    </w:p>
    <w:p w14:paraId="5ADEE2FA">
      <w:pPr>
        <w:numPr>
          <w:ilvl w:val="1"/>
          <w:numId w:val="3"/>
        </w:numPr>
        <w:spacing w:after="0" w:line="500" w:lineRule="exact"/>
        <w:ind w:left="24" w:leftChars="10" w:right="113" w:firstLine="482" w:firstLineChars="200"/>
        <w:rPr>
          <w:rFonts w:hint="eastAsia"/>
          <w:b/>
          <w:bCs/>
        </w:rPr>
      </w:pPr>
      <w:r>
        <w:rPr>
          <w:rFonts w:hint="eastAsia"/>
          <w:b/>
          <w:bCs/>
        </w:rPr>
        <w:t xml:space="preserve">项目地址 </w:t>
      </w:r>
    </w:p>
    <w:p w14:paraId="33B675C0">
      <w:pPr>
        <w:spacing w:after="0" w:line="500" w:lineRule="exact"/>
        <w:ind w:left="24" w:leftChars="10" w:right="113" w:firstLine="480" w:firstLineChars="200"/>
        <w:rPr>
          <w:rFonts w:hint="eastAsia"/>
        </w:rPr>
      </w:pPr>
      <w:r>
        <w:rPr>
          <w:rFonts w:hint="eastAsia"/>
        </w:rPr>
        <w:t xml:space="preserve">本项目单位位于上海市静安区平顺路15号。 </w:t>
      </w:r>
    </w:p>
    <w:p w14:paraId="479E8DB2">
      <w:pPr>
        <w:numPr>
          <w:ilvl w:val="1"/>
          <w:numId w:val="3"/>
        </w:numPr>
        <w:spacing w:after="0" w:line="500" w:lineRule="exact"/>
        <w:ind w:left="24" w:leftChars="10" w:right="113" w:firstLine="482" w:firstLineChars="200"/>
        <w:rPr>
          <w:rFonts w:hint="eastAsia"/>
          <w:b/>
          <w:bCs/>
        </w:rPr>
      </w:pPr>
      <w:r>
        <w:rPr>
          <w:rFonts w:hint="eastAsia"/>
          <w:b/>
          <w:bCs/>
        </w:rPr>
        <w:t xml:space="preserve">项目目标 </w:t>
      </w:r>
    </w:p>
    <w:p w14:paraId="28AEB7B6">
      <w:pPr>
        <w:spacing w:after="0" w:line="500" w:lineRule="exact"/>
        <w:ind w:left="24" w:leftChars="10" w:right="113" w:firstLine="480" w:firstLineChars="200"/>
        <w:rPr>
          <w:rFonts w:hint="eastAsia"/>
        </w:rPr>
      </w:pPr>
      <w:r>
        <w:rPr>
          <w:rFonts w:hint="eastAsia"/>
        </w:rPr>
        <w:t xml:space="preserve">贯彻落实《关于进一步完善医疗卫生服务体系的意见》、《关于促进“互联网+医疗健康”发展的意见》精神以及《2023年度上海市“便捷就医服务”数字化转型3.0工作方案》要求，实现以人为本、便民惠民，以人民群众多层次多元化医疗健康需求为导向，依托5G互联网、云技术等新兴技术，提高医疗健康服务质量和可及性；以社区健康管理中心管理居民的高发疾病糖尿病、高血压和慢性阻塞性肺疾病为试点病种，开展疾病风险预警模型分析及精准干预系统构建，为签约居民提供个性化的健康干预，把家庭医生签而有约做实。通过5G互联网、可穿戴设备、智能健康家居等技术的应用，进一步缩减医患信息沟通成本，突破传统医疗空间限制，形成了线上线下整合一体化的慢性疾病高效管理模式。创新驱动融合发展，推动医疗健康与互联网深度融合，优化医疗资源配置，提髙服务体系整体效能。实现以社区家庭医生团队为核心，应用智慧社区互联网，提供签约居民的健康管理服务，拓宽医疗信息化市场空间。 </w:t>
      </w:r>
    </w:p>
    <w:p w14:paraId="51CA96FC">
      <w:pPr>
        <w:numPr>
          <w:ilvl w:val="1"/>
          <w:numId w:val="3"/>
        </w:numPr>
        <w:spacing w:after="0" w:line="500" w:lineRule="exact"/>
        <w:ind w:left="24" w:leftChars="10" w:right="113" w:firstLine="482" w:firstLineChars="200"/>
        <w:rPr>
          <w:rFonts w:hint="eastAsia"/>
          <w:b/>
          <w:bCs/>
        </w:rPr>
      </w:pPr>
      <w:r>
        <w:rPr>
          <w:rFonts w:hint="eastAsia"/>
          <w:b/>
          <w:bCs/>
        </w:rPr>
        <w:t xml:space="preserve">医院信息化现状 </w:t>
      </w:r>
    </w:p>
    <w:p w14:paraId="640F2187">
      <w:pPr>
        <w:spacing w:after="0" w:line="500" w:lineRule="exact"/>
        <w:ind w:left="24" w:leftChars="10" w:right="113" w:firstLine="480" w:firstLineChars="200"/>
        <w:rPr>
          <w:rStyle w:val="12"/>
          <w:rFonts w:hint="eastAsia"/>
          <w:sz w:val="24"/>
          <w:szCs w:val="24"/>
        </w:rPr>
      </w:pPr>
      <w:r>
        <w:rPr>
          <w:rFonts w:hint="eastAsia"/>
          <w:bCs/>
          <w:szCs w:val="24"/>
        </w:rPr>
        <w:t>本项目开发的软件系统计划部署院内机房，硬件基础环境由采购人提供。</w:t>
      </w:r>
    </w:p>
    <w:p w14:paraId="33862C08">
      <w:pPr>
        <w:pStyle w:val="21"/>
        <w:spacing w:after="0" w:line="500" w:lineRule="exact"/>
        <w:ind w:left="0" w:right="113" w:firstLine="0" w:firstLineChars="0"/>
        <w:rPr>
          <w:rFonts w:hint="eastAsia"/>
          <w:szCs w:val="24"/>
        </w:rPr>
      </w:pPr>
      <w:r>
        <w:rPr>
          <w:rFonts w:hint="eastAsia"/>
          <w:szCs w:val="24"/>
        </w:rPr>
        <w:t>采购人现有服务器防火墙、态势感知探针、终端准入控制、审计一体机、数据库审计、监控预警一体机、IPS等安全设备，现有服务资源3台，内存314G，存储4900G，</w:t>
      </w:r>
      <w:r>
        <w:rPr>
          <w:rFonts w:hint="eastAsia"/>
          <w:szCs w:val="24"/>
          <w:lang w:val="en-US" w:eastAsia="zh-CN"/>
        </w:rPr>
        <w:t>采购人拟提供的软硬件资源</w:t>
      </w:r>
      <w:r>
        <w:rPr>
          <w:rFonts w:hint="eastAsia"/>
          <w:szCs w:val="24"/>
        </w:rPr>
        <w:t>如下表：</w:t>
      </w:r>
      <w:bookmarkStart w:id="0" w:name="_GoBack"/>
      <w:bookmarkEnd w:id="0"/>
    </w:p>
    <w:tbl>
      <w:tblPr>
        <w:tblStyle w:val="10"/>
        <w:tblW w:w="8753" w:type="dxa"/>
        <w:tblInd w:w="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913"/>
        <w:gridCol w:w="833"/>
        <w:gridCol w:w="1122"/>
        <w:gridCol w:w="1899"/>
        <w:gridCol w:w="2781"/>
      </w:tblGrid>
      <w:tr w14:paraId="6AD3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tcPr>
          <w:p w14:paraId="3D540FA4">
            <w:pPr>
              <w:spacing w:after="0" w:line="500" w:lineRule="exact"/>
              <w:ind w:left="32" w:leftChars="10" w:right="113"/>
              <w:rPr>
                <w:rStyle w:val="12"/>
                <w:rFonts w:hint="eastAsia" w:eastAsia="等线"/>
                <w:b/>
                <w:bCs/>
                <w:sz w:val="24"/>
                <w:szCs w:val="24"/>
                <w14:ligatures w14:val="none"/>
              </w:rPr>
            </w:pPr>
            <w:r>
              <w:rPr>
                <w:rStyle w:val="12"/>
                <w:rFonts w:hint="eastAsia" w:eastAsia="等线"/>
                <w:b/>
                <w:bCs/>
                <w:sz w:val="24"/>
                <w:szCs w:val="24"/>
                <w14:ligatures w14:val="none"/>
              </w:rPr>
              <w:t>服务器类型</w:t>
            </w:r>
          </w:p>
        </w:tc>
        <w:tc>
          <w:tcPr>
            <w:tcW w:w="913" w:type="dxa"/>
          </w:tcPr>
          <w:p w14:paraId="5CE8CD29">
            <w:pPr>
              <w:spacing w:after="0" w:line="500" w:lineRule="exact"/>
              <w:ind w:left="32" w:leftChars="10" w:right="113"/>
              <w:rPr>
                <w:rStyle w:val="12"/>
                <w:rFonts w:hint="eastAsia" w:eastAsia="等线"/>
                <w:b/>
                <w:bCs/>
                <w:sz w:val="24"/>
                <w:szCs w:val="24"/>
                <w14:ligatures w14:val="none"/>
              </w:rPr>
            </w:pPr>
            <w:r>
              <w:rPr>
                <w:rStyle w:val="12"/>
                <w:rFonts w:hint="eastAsia" w:eastAsia="等线"/>
                <w:b/>
                <w:bCs/>
                <w:sz w:val="24"/>
                <w:szCs w:val="24"/>
                <w14:ligatures w14:val="none"/>
              </w:rPr>
              <w:t>CPU</w:t>
            </w:r>
          </w:p>
        </w:tc>
        <w:tc>
          <w:tcPr>
            <w:tcW w:w="833" w:type="dxa"/>
          </w:tcPr>
          <w:p w14:paraId="6A137BC7">
            <w:pPr>
              <w:spacing w:after="0" w:line="500" w:lineRule="exact"/>
              <w:ind w:left="32" w:leftChars="10" w:right="113"/>
              <w:rPr>
                <w:rStyle w:val="12"/>
                <w:rFonts w:hint="eastAsia" w:eastAsia="等线"/>
                <w:b/>
                <w:bCs/>
                <w:sz w:val="24"/>
                <w:szCs w:val="24"/>
                <w14:ligatures w14:val="none"/>
              </w:rPr>
            </w:pPr>
            <w:r>
              <w:rPr>
                <w:rStyle w:val="12"/>
                <w:rFonts w:hint="eastAsia" w:eastAsia="等线"/>
                <w:b/>
                <w:bCs/>
                <w:sz w:val="24"/>
                <w:szCs w:val="24"/>
                <w14:ligatures w14:val="none"/>
              </w:rPr>
              <w:t>内存</w:t>
            </w:r>
          </w:p>
        </w:tc>
        <w:tc>
          <w:tcPr>
            <w:tcW w:w="1122" w:type="dxa"/>
          </w:tcPr>
          <w:p w14:paraId="088071FD">
            <w:pPr>
              <w:spacing w:after="0" w:line="500" w:lineRule="exact"/>
              <w:ind w:left="32" w:leftChars="10" w:right="113"/>
              <w:rPr>
                <w:rStyle w:val="12"/>
                <w:rFonts w:hint="eastAsia" w:eastAsia="等线"/>
                <w:b/>
                <w:bCs/>
                <w:sz w:val="24"/>
                <w:szCs w:val="24"/>
                <w14:ligatures w14:val="none"/>
              </w:rPr>
            </w:pPr>
            <w:r>
              <w:rPr>
                <w:rStyle w:val="12"/>
                <w:rFonts w:hint="eastAsia" w:eastAsia="等线"/>
                <w:b/>
                <w:bCs/>
                <w:sz w:val="24"/>
                <w:szCs w:val="24"/>
                <w14:ligatures w14:val="none"/>
              </w:rPr>
              <w:t>储存空间</w:t>
            </w:r>
          </w:p>
        </w:tc>
        <w:tc>
          <w:tcPr>
            <w:tcW w:w="1899" w:type="dxa"/>
          </w:tcPr>
          <w:p w14:paraId="42A1B194">
            <w:pPr>
              <w:spacing w:after="0" w:line="500" w:lineRule="exact"/>
              <w:ind w:left="32" w:leftChars="10" w:right="113"/>
              <w:rPr>
                <w:rStyle w:val="12"/>
                <w:rFonts w:hint="eastAsia" w:eastAsia="等线"/>
                <w:b/>
                <w:bCs/>
                <w:sz w:val="24"/>
                <w:szCs w:val="24"/>
                <w14:ligatures w14:val="none"/>
              </w:rPr>
            </w:pPr>
            <w:r>
              <w:rPr>
                <w:rStyle w:val="12"/>
                <w:rFonts w:hint="eastAsia" w:eastAsia="等线"/>
                <w:b/>
                <w:bCs/>
                <w:sz w:val="24"/>
                <w:szCs w:val="24"/>
                <w14:ligatures w14:val="none"/>
              </w:rPr>
              <w:t>操作系统</w:t>
            </w:r>
          </w:p>
        </w:tc>
        <w:tc>
          <w:tcPr>
            <w:tcW w:w="2781" w:type="dxa"/>
          </w:tcPr>
          <w:p w14:paraId="50265D39">
            <w:pPr>
              <w:spacing w:after="0" w:line="500" w:lineRule="exact"/>
              <w:ind w:left="32" w:leftChars="10" w:right="113"/>
              <w:rPr>
                <w:rStyle w:val="12"/>
                <w:rFonts w:hint="eastAsia" w:eastAsia="等线"/>
                <w:b/>
                <w:bCs/>
                <w:sz w:val="24"/>
                <w:szCs w:val="24"/>
                <w14:ligatures w14:val="none"/>
              </w:rPr>
            </w:pPr>
            <w:r>
              <w:rPr>
                <w:rStyle w:val="12"/>
                <w:rFonts w:hint="eastAsia" w:eastAsia="等线"/>
                <w:b/>
                <w:bCs/>
                <w:sz w:val="24"/>
                <w:szCs w:val="24"/>
                <w14:ligatures w14:val="none"/>
              </w:rPr>
              <w:t>数据库及支持软件</w:t>
            </w:r>
          </w:p>
        </w:tc>
      </w:tr>
      <w:tr w14:paraId="43C4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tcPr>
          <w:p w14:paraId="40A9FB00">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数据库服务器</w:t>
            </w:r>
          </w:p>
        </w:tc>
        <w:tc>
          <w:tcPr>
            <w:tcW w:w="913" w:type="dxa"/>
          </w:tcPr>
          <w:p w14:paraId="540F01F2">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16核</w:t>
            </w:r>
          </w:p>
        </w:tc>
        <w:tc>
          <w:tcPr>
            <w:tcW w:w="833" w:type="dxa"/>
          </w:tcPr>
          <w:p w14:paraId="5ECA7DAC">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64GB</w:t>
            </w:r>
          </w:p>
        </w:tc>
        <w:tc>
          <w:tcPr>
            <w:tcW w:w="1122" w:type="dxa"/>
          </w:tcPr>
          <w:p w14:paraId="19442ABE">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1500GB</w:t>
            </w:r>
          </w:p>
        </w:tc>
        <w:tc>
          <w:tcPr>
            <w:tcW w:w="1899" w:type="dxa"/>
          </w:tcPr>
          <w:p w14:paraId="67288D25">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 xml:space="preserve">Windows server </w:t>
            </w:r>
          </w:p>
          <w:p w14:paraId="19BBA148">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2016以上版本</w:t>
            </w:r>
          </w:p>
        </w:tc>
        <w:tc>
          <w:tcPr>
            <w:tcW w:w="2781" w:type="dxa"/>
          </w:tcPr>
          <w:p w14:paraId="4E26FCA8">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SQLserver 2012</w:t>
            </w:r>
          </w:p>
          <w:p w14:paraId="48B78708">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以上版本</w:t>
            </w:r>
          </w:p>
        </w:tc>
      </w:tr>
      <w:tr w14:paraId="2B28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tcPr>
          <w:p w14:paraId="5551263D">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应用服务器</w:t>
            </w:r>
          </w:p>
        </w:tc>
        <w:tc>
          <w:tcPr>
            <w:tcW w:w="913" w:type="dxa"/>
          </w:tcPr>
          <w:p w14:paraId="2534D1EC">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8核</w:t>
            </w:r>
          </w:p>
        </w:tc>
        <w:tc>
          <w:tcPr>
            <w:tcW w:w="833" w:type="dxa"/>
          </w:tcPr>
          <w:p w14:paraId="76660374">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64GB</w:t>
            </w:r>
          </w:p>
        </w:tc>
        <w:tc>
          <w:tcPr>
            <w:tcW w:w="1122" w:type="dxa"/>
          </w:tcPr>
          <w:p w14:paraId="429F663D">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500GB</w:t>
            </w:r>
          </w:p>
        </w:tc>
        <w:tc>
          <w:tcPr>
            <w:tcW w:w="1899" w:type="dxa"/>
          </w:tcPr>
          <w:p w14:paraId="7821F79E">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 xml:space="preserve">Windows server </w:t>
            </w:r>
          </w:p>
          <w:p w14:paraId="4A2550D9">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2016以上版本</w:t>
            </w:r>
          </w:p>
        </w:tc>
        <w:tc>
          <w:tcPr>
            <w:tcW w:w="2781" w:type="dxa"/>
          </w:tcPr>
          <w:p w14:paraId="149B76C4">
            <w:pPr>
              <w:spacing w:after="0" w:line="500" w:lineRule="exact"/>
              <w:ind w:left="32" w:leftChars="10" w:right="113"/>
              <w:rPr>
                <w:rStyle w:val="12"/>
                <w:rFonts w:hint="eastAsia" w:eastAsia="等线"/>
                <w:sz w:val="24"/>
                <w:szCs w:val="24"/>
                <w14:ligatures w14:val="none"/>
              </w:rPr>
            </w:pPr>
            <w:r>
              <w:rPr>
                <w:rStyle w:val="12"/>
                <w:rFonts w:hint="eastAsia" w:eastAsia="等线"/>
                <w:sz w:val="24"/>
                <w:szCs w:val="24"/>
                <w14:ligatures w14:val="none"/>
              </w:rPr>
              <w:t>Java1.8以上版本</w:t>
            </w:r>
          </w:p>
        </w:tc>
      </w:tr>
    </w:tbl>
    <w:p w14:paraId="57A29ADB">
      <w:pPr>
        <w:numPr>
          <w:ilvl w:val="1"/>
          <w:numId w:val="3"/>
        </w:numPr>
        <w:spacing w:after="0" w:line="500" w:lineRule="exact"/>
        <w:ind w:left="24" w:leftChars="10" w:right="113" w:firstLine="482" w:firstLineChars="200"/>
        <w:rPr>
          <w:rFonts w:hint="eastAsia"/>
          <w:b/>
          <w:bCs/>
        </w:rPr>
      </w:pPr>
      <w:r>
        <w:rPr>
          <w:rFonts w:hint="eastAsia"/>
          <w:b/>
          <w:bCs/>
        </w:rPr>
        <w:t>采购预算情况</w:t>
      </w:r>
    </w:p>
    <w:p w14:paraId="141BB8F9">
      <w:pPr>
        <w:widowControl w:val="0"/>
        <w:spacing w:after="0" w:line="500" w:lineRule="exact"/>
        <w:ind w:left="24" w:leftChars="10" w:right="113" w:firstLine="480" w:firstLineChars="200"/>
        <w:jc w:val="both"/>
        <w:rPr>
          <w:rFonts w:hint="eastAsia"/>
          <w:bCs/>
        </w:rPr>
      </w:pPr>
      <w:r>
        <w:rPr>
          <w:rFonts w:hint="eastAsia"/>
          <w:bCs/>
        </w:rPr>
        <w:t>预算资金编号：0624-000115881</w:t>
      </w:r>
    </w:p>
    <w:p w14:paraId="0693F423">
      <w:pPr>
        <w:widowControl w:val="0"/>
        <w:spacing w:after="0" w:line="500" w:lineRule="exact"/>
        <w:ind w:left="24" w:leftChars="10" w:right="113" w:firstLine="480" w:firstLineChars="200"/>
        <w:jc w:val="both"/>
        <w:rPr>
          <w:rFonts w:hint="eastAsia"/>
          <w:bCs/>
        </w:rPr>
      </w:pPr>
      <w:r>
        <w:rPr>
          <w:rFonts w:hint="eastAsia"/>
          <w:bCs/>
        </w:rPr>
        <w:t>预算金额：3214999元</w:t>
      </w:r>
    </w:p>
    <w:p w14:paraId="7509A7B9">
      <w:pPr>
        <w:widowControl w:val="0"/>
        <w:spacing w:after="0" w:line="500" w:lineRule="exact"/>
        <w:ind w:left="24" w:leftChars="10" w:right="113" w:firstLine="480" w:firstLineChars="200"/>
        <w:jc w:val="both"/>
        <w:rPr>
          <w:rFonts w:hint="eastAsia"/>
          <w:bCs/>
        </w:rPr>
      </w:pPr>
      <w:r>
        <w:rPr>
          <w:rFonts w:hint="eastAsia" w:ascii="宋体" w:hAnsi="宋体" w:cs="Arial"/>
          <w:color w:val="000000"/>
        </w:rPr>
        <w:t>本项目</w:t>
      </w:r>
      <w:r>
        <w:rPr>
          <w:rFonts w:hint="eastAsia" w:ascii="宋体" w:hAnsi="宋体" w:cs="Arial"/>
          <w:color w:val="000000"/>
          <w:lang w:val="en-US" w:eastAsia="zh-CN"/>
        </w:rPr>
        <w:t>专门</w:t>
      </w:r>
      <w:r>
        <w:rPr>
          <w:rFonts w:hint="eastAsia" w:ascii="宋体" w:hAnsi="宋体" w:cs="Arial"/>
          <w:color w:val="000000"/>
        </w:rPr>
        <w:t>面向小微型供应商采购</w:t>
      </w:r>
    </w:p>
    <w:p w14:paraId="0E744937">
      <w:pPr>
        <w:widowControl w:val="0"/>
        <w:spacing w:after="0" w:line="500" w:lineRule="exact"/>
        <w:ind w:left="24" w:leftChars="10" w:right="113" w:firstLine="480" w:firstLineChars="200"/>
        <w:jc w:val="both"/>
        <w:rPr>
          <w:rFonts w:hint="eastAsia"/>
          <w:bCs/>
        </w:rPr>
      </w:pPr>
    </w:p>
    <w:p w14:paraId="1E2970C4">
      <w:pPr>
        <w:pStyle w:val="3"/>
        <w:numPr>
          <w:ilvl w:val="0"/>
          <w:numId w:val="2"/>
        </w:numPr>
        <w:spacing w:after="0" w:line="500" w:lineRule="exact"/>
        <w:ind w:left="24" w:leftChars="10" w:right="113"/>
        <w:rPr>
          <w:rFonts w:hint="eastAsia" w:ascii="宋体" w:hAnsi="宋体" w:eastAsia="宋体" w:cs="宋体"/>
          <w:b/>
          <w:bCs/>
        </w:rPr>
      </w:pPr>
      <w:r>
        <w:rPr>
          <w:rFonts w:hint="eastAsia" w:ascii="宋体" w:hAnsi="宋体" w:eastAsia="宋体" w:cs="宋体"/>
          <w:b/>
          <w:bCs/>
        </w:rPr>
        <w:t xml:space="preserve">项目建设内容与建设要求 </w:t>
      </w:r>
    </w:p>
    <w:p w14:paraId="36D7C201">
      <w:pPr>
        <w:spacing w:after="0" w:line="500" w:lineRule="exact"/>
        <w:ind w:left="504" w:leftChars="210" w:right="113" w:firstLine="0"/>
        <w:rPr>
          <w:rFonts w:hint="eastAsia"/>
          <w:b/>
          <w:bCs/>
        </w:rPr>
      </w:pPr>
      <w:r>
        <w:rPr>
          <w:rFonts w:hint="eastAsia"/>
          <w:b/>
          <w:bCs/>
        </w:rPr>
        <w:t xml:space="preserve">3.1   主要建设内容 </w:t>
      </w:r>
    </w:p>
    <w:p w14:paraId="0E3A800D">
      <w:pPr>
        <w:widowControl w:val="0"/>
        <w:numPr>
          <w:ilvl w:val="0"/>
          <w:numId w:val="4"/>
        </w:numPr>
        <w:spacing w:after="0" w:line="500" w:lineRule="exact"/>
        <w:ind w:left="24" w:leftChars="10" w:right="113" w:firstLine="482" w:firstLineChars="200"/>
        <w:rPr>
          <w:rFonts w:hint="eastAsia"/>
          <w:b/>
          <w:bCs/>
          <w:szCs w:val="24"/>
        </w:rPr>
      </w:pPr>
      <w:r>
        <w:rPr>
          <w:rFonts w:hint="eastAsia"/>
          <w:b/>
          <w:bCs/>
          <w:szCs w:val="24"/>
        </w:rPr>
        <w:t>社区主动健康与智慧健康管理中心子系统</w:t>
      </w:r>
    </w:p>
    <w:p w14:paraId="754F2479">
      <w:pPr>
        <w:widowControl w:val="0"/>
        <w:spacing w:after="0" w:line="500" w:lineRule="exact"/>
        <w:ind w:left="24" w:leftChars="10" w:right="113" w:firstLine="480" w:firstLineChars="200"/>
        <w:rPr>
          <w:rFonts w:hint="eastAsia"/>
          <w:szCs w:val="24"/>
        </w:rPr>
      </w:pPr>
      <w:r>
        <w:rPr>
          <w:rFonts w:hint="eastAsia"/>
          <w:szCs w:val="24"/>
        </w:rPr>
        <w:t>以家庭医生为服务主体，社区签约居民家庭为服务对象，对居民的健康状态进行实时动态跟踪和管理，建立人群画像，与居民一起实现主动健康管理，有效降低疾病发病率。在居民全生命周期内，构建以主动健康为核心、5G+管理平台为手段的一体化健康服务体系，最终实现对社区人群的早期疾病干预预防，推动提升社区卫生中心精准服务能力。</w:t>
      </w:r>
    </w:p>
    <w:p w14:paraId="7837272C">
      <w:pPr>
        <w:widowControl w:val="0"/>
        <w:numPr>
          <w:ilvl w:val="0"/>
          <w:numId w:val="4"/>
        </w:numPr>
        <w:spacing w:after="0" w:line="500" w:lineRule="exact"/>
        <w:ind w:left="24" w:leftChars="10" w:right="113" w:firstLine="482" w:firstLineChars="200"/>
        <w:rPr>
          <w:rFonts w:hint="eastAsia"/>
          <w:b/>
          <w:bCs/>
          <w:szCs w:val="24"/>
        </w:rPr>
      </w:pPr>
      <w:r>
        <w:rPr>
          <w:rFonts w:hint="eastAsia"/>
          <w:b/>
          <w:bCs/>
          <w:szCs w:val="24"/>
        </w:rPr>
        <w:t>疾病风险预警模型构建及精准干预子系统</w:t>
      </w:r>
    </w:p>
    <w:p w14:paraId="76E6AE81">
      <w:pPr>
        <w:widowControl w:val="0"/>
        <w:spacing w:after="0" w:line="500" w:lineRule="exact"/>
        <w:ind w:left="24" w:leftChars="10" w:right="113" w:firstLine="480" w:firstLineChars="200"/>
        <w:rPr>
          <w:rFonts w:hint="eastAsia"/>
          <w:szCs w:val="24"/>
        </w:rPr>
      </w:pPr>
      <w:r>
        <w:rPr>
          <w:rFonts w:hint="eastAsia"/>
          <w:szCs w:val="24"/>
        </w:rPr>
        <w:t>基于签约居民基础健康信息、生活行为习惯信息、家族史和既往史等特征健康信息，研制AI算法，推送针对性和个性化的健康教育和科普信息。</w:t>
      </w:r>
    </w:p>
    <w:p w14:paraId="0AC17DE2">
      <w:pPr>
        <w:widowControl w:val="0"/>
        <w:numPr>
          <w:ilvl w:val="0"/>
          <w:numId w:val="4"/>
        </w:numPr>
        <w:spacing w:after="0" w:line="500" w:lineRule="exact"/>
        <w:ind w:left="24" w:leftChars="10" w:right="113" w:firstLine="482" w:firstLineChars="200"/>
        <w:rPr>
          <w:rFonts w:hint="eastAsia"/>
          <w:szCs w:val="24"/>
        </w:rPr>
      </w:pPr>
      <w:r>
        <w:rPr>
          <w:rFonts w:hint="eastAsia"/>
          <w:b/>
          <w:bCs/>
          <w:szCs w:val="24"/>
        </w:rPr>
        <w:t>配套硬件</w:t>
      </w:r>
      <w:r>
        <w:rPr>
          <w:rFonts w:hint="eastAsia"/>
          <w:b/>
          <w:bCs/>
          <w:szCs w:val="24"/>
          <w:lang w:val="en-US" w:eastAsia="zh-CN"/>
        </w:rPr>
        <w:t>及网络</w:t>
      </w:r>
    </w:p>
    <w:p w14:paraId="3C06F3AF">
      <w:pPr>
        <w:widowControl w:val="0"/>
        <w:spacing w:after="0" w:line="500" w:lineRule="exact"/>
        <w:ind w:left="24" w:leftChars="10" w:right="113" w:firstLine="480" w:firstLineChars="200"/>
        <w:rPr>
          <w:rFonts w:hint="eastAsia"/>
          <w:szCs w:val="24"/>
        </w:rPr>
      </w:pPr>
      <w:r>
        <w:rPr>
          <w:rFonts w:hint="eastAsia"/>
          <w:szCs w:val="24"/>
        </w:rPr>
        <w:t>建设一套以区域5G卫生专网为基础搭建的5G移动通信底层组网架构，实现社区内数据互联（社区中心本部+12个医疗站点+1家养老院+100户试点家庭）的高效、安全、可靠。为实现试点家庭、卫生站点、养老院的医疗设备的数据上传，并实现安全隔离，专网专用，本项目采用运营商5G定制专网，通过区一级共享UPF与系统平台侧所在机房打通，终端侧配用运营商5G定制SIM卡的5G终端，信令数据通过运营商专用通道承载，用户面数据通过运营商基站、运营商承载网、区域UPF，由UPF分流到静安区卫健委信息中心内网。对于不支持5G信号的前端设备，通过增加CPE设备，将5G信号转为WiFi信号，保障前端设备都能接入到5G专网中，实现数据可传。</w:t>
      </w:r>
    </w:p>
    <w:p w14:paraId="71BF5D55">
      <w:pPr>
        <w:spacing w:after="0" w:line="500" w:lineRule="exact"/>
        <w:ind w:left="504" w:leftChars="210" w:right="113" w:firstLine="0"/>
        <w:rPr>
          <w:rFonts w:hint="eastAsia"/>
          <w:b/>
          <w:bCs/>
        </w:rPr>
      </w:pPr>
      <w:r>
        <w:rPr>
          <w:rFonts w:hint="eastAsia"/>
          <w:b/>
          <w:bCs/>
        </w:rPr>
        <w:t xml:space="preserve">3.2   建设周期 </w:t>
      </w:r>
    </w:p>
    <w:p w14:paraId="556C8123">
      <w:pPr>
        <w:spacing w:after="0" w:line="500" w:lineRule="exact"/>
        <w:ind w:left="24" w:leftChars="10" w:right="113" w:firstLine="480" w:firstLineChars="200"/>
        <w:rPr>
          <w:rFonts w:hint="eastAsia"/>
        </w:rPr>
      </w:pPr>
      <w:r>
        <w:rPr>
          <w:rFonts w:hint="eastAsia"/>
        </w:rPr>
        <w:t xml:space="preserve">本项目周期为6个月，试运行期1个月。 </w:t>
      </w:r>
    </w:p>
    <w:p w14:paraId="3EA2EDE9">
      <w:pPr>
        <w:spacing w:after="0" w:line="500" w:lineRule="exact"/>
        <w:ind w:left="504" w:leftChars="210" w:right="113" w:firstLine="0"/>
        <w:rPr>
          <w:rFonts w:hint="eastAsia"/>
          <w:b/>
          <w:bCs/>
        </w:rPr>
      </w:pPr>
      <w:r>
        <w:rPr>
          <w:rFonts w:hint="eastAsia"/>
          <w:b/>
          <w:bCs/>
        </w:rPr>
        <w:t xml:space="preserve">3.3   需求清单及参数 </w:t>
      </w:r>
    </w:p>
    <w:p w14:paraId="6180F5DA">
      <w:pPr>
        <w:pStyle w:val="3"/>
        <w:numPr>
          <w:ilvl w:val="255"/>
          <w:numId w:val="0"/>
        </w:numPr>
        <w:spacing w:after="0" w:line="500" w:lineRule="exact"/>
        <w:ind w:left="504" w:leftChars="210" w:right="113"/>
        <w:rPr>
          <w:rFonts w:hint="eastAsia" w:ascii="宋体" w:hAnsi="宋体" w:eastAsia="宋体" w:cs="宋体"/>
          <w:b/>
          <w:bCs/>
          <w:sz w:val="24"/>
          <w:szCs w:val="24"/>
        </w:rPr>
      </w:pPr>
      <w:r>
        <w:rPr>
          <w:rFonts w:hint="eastAsia" w:ascii="宋体" w:hAnsi="宋体" w:eastAsia="宋体" w:cs="宋体"/>
          <w:b/>
          <w:bCs/>
          <w:sz w:val="24"/>
          <w:szCs w:val="24"/>
        </w:rPr>
        <w:t>（一）社区主动健康与智慧健康管理中心子系统</w:t>
      </w:r>
    </w:p>
    <w:tbl>
      <w:tblPr>
        <w:tblStyle w:val="9"/>
        <w:tblW w:w="9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9"/>
        <w:gridCol w:w="7871"/>
      </w:tblGrid>
      <w:tr w14:paraId="2E8F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shd w:val="clear" w:color="auto" w:fill="auto"/>
          </w:tcPr>
          <w:p w14:paraId="2B649326">
            <w:pPr>
              <w:widowControl w:val="0"/>
              <w:spacing w:after="0" w:line="500" w:lineRule="exact"/>
              <w:ind w:left="24" w:leftChars="10" w:right="113" w:firstLine="0"/>
              <w:jc w:val="center"/>
              <w:rPr>
                <w:rFonts w:hint="eastAsia"/>
                <w:b/>
                <w:bCs/>
                <w:szCs w:val="24"/>
                <w14:ligatures w14:val="none"/>
              </w:rPr>
            </w:pPr>
            <w:r>
              <w:rPr>
                <w:rFonts w:hint="eastAsia"/>
                <w:b/>
                <w:bCs/>
                <w:szCs w:val="24"/>
                <w14:ligatures w14:val="none"/>
              </w:rPr>
              <w:t>指标项</w:t>
            </w:r>
          </w:p>
        </w:tc>
        <w:tc>
          <w:tcPr>
            <w:tcW w:w="7871" w:type="dxa"/>
            <w:shd w:val="clear" w:color="auto" w:fill="auto"/>
          </w:tcPr>
          <w:p w14:paraId="4C6DE24F">
            <w:pPr>
              <w:widowControl w:val="0"/>
              <w:spacing w:after="0" w:line="500" w:lineRule="exact"/>
              <w:ind w:left="24" w:leftChars="10" w:right="113" w:firstLine="0"/>
              <w:jc w:val="center"/>
              <w:rPr>
                <w:rFonts w:hint="eastAsia"/>
                <w:b/>
                <w:bCs/>
                <w:szCs w:val="24"/>
                <w14:ligatures w14:val="none"/>
              </w:rPr>
            </w:pPr>
            <w:r>
              <w:rPr>
                <w:rFonts w:hint="eastAsia"/>
                <w:b/>
                <w:bCs/>
                <w:szCs w:val="24"/>
                <w14:ligatures w14:val="none"/>
              </w:rPr>
              <w:t>技术规格要求</w:t>
            </w:r>
          </w:p>
        </w:tc>
      </w:tr>
      <w:tr w14:paraId="3CE0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shd w:val="clear" w:color="auto" w:fill="auto"/>
            <w:vAlign w:val="center"/>
          </w:tcPr>
          <w:p w14:paraId="5E70B542">
            <w:pPr>
              <w:widowControl w:val="0"/>
              <w:spacing w:after="0" w:line="500" w:lineRule="exact"/>
              <w:ind w:left="24" w:leftChars="10" w:right="113" w:firstLine="0"/>
              <w:jc w:val="center"/>
              <w:rPr>
                <w:rFonts w:hint="eastAsia"/>
                <w:szCs w:val="24"/>
                <w14:ligatures w14:val="none"/>
              </w:rPr>
            </w:pPr>
            <w:r>
              <w:rPr>
                <w:rFonts w:hint="eastAsia"/>
                <w:szCs w:val="24"/>
                <w14:ligatures w14:val="none"/>
              </w:rPr>
              <w:t>系统登录</w:t>
            </w:r>
          </w:p>
        </w:tc>
        <w:tc>
          <w:tcPr>
            <w:tcW w:w="7871" w:type="dxa"/>
            <w:shd w:val="clear" w:color="auto" w:fill="auto"/>
            <w:vAlign w:val="center"/>
          </w:tcPr>
          <w:p w14:paraId="24E6949F">
            <w:pPr>
              <w:widowControl w:val="0"/>
              <w:spacing w:after="0" w:line="500" w:lineRule="exact"/>
              <w:ind w:left="24" w:leftChars="10" w:right="113" w:firstLine="0"/>
              <w:rPr>
                <w:rFonts w:hint="eastAsia"/>
                <w:szCs w:val="24"/>
                <w14:ligatures w14:val="none"/>
              </w:rPr>
            </w:pPr>
            <w:r>
              <w:rPr>
                <w:rFonts w:hint="eastAsia"/>
                <w:szCs w:val="24"/>
                <w14:ligatures w14:val="none"/>
              </w:rPr>
              <w:t>系统注册与安全登录</w:t>
            </w:r>
          </w:p>
        </w:tc>
      </w:tr>
      <w:tr w14:paraId="60FC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0767CA29">
            <w:pPr>
              <w:widowControl w:val="0"/>
              <w:spacing w:after="0" w:line="500" w:lineRule="exact"/>
              <w:ind w:left="24" w:leftChars="10" w:right="113" w:firstLine="0"/>
              <w:jc w:val="center"/>
              <w:rPr>
                <w:rFonts w:hint="eastAsia"/>
                <w:szCs w:val="24"/>
                <w14:ligatures w14:val="none"/>
              </w:rPr>
            </w:pPr>
            <w:r>
              <w:rPr>
                <w:rFonts w:hint="eastAsia"/>
                <w:szCs w:val="24"/>
                <w14:ligatures w14:val="none"/>
              </w:rPr>
              <w:t>居民健康档案数据集成与数据质控</w:t>
            </w:r>
          </w:p>
        </w:tc>
        <w:tc>
          <w:tcPr>
            <w:tcW w:w="7871" w:type="dxa"/>
            <w:shd w:val="clear" w:color="auto" w:fill="auto"/>
            <w:vAlign w:val="center"/>
          </w:tcPr>
          <w:p w14:paraId="33C328B0">
            <w:pPr>
              <w:widowControl w:val="0"/>
              <w:spacing w:after="0" w:line="500" w:lineRule="exact"/>
              <w:ind w:left="24" w:leftChars="10" w:right="113" w:firstLine="0"/>
              <w:rPr>
                <w:rFonts w:hint="eastAsia"/>
                <w:szCs w:val="24"/>
                <w14:ligatures w14:val="none"/>
              </w:rPr>
            </w:pPr>
            <w:r>
              <w:rPr>
                <w:rFonts w:hint="eastAsia"/>
                <w:szCs w:val="24"/>
                <w14:ligatures w14:val="none"/>
              </w:rPr>
              <w:t>数据抽取策略设置：通过抽取策略设置功能可定时（可按天、按周、按月、自定义时间段等）进各类数据的抽取。</w:t>
            </w:r>
          </w:p>
        </w:tc>
      </w:tr>
      <w:tr w14:paraId="364C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5B2CE644">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648AA79A">
            <w:pPr>
              <w:widowControl w:val="0"/>
              <w:spacing w:after="0" w:line="500" w:lineRule="exact"/>
              <w:ind w:left="24" w:leftChars="10" w:right="113" w:firstLine="0"/>
              <w:rPr>
                <w:rFonts w:hint="eastAsia"/>
                <w:szCs w:val="24"/>
                <w14:ligatures w14:val="none"/>
              </w:rPr>
            </w:pPr>
            <w:r>
              <w:rPr>
                <w:rFonts w:hint="eastAsia"/>
                <w:szCs w:val="24"/>
                <w14:ligatures w14:val="none"/>
              </w:rPr>
              <w:t>数据抽取：执行数据抽取任务，包括</w:t>
            </w:r>
            <w:r>
              <w:rPr>
                <w:rFonts w:hint="eastAsia"/>
                <w:color w:val="auto"/>
                <w:szCs w:val="24"/>
              </w:rPr>
              <w:t>上海市静安区区域卫生信息平台</w:t>
            </w:r>
            <w:r>
              <w:rPr>
                <w:rFonts w:hint="eastAsia"/>
                <w:szCs w:val="24"/>
                <w14:ligatures w14:val="none"/>
              </w:rPr>
              <w:t>诊疗数据、健康档案数据、公卫服务数据等。</w:t>
            </w:r>
          </w:p>
        </w:tc>
      </w:tr>
      <w:tr w14:paraId="0C03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35431509">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698AC712">
            <w:pPr>
              <w:widowControl w:val="0"/>
              <w:spacing w:after="0" w:line="500" w:lineRule="exact"/>
              <w:ind w:left="24" w:leftChars="10" w:right="113" w:firstLine="0"/>
              <w:rPr>
                <w:rFonts w:hint="eastAsia"/>
                <w:szCs w:val="24"/>
                <w14:ligatures w14:val="none"/>
              </w:rPr>
            </w:pPr>
            <w:r>
              <w:rPr>
                <w:rFonts w:hint="eastAsia"/>
                <w:szCs w:val="24"/>
                <w14:ligatures w14:val="none"/>
              </w:rPr>
              <w:t>数据转换：对抽取数据中需要做转换处理的字段进行数据格式和字典代码转换</w:t>
            </w:r>
          </w:p>
        </w:tc>
      </w:tr>
      <w:tr w14:paraId="5630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0B75C9E3">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40CEBCDE">
            <w:pPr>
              <w:widowControl w:val="0"/>
              <w:spacing w:after="0" w:line="500" w:lineRule="exact"/>
              <w:ind w:left="24" w:leftChars="10" w:right="113" w:firstLine="0"/>
              <w:rPr>
                <w:rFonts w:hint="eastAsia"/>
                <w:szCs w:val="24"/>
                <w14:ligatures w14:val="none"/>
              </w:rPr>
            </w:pPr>
            <w:r>
              <w:rPr>
                <w:rFonts w:hint="eastAsia"/>
                <w:szCs w:val="24"/>
                <w14:ligatures w14:val="none"/>
              </w:rPr>
              <w:t>数据抽取调度引擎：根据设置的数据抽取调度策略，启动数据抽取应用程序，完成抽取任务</w:t>
            </w:r>
          </w:p>
        </w:tc>
      </w:tr>
      <w:tr w14:paraId="5F20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182D6935">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2129E41B">
            <w:pPr>
              <w:widowControl w:val="0"/>
              <w:spacing w:after="0" w:line="500" w:lineRule="exact"/>
              <w:ind w:left="24" w:leftChars="10" w:right="113" w:firstLine="0"/>
              <w:rPr>
                <w:rFonts w:hint="eastAsia"/>
                <w:szCs w:val="24"/>
                <w14:ligatures w14:val="none"/>
              </w:rPr>
            </w:pPr>
            <w:r>
              <w:rPr>
                <w:rFonts w:hint="eastAsia"/>
                <w:szCs w:val="24"/>
                <w14:ligatures w14:val="none"/>
              </w:rPr>
              <w:t>监测新增数据状态：监测新增数据状态，根据数据状态抽取数据</w:t>
            </w:r>
          </w:p>
        </w:tc>
      </w:tr>
      <w:tr w14:paraId="3DA4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03E99937">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33A78BA1">
            <w:pPr>
              <w:widowControl w:val="0"/>
              <w:spacing w:after="0" w:line="500" w:lineRule="exact"/>
              <w:ind w:left="24" w:leftChars="10" w:right="113" w:firstLine="0"/>
              <w:rPr>
                <w:rFonts w:hint="eastAsia"/>
                <w:szCs w:val="24"/>
                <w14:ligatures w14:val="none"/>
              </w:rPr>
            </w:pPr>
            <w:r>
              <w:rPr>
                <w:rFonts w:hint="eastAsia"/>
                <w:szCs w:val="24"/>
                <w14:ligatures w14:val="none"/>
              </w:rPr>
              <w:t>数据访问控制：设定数据访问权限，控制数据访问</w:t>
            </w:r>
          </w:p>
        </w:tc>
      </w:tr>
      <w:tr w14:paraId="7DAC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79" w:type="dxa"/>
            <w:vMerge w:val="restart"/>
            <w:shd w:val="clear" w:color="auto" w:fill="auto"/>
            <w:vAlign w:val="center"/>
          </w:tcPr>
          <w:p w14:paraId="65E70A31">
            <w:pPr>
              <w:widowControl w:val="0"/>
              <w:spacing w:after="0" w:line="500" w:lineRule="exact"/>
              <w:ind w:left="24" w:leftChars="10" w:right="113" w:firstLine="0"/>
              <w:jc w:val="center"/>
              <w:rPr>
                <w:rFonts w:hint="eastAsia"/>
                <w:szCs w:val="24"/>
                <w14:ligatures w14:val="none"/>
              </w:rPr>
            </w:pPr>
            <w:r>
              <w:rPr>
                <w:rFonts w:hint="eastAsia"/>
                <w:szCs w:val="24"/>
                <w14:ligatures w14:val="none"/>
              </w:rPr>
              <w:t>社区患者健康评估管理</w:t>
            </w:r>
          </w:p>
        </w:tc>
        <w:tc>
          <w:tcPr>
            <w:tcW w:w="7871" w:type="dxa"/>
            <w:shd w:val="clear" w:color="auto" w:fill="auto"/>
            <w:vAlign w:val="center"/>
          </w:tcPr>
          <w:p w14:paraId="6B7EE1E0">
            <w:pPr>
              <w:widowControl w:val="0"/>
              <w:spacing w:after="0" w:line="500" w:lineRule="exact"/>
              <w:ind w:left="24" w:leftChars="10" w:right="113" w:firstLine="0"/>
              <w:rPr>
                <w:rFonts w:hint="eastAsia"/>
                <w:szCs w:val="24"/>
                <w14:ligatures w14:val="none"/>
              </w:rPr>
            </w:pPr>
            <w:r>
              <w:rPr>
                <w:rFonts w:hint="eastAsia"/>
                <w:szCs w:val="24"/>
                <w14:ligatures w14:val="none"/>
              </w:rPr>
              <w:t>加入主动健康管理：居民参与到社区的主动健康管理中后，系统即可对居民的个人信息和健康信息进行日常管理与维护</w:t>
            </w:r>
          </w:p>
        </w:tc>
      </w:tr>
      <w:tr w14:paraId="7BE8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524763DD">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7CF0468">
            <w:pPr>
              <w:widowControl w:val="0"/>
              <w:spacing w:after="0" w:line="500" w:lineRule="exact"/>
              <w:ind w:left="24" w:leftChars="10" w:right="113" w:firstLine="0"/>
              <w:rPr>
                <w:rFonts w:hint="eastAsia"/>
                <w:szCs w:val="24"/>
                <w14:ligatures w14:val="none"/>
              </w:rPr>
            </w:pPr>
            <w:r>
              <w:rPr>
                <w:rFonts w:hint="eastAsia"/>
                <w:szCs w:val="24"/>
                <w14:ligatures w14:val="none"/>
              </w:rPr>
              <w:t>疾病风险预测报告及提醒(支持多病种）：针对专病人群提供智能动态评估与干预指导功能。基于临床指南和基层医疗规范中的要求，全面采集到患者的临床数据，进行智能化推理，得到评估结果。</w:t>
            </w:r>
          </w:p>
        </w:tc>
      </w:tr>
      <w:tr w14:paraId="20ED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2CD665F3">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3811E0E3">
            <w:pPr>
              <w:widowControl w:val="0"/>
              <w:spacing w:after="0" w:line="500" w:lineRule="exact"/>
              <w:ind w:left="24" w:leftChars="10" w:right="113" w:firstLine="0"/>
              <w:rPr>
                <w:rFonts w:hint="eastAsia"/>
                <w:szCs w:val="24"/>
                <w14:ligatures w14:val="none"/>
              </w:rPr>
            </w:pPr>
            <w:r>
              <w:rPr>
                <w:rFonts w:hint="eastAsia"/>
                <w:szCs w:val="24"/>
                <w14:ligatures w14:val="none"/>
              </w:rPr>
              <w:t>执行疾病干预计划(支持多病种）：在健康评估里主要展示患者健康评估的已患疾病情况和高危风险疾病情况，并可以由家庭医生对报告内容进行复核修订。再根据患者的已患疾病情况和高危风险疾病情况，展示干预计划内容，并可以由家庭医生对干预计划内容进行复核修订，且可提供给患者。</w:t>
            </w:r>
          </w:p>
        </w:tc>
      </w:tr>
      <w:tr w14:paraId="25B9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470378F3">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6B43DE70">
            <w:pPr>
              <w:widowControl w:val="0"/>
              <w:spacing w:after="0" w:line="500" w:lineRule="exact"/>
              <w:ind w:left="24" w:leftChars="10" w:right="113" w:firstLine="0"/>
              <w:rPr>
                <w:rFonts w:hint="eastAsia"/>
                <w:szCs w:val="24"/>
                <w14:ligatures w14:val="none"/>
              </w:rPr>
            </w:pPr>
            <w:r>
              <w:rPr>
                <w:rFonts w:hint="eastAsia"/>
                <w:szCs w:val="24"/>
                <w14:ligatures w14:val="none"/>
              </w:rPr>
              <w:t>干预计划反馈数据采集：对居民的健康数据进行持续采集，并根据干预计划的内容采集反馈数据</w:t>
            </w:r>
          </w:p>
        </w:tc>
      </w:tr>
      <w:tr w14:paraId="1ECB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5287591D">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2D728E58">
            <w:pPr>
              <w:widowControl w:val="0"/>
              <w:spacing w:after="0" w:line="500" w:lineRule="exact"/>
              <w:ind w:left="24" w:leftChars="10" w:right="113" w:firstLine="0"/>
              <w:rPr>
                <w:rFonts w:hint="eastAsia"/>
                <w:szCs w:val="24"/>
                <w14:ligatures w14:val="none"/>
              </w:rPr>
            </w:pPr>
            <w:r>
              <w:rPr>
                <w:rFonts w:hint="eastAsia"/>
                <w:szCs w:val="24"/>
                <w14:ligatures w14:val="none"/>
              </w:rPr>
              <w:t>干预计划数据统计分析报告：通过统计分析方法，向家庭医生展示居民干预因素的变化情况，以作为家庭医生再次干预患者健康的数据依据</w:t>
            </w:r>
          </w:p>
        </w:tc>
      </w:tr>
      <w:tr w14:paraId="53BA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02E72F16">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7A060354">
            <w:pPr>
              <w:widowControl w:val="0"/>
              <w:spacing w:after="0" w:line="500" w:lineRule="exact"/>
              <w:ind w:left="24" w:leftChars="10" w:right="113" w:firstLine="0"/>
              <w:rPr>
                <w:rFonts w:hint="eastAsia"/>
                <w:szCs w:val="24"/>
                <w14:ligatures w14:val="none"/>
              </w:rPr>
            </w:pPr>
            <w:r>
              <w:rPr>
                <w:rFonts w:hint="eastAsia"/>
                <w:szCs w:val="24"/>
                <w14:ligatures w14:val="none"/>
              </w:rPr>
              <w:t>患者随访问卷：可对患者的基本信息如身高、体重、居住环境、工作状况、教育程度进行调研。可对患者的疾病情况如疾病类型、既往病史、家族病史进行调研。</w:t>
            </w:r>
          </w:p>
        </w:tc>
      </w:tr>
      <w:tr w14:paraId="6D85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3C342E42">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38DF6727">
            <w:pPr>
              <w:widowControl w:val="0"/>
              <w:spacing w:after="0" w:line="500" w:lineRule="exact"/>
              <w:ind w:left="24" w:leftChars="10" w:right="113" w:firstLine="0"/>
              <w:rPr>
                <w:rFonts w:hint="eastAsia"/>
                <w:szCs w:val="24"/>
                <w14:ligatures w14:val="none"/>
              </w:rPr>
            </w:pPr>
            <w:r>
              <w:rPr>
                <w:rFonts w:hint="eastAsia"/>
                <w:color w:val="auto"/>
                <w:szCs w:val="24"/>
              </w:rPr>
              <w:t>支持外项目硬件血压血糖监测采集</w:t>
            </w:r>
            <w:r>
              <w:rPr>
                <w:rFonts w:hint="eastAsia"/>
                <w:szCs w:val="24"/>
                <w14:ligatures w14:val="none"/>
              </w:rPr>
              <w:t>设备的数据采集与数据展示：设备数据通过5G专网传输到后台数据库中，</w:t>
            </w:r>
            <w:r>
              <w:rPr>
                <w:rFonts w:hint="eastAsia"/>
                <w:color w:val="auto"/>
                <w:szCs w:val="24"/>
              </w:rPr>
              <w:t>系统实时抽取并展示给</w:t>
            </w:r>
            <w:r>
              <w:rPr>
                <w:rFonts w:hint="eastAsia"/>
                <w:szCs w:val="24"/>
                <w14:ligatures w14:val="none"/>
              </w:rPr>
              <w:t>家庭医生，查阅患者的血压和血糖数据。</w:t>
            </w:r>
          </w:p>
        </w:tc>
      </w:tr>
      <w:tr w14:paraId="10CC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273AE174">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8E7D46B">
            <w:pPr>
              <w:widowControl w:val="0"/>
              <w:spacing w:after="0" w:line="500" w:lineRule="exact"/>
              <w:ind w:left="24" w:leftChars="10" w:right="113" w:firstLine="0"/>
              <w:rPr>
                <w:rFonts w:hint="eastAsia"/>
                <w:szCs w:val="24"/>
                <w14:ligatures w14:val="none"/>
              </w:rPr>
            </w:pPr>
            <w:r>
              <w:rPr>
                <w:rFonts w:hint="eastAsia"/>
                <w:szCs w:val="24"/>
                <w14:ligatures w14:val="none"/>
              </w:rPr>
              <w:t>支持外项目硬件</w:t>
            </w:r>
            <w:r>
              <w:rPr>
                <w:rFonts w:hint="eastAsia"/>
                <w:color w:val="auto"/>
                <w:szCs w:val="24"/>
              </w:rPr>
              <w:t>油盐监测采集器的</w:t>
            </w:r>
            <w:r>
              <w:rPr>
                <w:rFonts w:hint="eastAsia"/>
                <w:szCs w:val="24"/>
                <w14:ligatures w14:val="none"/>
              </w:rPr>
              <w:t>数据采集与数据展示：实现社区居民油盐摄入动态监测，采集居民日常油盐糖数据，并将监测数据通过5G专网传输到后台数据库中，构建区域居民油盐糖摄入信息数据库，并向家庭医生进行数据展示。</w:t>
            </w:r>
          </w:p>
        </w:tc>
      </w:tr>
      <w:tr w14:paraId="4D29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1AD37E4F">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3EA14D8E">
            <w:pPr>
              <w:widowControl w:val="0"/>
              <w:spacing w:after="0" w:line="500" w:lineRule="exact"/>
              <w:ind w:left="24" w:leftChars="10" w:right="113" w:firstLine="0"/>
              <w:rPr>
                <w:rFonts w:hint="eastAsia"/>
                <w:szCs w:val="24"/>
                <w14:ligatures w14:val="none"/>
              </w:rPr>
            </w:pPr>
            <w:r>
              <w:rPr>
                <w:rFonts w:hint="eastAsia"/>
                <w:szCs w:val="24"/>
                <w14:ligatures w14:val="none"/>
              </w:rPr>
              <w:t>体征监测指标项目录入(支持多病种）：实现体征监测指标项目的录入。确定体征监测指标，指标可能包括身高、体重、腰围、臀围等。对于每个指标，需要确定适当的单位和正常范围。</w:t>
            </w:r>
          </w:p>
        </w:tc>
      </w:tr>
      <w:tr w14:paraId="156B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39A03F09">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539EFD62">
            <w:pPr>
              <w:widowControl w:val="0"/>
              <w:spacing w:after="0" w:line="500" w:lineRule="exact"/>
              <w:ind w:left="24" w:leftChars="10" w:right="113" w:firstLine="0"/>
              <w:rPr>
                <w:rFonts w:hint="eastAsia"/>
                <w:szCs w:val="24"/>
                <w14:ligatures w14:val="none"/>
              </w:rPr>
            </w:pPr>
            <w:r>
              <w:rPr>
                <w:rFonts w:hint="eastAsia"/>
                <w:szCs w:val="24"/>
                <w14:ligatures w14:val="none"/>
              </w:rPr>
              <w:t>图形化健康数据展现：系统通过图形化，展现系统中收集到的健康数据</w:t>
            </w:r>
          </w:p>
        </w:tc>
      </w:tr>
      <w:tr w14:paraId="4D44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restart"/>
            <w:shd w:val="clear" w:color="auto" w:fill="auto"/>
            <w:vAlign w:val="center"/>
          </w:tcPr>
          <w:p w14:paraId="552F14F0">
            <w:pPr>
              <w:widowControl w:val="0"/>
              <w:spacing w:after="0" w:line="500" w:lineRule="exact"/>
              <w:ind w:left="24" w:leftChars="10" w:right="113" w:firstLine="0"/>
              <w:jc w:val="center"/>
              <w:rPr>
                <w:rFonts w:hint="eastAsia"/>
                <w:szCs w:val="24"/>
                <w14:ligatures w14:val="none"/>
              </w:rPr>
            </w:pPr>
            <w:r>
              <w:rPr>
                <w:rFonts w:hint="eastAsia"/>
                <w:szCs w:val="24"/>
                <w14:ligatures w14:val="none"/>
              </w:rPr>
              <w:t>社区患者健康干预计划管理</w:t>
            </w:r>
          </w:p>
        </w:tc>
        <w:tc>
          <w:tcPr>
            <w:tcW w:w="7871" w:type="dxa"/>
            <w:shd w:val="clear" w:color="auto" w:fill="auto"/>
            <w:vAlign w:val="center"/>
          </w:tcPr>
          <w:p w14:paraId="0A43273D">
            <w:pPr>
              <w:widowControl w:val="0"/>
              <w:spacing w:after="0" w:line="500" w:lineRule="exact"/>
              <w:ind w:left="24" w:leftChars="10" w:right="113" w:firstLine="0"/>
              <w:rPr>
                <w:rFonts w:hint="eastAsia"/>
                <w:szCs w:val="24"/>
                <w14:ligatures w14:val="none"/>
              </w:rPr>
            </w:pPr>
            <w:r>
              <w:rPr>
                <w:rFonts w:hint="eastAsia"/>
                <w:szCs w:val="24"/>
                <w14:ligatures w14:val="none"/>
              </w:rPr>
              <w:t>健康干预计划规则库配置：健康干预规则配置内容包括健康高危因素的跟踪干预、运动行为干预、饮食干预等</w:t>
            </w:r>
          </w:p>
        </w:tc>
      </w:tr>
      <w:tr w14:paraId="159A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6B15BDCC">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3C1F3E02">
            <w:pPr>
              <w:widowControl w:val="0"/>
              <w:spacing w:after="0" w:line="500" w:lineRule="exact"/>
              <w:ind w:left="24" w:leftChars="10" w:right="113" w:firstLine="0"/>
              <w:rPr>
                <w:rFonts w:hint="eastAsia"/>
                <w:szCs w:val="24"/>
                <w14:ligatures w14:val="none"/>
              </w:rPr>
            </w:pPr>
            <w:r>
              <w:rPr>
                <w:rFonts w:hint="eastAsia"/>
                <w:szCs w:val="24"/>
                <w14:ligatures w14:val="none"/>
              </w:rPr>
              <w:t>体征数据异常监测规则库配置：设置体征数据异常检测模块，并设定合适的报警阈值，报警阈值的设定可以根据具体业务需求和数据特点进行调整</w:t>
            </w:r>
          </w:p>
        </w:tc>
      </w:tr>
      <w:tr w14:paraId="4A9B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6BBDF29E">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7111955A">
            <w:pPr>
              <w:widowControl w:val="0"/>
              <w:spacing w:after="0" w:line="500" w:lineRule="exact"/>
              <w:ind w:left="24" w:leftChars="10" w:right="113" w:firstLine="0"/>
              <w:rPr>
                <w:rFonts w:hint="eastAsia"/>
                <w:szCs w:val="24"/>
                <w14:ligatures w14:val="none"/>
              </w:rPr>
            </w:pPr>
            <w:r>
              <w:rPr>
                <w:rFonts w:hint="eastAsia"/>
                <w:szCs w:val="24"/>
                <w14:ligatures w14:val="none"/>
              </w:rPr>
              <w:t>支持外项目硬件</w:t>
            </w:r>
            <w:r>
              <w:rPr>
                <w:rFonts w:hint="eastAsia"/>
                <w:color w:val="auto"/>
                <w:szCs w:val="24"/>
              </w:rPr>
              <w:t>油盐监测采集器的</w:t>
            </w:r>
            <w:r>
              <w:rPr>
                <w:rFonts w:hint="eastAsia"/>
                <w:szCs w:val="24"/>
                <w14:ligatures w14:val="none"/>
              </w:rPr>
              <w:t>数据异常监测规则库配置：设置智能厨具数据异常检测模块</w:t>
            </w:r>
          </w:p>
        </w:tc>
      </w:tr>
      <w:tr w14:paraId="5EA9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4B39BE03">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13B654A">
            <w:pPr>
              <w:widowControl w:val="0"/>
              <w:spacing w:after="0" w:line="500" w:lineRule="exact"/>
              <w:ind w:left="24" w:leftChars="10" w:right="113" w:firstLine="0"/>
              <w:rPr>
                <w:rFonts w:hint="eastAsia"/>
                <w:szCs w:val="24"/>
                <w14:ligatures w14:val="none"/>
              </w:rPr>
            </w:pPr>
            <w:r>
              <w:rPr>
                <w:rFonts w:hint="eastAsia"/>
                <w:szCs w:val="24"/>
                <w14:ligatures w14:val="none"/>
              </w:rPr>
              <w:t>定期评估规则库配置：针对疾病进行规则库的配置</w:t>
            </w:r>
          </w:p>
        </w:tc>
      </w:tr>
      <w:tr w14:paraId="7E86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2897B6F5">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5F529764">
            <w:pPr>
              <w:widowControl w:val="0"/>
              <w:spacing w:after="0" w:line="500" w:lineRule="exact"/>
              <w:ind w:left="24" w:leftChars="10" w:right="113" w:firstLine="0"/>
              <w:rPr>
                <w:rFonts w:hint="eastAsia"/>
                <w:szCs w:val="24"/>
                <w14:ligatures w14:val="none"/>
              </w:rPr>
            </w:pPr>
            <w:r>
              <w:rPr>
                <w:rFonts w:hint="eastAsia"/>
                <w:szCs w:val="24"/>
                <w14:ligatures w14:val="none"/>
              </w:rPr>
              <w:t>健康宣教内容管理:利用大数据分析居民健康数据，结合外网丰富的健康资讯资源，为每位居民量身定制健康科普内容，通过内网平台及移动端APP精准推送，提升居民健康素养，预防疾病发生。</w:t>
            </w:r>
          </w:p>
        </w:tc>
      </w:tr>
      <w:tr w14:paraId="2386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0FE5D4B1">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7F1D5659">
            <w:pPr>
              <w:widowControl w:val="0"/>
              <w:spacing w:after="0" w:line="500" w:lineRule="exact"/>
              <w:ind w:left="24" w:leftChars="10" w:right="113" w:firstLine="0"/>
              <w:rPr>
                <w:rFonts w:hint="eastAsia"/>
                <w:szCs w:val="24"/>
                <w14:ligatures w14:val="none"/>
              </w:rPr>
            </w:pPr>
            <w:r>
              <w:rPr>
                <w:rFonts w:hint="eastAsia"/>
                <w:szCs w:val="24"/>
                <w14:ligatures w14:val="none"/>
              </w:rPr>
              <w:t>健康干预项目维护:可实现灵活的配置管理，可配置健康干预计划规则，可依据健康干预计划的内容向医生和患者双方提供干预内容，并可以执行干预计划的内容进行反馈</w:t>
            </w:r>
          </w:p>
        </w:tc>
      </w:tr>
      <w:tr w14:paraId="4A0F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7F16A567">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22D46ABD">
            <w:pPr>
              <w:widowControl w:val="0"/>
              <w:spacing w:after="0" w:line="500" w:lineRule="exact"/>
              <w:ind w:left="24" w:leftChars="10" w:right="113" w:firstLine="0"/>
              <w:rPr>
                <w:rFonts w:hint="eastAsia"/>
                <w:szCs w:val="24"/>
                <w14:ligatures w14:val="none"/>
              </w:rPr>
            </w:pPr>
            <w:r>
              <w:rPr>
                <w:rFonts w:hint="eastAsia"/>
                <w:szCs w:val="24"/>
                <w14:ligatures w14:val="none"/>
              </w:rPr>
              <w:t>服务定制包维护:按照健康干预项目进行执行，健康干预及服务内容可设置成服务包的方式</w:t>
            </w:r>
          </w:p>
        </w:tc>
      </w:tr>
      <w:tr w14:paraId="5361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restart"/>
            <w:shd w:val="clear" w:color="auto" w:fill="auto"/>
            <w:vAlign w:val="center"/>
          </w:tcPr>
          <w:p w14:paraId="52B263B2">
            <w:pPr>
              <w:widowControl w:val="0"/>
              <w:spacing w:after="0" w:line="500" w:lineRule="exact"/>
              <w:ind w:left="24" w:leftChars="10" w:right="113" w:firstLine="0"/>
              <w:jc w:val="center"/>
              <w:rPr>
                <w:rFonts w:hint="eastAsia"/>
                <w:szCs w:val="24"/>
                <w14:ligatures w14:val="none"/>
              </w:rPr>
            </w:pPr>
            <w:r>
              <w:rPr>
                <w:rFonts w:hint="eastAsia"/>
                <w:szCs w:val="24"/>
                <w14:ligatures w14:val="none"/>
              </w:rPr>
              <w:t>社区居民主动健康评估报告</w:t>
            </w:r>
          </w:p>
        </w:tc>
        <w:tc>
          <w:tcPr>
            <w:tcW w:w="7871" w:type="dxa"/>
            <w:shd w:val="clear" w:color="auto" w:fill="auto"/>
            <w:vAlign w:val="center"/>
          </w:tcPr>
          <w:p w14:paraId="20A775DD">
            <w:pPr>
              <w:widowControl w:val="0"/>
              <w:spacing w:after="0" w:line="500" w:lineRule="exact"/>
              <w:ind w:left="24" w:leftChars="10" w:right="113" w:firstLine="0"/>
              <w:rPr>
                <w:rFonts w:hint="eastAsia"/>
                <w:szCs w:val="24"/>
                <w14:ligatures w14:val="none"/>
              </w:rPr>
            </w:pPr>
            <w:r>
              <w:rPr>
                <w:rFonts w:hint="eastAsia"/>
                <w:szCs w:val="24"/>
                <w14:ligatures w14:val="none"/>
              </w:rPr>
              <w:t>生成健康评估报告，支持PDF文件下载：家庭医生对居民进行健康评估与健康干预后，可向居民发放健康评估报告，可生成PDF报告，给居民在社区浏览、下载、打印。</w:t>
            </w:r>
          </w:p>
        </w:tc>
      </w:tr>
      <w:tr w14:paraId="111A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592F234F">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06A8271">
            <w:pPr>
              <w:widowControl w:val="0"/>
              <w:spacing w:after="0" w:line="500" w:lineRule="exact"/>
              <w:ind w:left="24" w:leftChars="10" w:right="113" w:firstLine="0"/>
              <w:rPr>
                <w:rFonts w:hint="eastAsia"/>
                <w:szCs w:val="24"/>
                <w14:ligatures w14:val="none"/>
              </w:rPr>
            </w:pPr>
            <w:r>
              <w:rPr>
                <w:rFonts w:hint="eastAsia"/>
                <w:szCs w:val="24"/>
                <w14:ligatures w14:val="none"/>
              </w:rPr>
              <w:t>支持健康评估报告推送到居民移动端应用：支持移动端的报告发送方式</w:t>
            </w:r>
          </w:p>
        </w:tc>
      </w:tr>
      <w:tr w14:paraId="3A62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4E8538F9">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67E79597">
            <w:pPr>
              <w:widowControl w:val="0"/>
              <w:spacing w:after="0" w:line="500" w:lineRule="exact"/>
              <w:ind w:left="24" w:leftChars="10" w:right="113" w:firstLine="0"/>
              <w:rPr>
                <w:rFonts w:hint="eastAsia"/>
                <w:szCs w:val="24"/>
                <w14:ligatures w14:val="none"/>
              </w:rPr>
            </w:pPr>
            <w:r>
              <w:rPr>
                <w:rFonts w:hint="eastAsia"/>
                <w:szCs w:val="24"/>
                <w14:ligatures w14:val="none"/>
              </w:rPr>
              <w:t>可实现居民报告的语音播报：可以对接外项目社区AI语音电话系统，实现向居民的语音播报</w:t>
            </w:r>
          </w:p>
        </w:tc>
      </w:tr>
      <w:tr w14:paraId="15B1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7454E953">
            <w:pPr>
              <w:widowControl w:val="0"/>
              <w:spacing w:after="0" w:line="500" w:lineRule="exact"/>
              <w:ind w:left="24" w:leftChars="10" w:right="113" w:firstLine="0"/>
              <w:jc w:val="center"/>
              <w:rPr>
                <w:rFonts w:hint="eastAsia"/>
                <w:szCs w:val="24"/>
                <w14:ligatures w14:val="none"/>
              </w:rPr>
            </w:pPr>
            <w:r>
              <w:rPr>
                <w:rFonts w:hint="eastAsia"/>
                <w:szCs w:val="24"/>
                <w14:ligatures w14:val="none"/>
              </w:rPr>
              <w:t>患者健康分层分级管理</w:t>
            </w:r>
          </w:p>
        </w:tc>
        <w:tc>
          <w:tcPr>
            <w:tcW w:w="7871" w:type="dxa"/>
            <w:shd w:val="clear" w:color="auto" w:fill="auto"/>
            <w:vAlign w:val="center"/>
          </w:tcPr>
          <w:p w14:paraId="7888083D">
            <w:pPr>
              <w:widowControl w:val="0"/>
              <w:spacing w:after="0" w:line="500" w:lineRule="exact"/>
              <w:ind w:left="24" w:leftChars="10" w:right="113" w:firstLine="0"/>
              <w:rPr>
                <w:rFonts w:hint="eastAsia"/>
                <w:szCs w:val="24"/>
                <w14:ligatures w14:val="none"/>
              </w:rPr>
            </w:pPr>
            <w:r>
              <w:rPr>
                <w:rFonts w:hint="eastAsia"/>
                <w:szCs w:val="24"/>
                <w14:ligatures w14:val="none"/>
              </w:rPr>
              <w:t>患者管理及筛选：可对不同的患病人群进行分级管理，不同分级的人群管理方式不同，提供智能化的管理工具</w:t>
            </w:r>
          </w:p>
        </w:tc>
      </w:tr>
      <w:tr w14:paraId="0F38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44341D88">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E5DCAC4">
            <w:pPr>
              <w:widowControl w:val="0"/>
              <w:spacing w:after="0" w:line="500" w:lineRule="exact"/>
              <w:ind w:left="24" w:leftChars="10" w:right="113" w:firstLine="0"/>
              <w:rPr>
                <w:rFonts w:hint="eastAsia"/>
                <w:szCs w:val="24"/>
                <w14:ligatures w14:val="none"/>
              </w:rPr>
            </w:pPr>
            <w:r>
              <w:rPr>
                <w:rFonts w:hint="eastAsia"/>
                <w:szCs w:val="24"/>
                <w14:ligatures w14:val="none"/>
              </w:rPr>
              <w:t>患者添加标签：对患者添加管理标签，标签可以支持由系统增加和人工增加。</w:t>
            </w:r>
          </w:p>
        </w:tc>
      </w:tr>
      <w:tr w14:paraId="74E0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074521D5">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22F8A7A">
            <w:pPr>
              <w:widowControl w:val="0"/>
              <w:spacing w:after="0" w:line="500" w:lineRule="exact"/>
              <w:ind w:left="24" w:leftChars="10" w:right="113" w:firstLine="0"/>
              <w:rPr>
                <w:rFonts w:hint="eastAsia"/>
                <w:szCs w:val="24"/>
                <w14:ligatures w14:val="none"/>
              </w:rPr>
            </w:pPr>
            <w:r>
              <w:rPr>
                <w:rFonts w:hint="eastAsia"/>
                <w:szCs w:val="24"/>
                <w14:ligatures w14:val="none"/>
              </w:rPr>
              <w:t>查看患者全周期健康数据：通过居民健康数据的整合和分析，我们可以得到患者的全周期健康数据，包括疾病历史、健康行为、诊断结果、治疗方案和效果。</w:t>
            </w:r>
          </w:p>
        </w:tc>
      </w:tr>
      <w:tr w14:paraId="0376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52DBA431">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4F36C6D7">
            <w:pPr>
              <w:widowControl w:val="0"/>
              <w:spacing w:after="0" w:line="500" w:lineRule="exact"/>
              <w:ind w:left="24" w:leftChars="10" w:right="113" w:firstLine="0"/>
              <w:rPr>
                <w:rFonts w:hint="eastAsia"/>
                <w:szCs w:val="24"/>
                <w14:ligatures w14:val="none"/>
              </w:rPr>
            </w:pPr>
            <w:r>
              <w:rPr>
                <w:rFonts w:hint="eastAsia"/>
                <w:szCs w:val="24"/>
                <w14:ligatures w14:val="none"/>
              </w:rPr>
              <w:t>发送消息：可对接外项目社区短信发送及管理平台、微信平台，向患者发送消息</w:t>
            </w:r>
          </w:p>
        </w:tc>
      </w:tr>
      <w:tr w14:paraId="261E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05826CE5">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77983B0B">
            <w:pPr>
              <w:widowControl w:val="0"/>
              <w:spacing w:after="0" w:line="500" w:lineRule="exact"/>
              <w:ind w:left="24" w:leftChars="10" w:right="113" w:firstLine="0"/>
              <w:rPr>
                <w:rFonts w:hint="eastAsia"/>
                <w:szCs w:val="24"/>
                <w14:ligatures w14:val="none"/>
              </w:rPr>
            </w:pPr>
            <w:r>
              <w:rPr>
                <w:rFonts w:hint="eastAsia"/>
                <w:szCs w:val="24"/>
                <w14:ligatures w14:val="none"/>
              </w:rPr>
              <w:t>患者健康行为数据查阅及管理：跟踪患者的健康行为数据，并对数据进行分析，提供给家庭医生</w:t>
            </w:r>
          </w:p>
        </w:tc>
      </w:tr>
      <w:tr w14:paraId="75AD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6C118C69">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7844779A">
            <w:pPr>
              <w:widowControl w:val="0"/>
              <w:spacing w:after="0" w:line="500" w:lineRule="exact"/>
              <w:ind w:left="24" w:leftChars="10" w:right="113" w:firstLine="0"/>
              <w:rPr>
                <w:rFonts w:hint="eastAsia"/>
                <w:szCs w:val="24"/>
                <w14:ligatures w14:val="none"/>
              </w:rPr>
            </w:pPr>
            <w:r>
              <w:rPr>
                <w:rFonts w:hint="eastAsia"/>
                <w:szCs w:val="24"/>
                <w14:ligatures w14:val="none"/>
              </w:rPr>
              <w:t>线上问题回复：可通过平台对居民的问题进行线上回复</w:t>
            </w:r>
          </w:p>
        </w:tc>
      </w:tr>
      <w:tr w14:paraId="1D92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1163DD5A">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3F2F8875">
            <w:pPr>
              <w:widowControl w:val="0"/>
              <w:spacing w:after="0" w:line="500" w:lineRule="exact"/>
              <w:ind w:left="24" w:leftChars="10" w:right="113" w:firstLine="0"/>
              <w:rPr>
                <w:rFonts w:hint="eastAsia"/>
                <w:szCs w:val="24"/>
                <w14:ligatures w14:val="none"/>
              </w:rPr>
            </w:pPr>
            <w:r>
              <w:rPr>
                <w:rFonts w:hint="eastAsia"/>
                <w:szCs w:val="24"/>
                <w14:ligatures w14:val="none"/>
              </w:rPr>
              <w:t>数据查询：提供数据查询模块，可以按照多条件，对管理的居民进行查询</w:t>
            </w:r>
          </w:p>
        </w:tc>
      </w:tr>
      <w:tr w14:paraId="7382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22808E1E">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38D8E2D3">
            <w:pPr>
              <w:widowControl w:val="0"/>
              <w:spacing w:after="0" w:line="500" w:lineRule="exact"/>
              <w:ind w:left="24" w:leftChars="10" w:right="113" w:firstLine="0"/>
              <w:rPr>
                <w:rFonts w:hint="eastAsia"/>
                <w:szCs w:val="24"/>
                <w14:ligatures w14:val="none"/>
              </w:rPr>
            </w:pPr>
            <w:r>
              <w:rPr>
                <w:rFonts w:hint="eastAsia"/>
                <w:szCs w:val="24"/>
                <w14:ligatures w14:val="none"/>
              </w:rPr>
              <w:t>健康管理vip服务：可设定健康管理的vip服务内容，当患者需要时，可以选择vip服务对其进行管理</w:t>
            </w:r>
          </w:p>
        </w:tc>
      </w:tr>
      <w:tr w14:paraId="21BD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79" w:type="dxa"/>
            <w:vMerge w:val="continue"/>
            <w:vAlign w:val="center"/>
          </w:tcPr>
          <w:p w14:paraId="72B0C3A6">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24EBD35">
            <w:pPr>
              <w:widowControl w:val="0"/>
              <w:spacing w:after="0" w:line="500" w:lineRule="exact"/>
              <w:ind w:left="24" w:leftChars="10" w:right="113" w:firstLine="0"/>
              <w:rPr>
                <w:rFonts w:hint="eastAsia"/>
                <w:szCs w:val="24"/>
                <w14:ligatures w14:val="none"/>
              </w:rPr>
            </w:pPr>
            <w:r>
              <w:rPr>
                <w:rFonts w:hint="eastAsia"/>
                <w:szCs w:val="24"/>
                <w14:ligatures w14:val="none"/>
              </w:rPr>
              <w:t>患者健康数据统计及分析：提供患者健康数据的统计及分析功能</w:t>
            </w:r>
          </w:p>
        </w:tc>
      </w:tr>
      <w:tr w14:paraId="0E2C2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7405EB81">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2228B172">
            <w:pPr>
              <w:widowControl w:val="0"/>
              <w:spacing w:after="0" w:line="500" w:lineRule="exact"/>
              <w:ind w:left="24" w:leftChars="10" w:right="113" w:firstLine="0"/>
              <w:rPr>
                <w:rFonts w:hint="eastAsia"/>
                <w:szCs w:val="24"/>
                <w14:ligatures w14:val="none"/>
              </w:rPr>
            </w:pPr>
            <w:r>
              <w:rPr>
                <w:rFonts w:hint="eastAsia"/>
                <w:szCs w:val="24"/>
                <w14:ligatures w14:val="none"/>
              </w:rPr>
              <w:t>患者执行主动健康管理结果分析：按照患者执行主动健康管理的各种结果数据，对其进行分析，可得到患者主动健康管理的干预情况和效果等指标</w:t>
            </w:r>
          </w:p>
        </w:tc>
      </w:tr>
      <w:tr w14:paraId="1EA4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4EC9010C">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03A10D7">
            <w:pPr>
              <w:widowControl w:val="0"/>
              <w:spacing w:after="0" w:line="500" w:lineRule="exact"/>
              <w:ind w:left="24" w:leftChars="10" w:right="113" w:firstLine="0"/>
              <w:rPr>
                <w:rFonts w:hint="eastAsia"/>
                <w:szCs w:val="24"/>
                <w14:ligatures w14:val="none"/>
              </w:rPr>
            </w:pPr>
            <w:r>
              <w:rPr>
                <w:rFonts w:hint="eastAsia"/>
                <w:szCs w:val="24"/>
                <w14:ligatures w14:val="none"/>
              </w:rPr>
              <w:t>患者分层分级管理：可实现对高血压等疾病患者的分层分级管理，针对不同级别的管理内容和管理频率不同</w:t>
            </w:r>
          </w:p>
        </w:tc>
      </w:tr>
      <w:tr w14:paraId="3533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2FD9FF05">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59192880">
            <w:pPr>
              <w:widowControl w:val="0"/>
              <w:spacing w:after="0" w:line="500" w:lineRule="exact"/>
              <w:ind w:left="24" w:leftChars="10" w:right="113" w:firstLine="0"/>
              <w:rPr>
                <w:rFonts w:hint="eastAsia"/>
                <w:szCs w:val="24"/>
                <w14:ligatures w14:val="none"/>
              </w:rPr>
            </w:pPr>
            <w:r>
              <w:rPr>
                <w:rFonts w:hint="eastAsia"/>
                <w:szCs w:val="24"/>
                <w14:ligatures w14:val="none"/>
              </w:rPr>
              <w:t>按标签分类管理：根据患者健康评估标签，对患者进一步进行分类管理</w:t>
            </w:r>
          </w:p>
        </w:tc>
      </w:tr>
      <w:tr w14:paraId="3754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15C7F032">
            <w:pPr>
              <w:widowControl w:val="0"/>
              <w:spacing w:after="0" w:line="500" w:lineRule="exact"/>
              <w:ind w:left="24" w:leftChars="10" w:right="113" w:firstLine="0"/>
              <w:jc w:val="center"/>
              <w:rPr>
                <w:rFonts w:hint="eastAsia"/>
                <w:szCs w:val="24"/>
                <w14:ligatures w14:val="none"/>
              </w:rPr>
            </w:pPr>
            <w:r>
              <w:rPr>
                <w:rFonts w:hint="eastAsia"/>
                <w:szCs w:val="24"/>
                <w14:ligatures w14:val="none"/>
              </w:rPr>
              <w:t>随访服务（医生端和患者端）</w:t>
            </w:r>
          </w:p>
        </w:tc>
        <w:tc>
          <w:tcPr>
            <w:tcW w:w="7871" w:type="dxa"/>
            <w:shd w:val="clear" w:color="auto" w:fill="auto"/>
            <w:vAlign w:val="center"/>
          </w:tcPr>
          <w:p w14:paraId="32566457">
            <w:pPr>
              <w:widowControl w:val="0"/>
              <w:spacing w:after="0" w:line="500" w:lineRule="exact"/>
              <w:ind w:left="24" w:leftChars="10" w:right="113" w:firstLine="0"/>
              <w:rPr>
                <w:rFonts w:hint="eastAsia"/>
                <w:szCs w:val="24"/>
                <w14:ligatures w14:val="none"/>
              </w:rPr>
            </w:pPr>
            <w:r>
              <w:rPr>
                <w:rFonts w:hint="eastAsia"/>
                <w:szCs w:val="24"/>
                <w14:ligatures w14:val="none"/>
              </w:rPr>
              <w:t>个人信息维护：维护患者个人信息</w:t>
            </w:r>
          </w:p>
        </w:tc>
      </w:tr>
      <w:tr w14:paraId="4F41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31002EB4">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6F0C8B1A">
            <w:pPr>
              <w:widowControl w:val="0"/>
              <w:spacing w:after="0" w:line="500" w:lineRule="exact"/>
              <w:ind w:left="24" w:leftChars="10" w:right="113" w:firstLine="0"/>
              <w:rPr>
                <w:rFonts w:hint="eastAsia"/>
                <w:szCs w:val="24"/>
                <w14:ligatures w14:val="none"/>
              </w:rPr>
            </w:pPr>
            <w:r>
              <w:rPr>
                <w:rFonts w:hint="eastAsia"/>
                <w:szCs w:val="24"/>
                <w14:ligatures w14:val="none"/>
              </w:rPr>
              <w:t>通知消息中心：根据方案设计，会在指定时间通过短信、微信公众号向患者按需推送相关患教内容、</w:t>
            </w:r>
          </w:p>
        </w:tc>
      </w:tr>
      <w:tr w14:paraId="35A2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16E2328B">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7EB9B6B0">
            <w:pPr>
              <w:widowControl w:val="0"/>
              <w:spacing w:after="0" w:line="500" w:lineRule="exact"/>
              <w:ind w:left="24" w:leftChars="10" w:right="113" w:firstLine="0"/>
              <w:rPr>
                <w:rFonts w:hint="eastAsia"/>
                <w:szCs w:val="24"/>
                <w14:ligatures w14:val="none"/>
              </w:rPr>
            </w:pPr>
            <w:r>
              <w:rPr>
                <w:rFonts w:hint="eastAsia"/>
                <w:szCs w:val="24"/>
                <w14:ligatures w14:val="none"/>
              </w:rPr>
              <w:t>定期评估报告：向居民定期发送健康评估报告</w:t>
            </w:r>
          </w:p>
        </w:tc>
      </w:tr>
      <w:tr w14:paraId="7005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37212D91">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EDDDA1D">
            <w:pPr>
              <w:widowControl w:val="0"/>
              <w:spacing w:after="0" w:line="500" w:lineRule="exact"/>
              <w:ind w:left="24" w:leftChars="10" w:right="113" w:firstLine="0"/>
              <w:rPr>
                <w:rFonts w:hint="eastAsia"/>
                <w:szCs w:val="24"/>
                <w14:ligatures w14:val="none"/>
              </w:rPr>
            </w:pPr>
            <w:r>
              <w:rPr>
                <w:rFonts w:hint="eastAsia"/>
                <w:szCs w:val="24"/>
                <w14:ligatures w14:val="none"/>
              </w:rPr>
              <w:t>医患交流：提供线上的医患交流功能</w:t>
            </w:r>
          </w:p>
        </w:tc>
      </w:tr>
      <w:tr w14:paraId="2BDF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12AD5BD6">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FA8DAD0">
            <w:pPr>
              <w:widowControl w:val="0"/>
              <w:spacing w:after="0" w:line="500" w:lineRule="exact"/>
              <w:ind w:left="24" w:leftChars="10" w:right="113" w:firstLine="0"/>
              <w:rPr>
                <w:rFonts w:hint="eastAsia"/>
                <w:szCs w:val="24"/>
                <w14:ligatures w14:val="none"/>
              </w:rPr>
            </w:pPr>
            <w:r>
              <w:rPr>
                <w:rFonts w:hint="eastAsia"/>
                <w:szCs w:val="24"/>
                <w14:ligatures w14:val="none"/>
              </w:rPr>
              <w:t>询问客服：提供居民端询问客服功能</w:t>
            </w:r>
          </w:p>
        </w:tc>
      </w:tr>
      <w:tr w14:paraId="10D6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79" w:type="dxa"/>
            <w:vMerge w:val="continue"/>
            <w:vAlign w:val="center"/>
          </w:tcPr>
          <w:p w14:paraId="2C0CEB39">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6A8B28B">
            <w:pPr>
              <w:widowControl w:val="0"/>
              <w:spacing w:after="0" w:line="500" w:lineRule="exact"/>
              <w:ind w:left="24" w:leftChars="10" w:right="113" w:firstLine="0"/>
              <w:rPr>
                <w:rFonts w:hint="eastAsia"/>
                <w:szCs w:val="24"/>
                <w14:ligatures w14:val="none"/>
              </w:rPr>
            </w:pPr>
            <w:r>
              <w:rPr>
                <w:rFonts w:hint="eastAsia"/>
                <w:szCs w:val="24"/>
                <w14:ligatures w14:val="none"/>
              </w:rPr>
              <w:t>确认病人健康干预计划：医生可确认健康评估结果和健康干预计划内容，确认后报告可发放给居民</w:t>
            </w:r>
          </w:p>
        </w:tc>
      </w:tr>
      <w:tr w14:paraId="6DAA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79" w:type="dxa"/>
            <w:vMerge w:val="continue"/>
            <w:vAlign w:val="center"/>
          </w:tcPr>
          <w:p w14:paraId="01B88C9F">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FF74F4F">
            <w:pPr>
              <w:widowControl w:val="0"/>
              <w:spacing w:after="0" w:line="500" w:lineRule="exact"/>
              <w:ind w:left="24" w:leftChars="10" w:right="113" w:firstLine="0"/>
              <w:rPr>
                <w:rFonts w:hint="eastAsia"/>
                <w:szCs w:val="24"/>
                <w14:ligatures w14:val="none"/>
              </w:rPr>
            </w:pPr>
            <w:r>
              <w:rPr>
                <w:rFonts w:hint="eastAsia"/>
                <w:szCs w:val="24"/>
                <w14:ligatures w14:val="none"/>
              </w:rPr>
              <w:t>分级随访管理（群管理）：可按照居民健康评估的结果，分级对不同患病人群进行管理</w:t>
            </w:r>
          </w:p>
        </w:tc>
      </w:tr>
      <w:tr w14:paraId="5BB0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39AE90DB">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78F7F64D">
            <w:pPr>
              <w:widowControl w:val="0"/>
              <w:spacing w:after="0" w:line="500" w:lineRule="exact"/>
              <w:ind w:left="24" w:leftChars="10" w:right="113" w:firstLine="0"/>
              <w:rPr>
                <w:rFonts w:hint="eastAsia"/>
                <w:szCs w:val="24"/>
                <w14:ligatures w14:val="none"/>
              </w:rPr>
            </w:pPr>
            <w:r>
              <w:rPr>
                <w:rFonts w:hint="eastAsia"/>
                <w:szCs w:val="24"/>
                <w14:ligatures w14:val="none"/>
              </w:rPr>
              <w:t>转诊提醒：出现转诊要求时，可进行转诊提醒</w:t>
            </w:r>
          </w:p>
        </w:tc>
      </w:tr>
      <w:tr w14:paraId="7282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29891D8C">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C3F468D">
            <w:pPr>
              <w:widowControl w:val="0"/>
              <w:spacing w:after="0" w:line="500" w:lineRule="exact"/>
              <w:ind w:left="24" w:leftChars="10" w:right="113" w:firstLine="0"/>
              <w:rPr>
                <w:rFonts w:hint="eastAsia"/>
                <w:szCs w:val="24"/>
                <w14:ligatures w14:val="none"/>
              </w:rPr>
            </w:pPr>
            <w:r>
              <w:rPr>
                <w:rFonts w:hint="eastAsia"/>
                <w:szCs w:val="24"/>
                <w14:ligatures w14:val="none"/>
              </w:rPr>
              <w:t>健康宣教：居民可完成健康宣教内容的阅读</w:t>
            </w:r>
          </w:p>
        </w:tc>
      </w:tr>
      <w:tr w14:paraId="767E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08517535">
            <w:pPr>
              <w:widowControl w:val="0"/>
              <w:spacing w:after="0" w:line="500" w:lineRule="exact"/>
              <w:ind w:left="24" w:leftChars="10" w:right="113" w:firstLine="0"/>
              <w:jc w:val="center"/>
              <w:rPr>
                <w:rFonts w:hint="eastAsia"/>
                <w:szCs w:val="24"/>
                <w14:ligatures w14:val="none"/>
              </w:rPr>
            </w:pPr>
            <w:r>
              <w:rPr>
                <w:rFonts w:hint="eastAsia"/>
                <w:szCs w:val="24"/>
                <w14:ligatures w14:val="none"/>
              </w:rPr>
              <w:t>健康知识宣教管理</w:t>
            </w:r>
          </w:p>
        </w:tc>
        <w:tc>
          <w:tcPr>
            <w:tcW w:w="7871" w:type="dxa"/>
            <w:shd w:val="clear" w:color="auto" w:fill="auto"/>
            <w:vAlign w:val="center"/>
          </w:tcPr>
          <w:p w14:paraId="380A1971">
            <w:pPr>
              <w:widowControl w:val="0"/>
              <w:spacing w:after="0" w:line="500" w:lineRule="exact"/>
              <w:ind w:left="24" w:leftChars="10" w:right="113" w:firstLine="0"/>
              <w:rPr>
                <w:rFonts w:hint="eastAsia"/>
                <w:szCs w:val="24"/>
                <w14:ligatures w14:val="none"/>
              </w:rPr>
            </w:pPr>
            <w:r>
              <w:rPr>
                <w:rFonts w:hint="eastAsia"/>
                <w:szCs w:val="24"/>
                <w14:ligatures w14:val="none"/>
              </w:rPr>
              <w:t>查阅疾病知识：可查阅疾病相关知识内容</w:t>
            </w:r>
          </w:p>
        </w:tc>
      </w:tr>
      <w:tr w14:paraId="53A4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7C1065A0">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C17AF14">
            <w:pPr>
              <w:widowControl w:val="0"/>
              <w:spacing w:after="0" w:line="500" w:lineRule="exact"/>
              <w:ind w:left="24" w:leftChars="10" w:right="113" w:firstLine="0"/>
              <w:rPr>
                <w:rFonts w:hint="eastAsia"/>
                <w:szCs w:val="24"/>
                <w14:ligatures w14:val="none"/>
              </w:rPr>
            </w:pPr>
            <w:r>
              <w:rPr>
                <w:rFonts w:hint="eastAsia"/>
                <w:szCs w:val="24"/>
                <w14:ligatures w14:val="none"/>
              </w:rPr>
              <w:t>查阅健康宣教内容：可查阅健康宣教内容</w:t>
            </w:r>
          </w:p>
        </w:tc>
      </w:tr>
      <w:tr w14:paraId="58CC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5F56A43B">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9E74846">
            <w:pPr>
              <w:widowControl w:val="0"/>
              <w:spacing w:after="0" w:line="500" w:lineRule="exact"/>
              <w:ind w:left="24" w:leftChars="10" w:right="113" w:firstLine="0"/>
              <w:rPr>
                <w:rFonts w:hint="eastAsia"/>
                <w:szCs w:val="24"/>
                <w14:ligatures w14:val="none"/>
              </w:rPr>
            </w:pPr>
            <w:r>
              <w:rPr>
                <w:rFonts w:hint="eastAsia"/>
                <w:szCs w:val="24"/>
                <w14:ligatures w14:val="none"/>
              </w:rPr>
              <w:t>知识内容收藏：可收藏知识内容</w:t>
            </w:r>
          </w:p>
        </w:tc>
      </w:tr>
      <w:tr w14:paraId="37E4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restart"/>
            <w:shd w:val="clear" w:color="auto" w:fill="auto"/>
            <w:vAlign w:val="center"/>
          </w:tcPr>
          <w:p w14:paraId="32C92A76">
            <w:pPr>
              <w:widowControl w:val="0"/>
              <w:spacing w:after="0" w:line="500" w:lineRule="exact"/>
              <w:ind w:left="24" w:leftChars="10" w:right="113" w:firstLine="0"/>
              <w:jc w:val="center"/>
              <w:rPr>
                <w:rFonts w:hint="eastAsia"/>
                <w:szCs w:val="24"/>
                <w14:ligatures w14:val="none"/>
              </w:rPr>
            </w:pPr>
            <w:r>
              <w:rPr>
                <w:rFonts w:hint="eastAsia"/>
                <w:szCs w:val="24"/>
                <w14:ligatures w14:val="none"/>
              </w:rPr>
              <w:t>健康管理门诊服务</w:t>
            </w:r>
          </w:p>
        </w:tc>
        <w:tc>
          <w:tcPr>
            <w:tcW w:w="7871" w:type="dxa"/>
            <w:shd w:val="clear" w:color="auto" w:fill="auto"/>
            <w:vAlign w:val="center"/>
          </w:tcPr>
          <w:p w14:paraId="6A6ECE13">
            <w:pPr>
              <w:widowControl w:val="0"/>
              <w:spacing w:after="0" w:line="500" w:lineRule="exact"/>
              <w:ind w:left="24" w:leftChars="10" w:right="113" w:firstLine="0"/>
              <w:rPr>
                <w:rFonts w:hint="eastAsia"/>
                <w:szCs w:val="24"/>
                <w14:ligatures w14:val="none"/>
              </w:rPr>
            </w:pPr>
            <w:r>
              <w:rPr>
                <w:rFonts w:hint="eastAsia"/>
                <w:szCs w:val="24"/>
                <w14:ligatures w14:val="none"/>
              </w:rPr>
              <w:t>健康管理患者门诊登记：提供疾病管理特色的门诊服务，一站式为群众提供体检及体检后的健康信息评估、健康干预方案制定等基础上，为亚健康人群、慢性病患者等提供全流程、全方位、全周期的健康管理指导服务</w:t>
            </w:r>
          </w:p>
        </w:tc>
      </w:tr>
      <w:tr w14:paraId="6BBC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5AE4F311">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C4DB243">
            <w:pPr>
              <w:widowControl w:val="0"/>
              <w:spacing w:after="0" w:line="500" w:lineRule="exact"/>
              <w:ind w:left="24" w:leftChars="10" w:right="113" w:firstLine="0"/>
              <w:rPr>
                <w:rFonts w:hint="eastAsia"/>
                <w:szCs w:val="24"/>
                <w14:ligatures w14:val="none"/>
              </w:rPr>
            </w:pPr>
            <w:r>
              <w:rPr>
                <w:rFonts w:hint="eastAsia"/>
                <w:szCs w:val="24"/>
                <w14:ligatures w14:val="none"/>
              </w:rPr>
              <w:t>患者健康管理中心就诊：提供疾病管理特色的门诊服务，一站式为群众提供体检及体检后的健康信息评估、健康干预方案制定等基础上，为亚健康人群、慢性病患者等提供全流程、全方位、全周期的健康管理指导服务</w:t>
            </w:r>
          </w:p>
        </w:tc>
      </w:tr>
      <w:tr w14:paraId="4ED8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38CA4D5D">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4406AAF2">
            <w:pPr>
              <w:widowControl w:val="0"/>
              <w:spacing w:after="0" w:line="500" w:lineRule="exact"/>
              <w:ind w:left="24" w:leftChars="10" w:right="113" w:firstLine="0"/>
              <w:rPr>
                <w:rFonts w:hint="eastAsia"/>
                <w:szCs w:val="24"/>
                <w14:ligatures w14:val="none"/>
              </w:rPr>
            </w:pPr>
            <w:r>
              <w:rPr>
                <w:rFonts w:hint="eastAsia"/>
                <w:szCs w:val="24"/>
                <w14:ligatures w14:val="none"/>
              </w:rPr>
              <w:t>患者加入健康管理计划：根据健康管理门诊的评估结果，将患者纳入到健康管理计划中</w:t>
            </w:r>
          </w:p>
        </w:tc>
      </w:tr>
      <w:tr w14:paraId="579D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7348C70C">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4A0908A7">
            <w:pPr>
              <w:widowControl w:val="0"/>
              <w:spacing w:after="0" w:line="500" w:lineRule="exact"/>
              <w:ind w:left="24" w:leftChars="10" w:right="113" w:firstLine="0"/>
              <w:rPr>
                <w:rFonts w:hint="eastAsia"/>
                <w:szCs w:val="24"/>
                <w14:ligatures w14:val="none"/>
              </w:rPr>
            </w:pPr>
            <w:r>
              <w:rPr>
                <w:rFonts w:hint="eastAsia"/>
                <w:szCs w:val="24"/>
                <w14:ligatures w14:val="none"/>
              </w:rPr>
              <w:t>个性化确认患者的健康干预方案：面对疾病高危人群，门诊医生可进行个性化健康干预方案的确认</w:t>
            </w:r>
          </w:p>
        </w:tc>
      </w:tr>
      <w:tr w14:paraId="4D34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59110CB1">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7E20D90F">
            <w:pPr>
              <w:widowControl w:val="0"/>
              <w:spacing w:after="0" w:line="500" w:lineRule="exact"/>
              <w:ind w:left="24" w:leftChars="10" w:right="113" w:firstLine="0"/>
              <w:rPr>
                <w:rFonts w:hint="eastAsia"/>
                <w:szCs w:val="24"/>
                <w14:ligatures w14:val="none"/>
              </w:rPr>
            </w:pPr>
            <w:r>
              <w:rPr>
                <w:rFonts w:hint="eastAsia"/>
                <w:szCs w:val="24"/>
                <w14:ligatures w14:val="none"/>
              </w:rPr>
              <w:t>健康管理门诊患者统计分析：可对门诊的门诊工作量、评估工作量、评估结果等内容进行统计分析</w:t>
            </w:r>
          </w:p>
        </w:tc>
      </w:tr>
      <w:tr w14:paraId="39C5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979" w:type="dxa"/>
            <w:vMerge w:val="restart"/>
            <w:shd w:val="clear" w:color="auto" w:fill="auto"/>
            <w:vAlign w:val="center"/>
          </w:tcPr>
          <w:p w14:paraId="617682EF">
            <w:pPr>
              <w:widowControl w:val="0"/>
              <w:spacing w:after="0" w:line="500" w:lineRule="exact"/>
              <w:ind w:left="24" w:leftChars="10" w:right="113" w:firstLine="0"/>
              <w:jc w:val="center"/>
              <w:rPr>
                <w:rFonts w:hint="eastAsia"/>
                <w:szCs w:val="24"/>
                <w14:ligatures w14:val="none"/>
              </w:rPr>
            </w:pPr>
            <w:r>
              <w:rPr>
                <w:rFonts w:hint="eastAsia"/>
                <w:szCs w:val="24"/>
                <w14:ligatures w14:val="none"/>
              </w:rPr>
              <w:t>个人全生命周期健康行为数据采集</w:t>
            </w:r>
          </w:p>
        </w:tc>
        <w:tc>
          <w:tcPr>
            <w:tcW w:w="7871" w:type="dxa"/>
            <w:shd w:val="clear" w:color="auto" w:fill="auto"/>
            <w:vAlign w:val="center"/>
          </w:tcPr>
          <w:p w14:paraId="1A89F693">
            <w:pPr>
              <w:widowControl w:val="0"/>
              <w:spacing w:after="0" w:line="500" w:lineRule="exact"/>
              <w:ind w:left="24" w:leftChars="10" w:right="113" w:firstLine="0"/>
              <w:rPr>
                <w:rFonts w:hint="eastAsia"/>
                <w:szCs w:val="24"/>
                <w14:ligatures w14:val="none"/>
              </w:rPr>
            </w:pPr>
            <w:r>
              <w:rPr>
                <w:rFonts w:hint="eastAsia"/>
                <w:szCs w:val="24"/>
                <w14:ligatures w14:val="none"/>
              </w:rPr>
              <w:t>采集患者生命体征、身体指标数据：对接社区记录的患者生命体征、身体指标数据</w:t>
            </w:r>
          </w:p>
        </w:tc>
      </w:tr>
      <w:tr w14:paraId="5051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5A7D7438">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9E06362">
            <w:pPr>
              <w:widowControl w:val="0"/>
              <w:spacing w:after="0" w:line="500" w:lineRule="exact"/>
              <w:ind w:left="24" w:leftChars="10" w:right="113" w:firstLine="0"/>
              <w:rPr>
                <w:rFonts w:hint="eastAsia"/>
                <w:szCs w:val="24"/>
                <w14:ligatures w14:val="none"/>
              </w:rPr>
            </w:pPr>
            <w:r>
              <w:rPr>
                <w:rFonts w:hint="eastAsia"/>
                <w:szCs w:val="24"/>
                <w14:ligatures w14:val="none"/>
              </w:rPr>
              <w:t>可监测生命体征数据异常，并提醒：当出现监测生命体征数据异常时，可向家庭医生团队进行提示</w:t>
            </w:r>
          </w:p>
        </w:tc>
      </w:tr>
      <w:tr w14:paraId="3772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79" w:type="dxa"/>
            <w:vMerge w:val="restart"/>
            <w:shd w:val="clear" w:color="auto" w:fill="auto"/>
            <w:vAlign w:val="center"/>
          </w:tcPr>
          <w:p w14:paraId="5FF5F506">
            <w:pPr>
              <w:widowControl w:val="0"/>
              <w:spacing w:after="0" w:line="500" w:lineRule="exact"/>
              <w:ind w:left="24" w:leftChars="10" w:right="113" w:firstLine="0"/>
              <w:jc w:val="center"/>
              <w:rPr>
                <w:rFonts w:hint="eastAsia"/>
                <w:szCs w:val="24"/>
                <w14:ligatures w14:val="none"/>
              </w:rPr>
            </w:pPr>
            <w:r>
              <w:rPr>
                <w:rFonts w:hint="eastAsia"/>
                <w:szCs w:val="24"/>
                <w14:ligatures w14:val="none"/>
              </w:rPr>
              <w:t>社区居民油盐糖摄入动态监测终端子系统</w:t>
            </w:r>
          </w:p>
        </w:tc>
        <w:tc>
          <w:tcPr>
            <w:tcW w:w="7871" w:type="dxa"/>
            <w:shd w:val="clear" w:color="auto" w:fill="auto"/>
            <w:vAlign w:val="center"/>
          </w:tcPr>
          <w:p w14:paraId="79C5E1C2">
            <w:pPr>
              <w:widowControl w:val="0"/>
              <w:spacing w:after="0" w:line="500" w:lineRule="exact"/>
              <w:ind w:left="24" w:leftChars="10" w:right="113" w:firstLine="0"/>
              <w:rPr>
                <w:rFonts w:hint="eastAsia"/>
                <w:szCs w:val="24"/>
                <w14:ligatures w14:val="none"/>
              </w:rPr>
            </w:pPr>
            <w:r>
              <w:rPr>
                <w:rFonts w:hint="eastAsia"/>
                <w:szCs w:val="24"/>
                <w14:ligatures w14:val="none"/>
              </w:rPr>
              <w:t>支持外项目硬件</w:t>
            </w:r>
            <w:r>
              <w:rPr>
                <w:rFonts w:hint="eastAsia"/>
                <w:color w:val="auto"/>
                <w:szCs w:val="24"/>
              </w:rPr>
              <w:t>油盐监测采集设备的</w:t>
            </w:r>
            <w:r>
              <w:rPr>
                <w:rFonts w:hint="eastAsia"/>
                <w:szCs w:val="24"/>
                <w14:ligatures w14:val="none"/>
              </w:rPr>
              <w:t>社区家医应用：基于油盐糖设备数据采集基础，用于签约居民的日常油盐糖摄入信息的管理。基于油盐糖设备日常采集数据和相关健康诊疗信息，家庭医生可实现日常油盐糖摄入指导性干预信息的管理。</w:t>
            </w:r>
          </w:p>
        </w:tc>
      </w:tr>
      <w:tr w14:paraId="7565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979" w:type="dxa"/>
            <w:vMerge w:val="continue"/>
            <w:vAlign w:val="center"/>
          </w:tcPr>
          <w:p w14:paraId="4B878D18">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6073BCA">
            <w:pPr>
              <w:widowControl w:val="0"/>
              <w:spacing w:after="0" w:line="500" w:lineRule="exact"/>
              <w:ind w:left="24" w:leftChars="10" w:right="113" w:firstLine="0"/>
              <w:rPr>
                <w:rFonts w:hint="eastAsia"/>
                <w:szCs w:val="24"/>
                <w14:ligatures w14:val="none"/>
              </w:rPr>
            </w:pPr>
            <w:r>
              <w:rPr>
                <w:rFonts w:hint="eastAsia"/>
                <w:szCs w:val="24"/>
                <w14:ligatures w14:val="none"/>
              </w:rPr>
              <w:t>支持外项目硬件</w:t>
            </w:r>
            <w:r>
              <w:rPr>
                <w:rFonts w:hint="eastAsia"/>
                <w:color w:val="auto"/>
                <w:szCs w:val="24"/>
              </w:rPr>
              <w:t>油盐监测采集设备的</w:t>
            </w:r>
            <w:r>
              <w:rPr>
                <w:rFonts w:hint="eastAsia"/>
                <w:szCs w:val="24"/>
                <w14:ligatures w14:val="none"/>
              </w:rPr>
              <w:t>后台管理应用：</w:t>
            </w:r>
          </w:p>
          <w:p w14:paraId="7BF2C10A">
            <w:pPr>
              <w:widowControl w:val="0"/>
              <w:numPr>
                <w:ilvl w:val="0"/>
                <w:numId w:val="0"/>
              </w:numPr>
              <w:spacing w:after="0" w:line="500" w:lineRule="exact"/>
              <w:ind w:leftChars="0" w:right="113" w:rightChars="0"/>
              <w:rPr>
                <w:rFonts w:hint="eastAsia"/>
                <w:szCs w:val="24"/>
                <w14:ligatures w14:val="none"/>
              </w:rPr>
            </w:pPr>
            <w:r>
              <w:rPr>
                <w:rFonts w:hint="eastAsia"/>
                <w:szCs w:val="24"/>
                <w:lang w:eastAsia="zh-CN"/>
                <w14:ligatures w14:val="none"/>
              </w:rPr>
              <w:t>（</w:t>
            </w:r>
            <w:r>
              <w:rPr>
                <w:rFonts w:hint="eastAsia"/>
                <w:szCs w:val="24"/>
                <w:lang w:val="en-US" w:eastAsia="zh-CN"/>
                <w14:ligatures w14:val="none"/>
              </w:rPr>
              <w:t>1</w:t>
            </w:r>
            <w:r>
              <w:rPr>
                <w:rFonts w:hint="eastAsia"/>
                <w:szCs w:val="24"/>
                <w:lang w:eastAsia="zh-CN"/>
                <w14:ligatures w14:val="none"/>
              </w:rPr>
              <w:t>）</w:t>
            </w:r>
            <w:r>
              <w:rPr>
                <w:rFonts w:hint="eastAsia"/>
                <w:szCs w:val="24"/>
                <w14:ligatures w14:val="none"/>
              </w:rPr>
              <w:t>终端管理-用于社区签约居民的油盐糖采集终端设备的管理。</w:t>
            </w:r>
          </w:p>
          <w:p w14:paraId="62964C89">
            <w:pPr>
              <w:widowControl w:val="0"/>
              <w:numPr>
                <w:ilvl w:val="0"/>
                <w:numId w:val="0"/>
              </w:numPr>
              <w:spacing w:after="0" w:line="500" w:lineRule="exact"/>
              <w:ind w:leftChars="0" w:right="113" w:rightChars="0"/>
              <w:rPr>
                <w:rFonts w:hint="eastAsia"/>
                <w:szCs w:val="24"/>
                <w14:ligatures w14:val="none"/>
              </w:rPr>
            </w:pPr>
            <w:r>
              <w:rPr>
                <w:rFonts w:hint="eastAsia"/>
                <w:szCs w:val="24"/>
                <w:lang w:eastAsia="zh-CN"/>
                <w14:ligatures w14:val="none"/>
              </w:rPr>
              <w:t>（</w:t>
            </w:r>
            <w:r>
              <w:rPr>
                <w:rFonts w:hint="eastAsia"/>
                <w:szCs w:val="24"/>
                <w:lang w:val="en-US" w:eastAsia="zh-CN"/>
                <w14:ligatures w14:val="none"/>
              </w:rPr>
              <w:t>2</w:t>
            </w:r>
            <w:r>
              <w:rPr>
                <w:rFonts w:hint="eastAsia"/>
                <w:szCs w:val="24"/>
                <w:lang w:eastAsia="zh-CN"/>
                <w14:ligatures w14:val="none"/>
              </w:rPr>
              <w:t>）</w:t>
            </w:r>
            <w:r>
              <w:rPr>
                <w:rFonts w:hint="eastAsia"/>
                <w:szCs w:val="24"/>
                <w14:ligatures w14:val="none"/>
              </w:rPr>
              <w:t>监测数据：基于油盐糖设备数据采集基础，用于签约居民的日常油盐糖摄入信息的管理。</w:t>
            </w:r>
          </w:p>
          <w:p w14:paraId="2A3CB12E">
            <w:pPr>
              <w:widowControl w:val="0"/>
              <w:numPr>
                <w:ilvl w:val="0"/>
                <w:numId w:val="0"/>
              </w:numPr>
              <w:spacing w:after="0" w:line="500" w:lineRule="exact"/>
              <w:ind w:leftChars="0" w:right="113" w:rightChars="0"/>
              <w:rPr>
                <w:rFonts w:hint="eastAsia"/>
                <w:szCs w:val="24"/>
                <w14:ligatures w14:val="none"/>
              </w:rPr>
            </w:pPr>
            <w:r>
              <w:rPr>
                <w:rFonts w:hint="eastAsia"/>
                <w:szCs w:val="24"/>
                <w:lang w:eastAsia="zh-CN"/>
                <w14:ligatures w14:val="none"/>
              </w:rPr>
              <w:t>（</w:t>
            </w:r>
            <w:r>
              <w:rPr>
                <w:rFonts w:hint="eastAsia"/>
                <w:szCs w:val="24"/>
                <w:lang w:val="en-US" w:eastAsia="zh-CN"/>
                <w14:ligatures w14:val="none"/>
              </w:rPr>
              <w:t>3</w:t>
            </w:r>
            <w:r>
              <w:rPr>
                <w:rFonts w:hint="eastAsia"/>
                <w:szCs w:val="24"/>
                <w:lang w:eastAsia="zh-CN"/>
                <w14:ligatures w14:val="none"/>
              </w:rPr>
              <w:t>）</w:t>
            </w:r>
            <w:r>
              <w:rPr>
                <w:rFonts w:hint="eastAsia"/>
                <w:szCs w:val="24"/>
                <w14:ligatures w14:val="none"/>
              </w:rPr>
              <w:t>数据分析：依据居民日常油盐糖摄入信息，提供专项的数据分析功能</w:t>
            </w:r>
          </w:p>
        </w:tc>
      </w:tr>
      <w:tr w14:paraId="1762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6371D8F3">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219CCC9A">
            <w:pPr>
              <w:widowControl w:val="0"/>
              <w:spacing w:after="0" w:line="500" w:lineRule="exact"/>
              <w:ind w:left="24" w:leftChars="10" w:right="113" w:firstLine="0"/>
              <w:rPr>
                <w:rFonts w:hint="eastAsia"/>
                <w:szCs w:val="24"/>
                <w14:ligatures w14:val="none"/>
              </w:rPr>
            </w:pPr>
            <w:r>
              <w:rPr>
                <w:rFonts w:hint="eastAsia"/>
                <w:szCs w:val="24"/>
                <w14:ligatures w14:val="none"/>
              </w:rPr>
              <w:t>支持外项目硬件</w:t>
            </w:r>
            <w:r>
              <w:rPr>
                <w:rFonts w:hint="eastAsia"/>
                <w:color w:val="auto"/>
                <w:szCs w:val="24"/>
              </w:rPr>
              <w:t>油盐监测采集设备的</w:t>
            </w:r>
            <w:r>
              <w:rPr>
                <w:rFonts w:hint="eastAsia"/>
                <w:szCs w:val="24"/>
                <w14:ligatures w14:val="none"/>
              </w:rPr>
              <w:t>可视化监管应用：深入分析日常社区居民油盐糖摄入量，以主动健康服务的视角推进日常健康生活方式的宣导，日常实时监测干预，病因辅助追溯</w:t>
            </w:r>
          </w:p>
        </w:tc>
      </w:tr>
      <w:tr w14:paraId="35F3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restart"/>
            <w:shd w:val="clear" w:color="auto" w:fill="auto"/>
            <w:vAlign w:val="center"/>
          </w:tcPr>
          <w:p w14:paraId="25AB6660">
            <w:pPr>
              <w:widowControl w:val="0"/>
              <w:spacing w:after="0" w:line="500" w:lineRule="exact"/>
              <w:ind w:left="24" w:leftChars="10" w:right="113" w:firstLine="0"/>
              <w:jc w:val="center"/>
              <w:rPr>
                <w:rFonts w:hint="eastAsia"/>
                <w:szCs w:val="24"/>
                <w14:ligatures w14:val="none"/>
              </w:rPr>
            </w:pPr>
            <w:r>
              <w:rPr>
                <w:rFonts w:hint="eastAsia"/>
                <w:szCs w:val="24"/>
                <w14:ligatures w14:val="none"/>
              </w:rPr>
              <w:t>转诊行为提醒</w:t>
            </w:r>
          </w:p>
        </w:tc>
        <w:tc>
          <w:tcPr>
            <w:tcW w:w="7871" w:type="dxa"/>
            <w:shd w:val="clear" w:color="auto" w:fill="auto"/>
            <w:vAlign w:val="center"/>
          </w:tcPr>
          <w:p w14:paraId="3B8344CC">
            <w:pPr>
              <w:widowControl w:val="0"/>
              <w:spacing w:after="0" w:line="500" w:lineRule="exact"/>
              <w:ind w:left="24" w:leftChars="10" w:right="113" w:firstLine="0"/>
              <w:rPr>
                <w:rFonts w:hint="eastAsia"/>
                <w:szCs w:val="24"/>
                <w14:ligatures w14:val="none"/>
              </w:rPr>
            </w:pPr>
            <w:r>
              <w:rPr>
                <w:rFonts w:hint="eastAsia"/>
                <w:szCs w:val="24"/>
                <w14:ligatures w14:val="none"/>
              </w:rPr>
              <w:t>转诊行为规则库（支持多病种）：依据专病知识库中设定的转诊规则，可对平台上管理的患者进行长期的监测</w:t>
            </w:r>
          </w:p>
        </w:tc>
      </w:tr>
      <w:tr w14:paraId="5851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47E1A432">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3664E928">
            <w:pPr>
              <w:widowControl w:val="0"/>
              <w:spacing w:after="0" w:line="500" w:lineRule="exact"/>
              <w:ind w:left="24" w:leftChars="10" w:right="113" w:firstLine="0"/>
              <w:rPr>
                <w:rFonts w:hint="eastAsia"/>
                <w:szCs w:val="24"/>
                <w14:ligatures w14:val="none"/>
              </w:rPr>
            </w:pPr>
            <w:r>
              <w:rPr>
                <w:rFonts w:hint="eastAsia"/>
                <w:szCs w:val="24"/>
                <w14:ligatures w14:val="none"/>
              </w:rPr>
              <w:t>转诊行为提醒：当发现有患者出现转诊指征时，会主动向医生推送转诊提醒</w:t>
            </w:r>
          </w:p>
        </w:tc>
      </w:tr>
      <w:tr w14:paraId="406D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restart"/>
            <w:shd w:val="clear" w:color="auto" w:fill="auto"/>
            <w:vAlign w:val="center"/>
          </w:tcPr>
          <w:p w14:paraId="4899DED0">
            <w:pPr>
              <w:widowControl w:val="0"/>
              <w:spacing w:after="0" w:line="500" w:lineRule="exact"/>
              <w:ind w:left="24" w:leftChars="10" w:right="113" w:firstLine="0"/>
              <w:jc w:val="center"/>
              <w:rPr>
                <w:rFonts w:hint="eastAsia"/>
                <w:szCs w:val="24"/>
                <w14:ligatures w14:val="none"/>
              </w:rPr>
            </w:pPr>
            <w:r>
              <w:rPr>
                <w:rFonts w:hint="eastAsia"/>
                <w:szCs w:val="24"/>
                <w14:ligatures w14:val="none"/>
              </w:rPr>
              <w:t>社群服务</w:t>
            </w:r>
          </w:p>
        </w:tc>
        <w:tc>
          <w:tcPr>
            <w:tcW w:w="7871" w:type="dxa"/>
            <w:shd w:val="clear" w:color="auto" w:fill="auto"/>
            <w:vAlign w:val="center"/>
          </w:tcPr>
          <w:p w14:paraId="5205B7EA">
            <w:pPr>
              <w:widowControl w:val="0"/>
              <w:spacing w:after="0" w:line="500" w:lineRule="exact"/>
              <w:ind w:left="24" w:leftChars="10" w:right="113" w:firstLine="0"/>
              <w:rPr>
                <w:rFonts w:hint="eastAsia"/>
                <w:szCs w:val="24"/>
                <w14:ligatures w14:val="none"/>
              </w:rPr>
            </w:pPr>
            <w:r>
              <w:rPr>
                <w:rFonts w:hint="eastAsia"/>
                <w:szCs w:val="24"/>
                <w14:ligatures w14:val="none"/>
              </w:rPr>
              <w:t>对接社群服务，提供社群服务管理界面：对接社区的社区服务模块</w:t>
            </w:r>
          </w:p>
        </w:tc>
      </w:tr>
      <w:tr w14:paraId="7A38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409B3F7C">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EDF5E7A">
            <w:pPr>
              <w:widowControl w:val="0"/>
              <w:spacing w:after="0" w:line="500" w:lineRule="exact"/>
              <w:ind w:left="24" w:leftChars="10" w:right="113" w:firstLine="0"/>
              <w:rPr>
                <w:rFonts w:hint="eastAsia"/>
                <w:szCs w:val="24"/>
                <w14:ligatures w14:val="none"/>
              </w:rPr>
            </w:pPr>
            <w:r>
              <w:rPr>
                <w:rFonts w:hint="eastAsia"/>
                <w:szCs w:val="24"/>
                <w14:ligatures w14:val="none"/>
              </w:rPr>
              <w:t>配置社群服务规则：配置社区服务相关的规则</w:t>
            </w:r>
          </w:p>
        </w:tc>
      </w:tr>
      <w:tr w14:paraId="7E08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5832ECBC">
            <w:pPr>
              <w:widowControl w:val="0"/>
              <w:spacing w:after="0" w:line="500" w:lineRule="exact"/>
              <w:ind w:left="24" w:leftChars="10" w:right="113" w:firstLine="0"/>
              <w:jc w:val="center"/>
              <w:rPr>
                <w:rFonts w:hint="eastAsia"/>
                <w:szCs w:val="24"/>
                <w14:ligatures w14:val="none"/>
              </w:rPr>
            </w:pPr>
            <w:r>
              <w:rPr>
                <w:rFonts w:hint="eastAsia"/>
                <w:szCs w:val="24"/>
                <w14:ligatures w14:val="none"/>
              </w:rPr>
              <w:t>绩效评价</w:t>
            </w:r>
          </w:p>
        </w:tc>
        <w:tc>
          <w:tcPr>
            <w:tcW w:w="7871" w:type="dxa"/>
            <w:shd w:val="clear" w:color="auto" w:fill="auto"/>
            <w:vAlign w:val="center"/>
          </w:tcPr>
          <w:p w14:paraId="34B0CF2D">
            <w:pPr>
              <w:widowControl w:val="0"/>
              <w:spacing w:after="0" w:line="500" w:lineRule="exact"/>
              <w:ind w:left="24" w:leftChars="10" w:right="113" w:firstLine="0"/>
              <w:rPr>
                <w:rFonts w:hint="eastAsia"/>
                <w:szCs w:val="24"/>
                <w14:ligatures w14:val="none"/>
              </w:rPr>
            </w:pPr>
            <w:r>
              <w:rPr>
                <w:rFonts w:hint="eastAsia"/>
                <w:szCs w:val="24"/>
                <w14:ligatures w14:val="none"/>
              </w:rPr>
              <w:t>签约服务评价</w:t>
            </w:r>
          </w:p>
        </w:tc>
      </w:tr>
      <w:tr w14:paraId="61F4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2EE9CA55">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5A03E1A4">
            <w:pPr>
              <w:widowControl w:val="0"/>
              <w:spacing w:after="0" w:line="500" w:lineRule="exact"/>
              <w:ind w:left="24" w:leftChars="10" w:right="113" w:firstLine="0"/>
              <w:rPr>
                <w:rFonts w:hint="eastAsia"/>
                <w:szCs w:val="24"/>
                <w14:ligatures w14:val="none"/>
              </w:rPr>
            </w:pPr>
            <w:r>
              <w:rPr>
                <w:rFonts w:hint="eastAsia"/>
                <w:szCs w:val="24"/>
                <w14:ligatures w14:val="none"/>
              </w:rPr>
              <w:t>健康管理服务评价</w:t>
            </w:r>
          </w:p>
        </w:tc>
      </w:tr>
      <w:tr w14:paraId="7021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6E234704">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5A6858BE">
            <w:pPr>
              <w:widowControl w:val="0"/>
              <w:spacing w:after="0" w:line="500" w:lineRule="exact"/>
              <w:ind w:left="24" w:leftChars="10" w:right="113" w:firstLine="0"/>
              <w:rPr>
                <w:rFonts w:hint="eastAsia"/>
                <w:szCs w:val="24"/>
                <w14:ligatures w14:val="none"/>
              </w:rPr>
            </w:pPr>
            <w:r>
              <w:rPr>
                <w:rFonts w:hint="eastAsia"/>
                <w:szCs w:val="24"/>
                <w14:ligatures w14:val="none"/>
              </w:rPr>
              <w:t>管理效果评价</w:t>
            </w:r>
          </w:p>
        </w:tc>
      </w:tr>
      <w:tr w14:paraId="7B2E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47B7D82A">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72ECA2CA">
            <w:pPr>
              <w:widowControl w:val="0"/>
              <w:spacing w:after="0" w:line="500" w:lineRule="exact"/>
              <w:ind w:left="24" w:leftChars="10" w:right="113" w:firstLine="0"/>
              <w:rPr>
                <w:rFonts w:hint="eastAsia"/>
                <w:szCs w:val="24"/>
                <w14:ligatures w14:val="none"/>
              </w:rPr>
            </w:pPr>
            <w:r>
              <w:rPr>
                <w:rFonts w:hint="eastAsia"/>
                <w:szCs w:val="24"/>
                <w14:ligatures w14:val="none"/>
              </w:rPr>
              <w:t>满意度评价</w:t>
            </w:r>
          </w:p>
        </w:tc>
      </w:tr>
      <w:tr w14:paraId="02A5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3125CA58">
            <w:pPr>
              <w:widowControl w:val="0"/>
              <w:spacing w:after="0" w:line="500" w:lineRule="exact"/>
              <w:ind w:left="24" w:leftChars="10" w:right="113" w:firstLine="0"/>
              <w:jc w:val="center"/>
              <w:rPr>
                <w:rFonts w:hint="eastAsia"/>
                <w:szCs w:val="24"/>
                <w14:ligatures w14:val="none"/>
              </w:rPr>
            </w:pPr>
            <w:r>
              <w:rPr>
                <w:rFonts w:hint="eastAsia"/>
                <w:szCs w:val="24"/>
                <w14:ligatures w14:val="none"/>
              </w:rPr>
              <w:t>综合分析</w:t>
            </w:r>
          </w:p>
        </w:tc>
        <w:tc>
          <w:tcPr>
            <w:tcW w:w="7871" w:type="dxa"/>
            <w:shd w:val="clear" w:color="auto" w:fill="auto"/>
            <w:vAlign w:val="center"/>
          </w:tcPr>
          <w:p w14:paraId="11D06451">
            <w:pPr>
              <w:widowControl w:val="0"/>
              <w:spacing w:after="0" w:line="500" w:lineRule="exact"/>
              <w:ind w:left="24" w:leftChars="10" w:right="113" w:firstLine="0"/>
              <w:rPr>
                <w:rFonts w:hint="eastAsia"/>
                <w:szCs w:val="24"/>
                <w14:ligatures w14:val="none"/>
              </w:rPr>
            </w:pPr>
            <w:r>
              <w:rPr>
                <w:rFonts w:hint="eastAsia"/>
                <w:szCs w:val="24"/>
                <w14:ligatures w14:val="none"/>
              </w:rPr>
              <w:t>基础数据分析：针对居民的基础信息进行分析，如居民的性别、年龄、职业等</w:t>
            </w:r>
          </w:p>
        </w:tc>
      </w:tr>
      <w:tr w14:paraId="3968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1900A856">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4946BA5E">
            <w:pPr>
              <w:widowControl w:val="0"/>
              <w:spacing w:after="0" w:line="500" w:lineRule="exact"/>
              <w:ind w:left="24" w:leftChars="10" w:right="113" w:firstLine="0"/>
              <w:rPr>
                <w:rFonts w:hint="eastAsia"/>
                <w:szCs w:val="24"/>
                <w14:ligatures w14:val="none"/>
              </w:rPr>
            </w:pPr>
            <w:r>
              <w:rPr>
                <w:rFonts w:hint="eastAsia"/>
                <w:szCs w:val="24"/>
                <w14:ligatures w14:val="none"/>
              </w:rPr>
              <w:t>病种信息分析（支持多病种）：针对居民的患病情况进行分析，分析疾病的病种分布，疾病的患者严重程序以及健康管理的效果分析</w:t>
            </w:r>
          </w:p>
        </w:tc>
      </w:tr>
      <w:tr w14:paraId="523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7BAE1D4A">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61A6AC72">
            <w:pPr>
              <w:widowControl w:val="0"/>
              <w:spacing w:after="0" w:line="500" w:lineRule="exact"/>
              <w:ind w:left="24" w:leftChars="10" w:right="113" w:firstLine="0"/>
              <w:rPr>
                <w:rFonts w:hint="eastAsia"/>
                <w:szCs w:val="24"/>
                <w14:ligatures w14:val="none"/>
              </w:rPr>
            </w:pPr>
            <w:r>
              <w:rPr>
                <w:rFonts w:hint="eastAsia"/>
                <w:szCs w:val="24"/>
                <w14:ligatures w14:val="none"/>
              </w:rPr>
              <w:t>设备使用信息分析：可对设备的使用情况进行分析，包括设备使用次数、设备反馈数据等。</w:t>
            </w:r>
          </w:p>
        </w:tc>
      </w:tr>
      <w:tr w14:paraId="4730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77A4BC1B">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5D13D7D">
            <w:pPr>
              <w:widowControl w:val="0"/>
              <w:spacing w:after="0" w:line="500" w:lineRule="exact"/>
              <w:ind w:left="24" w:leftChars="10" w:right="113" w:firstLine="0"/>
              <w:rPr>
                <w:rFonts w:hint="eastAsia"/>
                <w:szCs w:val="24"/>
                <w14:ligatures w14:val="none"/>
              </w:rPr>
            </w:pPr>
            <w:r>
              <w:rPr>
                <w:rFonts w:hint="eastAsia"/>
                <w:szCs w:val="24"/>
                <w14:ligatures w14:val="none"/>
              </w:rPr>
              <w:t>健康行为信息分析：可对居民的健康行为进行分析，如每日的运动锻炼情况，饮食摄入情况等</w:t>
            </w:r>
          </w:p>
        </w:tc>
      </w:tr>
      <w:tr w14:paraId="3D68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310E50CE">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D3ECDC6">
            <w:pPr>
              <w:widowControl w:val="0"/>
              <w:spacing w:after="0" w:line="500" w:lineRule="exact"/>
              <w:ind w:left="24" w:leftChars="10" w:right="113" w:firstLine="0"/>
              <w:rPr>
                <w:rFonts w:hint="eastAsia"/>
                <w:szCs w:val="24"/>
                <w14:ligatures w14:val="none"/>
              </w:rPr>
            </w:pPr>
            <w:r>
              <w:rPr>
                <w:rFonts w:hint="eastAsia"/>
                <w:szCs w:val="24"/>
                <w14:ligatures w14:val="none"/>
              </w:rPr>
              <w:t>用户行为数据分析：通过分析患者信息，对居民的用户行为进行分析</w:t>
            </w:r>
          </w:p>
        </w:tc>
      </w:tr>
      <w:tr w14:paraId="1A2C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7B0EF645">
            <w:pPr>
              <w:widowControl w:val="0"/>
              <w:spacing w:after="0" w:line="500" w:lineRule="exact"/>
              <w:ind w:left="24" w:leftChars="10" w:right="113" w:firstLine="0"/>
              <w:jc w:val="center"/>
              <w:rPr>
                <w:rFonts w:hint="eastAsia"/>
                <w:szCs w:val="24"/>
                <w14:ligatures w14:val="none"/>
              </w:rPr>
            </w:pPr>
            <w:r>
              <w:rPr>
                <w:rFonts w:hint="eastAsia"/>
                <w:szCs w:val="24"/>
                <w14:ligatures w14:val="none"/>
              </w:rPr>
              <w:t>系统配置</w:t>
            </w:r>
          </w:p>
        </w:tc>
        <w:tc>
          <w:tcPr>
            <w:tcW w:w="7871" w:type="dxa"/>
            <w:shd w:val="clear" w:color="auto" w:fill="auto"/>
            <w:vAlign w:val="center"/>
          </w:tcPr>
          <w:p w14:paraId="080A9CC5">
            <w:pPr>
              <w:widowControl w:val="0"/>
              <w:spacing w:after="0" w:line="500" w:lineRule="exact"/>
              <w:ind w:left="24" w:leftChars="10" w:right="113" w:firstLine="0"/>
              <w:rPr>
                <w:rFonts w:hint="eastAsia"/>
                <w:szCs w:val="24"/>
                <w14:ligatures w14:val="none"/>
              </w:rPr>
            </w:pPr>
            <w:r>
              <w:rPr>
                <w:rFonts w:hint="eastAsia"/>
                <w:szCs w:val="24"/>
                <w14:ligatures w14:val="none"/>
              </w:rPr>
              <w:t>账户安全配置</w:t>
            </w:r>
          </w:p>
        </w:tc>
      </w:tr>
      <w:tr w14:paraId="4BAD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499A8ECD">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49653BA5">
            <w:pPr>
              <w:widowControl w:val="0"/>
              <w:spacing w:after="0" w:line="500" w:lineRule="exact"/>
              <w:ind w:left="24" w:leftChars="10" w:right="113" w:firstLine="0"/>
              <w:rPr>
                <w:rFonts w:hint="eastAsia"/>
                <w:szCs w:val="24"/>
                <w14:ligatures w14:val="none"/>
              </w:rPr>
            </w:pPr>
            <w:r>
              <w:rPr>
                <w:rFonts w:hint="eastAsia"/>
                <w:szCs w:val="24"/>
                <w14:ligatures w14:val="none"/>
              </w:rPr>
              <w:t>医生信息维护：</w:t>
            </w:r>
            <w:r>
              <w:rPr>
                <w:rFonts w:hint="eastAsia"/>
                <w:color w:val="auto"/>
                <w:szCs w:val="24"/>
                <w14:ligatures w14:val="none"/>
              </w:rPr>
              <w:t>用于维护医院登录并使用系统的职工用户信息</w:t>
            </w:r>
          </w:p>
        </w:tc>
      </w:tr>
      <w:tr w14:paraId="1F3B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6BAAFB7A">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97E597B">
            <w:pPr>
              <w:widowControl w:val="0"/>
              <w:spacing w:after="0" w:line="500" w:lineRule="exact"/>
              <w:ind w:left="24" w:leftChars="10" w:right="113" w:firstLine="0"/>
              <w:rPr>
                <w:rFonts w:hint="eastAsia"/>
                <w:szCs w:val="24"/>
                <w14:ligatures w14:val="none"/>
              </w:rPr>
            </w:pPr>
            <w:r>
              <w:rPr>
                <w:rFonts w:hint="eastAsia"/>
                <w:szCs w:val="24"/>
                <w14:ligatures w14:val="none"/>
              </w:rPr>
              <w:t>日志管理：维护系统日志</w:t>
            </w:r>
          </w:p>
        </w:tc>
      </w:tr>
      <w:tr w14:paraId="3B12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471234AC">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207B73B1">
            <w:pPr>
              <w:widowControl w:val="0"/>
              <w:spacing w:after="0" w:line="500" w:lineRule="exact"/>
              <w:ind w:left="24" w:leftChars="10" w:right="113" w:firstLine="0"/>
              <w:rPr>
                <w:rFonts w:hint="eastAsia"/>
                <w:szCs w:val="24"/>
                <w14:ligatures w14:val="none"/>
              </w:rPr>
            </w:pPr>
            <w:r>
              <w:rPr>
                <w:rFonts w:hint="eastAsia"/>
                <w:szCs w:val="24"/>
                <w14:ligatures w14:val="none"/>
              </w:rPr>
              <w:t>系统全局配置：可维护系统中的全局配置项</w:t>
            </w:r>
          </w:p>
        </w:tc>
      </w:tr>
      <w:tr w14:paraId="13CD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3F5DE551">
            <w:pPr>
              <w:widowControl w:val="0"/>
              <w:spacing w:after="0" w:line="500" w:lineRule="exact"/>
              <w:ind w:left="24" w:leftChars="10" w:right="113" w:firstLine="0"/>
              <w:jc w:val="center"/>
              <w:rPr>
                <w:rFonts w:hint="eastAsia"/>
                <w:szCs w:val="24"/>
                <w14:ligatures w14:val="none"/>
              </w:rPr>
            </w:pPr>
            <w:r>
              <w:rPr>
                <w:rFonts w:hint="eastAsia"/>
                <w:szCs w:val="24"/>
                <w14:ligatures w14:val="none"/>
              </w:rPr>
              <w:t>基础信息</w:t>
            </w:r>
          </w:p>
        </w:tc>
        <w:tc>
          <w:tcPr>
            <w:tcW w:w="7871" w:type="dxa"/>
            <w:shd w:val="clear" w:color="auto" w:fill="auto"/>
            <w:vAlign w:val="center"/>
          </w:tcPr>
          <w:p w14:paraId="10331C36">
            <w:pPr>
              <w:widowControl w:val="0"/>
              <w:spacing w:after="0" w:line="500" w:lineRule="exact"/>
              <w:ind w:left="24" w:leftChars="10" w:right="113" w:firstLine="0"/>
              <w:rPr>
                <w:rFonts w:hint="eastAsia"/>
                <w:szCs w:val="24"/>
                <w14:ligatures w14:val="none"/>
              </w:rPr>
            </w:pPr>
            <w:r>
              <w:rPr>
                <w:rFonts w:hint="eastAsia"/>
                <w:szCs w:val="24"/>
                <w14:ligatures w14:val="none"/>
              </w:rPr>
              <w:t>公用字典库</w:t>
            </w:r>
          </w:p>
        </w:tc>
      </w:tr>
      <w:tr w14:paraId="7ECF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5F9E649D">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5A86C20F">
            <w:pPr>
              <w:widowControl w:val="0"/>
              <w:spacing w:after="0" w:line="500" w:lineRule="exact"/>
              <w:ind w:left="24" w:leftChars="10" w:right="113" w:firstLine="0"/>
              <w:rPr>
                <w:rFonts w:hint="eastAsia"/>
                <w:szCs w:val="24"/>
                <w14:ligatures w14:val="none"/>
              </w:rPr>
            </w:pPr>
            <w:r>
              <w:rPr>
                <w:rFonts w:hint="eastAsia"/>
                <w:szCs w:val="24"/>
                <w14:ligatures w14:val="none"/>
              </w:rPr>
              <w:t>人员信息</w:t>
            </w:r>
          </w:p>
        </w:tc>
      </w:tr>
      <w:tr w14:paraId="55AB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00AABD82">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3134E7BD">
            <w:pPr>
              <w:widowControl w:val="0"/>
              <w:spacing w:after="0" w:line="500" w:lineRule="exact"/>
              <w:ind w:left="24" w:leftChars="10" w:right="113" w:firstLine="0"/>
              <w:rPr>
                <w:rFonts w:hint="eastAsia"/>
                <w:szCs w:val="24"/>
                <w14:ligatures w14:val="none"/>
              </w:rPr>
            </w:pPr>
            <w:r>
              <w:rPr>
                <w:rFonts w:hint="eastAsia"/>
                <w:szCs w:val="24"/>
                <w14:ligatures w14:val="none"/>
              </w:rPr>
              <w:t>科室信息</w:t>
            </w:r>
          </w:p>
        </w:tc>
      </w:tr>
      <w:tr w14:paraId="696F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1DBA5D4F">
            <w:pPr>
              <w:widowControl w:val="0"/>
              <w:spacing w:after="0" w:line="500" w:lineRule="exact"/>
              <w:ind w:left="24" w:leftChars="10" w:right="113" w:firstLine="0"/>
              <w:jc w:val="center"/>
              <w:rPr>
                <w:rFonts w:hint="eastAsia"/>
                <w:szCs w:val="24"/>
                <w14:ligatures w14:val="none"/>
              </w:rPr>
            </w:pPr>
            <w:r>
              <w:rPr>
                <w:rFonts w:hint="eastAsia"/>
                <w:szCs w:val="24"/>
                <w14:ligatures w14:val="none"/>
              </w:rPr>
              <w:t>权限管理</w:t>
            </w:r>
          </w:p>
        </w:tc>
        <w:tc>
          <w:tcPr>
            <w:tcW w:w="7871" w:type="dxa"/>
            <w:shd w:val="clear" w:color="auto" w:fill="auto"/>
            <w:vAlign w:val="center"/>
          </w:tcPr>
          <w:p w14:paraId="119A59B2">
            <w:pPr>
              <w:widowControl w:val="0"/>
              <w:spacing w:after="0" w:line="500" w:lineRule="exact"/>
              <w:ind w:left="24" w:leftChars="10" w:right="113" w:firstLine="0"/>
              <w:rPr>
                <w:rFonts w:hint="eastAsia"/>
                <w:szCs w:val="24"/>
                <w14:ligatures w14:val="none"/>
              </w:rPr>
            </w:pPr>
            <w:r>
              <w:rPr>
                <w:rFonts w:hint="eastAsia"/>
                <w:szCs w:val="24"/>
                <w14:ligatures w14:val="none"/>
              </w:rPr>
              <w:t>角色权限</w:t>
            </w:r>
          </w:p>
        </w:tc>
      </w:tr>
      <w:tr w14:paraId="0B92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00E910B3">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8324520">
            <w:pPr>
              <w:widowControl w:val="0"/>
              <w:spacing w:after="0" w:line="500" w:lineRule="exact"/>
              <w:ind w:left="24" w:leftChars="10" w:right="113" w:firstLine="0"/>
              <w:rPr>
                <w:rFonts w:hint="eastAsia"/>
                <w:szCs w:val="24"/>
                <w14:ligatures w14:val="none"/>
              </w:rPr>
            </w:pPr>
            <w:r>
              <w:rPr>
                <w:rFonts w:hint="eastAsia"/>
                <w:szCs w:val="24"/>
                <w14:ligatures w14:val="none"/>
              </w:rPr>
              <w:t>用户权限</w:t>
            </w:r>
          </w:p>
        </w:tc>
      </w:tr>
      <w:tr w14:paraId="5850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0EA6CA08">
            <w:pPr>
              <w:widowControl w:val="0"/>
              <w:spacing w:after="0" w:line="500" w:lineRule="exact"/>
              <w:ind w:left="24" w:leftChars="10" w:right="113" w:firstLine="0"/>
              <w:jc w:val="center"/>
              <w:rPr>
                <w:rFonts w:hint="eastAsia"/>
                <w:szCs w:val="24"/>
                <w14:ligatures w14:val="none"/>
              </w:rPr>
            </w:pPr>
            <w:r>
              <w:rPr>
                <w:rFonts w:hint="eastAsia"/>
                <w:szCs w:val="24"/>
                <w14:ligatures w14:val="none"/>
              </w:rPr>
              <w:t>消息中心</w:t>
            </w:r>
          </w:p>
        </w:tc>
        <w:tc>
          <w:tcPr>
            <w:tcW w:w="7871" w:type="dxa"/>
            <w:shd w:val="clear" w:color="auto" w:fill="auto"/>
            <w:vAlign w:val="center"/>
          </w:tcPr>
          <w:p w14:paraId="2FA1413A">
            <w:pPr>
              <w:widowControl w:val="0"/>
              <w:spacing w:after="0" w:line="500" w:lineRule="exact"/>
              <w:ind w:left="24" w:leftChars="10" w:right="113" w:firstLine="0"/>
              <w:rPr>
                <w:rFonts w:hint="eastAsia"/>
                <w:szCs w:val="24"/>
                <w14:ligatures w14:val="none"/>
              </w:rPr>
            </w:pPr>
            <w:r>
              <w:rPr>
                <w:rFonts w:hint="eastAsia"/>
                <w:szCs w:val="24"/>
                <w14:ligatures w14:val="none"/>
              </w:rPr>
              <w:t>消息中心配置</w:t>
            </w:r>
          </w:p>
        </w:tc>
      </w:tr>
      <w:tr w14:paraId="5B5E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15C03B44">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AAE4A1E">
            <w:pPr>
              <w:widowControl w:val="0"/>
              <w:spacing w:after="0" w:line="500" w:lineRule="exact"/>
              <w:ind w:left="24" w:leftChars="10" w:right="113" w:firstLine="0"/>
              <w:rPr>
                <w:rFonts w:hint="eastAsia"/>
                <w:szCs w:val="24"/>
                <w14:ligatures w14:val="none"/>
              </w:rPr>
            </w:pPr>
            <w:r>
              <w:rPr>
                <w:rFonts w:hint="eastAsia"/>
                <w:szCs w:val="24"/>
                <w14:ligatures w14:val="none"/>
              </w:rPr>
              <w:t>消息发送平台对接：可提供短信、微信等平台的对接</w:t>
            </w:r>
          </w:p>
        </w:tc>
      </w:tr>
      <w:tr w14:paraId="26D7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shd w:val="clear" w:color="auto" w:fill="auto"/>
            <w:vAlign w:val="center"/>
          </w:tcPr>
          <w:p w14:paraId="4226C539">
            <w:pPr>
              <w:widowControl w:val="0"/>
              <w:spacing w:after="0" w:line="500" w:lineRule="exact"/>
              <w:ind w:left="24" w:leftChars="10" w:right="113" w:firstLine="0"/>
              <w:jc w:val="center"/>
              <w:rPr>
                <w:rFonts w:hint="eastAsia"/>
                <w:szCs w:val="24"/>
                <w14:ligatures w14:val="none"/>
              </w:rPr>
            </w:pPr>
            <w:r>
              <w:rPr>
                <w:rFonts w:hint="eastAsia"/>
                <w:szCs w:val="24"/>
                <w14:ligatures w14:val="none"/>
              </w:rPr>
              <w:t>设备管理</w:t>
            </w:r>
          </w:p>
        </w:tc>
        <w:tc>
          <w:tcPr>
            <w:tcW w:w="7871" w:type="dxa"/>
            <w:shd w:val="clear" w:color="auto" w:fill="auto"/>
            <w:vAlign w:val="center"/>
          </w:tcPr>
          <w:p w14:paraId="6468E2F6">
            <w:pPr>
              <w:widowControl w:val="0"/>
              <w:spacing w:after="0" w:line="500" w:lineRule="exact"/>
              <w:ind w:left="24" w:leftChars="10" w:right="113" w:firstLine="0"/>
              <w:rPr>
                <w:rFonts w:hint="eastAsia"/>
                <w:szCs w:val="24"/>
                <w14:ligatures w14:val="none"/>
              </w:rPr>
            </w:pPr>
            <w:r>
              <w:rPr>
                <w:rFonts w:hint="eastAsia"/>
                <w:szCs w:val="24"/>
                <w14:ligatures w14:val="none"/>
              </w:rPr>
              <w:t>设备管理：可维护和管理设备信息</w:t>
            </w:r>
          </w:p>
        </w:tc>
      </w:tr>
      <w:tr w14:paraId="007F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44C31EE9">
            <w:pPr>
              <w:widowControl w:val="0"/>
              <w:spacing w:after="0" w:line="500" w:lineRule="exact"/>
              <w:ind w:left="24" w:leftChars="10" w:right="113" w:firstLine="0"/>
              <w:jc w:val="center"/>
              <w:rPr>
                <w:rFonts w:hint="eastAsia"/>
                <w:szCs w:val="24"/>
                <w14:ligatures w14:val="none"/>
              </w:rPr>
            </w:pPr>
            <w:r>
              <w:rPr>
                <w:rFonts w:hint="eastAsia"/>
                <w:szCs w:val="24"/>
                <w14:ligatures w14:val="none"/>
              </w:rPr>
              <w:t>物理设备对接</w:t>
            </w:r>
          </w:p>
        </w:tc>
        <w:tc>
          <w:tcPr>
            <w:tcW w:w="7871" w:type="dxa"/>
            <w:shd w:val="clear" w:color="auto" w:fill="auto"/>
            <w:vAlign w:val="center"/>
          </w:tcPr>
          <w:p w14:paraId="0C85B50D">
            <w:pPr>
              <w:widowControl w:val="0"/>
              <w:spacing w:after="0" w:line="500" w:lineRule="exact"/>
              <w:ind w:left="24" w:leftChars="10" w:right="113" w:firstLine="0"/>
              <w:rPr>
                <w:rFonts w:hint="eastAsia"/>
                <w:szCs w:val="24"/>
                <w14:ligatures w14:val="none"/>
              </w:rPr>
            </w:pPr>
            <w:r>
              <w:rPr>
                <w:rFonts w:hint="eastAsia"/>
                <w:szCs w:val="24"/>
                <w14:ligatures w14:val="none"/>
              </w:rPr>
              <w:t>支持外项目硬件</w:t>
            </w:r>
            <w:r>
              <w:rPr>
                <w:rFonts w:hint="eastAsia"/>
                <w:color w:val="auto"/>
                <w:szCs w:val="24"/>
              </w:rPr>
              <w:t>血压血糖监测采集</w:t>
            </w:r>
            <w:r>
              <w:rPr>
                <w:rFonts w:hint="eastAsia"/>
                <w:szCs w:val="24"/>
                <w14:ligatures w14:val="none"/>
              </w:rPr>
              <w:t>设备的对接接口，将设备采集的数据通过5G专网传输到后台数据库中，系统实时进行抓取</w:t>
            </w:r>
          </w:p>
        </w:tc>
      </w:tr>
      <w:tr w14:paraId="7523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979" w:type="dxa"/>
            <w:vMerge w:val="continue"/>
            <w:vAlign w:val="center"/>
          </w:tcPr>
          <w:p w14:paraId="34F146D1">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27369C9D">
            <w:pPr>
              <w:widowControl w:val="0"/>
              <w:spacing w:after="0" w:line="500" w:lineRule="exact"/>
              <w:ind w:left="24" w:leftChars="10" w:right="113" w:firstLine="0"/>
              <w:rPr>
                <w:rFonts w:hint="eastAsia"/>
                <w:szCs w:val="24"/>
                <w14:ligatures w14:val="none"/>
              </w:rPr>
            </w:pPr>
            <w:r>
              <w:rPr>
                <w:rFonts w:hint="eastAsia"/>
                <w:szCs w:val="24"/>
                <w14:ligatures w14:val="none"/>
              </w:rPr>
              <w:t>支持外项目硬件</w:t>
            </w:r>
            <w:r>
              <w:rPr>
                <w:rFonts w:hint="eastAsia"/>
                <w:color w:val="auto"/>
                <w:szCs w:val="24"/>
              </w:rPr>
              <w:t>油盐监测采集设备的</w:t>
            </w:r>
            <w:r>
              <w:rPr>
                <w:rFonts w:hint="eastAsia"/>
                <w:szCs w:val="24"/>
                <w14:ligatures w14:val="none"/>
              </w:rPr>
              <w:t>对接接口，将设备采集的数据通过5G专网传输到后台数据库中，系统实时进行抓取</w:t>
            </w:r>
          </w:p>
        </w:tc>
      </w:tr>
      <w:tr w14:paraId="4C6C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79" w:type="dxa"/>
            <w:vMerge w:val="restart"/>
            <w:shd w:val="clear" w:color="auto" w:fill="auto"/>
            <w:vAlign w:val="center"/>
          </w:tcPr>
          <w:p w14:paraId="5CA1EFC2">
            <w:pPr>
              <w:widowControl w:val="0"/>
              <w:spacing w:after="0" w:line="500" w:lineRule="exact"/>
              <w:ind w:left="24" w:leftChars="10" w:right="113" w:firstLine="0"/>
              <w:jc w:val="center"/>
              <w:rPr>
                <w:rFonts w:hint="eastAsia"/>
                <w:szCs w:val="24"/>
                <w14:ligatures w14:val="none"/>
              </w:rPr>
            </w:pPr>
            <w:r>
              <w:rPr>
                <w:rFonts w:hint="eastAsia"/>
                <w:szCs w:val="24"/>
                <w14:ligatures w14:val="none"/>
              </w:rPr>
              <w:t>健康干预模型对接</w:t>
            </w:r>
          </w:p>
        </w:tc>
        <w:tc>
          <w:tcPr>
            <w:tcW w:w="7871" w:type="dxa"/>
            <w:shd w:val="clear" w:color="auto" w:fill="auto"/>
            <w:vAlign w:val="center"/>
          </w:tcPr>
          <w:p w14:paraId="4B77C276">
            <w:pPr>
              <w:widowControl w:val="0"/>
              <w:spacing w:after="0" w:line="500" w:lineRule="exact"/>
              <w:ind w:left="24" w:leftChars="10" w:right="113" w:firstLine="0"/>
              <w:rPr>
                <w:rFonts w:hint="eastAsia"/>
                <w:szCs w:val="24"/>
                <w14:ligatures w14:val="none"/>
              </w:rPr>
            </w:pPr>
            <w:r>
              <w:rPr>
                <w:rFonts w:hint="eastAsia"/>
                <w:szCs w:val="24"/>
                <w14:ligatures w14:val="none"/>
              </w:rPr>
              <w:t>精准健康干预知识系统接口：可提供对接精准健康干预知识系统接口</w:t>
            </w:r>
          </w:p>
        </w:tc>
      </w:tr>
      <w:tr w14:paraId="2C14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79" w:type="dxa"/>
            <w:vMerge w:val="continue"/>
            <w:vAlign w:val="center"/>
          </w:tcPr>
          <w:p w14:paraId="6914EFE1">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634368B2">
            <w:pPr>
              <w:widowControl w:val="0"/>
              <w:spacing w:after="0" w:line="500" w:lineRule="exact"/>
              <w:ind w:left="24" w:leftChars="10" w:right="113" w:firstLine="0"/>
              <w:rPr>
                <w:rFonts w:hint="eastAsia"/>
                <w:szCs w:val="24"/>
                <w14:ligatures w14:val="none"/>
              </w:rPr>
            </w:pPr>
            <w:r>
              <w:rPr>
                <w:rFonts w:hint="eastAsia"/>
                <w:szCs w:val="24"/>
                <w14:ligatures w14:val="none"/>
              </w:rPr>
              <w:t>慢病健康风险预警模型接口：可提供慢病健康风险预警模型接口</w:t>
            </w:r>
          </w:p>
        </w:tc>
      </w:tr>
      <w:tr w14:paraId="70DF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restart"/>
            <w:shd w:val="clear" w:color="auto" w:fill="auto"/>
            <w:vAlign w:val="center"/>
          </w:tcPr>
          <w:p w14:paraId="268C8911">
            <w:pPr>
              <w:widowControl w:val="0"/>
              <w:spacing w:after="0" w:line="500" w:lineRule="exact"/>
              <w:ind w:left="24" w:leftChars="10" w:right="113" w:firstLine="0"/>
              <w:jc w:val="center"/>
              <w:rPr>
                <w:rFonts w:hint="eastAsia"/>
                <w:szCs w:val="24"/>
                <w14:ligatures w14:val="none"/>
              </w:rPr>
            </w:pPr>
            <w:r>
              <w:rPr>
                <w:rFonts w:hint="eastAsia"/>
                <w:szCs w:val="24"/>
                <w14:ligatures w14:val="none"/>
              </w:rPr>
              <w:t>互联网医院对接</w:t>
            </w:r>
          </w:p>
        </w:tc>
        <w:tc>
          <w:tcPr>
            <w:tcW w:w="7871" w:type="dxa"/>
            <w:shd w:val="clear" w:color="auto" w:fill="auto"/>
            <w:vAlign w:val="center"/>
          </w:tcPr>
          <w:p w14:paraId="78730DA4">
            <w:pPr>
              <w:widowControl w:val="0"/>
              <w:spacing w:after="0" w:line="500" w:lineRule="exact"/>
              <w:ind w:left="24" w:leftChars="10" w:right="113" w:firstLine="0"/>
              <w:rPr>
                <w:rFonts w:hint="eastAsia"/>
                <w:szCs w:val="24"/>
                <w14:ligatures w14:val="none"/>
              </w:rPr>
            </w:pPr>
            <w:r>
              <w:rPr>
                <w:rFonts w:hint="eastAsia"/>
                <w:szCs w:val="24"/>
                <w14:ligatures w14:val="none"/>
              </w:rPr>
              <w:t>支持外项目社区互联网医院的预约挂号接口：可提供互联网医院的预约挂号接口</w:t>
            </w:r>
          </w:p>
        </w:tc>
      </w:tr>
      <w:tr w14:paraId="456E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979" w:type="dxa"/>
            <w:vMerge w:val="continue"/>
            <w:vAlign w:val="center"/>
          </w:tcPr>
          <w:p w14:paraId="3F2D2206">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417F2303">
            <w:pPr>
              <w:widowControl w:val="0"/>
              <w:spacing w:after="0" w:line="500" w:lineRule="exact"/>
              <w:ind w:left="24" w:leftChars="10" w:right="113" w:firstLine="0"/>
              <w:rPr>
                <w:rFonts w:hint="eastAsia"/>
                <w:szCs w:val="24"/>
                <w14:ligatures w14:val="none"/>
              </w:rPr>
            </w:pPr>
            <w:r>
              <w:rPr>
                <w:rFonts w:hint="eastAsia"/>
                <w:szCs w:val="24"/>
                <w14:ligatures w14:val="none"/>
              </w:rPr>
              <w:t>支持外项目社区互联网医院的就诊数据接口：可提供互联网医院的就诊数据接口</w:t>
            </w:r>
          </w:p>
        </w:tc>
      </w:tr>
      <w:tr w14:paraId="1315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restart"/>
            <w:shd w:val="clear" w:color="auto" w:fill="auto"/>
            <w:vAlign w:val="center"/>
          </w:tcPr>
          <w:p w14:paraId="4C924EAE">
            <w:pPr>
              <w:widowControl w:val="0"/>
              <w:spacing w:after="0" w:line="500" w:lineRule="exact"/>
              <w:ind w:left="24" w:leftChars="10" w:right="113" w:firstLine="0"/>
              <w:jc w:val="center"/>
              <w:rPr>
                <w:rFonts w:hint="eastAsia"/>
                <w:szCs w:val="24"/>
                <w14:ligatures w14:val="none"/>
              </w:rPr>
            </w:pPr>
            <w:r>
              <w:rPr>
                <w:rFonts w:hint="eastAsia"/>
                <w:szCs w:val="24"/>
                <w14:ligatures w14:val="none"/>
              </w:rPr>
              <w:t>密码应用功能</w:t>
            </w:r>
          </w:p>
        </w:tc>
        <w:tc>
          <w:tcPr>
            <w:tcW w:w="7871" w:type="dxa"/>
            <w:shd w:val="clear" w:color="auto" w:fill="auto"/>
            <w:vAlign w:val="center"/>
          </w:tcPr>
          <w:p w14:paraId="23E13E08">
            <w:pPr>
              <w:widowControl w:val="0"/>
              <w:spacing w:after="0" w:line="500" w:lineRule="exact"/>
              <w:ind w:left="24" w:leftChars="10" w:right="113" w:firstLine="0"/>
              <w:rPr>
                <w:rFonts w:hint="eastAsia"/>
                <w:szCs w:val="24"/>
                <w14:ligatures w14:val="none"/>
              </w:rPr>
            </w:pPr>
            <w:r>
              <w:rPr>
                <w:rFonts w:hint="eastAsia"/>
                <w:szCs w:val="24"/>
                <w14:ligatures w14:val="none"/>
              </w:rPr>
              <w:t>用户身份认证机制模块</w:t>
            </w:r>
          </w:p>
        </w:tc>
      </w:tr>
      <w:tr w14:paraId="713D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3B781468">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08B3B546">
            <w:pPr>
              <w:widowControl w:val="0"/>
              <w:spacing w:after="0" w:line="500" w:lineRule="exact"/>
              <w:ind w:left="24" w:leftChars="10" w:right="113" w:firstLine="0"/>
              <w:rPr>
                <w:rFonts w:hint="eastAsia"/>
                <w:szCs w:val="24"/>
                <w14:ligatures w14:val="none"/>
              </w:rPr>
            </w:pPr>
            <w:r>
              <w:rPr>
                <w:rFonts w:hint="eastAsia"/>
                <w:szCs w:val="24"/>
                <w14:ligatures w14:val="none"/>
              </w:rPr>
              <w:t>业务重要数据安全传输模块</w:t>
            </w:r>
          </w:p>
        </w:tc>
      </w:tr>
      <w:tr w14:paraId="4584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6F37114E">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2E9FDA3E">
            <w:pPr>
              <w:widowControl w:val="0"/>
              <w:spacing w:after="0" w:line="500" w:lineRule="exact"/>
              <w:ind w:left="24" w:leftChars="10" w:right="113" w:firstLine="0"/>
              <w:rPr>
                <w:rFonts w:hint="eastAsia"/>
                <w:szCs w:val="24"/>
                <w14:ligatures w14:val="none"/>
              </w:rPr>
            </w:pPr>
            <w:r>
              <w:rPr>
                <w:rFonts w:hint="eastAsia"/>
                <w:szCs w:val="24"/>
                <w14:ligatures w14:val="none"/>
              </w:rPr>
              <w:t>用户访问控制信息签名验签模块</w:t>
            </w:r>
          </w:p>
        </w:tc>
      </w:tr>
      <w:tr w14:paraId="48E1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7FC70CE7">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12470044">
            <w:pPr>
              <w:widowControl w:val="0"/>
              <w:spacing w:after="0" w:line="500" w:lineRule="exact"/>
              <w:ind w:left="24" w:leftChars="10" w:right="113" w:firstLine="0"/>
              <w:rPr>
                <w:rFonts w:hint="eastAsia"/>
                <w:szCs w:val="24"/>
                <w14:ligatures w14:val="none"/>
              </w:rPr>
            </w:pPr>
            <w:r>
              <w:rPr>
                <w:rFonts w:hint="eastAsia"/>
                <w:szCs w:val="24"/>
                <w14:ligatures w14:val="none"/>
              </w:rPr>
              <w:t>应用系统重要数据数据加解密模块</w:t>
            </w:r>
          </w:p>
        </w:tc>
      </w:tr>
      <w:tr w14:paraId="791A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79" w:type="dxa"/>
            <w:vMerge w:val="continue"/>
            <w:vAlign w:val="center"/>
          </w:tcPr>
          <w:p w14:paraId="20E99D1F">
            <w:pPr>
              <w:widowControl w:val="0"/>
              <w:spacing w:after="0" w:line="500" w:lineRule="exact"/>
              <w:ind w:left="24" w:leftChars="10" w:right="113" w:firstLine="0"/>
              <w:jc w:val="both"/>
              <w:rPr>
                <w:rFonts w:hint="eastAsia"/>
                <w:szCs w:val="24"/>
                <w14:ligatures w14:val="none"/>
              </w:rPr>
            </w:pPr>
          </w:p>
        </w:tc>
        <w:tc>
          <w:tcPr>
            <w:tcW w:w="7871" w:type="dxa"/>
            <w:shd w:val="clear" w:color="auto" w:fill="auto"/>
            <w:vAlign w:val="center"/>
          </w:tcPr>
          <w:p w14:paraId="3D3D70B9">
            <w:pPr>
              <w:widowControl w:val="0"/>
              <w:spacing w:after="0" w:line="500" w:lineRule="exact"/>
              <w:ind w:left="24" w:leftChars="10" w:right="113" w:firstLine="0"/>
              <w:rPr>
                <w:rFonts w:hint="eastAsia"/>
                <w:szCs w:val="24"/>
                <w14:ligatures w14:val="none"/>
              </w:rPr>
            </w:pPr>
            <w:r>
              <w:rPr>
                <w:rFonts w:hint="eastAsia"/>
                <w:szCs w:val="24"/>
                <w14:ligatures w14:val="none"/>
              </w:rPr>
              <w:t>应用系统重要数据签名验签模块</w:t>
            </w:r>
          </w:p>
        </w:tc>
      </w:tr>
    </w:tbl>
    <w:p w14:paraId="00348D68">
      <w:pPr>
        <w:pStyle w:val="3"/>
        <w:numPr>
          <w:ilvl w:val="255"/>
          <w:numId w:val="0"/>
        </w:numPr>
        <w:spacing w:after="0" w:line="500" w:lineRule="exact"/>
        <w:ind w:left="24" w:leftChars="10" w:right="113"/>
        <w:rPr>
          <w:rFonts w:hint="eastAsia" w:ascii="宋体" w:hAnsi="宋体" w:eastAsia="宋体" w:cs="宋体"/>
          <w:sz w:val="24"/>
          <w:szCs w:val="24"/>
        </w:rPr>
      </w:pPr>
      <w:r>
        <w:rPr>
          <w:rFonts w:hint="eastAsia" w:ascii="宋体" w:hAnsi="宋体" w:eastAsia="宋体" w:cs="宋体"/>
          <w:b/>
          <w:bCs/>
          <w:sz w:val="24"/>
          <w:szCs w:val="24"/>
        </w:rPr>
        <w:t>（二）疾病风险预警模型构建及精准干预子系统</w:t>
      </w:r>
    </w:p>
    <w:tbl>
      <w:tblPr>
        <w:tblStyle w:val="9"/>
        <w:tblW w:w="9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6"/>
        <w:gridCol w:w="7864"/>
      </w:tblGrid>
      <w:tr w14:paraId="0C96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86" w:type="dxa"/>
            <w:shd w:val="clear" w:color="auto" w:fill="auto"/>
            <w:vAlign w:val="center"/>
          </w:tcPr>
          <w:p w14:paraId="7B2174EB">
            <w:pPr>
              <w:spacing w:after="0" w:line="500" w:lineRule="exact"/>
              <w:ind w:left="32" w:leftChars="10" w:right="113"/>
              <w:jc w:val="center"/>
              <w:rPr>
                <w:rFonts w:hint="eastAsia"/>
                <w:szCs w:val="24"/>
              </w:rPr>
            </w:pPr>
            <w:r>
              <w:rPr>
                <w:rFonts w:hint="eastAsia"/>
                <w:szCs w:val="24"/>
              </w:rPr>
              <w:t>指标项</w:t>
            </w:r>
          </w:p>
        </w:tc>
        <w:tc>
          <w:tcPr>
            <w:tcW w:w="7864" w:type="dxa"/>
            <w:shd w:val="clear" w:color="auto" w:fill="auto"/>
            <w:vAlign w:val="center"/>
          </w:tcPr>
          <w:p w14:paraId="4D8F46AB">
            <w:pPr>
              <w:spacing w:after="0" w:line="500" w:lineRule="exact"/>
              <w:ind w:left="32" w:leftChars="10" w:right="113"/>
              <w:jc w:val="center"/>
              <w:rPr>
                <w:rFonts w:hint="eastAsia"/>
                <w:szCs w:val="24"/>
              </w:rPr>
            </w:pPr>
            <w:r>
              <w:rPr>
                <w:rFonts w:hint="eastAsia"/>
                <w:szCs w:val="24"/>
              </w:rPr>
              <w:t>技术规格要求</w:t>
            </w:r>
          </w:p>
        </w:tc>
      </w:tr>
      <w:tr w14:paraId="6407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86" w:type="dxa"/>
            <w:vMerge w:val="restart"/>
            <w:shd w:val="clear" w:color="auto" w:fill="auto"/>
            <w:vAlign w:val="center"/>
          </w:tcPr>
          <w:p w14:paraId="171679F8">
            <w:pPr>
              <w:spacing w:after="0" w:line="500" w:lineRule="exact"/>
              <w:ind w:left="32" w:leftChars="10" w:right="113"/>
              <w:jc w:val="center"/>
              <w:rPr>
                <w:rFonts w:hint="eastAsia"/>
                <w:szCs w:val="24"/>
              </w:rPr>
            </w:pPr>
            <w:r>
              <w:rPr>
                <w:rFonts w:hint="eastAsia"/>
                <w:szCs w:val="24"/>
              </w:rPr>
              <w:t>数据采集、风险预警模型构建</w:t>
            </w:r>
          </w:p>
        </w:tc>
        <w:tc>
          <w:tcPr>
            <w:tcW w:w="7864" w:type="dxa"/>
            <w:shd w:val="clear" w:color="auto" w:fill="auto"/>
            <w:vAlign w:val="center"/>
          </w:tcPr>
          <w:p w14:paraId="5451DFE8">
            <w:pPr>
              <w:spacing w:after="0" w:line="500" w:lineRule="exact"/>
              <w:ind w:left="32" w:leftChars="10" w:right="113"/>
              <w:rPr>
                <w:rFonts w:hint="eastAsia"/>
                <w:szCs w:val="24"/>
              </w:rPr>
            </w:pPr>
            <w:r>
              <w:rPr>
                <w:rFonts w:hint="eastAsia"/>
                <w:szCs w:val="24"/>
              </w:rPr>
              <w:t>数据获取：通过社区业务系统，收集个人的基本信息、生活方式信息和生理指标信息，包括年龄、性别、家族史、吸烟史、饮酒史、饮食、运动习惯和检验指标等。</w:t>
            </w:r>
          </w:p>
        </w:tc>
      </w:tr>
      <w:tr w14:paraId="49EF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86" w:type="dxa"/>
            <w:vMerge w:val="continue"/>
            <w:shd w:val="clear" w:color="auto" w:fill="auto"/>
            <w:vAlign w:val="center"/>
          </w:tcPr>
          <w:p w14:paraId="146C4C0C">
            <w:pPr>
              <w:spacing w:after="0" w:line="500" w:lineRule="exact"/>
              <w:ind w:left="32" w:leftChars="10" w:right="113"/>
              <w:jc w:val="center"/>
              <w:rPr>
                <w:rFonts w:hint="eastAsia"/>
                <w:szCs w:val="24"/>
              </w:rPr>
            </w:pPr>
          </w:p>
        </w:tc>
        <w:tc>
          <w:tcPr>
            <w:tcW w:w="7864" w:type="dxa"/>
            <w:shd w:val="clear" w:color="auto" w:fill="auto"/>
            <w:vAlign w:val="center"/>
          </w:tcPr>
          <w:p w14:paraId="19AE2C8C">
            <w:pPr>
              <w:pStyle w:val="21"/>
              <w:spacing w:after="0" w:line="500" w:lineRule="exact"/>
              <w:ind w:left="24" w:leftChars="10" w:right="113" w:firstLine="0" w:firstLineChars="0"/>
              <w:rPr>
                <w:rFonts w:hint="eastAsia"/>
                <w:szCs w:val="24"/>
              </w:rPr>
            </w:pPr>
            <w:r>
              <w:rPr>
                <w:rFonts w:hint="eastAsia"/>
                <w:bCs/>
                <w:szCs w:val="24"/>
              </w:rPr>
              <w:t>数据预处理：</w:t>
            </w:r>
            <w:r>
              <w:rPr>
                <w:rFonts w:hint="eastAsia"/>
                <w:szCs w:val="24"/>
              </w:rPr>
              <w:t>对输入的数据进行预处理，包括以下预处理功能：（1）</w:t>
            </w:r>
            <w:r>
              <w:rPr>
                <w:rFonts w:hint="eastAsia"/>
                <w:bCs/>
                <w:szCs w:val="24"/>
              </w:rPr>
              <w:t>数据类型规范化处理；（2）多系统数据一致处理</w:t>
            </w:r>
          </w:p>
        </w:tc>
      </w:tr>
      <w:tr w14:paraId="6087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86" w:type="dxa"/>
            <w:vMerge w:val="continue"/>
            <w:shd w:val="clear" w:color="auto" w:fill="auto"/>
            <w:vAlign w:val="center"/>
          </w:tcPr>
          <w:p w14:paraId="0C15A385">
            <w:pPr>
              <w:spacing w:after="0" w:line="500" w:lineRule="exact"/>
              <w:ind w:left="32" w:leftChars="10" w:right="113"/>
              <w:jc w:val="center"/>
              <w:rPr>
                <w:rFonts w:hint="eastAsia"/>
                <w:szCs w:val="24"/>
              </w:rPr>
            </w:pPr>
          </w:p>
        </w:tc>
        <w:tc>
          <w:tcPr>
            <w:tcW w:w="7864" w:type="dxa"/>
            <w:shd w:val="clear" w:color="auto" w:fill="auto"/>
            <w:vAlign w:val="center"/>
          </w:tcPr>
          <w:p w14:paraId="352ED3FF">
            <w:pPr>
              <w:spacing w:after="0" w:line="500" w:lineRule="exact"/>
              <w:ind w:left="32" w:leftChars="10" w:right="113"/>
              <w:rPr>
                <w:rFonts w:hint="eastAsia"/>
                <w:szCs w:val="24"/>
              </w:rPr>
            </w:pPr>
            <w:r>
              <w:rPr>
                <w:rFonts w:hint="eastAsia"/>
                <w:kern w:val="0"/>
                <w:szCs w:val="24"/>
              </w:rPr>
              <w:t>风险预警模型：根据输入的数据，通过初始慢性病健康风险评估规则和慢性病风险值预测模型，进行危险度以及其他潜在风险因素的评估，确定个人是否具有慢性病的风险</w:t>
            </w:r>
          </w:p>
        </w:tc>
      </w:tr>
      <w:tr w14:paraId="4377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86" w:type="dxa"/>
            <w:vMerge w:val="restart"/>
            <w:shd w:val="clear" w:color="auto" w:fill="auto"/>
            <w:vAlign w:val="center"/>
          </w:tcPr>
          <w:p w14:paraId="52852A42">
            <w:pPr>
              <w:spacing w:after="0" w:line="500" w:lineRule="exact"/>
              <w:ind w:left="32" w:leftChars="10" w:right="113"/>
              <w:jc w:val="center"/>
              <w:rPr>
                <w:rFonts w:hint="eastAsia"/>
                <w:szCs w:val="24"/>
              </w:rPr>
            </w:pPr>
            <w:r>
              <w:rPr>
                <w:rFonts w:hint="eastAsia"/>
                <w:szCs w:val="24"/>
              </w:rPr>
              <w:t>精准健康干预知识系统</w:t>
            </w:r>
          </w:p>
        </w:tc>
        <w:tc>
          <w:tcPr>
            <w:tcW w:w="7864" w:type="dxa"/>
            <w:shd w:val="clear" w:color="auto" w:fill="auto"/>
            <w:vAlign w:val="center"/>
          </w:tcPr>
          <w:p w14:paraId="59B30296">
            <w:pPr>
              <w:spacing w:after="0" w:line="500" w:lineRule="exact"/>
              <w:ind w:left="32" w:leftChars="10" w:right="113"/>
              <w:rPr>
                <w:rFonts w:hint="eastAsia"/>
                <w:szCs w:val="24"/>
              </w:rPr>
            </w:pPr>
            <w:r>
              <w:rPr>
                <w:rFonts w:hint="eastAsia"/>
                <w:kern w:val="0"/>
                <w:szCs w:val="24"/>
              </w:rPr>
              <w:t>面向具有慢性病风险或已患病的个人，提供风险疾病干预建议知识内容，包括高危因素管理建议、生活方式干预建议、日常饮食建议等</w:t>
            </w:r>
          </w:p>
        </w:tc>
      </w:tr>
      <w:tr w14:paraId="5043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86" w:type="dxa"/>
            <w:vMerge w:val="continue"/>
            <w:shd w:val="clear" w:color="auto" w:fill="auto"/>
            <w:vAlign w:val="center"/>
          </w:tcPr>
          <w:p w14:paraId="4C5902ED">
            <w:pPr>
              <w:spacing w:after="0" w:line="500" w:lineRule="exact"/>
              <w:ind w:left="32" w:leftChars="10" w:right="113"/>
              <w:jc w:val="center"/>
              <w:rPr>
                <w:rFonts w:hint="eastAsia"/>
                <w:szCs w:val="24"/>
              </w:rPr>
            </w:pPr>
          </w:p>
        </w:tc>
        <w:tc>
          <w:tcPr>
            <w:tcW w:w="7864" w:type="dxa"/>
            <w:shd w:val="clear" w:color="auto" w:fill="auto"/>
            <w:vAlign w:val="center"/>
          </w:tcPr>
          <w:p w14:paraId="0DD21A30">
            <w:pPr>
              <w:spacing w:after="0" w:line="500" w:lineRule="exact"/>
              <w:ind w:left="32" w:leftChars="10" w:right="113"/>
              <w:rPr>
                <w:rFonts w:hint="eastAsia"/>
                <w:szCs w:val="24"/>
              </w:rPr>
            </w:pPr>
            <w:r>
              <w:rPr>
                <w:rFonts w:hint="eastAsia"/>
                <w:kern w:val="0"/>
                <w:szCs w:val="24"/>
              </w:rPr>
              <w:t>根据中医九大体质辨识结果，提供情志调摄、起居调摄、饮食调养、运动功法、穴位保健方面的建议知识内容</w:t>
            </w:r>
          </w:p>
        </w:tc>
      </w:tr>
      <w:tr w14:paraId="2D54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86" w:type="dxa"/>
            <w:vMerge w:val="continue"/>
            <w:shd w:val="clear" w:color="auto" w:fill="auto"/>
            <w:vAlign w:val="center"/>
          </w:tcPr>
          <w:p w14:paraId="43C5F108">
            <w:pPr>
              <w:spacing w:after="0" w:line="500" w:lineRule="exact"/>
              <w:ind w:left="32" w:leftChars="10" w:right="113"/>
              <w:jc w:val="center"/>
              <w:rPr>
                <w:rFonts w:hint="eastAsia"/>
                <w:szCs w:val="24"/>
              </w:rPr>
            </w:pPr>
          </w:p>
        </w:tc>
        <w:tc>
          <w:tcPr>
            <w:tcW w:w="7864" w:type="dxa"/>
            <w:shd w:val="clear" w:color="auto" w:fill="auto"/>
            <w:vAlign w:val="center"/>
          </w:tcPr>
          <w:p w14:paraId="1BBC9960">
            <w:pPr>
              <w:pStyle w:val="21"/>
              <w:spacing w:after="0" w:line="500" w:lineRule="exact"/>
              <w:ind w:left="24" w:leftChars="10" w:right="113" w:firstLine="0" w:firstLineChars="0"/>
              <w:jc w:val="both"/>
              <w:rPr>
                <w:rFonts w:hint="eastAsia"/>
                <w:kern w:val="0"/>
                <w:szCs w:val="24"/>
              </w:rPr>
            </w:pPr>
            <w:r>
              <w:rPr>
                <w:rFonts w:hint="eastAsia"/>
                <w:szCs w:val="24"/>
              </w:rPr>
              <w:t>根据居民健康评估结果，提供常用药建议、疫苗接种建议、妇女保健建议等知识内容</w:t>
            </w:r>
          </w:p>
        </w:tc>
      </w:tr>
    </w:tbl>
    <w:p w14:paraId="54E8E351">
      <w:pPr>
        <w:pStyle w:val="3"/>
        <w:numPr>
          <w:ilvl w:val="255"/>
          <w:numId w:val="0"/>
        </w:numPr>
        <w:spacing w:after="0" w:line="500" w:lineRule="exact"/>
        <w:ind w:left="504" w:leftChars="210" w:right="113"/>
        <w:rPr>
          <w:rFonts w:hint="eastAsia" w:ascii="宋体" w:hAnsi="宋体" w:eastAsia="宋体" w:cs="宋体"/>
          <w:b/>
          <w:bCs/>
          <w:sz w:val="24"/>
          <w:szCs w:val="24"/>
        </w:rPr>
      </w:pPr>
      <w:r>
        <w:rPr>
          <w:rFonts w:hint="eastAsia" w:ascii="宋体" w:hAnsi="宋体" w:eastAsia="宋体" w:cs="宋体"/>
          <w:b/>
          <w:bCs/>
          <w:sz w:val="24"/>
          <w:szCs w:val="24"/>
        </w:rPr>
        <w:t>（三）配套硬件</w:t>
      </w:r>
      <w:r>
        <w:rPr>
          <w:rFonts w:hint="eastAsia" w:ascii="宋体" w:hAnsi="宋体" w:eastAsia="宋体" w:cs="宋体"/>
          <w:b/>
          <w:bCs/>
          <w:sz w:val="24"/>
          <w:szCs w:val="24"/>
          <w:lang w:val="en-US" w:eastAsia="zh-CN"/>
        </w:rPr>
        <w:t>及网络</w:t>
      </w:r>
    </w:p>
    <w:p w14:paraId="056577CA">
      <w:pPr>
        <w:widowControl w:val="0"/>
        <w:tabs>
          <w:tab w:val="left" w:pos="5220"/>
        </w:tabs>
        <w:spacing w:after="0" w:line="500" w:lineRule="exact"/>
        <w:ind w:left="24" w:leftChars="10" w:right="113" w:firstLine="480" w:firstLineChars="200"/>
        <w:jc w:val="both"/>
        <w:rPr>
          <w:rFonts w:hint="eastAsia"/>
          <w:color w:val="auto"/>
          <w:szCs w:val="24"/>
        </w:rPr>
      </w:pPr>
      <w:r>
        <w:rPr>
          <w:rFonts w:hint="eastAsia"/>
          <w:color w:val="auto"/>
          <w:szCs w:val="24"/>
        </w:rPr>
        <w:t>（1）100张5G物联网卡用于50套外项目硬件油盐监测采集器和50套外项目硬件血压血糖监测采集器的无线数据传输；</w:t>
      </w:r>
    </w:p>
    <w:p w14:paraId="20B1404D">
      <w:pPr>
        <w:widowControl w:val="0"/>
        <w:tabs>
          <w:tab w:val="left" w:pos="5220"/>
        </w:tabs>
        <w:spacing w:after="0" w:line="500" w:lineRule="exact"/>
        <w:ind w:left="24" w:leftChars="10" w:right="113" w:firstLine="480" w:firstLineChars="200"/>
        <w:jc w:val="both"/>
        <w:rPr>
          <w:rFonts w:hint="eastAsia"/>
          <w:color w:val="auto"/>
          <w:szCs w:val="24"/>
        </w:rPr>
      </w:pPr>
      <w:r>
        <w:rPr>
          <w:rFonts w:hint="eastAsia"/>
          <w:color w:val="auto"/>
          <w:szCs w:val="24"/>
        </w:rPr>
        <w:t>（2）5G定制专网：500M本地政企5G专线的线路为5G组网重要组成部分，实现连接</w:t>
      </w:r>
      <w:r>
        <w:rPr>
          <w:rFonts w:hint="eastAsia"/>
          <w:color w:val="auto"/>
          <w:szCs w:val="24"/>
          <w:lang w:val="en-US" w:eastAsia="zh-CN"/>
        </w:rPr>
        <w:t>运营商</w:t>
      </w:r>
      <w:r>
        <w:rPr>
          <w:rFonts w:hint="eastAsia"/>
          <w:color w:val="auto"/>
          <w:szCs w:val="24"/>
        </w:rPr>
        <w:t>upf数据节点至彭浦社区卫生服务中心的5G专网连接；</w:t>
      </w:r>
    </w:p>
    <w:p w14:paraId="4AFC7B20">
      <w:pPr>
        <w:widowControl w:val="0"/>
        <w:tabs>
          <w:tab w:val="left" w:pos="5220"/>
        </w:tabs>
        <w:spacing w:after="0" w:line="500" w:lineRule="exact"/>
        <w:ind w:left="24" w:leftChars="10" w:right="113" w:firstLine="480" w:firstLineChars="200"/>
        <w:jc w:val="both"/>
        <w:rPr>
          <w:rFonts w:hint="eastAsia"/>
          <w:color w:val="auto"/>
          <w:szCs w:val="24"/>
        </w:rPr>
      </w:pPr>
      <w:r>
        <w:rPr>
          <w:rFonts w:hint="eastAsia"/>
          <w:color w:val="auto"/>
          <w:szCs w:val="24"/>
        </w:rPr>
        <w:t>（3）5G CPE设备：4台工业级CPE设备，部署于彭浦社区卫生服务中心。用于将5G信号转化成WiFi信号，使用场景在于如果5G移动终端无内置5G模组的情况下，可开启WiFi接收到5G信号。</w:t>
      </w:r>
    </w:p>
    <w:p w14:paraId="530C5A75">
      <w:pPr>
        <w:widowControl w:val="0"/>
        <w:tabs>
          <w:tab w:val="left" w:pos="5220"/>
        </w:tabs>
        <w:spacing w:after="0" w:line="500" w:lineRule="exact"/>
        <w:ind w:left="24" w:leftChars="10" w:right="113" w:firstLine="480" w:firstLineChars="200"/>
        <w:jc w:val="both"/>
        <w:rPr>
          <w:rFonts w:hint="eastAsia"/>
          <w:color w:val="auto"/>
          <w:szCs w:val="24"/>
        </w:rPr>
      </w:pPr>
      <w:r>
        <w:rPr>
          <w:rFonts w:hint="eastAsia"/>
          <w:color w:val="auto"/>
          <w:szCs w:val="24"/>
        </w:rPr>
        <w:t>具体如下：</w:t>
      </w:r>
    </w:p>
    <w:tbl>
      <w:tblPr>
        <w:tblStyle w:val="10"/>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73"/>
        <w:gridCol w:w="4437"/>
        <w:gridCol w:w="828"/>
        <w:gridCol w:w="735"/>
        <w:gridCol w:w="1330"/>
      </w:tblGrid>
      <w:tr w14:paraId="3769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14:paraId="1BF7208F">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序号</w:t>
            </w:r>
          </w:p>
        </w:tc>
        <w:tc>
          <w:tcPr>
            <w:tcW w:w="1273" w:type="dxa"/>
            <w:vAlign w:val="center"/>
          </w:tcPr>
          <w:p w14:paraId="72A8D08F">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名称</w:t>
            </w:r>
          </w:p>
        </w:tc>
        <w:tc>
          <w:tcPr>
            <w:tcW w:w="4437" w:type="dxa"/>
            <w:vAlign w:val="center"/>
          </w:tcPr>
          <w:p w14:paraId="5155EA25">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规格型号</w:t>
            </w:r>
          </w:p>
        </w:tc>
        <w:tc>
          <w:tcPr>
            <w:tcW w:w="828" w:type="dxa"/>
            <w:vAlign w:val="center"/>
          </w:tcPr>
          <w:p w14:paraId="6804725E">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单位</w:t>
            </w:r>
          </w:p>
        </w:tc>
        <w:tc>
          <w:tcPr>
            <w:tcW w:w="735" w:type="dxa"/>
            <w:vAlign w:val="center"/>
          </w:tcPr>
          <w:p w14:paraId="0DA473B1">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数量</w:t>
            </w:r>
          </w:p>
        </w:tc>
        <w:tc>
          <w:tcPr>
            <w:tcW w:w="1330" w:type="dxa"/>
            <w:vAlign w:val="center"/>
          </w:tcPr>
          <w:p w14:paraId="78F70438">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备注</w:t>
            </w:r>
          </w:p>
        </w:tc>
      </w:tr>
      <w:tr w14:paraId="283B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14:paraId="73771B16">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1</w:t>
            </w:r>
          </w:p>
        </w:tc>
        <w:tc>
          <w:tcPr>
            <w:tcW w:w="1273" w:type="dxa"/>
            <w:vAlign w:val="center"/>
          </w:tcPr>
          <w:p w14:paraId="3B5720D1">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5G物联网卡</w:t>
            </w:r>
          </w:p>
        </w:tc>
        <w:tc>
          <w:tcPr>
            <w:tcW w:w="4437" w:type="dxa"/>
            <w:vAlign w:val="center"/>
          </w:tcPr>
          <w:p w14:paraId="1892B54A">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流量：10G/月/卡；</w:t>
            </w:r>
          </w:p>
          <w:p w14:paraId="4F4196AC">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定制号卡，符合3GPP安全标准，具备安全鉴权功能，防篡改；</w:t>
            </w:r>
          </w:p>
          <w:p w14:paraId="223E2691">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具备机卡绑定功能。</w:t>
            </w:r>
          </w:p>
        </w:tc>
        <w:tc>
          <w:tcPr>
            <w:tcW w:w="828" w:type="dxa"/>
            <w:vAlign w:val="center"/>
          </w:tcPr>
          <w:p w14:paraId="455A5999">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张</w:t>
            </w:r>
          </w:p>
        </w:tc>
        <w:tc>
          <w:tcPr>
            <w:tcW w:w="735" w:type="dxa"/>
            <w:vAlign w:val="center"/>
          </w:tcPr>
          <w:p w14:paraId="362C2304">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100</w:t>
            </w:r>
          </w:p>
        </w:tc>
        <w:tc>
          <w:tcPr>
            <w:tcW w:w="1330" w:type="dxa"/>
            <w:vAlign w:val="center"/>
          </w:tcPr>
          <w:p w14:paraId="56482186">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lang w:val="en-US" w:eastAsia="zh-CN"/>
                <w14:ligatures w14:val="none"/>
              </w:rPr>
              <w:t>含1年资费</w:t>
            </w:r>
          </w:p>
        </w:tc>
      </w:tr>
      <w:tr w14:paraId="0724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14:paraId="7A7DBB8D">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2</w:t>
            </w:r>
          </w:p>
        </w:tc>
        <w:tc>
          <w:tcPr>
            <w:tcW w:w="1273" w:type="dxa"/>
            <w:vAlign w:val="center"/>
          </w:tcPr>
          <w:p w14:paraId="4490FF57">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5G本地专线</w:t>
            </w:r>
          </w:p>
        </w:tc>
        <w:tc>
          <w:tcPr>
            <w:tcW w:w="4437" w:type="dxa"/>
            <w:vAlign w:val="center"/>
          </w:tcPr>
          <w:p w14:paraId="09A094D6">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500M5G专线：从应用服务器所在机房端口连接至运营商端口，使得5G信号得以接入卫健委内网；</w:t>
            </w:r>
          </w:p>
          <w:p w14:paraId="707A7C41">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具备UPF用户面功能：提供 5G 核心网用户面数据包的路由和转发相关功能；</w:t>
            </w:r>
          </w:p>
          <w:p w14:paraId="25FDB164">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具备QoS（Quality of Service）规则定制服务：针对业务系统实现差异化的业务加速服务，保证吞吐量、延迟、抖动和丢包率；</w:t>
            </w:r>
          </w:p>
          <w:p w14:paraId="108B12D6">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具备DNN 网络切片服务功能：实现业务需求和网络资源的灵活匹配，使得用户侧可无感切换内、外网访问不同资源；</w:t>
            </w:r>
          </w:p>
          <w:p w14:paraId="425E567C">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具备5G 接口流量安全防护：专网流量与公网流量互相隔离，保障业务数据的安全性。</w:t>
            </w:r>
          </w:p>
        </w:tc>
        <w:tc>
          <w:tcPr>
            <w:tcW w:w="828" w:type="dxa"/>
            <w:vAlign w:val="center"/>
          </w:tcPr>
          <w:p w14:paraId="3828BC79">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线</w:t>
            </w:r>
          </w:p>
        </w:tc>
        <w:tc>
          <w:tcPr>
            <w:tcW w:w="735" w:type="dxa"/>
            <w:vAlign w:val="center"/>
          </w:tcPr>
          <w:p w14:paraId="0DD3373E">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1</w:t>
            </w:r>
          </w:p>
        </w:tc>
        <w:tc>
          <w:tcPr>
            <w:tcW w:w="1330" w:type="dxa"/>
            <w:vAlign w:val="center"/>
          </w:tcPr>
          <w:p w14:paraId="7AFAEB5C">
            <w:pPr>
              <w:widowControl w:val="0"/>
              <w:spacing w:after="0" w:line="500" w:lineRule="exact"/>
              <w:ind w:left="24" w:leftChars="10" w:right="113" w:firstLine="0"/>
              <w:jc w:val="both"/>
              <w:rPr>
                <w:rFonts w:hint="default" w:eastAsia="等线"/>
                <w:b/>
                <w:color w:val="auto"/>
                <w:szCs w:val="24"/>
                <w:lang w:val="en-US" w:eastAsia="zh-CN"/>
                <w14:ligatures w14:val="none"/>
              </w:rPr>
            </w:pPr>
            <w:r>
              <w:rPr>
                <w:rFonts w:hint="eastAsia" w:eastAsia="等线"/>
                <w:b/>
                <w:color w:val="auto"/>
                <w:szCs w:val="24"/>
                <w:lang w:val="en-US" w:eastAsia="zh-CN"/>
                <w14:ligatures w14:val="none"/>
              </w:rPr>
              <w:t>含1年资费</w:t>
            </w:r>
          </w:p>
        </w:tc>
      </w:tr>
      <w:tr w14:paraId="6568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14:paraId="0FA7C5C7">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3</w:t>
            </w:r>
          </w:p>
        </w:tc>
        <w:tc>
          <w:tcPr>
            <w:tcW w:w="1273" w:type="dxa"/>
            <w:vAlign w:val="center"/>
          </w:tcPr>
          <w:p w14:paraId="325B13B3">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CPE设备</w:t>
            </w:r>
          </w:p>
        </w:tc>
        <w:tc>
          <w:tcPr>
            <w:tcW w:w="4437" w:type="dxa"/>
            <w:vAlign w:val="center"/>
          </w:tcPr>
          <w:p w14:paraId="6B0F7A8A">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最大可支持终端数：32；</w:t>
            </w:r>
          </w:p>
          <w:p w14:paraId="4BDCE908">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传输速度：~3.8 Gbps</w:t>
            </w:r>
          </w:p>
          <w:p w14:paraId="74E4BD22">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无线网络：支持NSA+SA；5G:N78/79/41/1/28；</w:t>
            </w:r>
          </w:p>
          <w:p w14:paraId="0638AA68">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FDD:B1/B3/B5/B8/B28；TDD:B34/B39/B40/B41；</w:t>
            </w:r>
          </w:p>
          <w:p w14:paraId="46EDFE5F">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Wi-Fi:2.4GHz&amp;5GHZ；</w:t>
            </w:r>
          </w:p>
          <w:p w14:paraId="33444AE5">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LAN口数量：1个千兆LAN/WAN自适应口,一个千兆LAN口；</w:t>
            </w:r>
          </w:p>
          <w:p w14:paraId="5DF9F880">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Wi-Fi传输标准：802.11a/b/g/n/ac/ax；</w:t>
            </w:r>
          </w:p>
          <w:p w14:paraId="59BF2103">
            <w:pPr>
              <w:widowControl w:val="0"/>
              <w:spacing w:after="0" w:line="500" w:lineRule="exact"/>
              <w:ind w:left="24" w:leftChars="10" w:right="113" w:firstLine="0"/>
              <w:jc w:val="both"/>
              <w:rPr>
                <w:rFonts w:hint="eastAsia" w:eastAsia="等线"/>
                <w:color w:val="auto"/>
                <w:szCs w:val="24"/>
                <w14:ligatures w14:val="none"/>
              </w:rPr>
            </w:pPr>
            <w:r>
              <w:rPr>
                <w:rFonts w:hint="eastAsia" w:eastAsia="等线"/>
                <w:color w:val="auto"/>
                <w:szCs w:val="24"/>
                <w14:ligatures w14:val="none"/>
              </w:rPr>
              <w:t>天线类别数量：5G 4*4 MIMO；Wi-Fi 2*2 MIMO；支持两根外接天线</w:t>
            </w:r>
          </w:p>
        </w:tc>
        <w:tc>
          <w:tcPr>
            <w:tcW w:w="828" w:type="dxa"/>
            <w:vAlign w:val="center"/>
          </w:tcPr>
          <w:p w14:paraId="14625A1E">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台</w:t>
            </w:r>
          </w:p>
        </w:tc>
        <w:tc>
          <w:tcPr>
            <w:tcW w:w="735" w:type="dxa"/>
            <w:vAlign w:val="center"/>
          </w:tcPr>
          <w:p w14:paraId="1C27E533">
            <w:pPr>
              <w:widowControl w:val="0"/>
              <w:spacing w:after="0" w:line="500" w:lineRule="exact"/>
              <w:ind w:left="24" w:leftChars="10" w:right="113" w:firstLine="0"/>
              <w:jc w:val="both"/>
              <w:rPr>
                <w:rFonts w:hint="eastAsia" w:eastAsia="等线"/>
                <w:b/>
                <w:color w:val="auto"/>
                <w:szCs w:val="24"/>
                <w14:ligatures w14:val="none"/>
              </w:rPr>
            </w:pPr>
            <w:r>
              <w:rPr>
                <w:rFonts w:hint="eastAsia" w:eastAsia="等线"/>
                <w:b/>
                <w:color w:val="auto"/>
                <w:szCs w:val="24"/>
                <w14:ligatures w14:val="none"/>
              </w:rPr>
              <w:t>4</w:t>
            </w:r>
          </w:p>
        </w:tc>
        <w:tc>
          <w:tcPr>
            <w:tcW w:w="1330" w:type="dxa"/>
            <w:vAlign w:val="center"/>
          </w:tcPr>
          <w:p w14:paraId="4190A720">
            <w:pPr>
              <w:widowControl w:val="0"/>
              <w:spacing w:after="0" w:line="500" w:lineRule="exact"/>
              <w:ind w:left="24" w:leftChars="10" w:right="113" w:firstLine="0"/>
              <w:jc w:val="both"/>
              <w:rPr>
                <w:rFonts w:hint="eastAsia" w:eastAsia="等线"/>
                <w:b/>
                <w:color w:val="auto"/>
                <w:szCs w:val="24"/>
                <w14:ligatures w14:val="none"/>
              </w:rPr>
            </w:pPr>
          </w:p>
        </w:tc>
      </w:tr>
    </w:tbl>
    <w:p w14:paraId="149C62C4">
      <w:pPr>
        <w:pStyle w:val="3"/>
        <w:numPr>
          <w:ilvl w:val="255"/>
          <w:numId w:val="0"/>
        </w:numPr>
        <w:spacing w:after="0" w:line="500" w:lineRule="exact"/>
        <w:ind w:left="504" w:leftChars="210" w:right="113"/>
        <w:rPr>
          <w:rFonts w:hint="eastAsia" w:ascii="宋体" w:hAnsi="宋体" w:eastAsia="宋体" w:cs="宋体"/>
          <w:b/>
          <w:bCs/>
          <w:sz w:val="24"/>
          <w:szCs w:val="24"/>
        </w:rPr>
      </w:pPr>
      <w:r>
        <w:rPr>
          <w:rFonts w:hint="eastAsia" w:ascii="宋体" w:hAnsi="宋体" w:eastAsia="宋体" w:cs="宋体"/>
          <w:b/>
          <w:bCs/>
          <w:sz w:val="24"/>
          <w:szCs w:val="24"/>
        </w:rPr>
        <w:t>（四）接口等技术方案要求</w:t>
      </w:r>
    </w:p>
    <w:p w14:paraId="4E85B4B2">
      <w:pPr>
        <w:pStyle w:val="21"/>
        <w:widowControl w:val="0"/>
        <w:numPr>
          <w:ilvl w:val="0"/>
          <w:numId w:val="5"/>
        </w:numPr>
        <w:tabs>
          <w:tab w:val="left" w:pos="5220"/>
        </w:tabs>
        <w:spacing w:after="0" w:line="500" w:lineRule="exact"/>
        <w:ind w:right="113" w:firstLineChars="0"/>
        <w:jc w:val="both"/>
        <w:rPr>
          <w:rFonts w:hint="eastAsia"/>
          <w:szCs w:val="24"/>
        </w:rPr>
      </w:pPr>
      <w:r>
        <w:rPr>
          <w:rFonts w:hint="eastAsia"/>
          <w:szCs w:val="24"/>
        </w:rPr>
        <w:t>提供5G专网相关设备的网络拓扑图；</w:t>
      </w:r>
    </w:p>
    <w:p w14:paraId="7A71F30B">
      <w:pPr>
        <w:pStyle w:val="21"/>
        <w:widowControl w:val="0"/>
        <w:numPr>
          <w:ilvl w:val="0"/>
          <w:numId w:val="5"/>
        </w:numPr>
        <w:tabs>
          <w:tab w:val="left" w:pos="5220"/>
        </w:tabs>
        <w:spacing w:after="0" w:line="500" w:lineRule="exact"/>
        <w:ind w:right="113" w:firstLineChars="0"/>
        <w:jc w:val="both"/>
        <w:rPr>
          <w:rFonts w:hint="eastAsia"/>
          <w:szCs w:val="24"/>
        </w:rPr>
      </w:pPr>
      <w:r>
        <w:rPr>
          <w:rFonts w:hint="eastAsia"/>
          <w:szCs w:val="24"/>
        </w:rPr>
        <w:t>提供5G网络设计方案；</w:t>
      </w:r>
    </w:p>
    <w:p w14:paraId="2A0110B2">
      <w:pPr>
        <w:widowControl w:val="0"/>
        <w:tabs>
          <w:tab w:val="left" w:pos="5220"/>
        </w:tabs>
        <w:spacing w:after="0" w:line="500" w:lineRule="exact"/>
        <w:ind w:left="24" w:leftChars="10" w:right="113" w:firstLine="480" w:firstLineChars="200"/>
        <w:jc w:val="both"/>
        <w:rPr>
          <w:rFonts w:hint="eastAsia"/>
          <w:color w:val="FFFF00"/>
          <w:szCs w:val="24"/>
        </w:rPr>
      </w:pPr>
      <w:r>
        <w:rPr>
          <w:rFonts w:hint="eastAsia"/>
          <w:szCs w:val="24"/>
        </w:rPr>
        <w:t xml:space="preserve">3.  </w:t>
      </w:r>
      <w:r>
        <w:rPr>
          <w:rFonts w:hint="eastAsia"/>
          <w:color w:val="auto"/>
          <w:szCs w:val="24"/>
        </w:rPr>
        <w:t>本项目建设所需要的居民健康档案业务数据来源于上海市静安区区域卫生信息平台，供应商需要与其进行对接以获取签约居民基础数据、居民公共卫生档案数据、老年人体检业务数据、慢性病管理业务数据、签约居民临床诊疗业务数据、儿童和孕产妇保健业务数据等。</w:t>
      </w:r>
    </w:p>
    <w:p w14:paraId="390D896D">
      <w:pPr>
        <w:rPr>
          <w:rFonts w:hint="eastAsia"/>
          <w:b/>
          <w:bCs/>
          <w:szCs w:val="24"/>
        </w:rPr>
      </w:pPr>
    </w:p>
    <w:p w14:paraId="0635FF96">
      <w:pPr>
        <w:rPr>
          <w:rFonts w:hint="eastAsia"/>
        </w:rPr>
      </w:pPr>
      <w:r>
        <w:rPr>
          <w:rFonts w:hint="eastAsia"/>
          <w:b/>
          <w:bCs/>
          <w:szCs w:val="24"/>
        </w:rPr>
        <w:t xml:space="preserve">   （五）</w:t>
      </w:r>
      <w:r>
        <w:rPr>
          <w:rFonts w:ascii="榛戜綋" w:hAnsi="榛戜綋" w:eastAsia="榛戜綋" w:cs="榛戜綋"/>
          <w:b/>
          <w:bCs/>
          <w:kern w:val="0"/>
          <w:szCs w:val="24"/>
          <w:lang w:bidi="ar"/>
        </w:rPr>
        <w:t>系统集成要求</w:t>
      </w:r>
      <w:r>
        <w:rPr>
          <w:rFonts w:ascii="瀹嬩綋" w:hAnsi="瀹嬩綋" w:eastAsia="瀹嬩綋" w:cs="瀹嬩綋"/>
          <w:b/>
          <w:bCs/>
          <w:kern w:val="0"/>
          <w:szCs w:val="24"/>
          <w:lang w:bidi="ar"/>
        </w:rPr>
        <w:t xml:space="preserve"> </w:t>
      </w:r>
      <w:r>
        <w:rPr>
          <w:rFonts w:hint="eastAsia" w:ascii="瀹嬩綋" w:hAnsi="瀹嬩綋" w:eastAsia="瀹嬩綋" w:cs="瀹嬩綋"/>
          <w:b/>
          <w:bCs/>
          <w:kern w:val="0"/>
          <w:szCs w:val="24"/>
          <w:lang w:bidi="ar"/>
        </w:rPr>
        <w:t xml:space="preserve"> </w:t>
      </w:r>
    </w:p>
    <w:p w14:paraId="609ACEF1">
      <w:pPr>
        <w:widowControl w:val="0"/>
        <w:tabs>
          <w:tab w:val="left" w:pos="5220"/>
        </w:tabs>
        <w:spacing w:after="0" w:line="500" w:lineRule="exact"/>
        <w:ind w:left="24" w:leftChars="10" w:right="113" w:firstLine="482" w:firstLineChars="200"/>
        <w:jc w:val="both"/>
        <w:rPr>
          <w:rFonts w:hint="eastAsia"/>
          <w:b/>
          <w:bCs/>
          <w:color w:val="auto"/>
          <w:szCs w:val="24"/>
        </w:rPr>
      </w:pPr>
      <w:r>
        <w:rPr>
          <w:rFonts w:hint="eastAsia"/>
          <w:b/>
          <w:bCs/>
          <w:color w:val="auto"/>
          <w:szCs w:val="24"/>
          <w:lang w:bidi="ar"/>
        </w:rPr>
        <w:t>（1）</w:t>
      </w:r>
      <w:r>
        <w:rPr>
          <w:b/>
          <w:bCs/>
          <w:color w:val="auto"/>
          <w:szCs w:val="24"/>
          <w:lang w:bidi="ar"/>
        </w:rPr>
        <w:t xml:space="preserve">系统集成总体要求 </w:t>
      </w:r>
    </w:p>
    <w:p w14:paraId="2E01EF42">
      <w:pPr>
        <w:widowControl w:val="0"/>
        <w:tabs>
          <w:tab w:val="left" w:pos="5220"/>
        </w:tabs>
        <w:spacing w:after="0" w:line="500" w:lineRule="exact"/>
        <w:ind w:left="24" w:leftChars="10" w:right="113" w:firstLine="480" w:firstLineChars="200"/>
        <w:jc w:val="both"/>
        <w:rPr>
          <w:rFonts w:hint="eastAsia"/>
          <w:color w:val="auto"/>
          <w:szCs w:val="24"/>
        </w:rPr>
      </w:pPr>
      <w:r>
        <w:rPr>
          <w:rFonts w:hint="eastAsia"/>
          <w:color w:val="auto"/>
          <w:szCs w:val="24"/>
          <w:lang w:bidi="ar"/>
        </w:rPr>
        <w:t>1</w:t>
      </w:r>
      <w:r>
        <w:rPr>
          <w:color w:val="auto"/>
          <w:szCs w:val="24"/>
          <w:lang w:bidi="ar"/>
        </w:rPr>
        <w:t xml:space="preserve">、本项目总集成由本次投标供应商负责，总集成服务内容包括组织协调项目建设所涉及的设备原厂商、相关软硬件供货商、软件开发商等各承建单位，投标人需制定合理可行的项目管理计划，保证所有建设内容按计划保质保量地开展，投标人对项目的总体质量和进度负总责。 </w:t>
      </w:r>
    </w:p>
    <w:p w14:paraId="1B448C8C">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2、总集成需在</w:t>
      </w:r>
      <w:r>
        <w:rPr>
          <w:rFonts w:hint="eastAsia"/>
          <w:color w:val="auto"/>
          <w:szCs w:val="24"/>
          <w:lang w:bidi="ar"/>
        </w:rPr>
        <w:t>采购人</w:t>
      </w:r>
      <w:r>
        <w:rPr>
          <w:color w:val="auto"/>
          <w:szCs w:val="24"/>
          <w:lang w:bidi="ar"/>
        </w:rPr>
        <w:t xml:space="preserve">现有建设基础上，依据系统现状、本次项目建设需要、未来业务扩展以及设备采购需求，对信息系统基础设施升级扩容、 </w:t>
      </w:r>
      <w:r>
        <w:rPr>
          <w:rFonts w:hint="eastAsia"/>
          <w:color w:val="auto"/>
          <w:szCs w:val="24"/>
          <w:lang w:bidi="ar"/>
        </w:rPr>
        <w:t>现有的网络升级改造</w:t>
      </w:r>
      <w:r>
        <w:rPr>
          <w:color w:val="auto"/>
          <w:szCs w:val="24"/>
          <w:lang w:bidi="ar"/>
        </w:rPr>
        <w:t xml:space="preserve">等进行统一规划设计，须在投标文件中以独立章节对此详细描述。方案的设计需充分考虑业务实时性要求，全面保障业务的连续性，投标人需要充分考虑上述要求并给出科学、合理的系统集成方案。 </w:t>
      </w:r>
    </w:p>
    <w:p w14:paraId="2FD09AF8">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3、投标人在投标文件中提供初步进度计划方案，中标后需与招标人共同确定项目详细进度计划方案，并负责按项目进度计划方案进行实施方案设计、产品到货、集成实施、调试测试和验收及售后服务工作。投标人需要严格按项目进度计划方案执行相关的集成工作，包括新购设备的安装、参数配置，以及未来业务扩展时的系统调整。 </w:t>
      </w:r>
    </w:p>
    <w:p w14:paraId="70D5FA33">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4、投标人在调试前应提出完整的调试计划并经招标人确认，包括设备调试的内容、项目、指标、方法和进度，并提供相应的仪器和工具。投标人有责任对招标人的技术人员提出的问题作出解答。调试中应进行详细记录，系统调试结束后，由投标人做出分析总结并签字后交给招标人验收。 </w:t>
      </w:r>
    </w:p>
    <w:p w14:paraId="5BEC7C20">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5、本次采购设备安装、调试及集成达到验收标准后，方可进行验收测试。验收标准（包括项目、指标、方式和测试仪器等）应由投标人在验收前 10 天前提交给招标人，招标人可根据合同及技术规范书进行合理的修改与补充，经双方确认后形成最终验收文件作为验收依据。验收测试合格后，双方签署验收文件，设备开通投入运行，双方签署最终验收文件。 </w:t>
      </w:r>
    </w:p>
    <w:p w14:paraId="1A62AC5F">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6、双方签署最终验收文件时，投标人应提交全套、完整的项目手册、配置、管理及维护的全面技术资料，以及所有与用户、设备等相关联的说明、固定资产登记表等资料，并有责任帮助招标人整理、装订、归档。 </w:t>
      </w:r>
    </w:p>
    <w:p w14:paraId="567B7CB2">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7、投标人负责提交符合招标人需求的项目施工文档，包含但不限于：实施方案、货物点交单、到货验收单、设备／软件随带资料配件移交单、现场环境核对表、设计变更单、加电测试报告、设备参数配置表、系统软件安装表、现场测试报告、施工日志、竣工图、项目完工报告、试运行申请报告、试运行报告、初步验收申请报告、初步验收报告、项目验收申请报告、项目验收报告等。 </w:t>
      </w:r>
    </w:p>
    <w:p w14:paraId="5A6B9DBE">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8、投标人需安排具备类似信息系统集成经验的工程师作为项目的驻场技术接口， 对招标人碰到重大集成技术问题进行处理，在接到招标人报告后负责处理相关事务和协调集成方内部资源。 </w:t>
      </w:r>
    </w:p>
    <w:p w14:paraId="6D8F5D22">
      <w:pPr>
        <w:widowControl w:val="0"/>
        <w:tabs>
          <w:tab w:val="left" w:pos="5220"/>
        </w:tabs>
        <w:spacing w:after="0" w:line="500" w:lineRule="exact"/>
        <w:ind w:left="24" w:leftChars="10" w:right="113" w:firstLine="482" w:firstLineChars="200"/>
        <w:jc w:val="both"/>
        <w:rPr>
          <w:rFonts w:hint="eastAsia"/>
          <w:b/>
          <w:bCs/>
          <w:color w:val="auto"/>
          <w:szCs w:val="24"/>
        </w:rPr>
      </w:pPr>
      <w:r>
        <w:rPr>
          <w:rFonts w:hint="eastAsia"/>
          <w:b/>
          <w:bCs/>
          <w:color w:val="auto"/>
          <w:szCs w:val="24"/>
          <w:lang w:bidi="ar"/>
        </w:rPr>
        <w:t>（2）</w:t>
      </w:r>
      <w:r>
        <w:rPr>
          <w:b/>
          <w:bCs/>
          <w:color w:val="auto"/>
          <w:szCs w:val="24"/>
          <w:lang w:bidi="ar"/>
        </w:rPr>
        <w:t xml:space="preserve">系统软硬件产品供货要求 </w:t>
      </w:r>
    </w:p>
    <w:p w14:paraId="2FF4DCC3">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招标人不接受厂商已停产或即将停产（自投标日起 1 年内）的设备。 </w:t>
      </w:r>
    </w:p>
    <w:p w14:paraId="5FC5DE9C">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投标人提供的产品在升级、扩展时不应改变整个系统的结构、通信方式、管理模式，不应破坏应用软件的正常工作环境。 </w:t>
      </w:r>
    </w:p>
    <w:p w14:paraId="44F9E23C">
      <w:pPr>
        <w:widowControl w:val="0"/>
        <w:tabs>
          <w:tab w:val="left" w:pos="5220"/>
        </w:tabs>
        <w:spacing w:after="0" w:line="500" w:lineRule="exact"/>
        <w:ind w:left="24" w:leftChars="10" w:right="113" w:firstLine="480" w:firstLineChars="200"/>
        <w:jc w:val="both"/>
        <w:rPr>
          <w:rFonts w:hint="eastAsia"/>
          <w:color w:val="auto"/>
          <w:szCs w:val="24"/>
          <w:lang w:bidi="ar"/>
        </w:rPr>
      </w:pPr>
      <w:r>
        <w:rPr>
          <w:color w:val="auto"/>
          <w:szCs w:val="24"/>
          <w:lang w:bidi="ar"/>
        </w:rPr>
        <w:t>投标人提供的产品应符合开放性标准，并能与满足相同标准的同类产品集成。</w:t>
      </w:r>
    </w:p>
    <w:p w14:paraId="4168F04A">
      <w:pPr>
        <w:widowControl w:val="0"/>
        <w:tabs>
          <w:tab w:val="left" w:pos="5220"/>
        </w:tabs>
        <w:spacing w:after="0" w:line="500" w:lineRule="exact"/>
        <w:ind w:left="24" w:leftChars="10" w:right="113" w:firstLine="480" w:firstLineChars="200"/>
        <w:jc w:val="both"/>
        <w:rPr>
          <w:rFonts w:hint="eastAsia"/>
          <w:color w:val="auto"/>
          <w:szCs w:val="24"/>
          <w:lang w:bidi="ar"/>
        </w:rPr>
      </w:pPr>
      <w:r>
        <w:rPr>
          <w:color w:val="auto"/>
          <w:szCs w:val="24"/>
          <w:lang w:bidi="ar"/>
        </w:rPr>
        <w:t xml:space="preserve">投标人需将其供货设备运送到招标人指定现场。 </w:t>
      </w:r>
    </w:p>
    <w:p w14:paraId="71D70E36">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投标人提供的货物，应保证包装完好、数量与供货清单相符。投标人提供的产品送货到招标人指定现场后，应该会同招标人进行开箱点货验收。点货验收前，投标人需提供完整清晰的供货清单。点货验收后，双方签字确认，并将货物的保管权移交给招标人。招标人在保管期内只对货物的数量和外观原状负责。 </w:t>
      </w:r>
    </w:p>
    <w:p w14:paraId="62492AD2">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投标人负责组织原产品制造厂家合格的技术人员或由原产品制造厂家直接授权的有资格的技术人员完成供货设备及软件的安装、测试和安装验收以及终验，并解决此过程中出现的有关问题和提供项目与技术服务。 </w:t>
      </w:r>
    </w:p>
    <w:p w14:paraId="2BFCA836">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投标人提供设备的安装、测试和安装验收过程中应提供的完整文档。 </w:t>
      </w:r>
    </w:p>
    <w:p w14:paraId="16CDE501">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投标人提供的产品若具有固有的设计缺陷，则不能因超过质保期而解除投标人对该设备应承担的修复和更换责任。 </w:t>
      </w:r>
    </w:p>
    <w:p w14:paraId="73D7127B">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投标人和原产品制造厂家有义务向招标人主动提供合同供货范围内的软件升级和修补版本，并协助招标人进行软件更新。如果升级版本超过合同规定的免费升级范围，则招标人有权选择是否进行升级。如果该软件具有固有缺陷，则修复这种缺陷是投标人不可推卸的责任和义务。 </w:t>
      </w:r>
    </w:p>
    <w:p w14:paraId="1CECDE97">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投标人按照本次采购的设备指标中的售后服务及其他服务要求提供原厂商免费设备保修和现场售后维护服务，以及相关系统软件的免费软件升级服务。保修和售后维护服务时间从验收合格之日起计算。 </w:t>
      </w:r>
    </w:p>
    <w:p w14:paraId="4623FB88">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 xml:space="preserve">设备的原厂商应在国内设有备件仓库，在出现硬件损坏时，备品、备件等应在招标要求规定时间范围之内到达并修复，并需要提供确保承诺实现的措施。 </w:t>
      </w:r>
    </w:p>
    <w:p w14:paraId="6D755E7B">
      <w:pPr>
        <w:widowControl w:val="0"/>
        <w:tabs>
          <w:tab w:val="left" w:pos="5220"/>
        </w:tabs>
        <w:spacing w:after="0" w:line="500" w:lineRule="exact"/>
        <w:ind w:left="24" w:leftChars="10" w:right="113" w:firstLine="480" w:firstLineChars="200"/>
        <w:jc w:val="both"/>
        <w:rPr>
          <w:rFonts w:hint="eastAsia"/>
          <w:color w:val="auto"/>
          <w:szCs w:val="24"/>
        </w:rPr>
      </w:pPr>
      <w:r>
        <w:rPr>
          <w:color w:val="auto"/>
          <w:szCs w:val="24"/>
          <w:lang w:bidi="ar"/>
        </w:rPr>
        <w:t>在保修期结束前，需由投标人工程师和招标人代表进行一次全面检查，任何缺陷由投标人负责修理，在修理之后，投标人应将缺陷原因、修理内容、完成修理及恢复正常的时间和日期等报告给招标人，报告一式两份</w:t>
      </w:r>
      <w:r>
        <w:rPr>
          <w:rFonts w:hint="eastAsia"/>
          <w:color w:val="auto"/>
          <w:szCs w:val="24"/>
          <w:lang w:bidi="ar"/>
        </w:rPr>
        <w:t>。</w:t>
      </w:r>
    </w:p>
    <w:p w14:paraId="4AB678DD">
      <w:pPr>
        <w:spacing w:after="0" w:line="500" w:lineRule="exact"/>
        <w:ind w:left="24" w:leftChars="10" w:right="113" w:firstLine="0"/>
        <w:rPr>
          <w:rFonts w:hint="eastAsia"/>
          <w:sz w:val="21"/>
        </w:rPr>
      </w:pPr>
    </w:p>
    <w:p w14:paraId="55478A94">
      <w:pPr>
        <w:pStyle w:val="3"/>
        <w:numPr>
          <w:ilvl w:val="0"/>
          <w:numId w:val="2"/>
        </w:numPr>
        <w:spacing w:after="0" w:line="500" w:lineRule="exact"/>
        <w:ind w:left="24" w:leftChars="10" w:right="113"/>
        <w:rPr>
          <w:rFonts w:hint="eastAsia" w:ascii="宋体" w:hAnsi="宋体" w:eastAsia="宋体" w:cs="宋体"/>
          <w:b/>
          <w:bCs/>
        </w:rPr>
      </w:pPr>
      <w:r>
        <w:rPr>
          <w:rFonts w:hint="eastAsia" w:ascii="宋体" w:hAnsi="宋体" w:eastAsia="宋体" w:cs="宋体"/>
          <w:b/>
          <w:bCs/>
        </w:rPr>
        <w:t xml:space="preserve">项目实施要求 </w:t>
      </w:r>
    </w:p>
    <w:p w14:paraId="349C36DE">
      <w:pPr>
        <w:pStyle w:val="21"/>
        <w:numPr>
          <w:ilvl w:val="0"/>
          <w:numId w:val="6"/>
        </w:numPr>
        <w:spacing w:after="0" w:line="500" w:lineRule="exact"/>
        <w:ind w:right="113" w:firstLineChars="0"/>
        <w:rPr>
          <w:rFonts w:hint="eastAsia"/>
          <w:b/>
          <w:bCs/>
          <w:szCs w:val="24"/>
        </w:rPr>
      </w:pPr>
      <w:r>
        <w:rPr>
          <w:rFonts w:hint="eastAsia"/>
          <w:b/>
          <w:bCs/>
          <w:szCs w:val="24"/>
        </w:rPr>
        <w:t xml:space="preserve">总体要求 </w:t>
      </w:r>
    </w:p>
    <w:p w14:paraId="67F1BA16">
      <w:pPr>
        <w:widowControl w:val="0"/>
        <w:numPr>
          <w:ilvl w:val="0"/>
          <w:numId w:val="7"/>
        </w:numPr>
        <w:spacing w:after="0" w:line="500" w:lineRule="exact"/>
        <w:ind w:left="24" w:leftChars="10" w:right="113" w:firstLine="480" w:firstLineChars="200"/>
        <w:jc w:val="both"/>
        <w:rPr>
          <w:rFonts w:hint="eastAsia"/>
          <w:szCs w:val="24"/>
        </w:rPr>
      </w:pPr>
      <w:r>
        <w:rPr>
          <w:rFonts w:hint="eastAsia"/>
          <w:szCs w:val="24"/>
        </w:rPr>
        <w:t>投标人具有以下条件的优先：</w:t>
      </w:r>
    </w:p>
    <w:p w14:paraId="3F7CDD39">
      <w:pPr>
        <w:pStyle w:val="21"/>
        <w:widowControl w:val="0"/>
        <w:numPr>
          <w:ilvl w:val="0"/>
          <w:numId w:val="8"/>
        </w:numPr>
        <w:tabs>
          <w:tab w:val="left" w:pos="567"/>
        </w:tabs>
        <w:spacing w:after="0" w:line="500" w:lineRule="exact"/>
        <w:ind w:left="24" w:leftChars="10" w:right="113" w:firstLine="480"/>
        <w:jc w:val="both"/>
        <w:rPr>
          <w:rFonts w:hint="eastAsia"/>
          <w:szCs w:val="24"/>
        </w:rPr>
      </w:pPr>
      <w:r>
        <w:rPr>
          <w:rFonts w:hint="eastAsia"/>
          <w:szCs w:val="24"/>
        </w:rPr>
        <w:t>具有近三年类似项目业绩；</w:t>
      </w:r>
    </w:p>
    <w:p w14:paraId="343F9785">
      <w:pPr>
        <w:pStyle w:val="21"/>
        <w:widowControl w:val="0"/>
        <w:numPr>
          <w:ilvl w:val="0"/>
          <w:numId w:val="8"/>
        </w:numPr>
        <w:tabs>
          <w:tab w:val="left" w:pos="851"/>
        </w:tabs>
        <w:spacing w:after="0" w:line="500" w:lineRule="exact"/>
        <w:ind w:left="24" w:leftChars="10" w:right="113" w:firstLine="480"/>
        <w:jc w:val="both"/>
        <w:rPr>
          <w:rFonts w:hint="eastAsia"/>
          <w:szCs w:val="24"/>
        </w:rPr>
      </w:pPr>
      <w:r>
        <w:rPr>
          <w:rFonts w:hint="eastAsia"/>
          <w:szCs w:val="24"/>
        </w:rPr>
        <w:t>具有与本项目相关的能够证明其综合实力的资质证书，如：软件著作权证书，软件产品证书，软件企业证书，高新技术企业证书，ISO9001证书，ISO20000证书，ISO27001证书。</w:t>
      </w:r>
    </w:p>
    <w:p w14:paraId="06A48B8F">
      <w:pPr>
        <w:widowControl w:val="0"/>
        <w:numPr>
          <w:ilvl w:val="0"/>
          <w:numId w:val="7"/>
        </w:numPr>
        <w:spacing w:after="0" w:line="500" w:lineRule="exact"/>
        <w:ind w:left="24" w:leftChars="10" w:right="113" w:firstLine="480" w:firstLineChars="200"/>
        <w:jc w:val="both"/>
        <w:rPr>
          <w:rFonts w:hint="eastAsia"/>
          <w:szCs w:val="24"/>
        </w:rPr>
      </w:pPr>
      <w:r>
        <w:rPr>
          <w:rFonts w:hint="eastAsia"/>
          <w:szCs w:val="24"/>
        </w:rPr>
        <w:t>投标人应本着认真负责态度，组织技术队伍，认真做好项目的实施工作。</w:t>
      </w:r>
    </w:p>
    <w:p w14:paraId="718A8FF0">
      <w:pPr>
        <w:widowControl w:val="0"/>
        <w:numPr>
          <w:ilvl w:val="0"/>
          <w:numId w:val="7"/>
        </w:numPr>
        <w:spacing w:after="0" w:line="500" w:lineRule="exact"/>
        <w:ind w:left="24" w:leftChars="10" w:right="113" w:firstLine="480" w:firstLineChars="200"/>
        <w:jc w:val="both"/>
        <w:rPr>
          <w:rFonts w:hint="eastAsia"/>
          <w:szCs w:val="24"/>
        </w:rPr>
      </w:pPr>
      <w:r>
        <w:rPr>
          <w:rFonts w:hint="eastAsia"/>
          <w:szCs w:val="24"/>
        </w:rPr>
        <w:t>投标人须提供项目服务计划。</w:t>
      </w:r>
    </w:p>
    <w:p w14:paraId="6BC0E3B8">
      <w:pPr>
        <w:widowControl w:val="0"/>
        <w:numPr>
          <w:ilvl w:val="0"/>
          <w:numId w:val="7"/>
        </w:numPr>
        <w:spacing w:after="0" w:line="500" w:lineRule="exact"/>
        <w:ind w:left="24" w:leftChars="10" w:right="113" w:firstLine="480" w:firstLineChars="200"/>
        <w:jc w:val="both"/>
        <w:rPr>
          <w:rFonts w:hint="eastAsia"/>
          <w:szCs w:val="24"/>
        </w:rPr>
      </w:pPr>
      <w:r>
        <w:rPr>
          <w:rFonts w:hint="eastAsia"/>
          <w:szCs w:val="24"/>
        </w:rPr>
        <w:t>投标人在规划、实施、运维等方面需具有丰富经验和深厚积累。</w:t>
      </w:r>
    </w:p>
    <w:p w14:paraId="61ECFBA8">
      <w:pPr>
        <w:widowControl w:val="0"/>
        <w:numPr>
          <w:ilvl w:val="0"/>
          <w:numId w:val="7"/>
        </w:numPr>
        <w:spacing w:after="0" w:line="500" w:lineRule="exact"/>
        <w:ind w:left="24" w:leftChars="10" w:right="113" w:firstLine="480" w:firstLineChars="200"/>
        <w:jc w:val="both"/>
        <w:rPr>
          <w:rFonts w:hint="eastAsia"/>
          <w:szCs w:val="24"/>
        </w:rPr>
      </w:pPr>
      <w:r>
        <w:rPr>
          <w:rFonts w:hint="eastAsia"/>
          <w:szCs w:val="24"/>
        </w:rPr>
        <w:t>投标人应负责在项目验收时将服务的全部有关技术文件、资料、验收报告等文档交付给采购人。</w:t>
      </w:r>
    </w:p>
    <w:p w14:paraId="5B7F58EF">
      <w:pPr>
        <w:widowControl w:val="0"/>
        <w:numPr>
          <w:ilvl w:val="0"/>
          <w:numId w:val="7"/>
        </w:numPr>
        <w:spacing w:after="0" w:line="500" w:lineRule="exact"/>
        <w:ind w:left="24" w:leftChars="10" w:right="113" w:firstLine="480" w:firstLineChars="200"/>
        <w:jc w:val="both"/>
        <w:rPr>
          <w:rFonts w:hint="eastAsia"/>
          <w:szCs w:val="24"/>
        </w:rPr>
      </w:pPr>
      <w:r>
        <w:rPr>
          <w:rFonts w:hint="eastAsia"/>
          <w:szCs w:val="24"/>
        </w:rPr>
        <w:t>投标人应配合完成安全测评、软件测试、密测。</w:t>
      </w:r>
    </w:p>
    <w:p w14:paraId="3F83C129">
      <w:pPr>
        <w:pStyle w:val="21"/>
        <w:numPr>
          <w:ilvl w:val="0"/>
          <w:numId w:val="6"/>
        </w:numPr>
        <w:spacing w:after="0" w:line="500" w:lineRule="exact"/>
        <w:ind w:right="113" w:firstLineChars="0"/>
        <w:rPr>
          <w:rFonts w:hint="eastAsia"/>
          <w:b/>
          <w:bCs/>
          <w:szCs w:val="24"/>
        </w:rPr>
      </w:pPr>
      <w:r>
        <w:rPr>
          <w:rFonts w:hint="eastAsia"/>
          <w:b/>
          <w:bCs/>
          <w:szCs w:val="24"/>
        </w:rPr>
        <w:t xml:space="preserve">项目实施 </w:t>
      </w:r>
    </w:p>
    <w:p w14:paraId="3C9610CB">
      <w:pPr>
        <w:numPr>
          <w:ilvl w:val="2"/>
          <w:numId w:val="9"/>
        </w:numPr>
        <w:spacing w:after="0" w:line="500" w:lineRule="exact"/>
        <w:ind w:left="24" w:leftChars="10" w:right="113" w:firstLine="480" w:firstLineChars="200"/>
        <w:rPr>
          <w:rFonts w:hint="eastAsia"/>
          <w:szCs w:val="24"/>
        </w:rPr>
      </w:pPr>
      <w:r>
        <w:rPr>
          <w:rFonts w:hint="eastAsia"/>
          <w:szCs w:val="24"/>
        </w:rPr>
        <w:t xml:space="preserve">实施进度 </w:t>
      </w:r>
    </w:p>
    <w:p w14:paraId="640F1FD9">
      <w:pPr>
        <w:spacing w:after="0" w:line="500" w:lineRule="exact"/>
        <w:ind w:left="24" w:leftChars="10" w:right="113" w:firstLine="480" w:firstLineChars="200"/>
        <w:rPr>
          <w:rFonts w:hint="eastAsia"/>
          <w:szCs w:val="24"/>
        </w:rPr>
      </w:pPr>
      <w:r>
        <w:rPr>
          <w:rFonts w:hint="eastAsia"/>
          <w:szCs w:val="24"/>
        </w:rPr>
        <w:t xml:space="preserve">合同签订生效后6个月内完成设备采购、需求分析、设计、安装调试等建设任务并通过最终验收。 </w:t>
      </w:r>
    </w:p>
    <w:p w14:paraId="3345BB73">
      <w:pPr>
        <w:spacing w:after="0" w:line="500" w:lineRule="exact"/>
        <w:ind w:left="24" w:leftChars="10" w:right="113" w:firstLine="480" w:firstLineChars="200"/>
        <w:rPr>
          <w:rFonts w:hint="eastAsia"/>
          <w:szCs w:val="24"/>
        </w:rPr>
      </w:pPr>
      <w:r>
        <w:rPr>
          <w:rFonts w:hint="eastAsia"/>
          <w:szCs w:val="24"/>
        </w:rPr>
        <w:t xml:space="preserve">投标人须在投标文件中给出详细、合理的项目进度安排，明确各阶段建设目标、建设内容，确定各平台间相互关系，协调各平台建设进度。合同签订前，投标人需与招标人共同商定项目进度安排，并按项目进度安排签署合同，依次开工建设，项目建设中应严格遵守项目进度安排。 </w:t>
      </w:r>
    </w:p>
    <w:p w14:paraId="1534E8AC">
      <w:pPr>
        <w:spacing w:after="0" w:line="500" w:lineRule="exact"/>
        <w:ind w:left="24" w:leftChars="10" w:right="113" w:firstLine="480" w:firstLineChars="200"/>
        <w:rPr>
          <w:rFonts w:hint="eastAsia"/>
          <w:szCs w:val="24"/>
        </w:rPr>
      </w:pPr>
      <w:r>
        <w:rPr>
          <w:rFonts w:hint="eastAsia"/>
          <w:szCs w:val="24"/>
        </w:rPr>
        <w:t xml:space="preserve">项目建设过程中，如果各个阶段的里程碑能够提前达成，经双方协商，可提前进行阶段性验收。 </w:t>
      </w:r>
    </w:p>
    <w:p w14:paraId="29CEC34F">
      <w:pPr>
        <w:spacing w:after="0" w:line="500" w:lineRule="exact"/>
        <w:ind w:left="24" w:leftChars="10" w:right="113" w:firstLine="480" w:firstLineChars="200"/>
        <w:rPr>
          <w:rFonts w:hint="eastAsia"/>
          <w:szCs w:val="24"/>
        </w:rPr>
      </w:pPr>
      <w:r>
        <w:rPr>
          <w:rFonts w:hint="eastAsia"/>
          <w:szCs w:val="24"/>
        </w:rPr>
        <w:t xml:space="preserve">在建设过程中，投标人应该接受招标人委托的监理单位的监理，按照监理单位的要求提交项目相关的文档。 </w:t>
      </w:r>
    </w:p>
    <w:p w14:paraId="7C2789B5">
      <w:pPr>
        <w:numPr>
          <w:ilvl w:val="2"/>
          <w:numId w:val="9"/>
        </w:numPr>
        <w:spacing w:after="0" w:line="500" w:lineRule="exact"/>
        <w:ind w:left="24" w:leftChars="10" w:right="113" w:firstLine="480" w:firstLineChars="200"/>
        <w:rPr>
          <w:rFonts w:hint="eastAsia"/>
        </w:rPr>
      </w:pPr>
      <w:r>
        <w:rPr>
          <w:rFonts w:hint="eastAsia"/>
        </w:rPr>
        <w:t xml:space="preserve">实施人员的要求 </w:t>
      </w:r>
    </w:p>
    <w:p w14:paraId="13DAE70F">
      <w:pPr>
        <w:spacing w:after="0" w:line="500" w:lineRule="exact"/>
        <w:ind w:left="24" w:leftChars="10" w:right="113" w:firstLine="480" w:firstLineChars="200"/>
        <w:rPr>
          <w:rFonts w:hint="eastAsia"/>
        </w:rPr>
      </w:pPr>
      <w:r>
        <w:rPr>
          <w:rFonts w:hint="eastAsia"/>
        </w:rPr>
        <w:t xml:space="preserve">投标人应为本项目建立专用的技术实施团队，项目团队人员配置科学合理、分工明确。团队成员须保持稳定，并由招标人与投标人共同管理，项目经理、实施人员必须专职承担本项目工作。 </w:t>
      </w:r>
    </w:p>
    <w:p w14:paraId="4FDED921">
      <w:pPr>
        <w:spacing w:after="0" w:line="500" w:lineRule="exact"/>
        <w:ind w:left="24" w:leftChars="10" w:right="113" w:firstLine="480" w:firstLineChars="200"/>
        <w:rPr>
          <w:rFonts w:hint="eastAsia"/>
        </w:rPr>
      </w:pPr>
      <w:r>
        <w:rPr>
          <w:rFonts w:hint="eastAsia"/>
        </w:rPr>
        <w:t>为保证项目顺利实施，投标人在项目实施期间提供项目经理1人、实施工程师不少于4人的项目团队驻场3个月以上，且至少包含一名高级工程师、三名中级工程师以及一名具有医疗或公共卫生背景的人员。</w:t>
      </w:r>
    </w:p>
    <w:p w14:paraId="333CA70C">
      <w:pPr>
        <w:numPr>
          <w:ilvl w:val="2"/>
          <w:numId w:val="9"/>
        </w:numPr>
        <w:spacing w:after="0" w:line="500" w:lineRule="exact"/>
        <w:ind w:left="24" w:leftChars="10" w:right="113" w:firstLine="480" w:firstLineChars="200"/>
        <w:rPr>
          <w:rFonts w:hint="eastAsia"/>
        </w:rPr>
      </w:pPr>
      <w:r>
        <w:rPr>
          <w:rFonts w:hint="eastAsia"/>
        </w:rPr>
        <w:t xml:space="preserve">安装、调试 </w:t>
      </w:r>
    </w:p>
    <w:p w14:paraId="38E14BF4">
      <w:pPr>
        <w:numPr>
          <w:ilvl w:val="3"/>
          <w:numId w:val="10"/>
        </w:numPr>
        <w:spacing w:after="0" w:line="500" w:lineRule="exact"/>
        <w:ind w:left="24" w:leftChars="10" w:right="113" w:firstLine="480" w:firstLineChars="200"/>
        <w:rPr>
          <w:rFonts w:hint="eastAsia"/>
        </w:rPr>
      </w:pPr>
      <w:r>
        <w:rPr>
          <w:rFonts w:hint="eastAsia"/>
        </w:rPr>
        <w:t xml:space="preserve">合同签订一周内，投标人须向招标方提交安装实施环境的要求。实施安装 30 天以前，投标人向招标人提交安装、测试和安装验收的计划方案，该计划方案须经过招标人同意方可作为安装、测试和安装验收的依据。 </w:t>
      </w:r>
    </w:p>
    <w:p w14:paraId="362BAC41">
      <w:pPr>
        <w:numPr>
          <w:ilvl w:val="3"/>
          <w:numId w:val="10"/>
        </w:numPr>
        <w:spacing w:after="0" w:line="500" w:lineRule="exact"/>
        <w:ind w:left="24" w:leftChars="10" w:right="113" w:firstLine="480" w:firstLineChars="200"/>
        <w:rPr>
          <w:rFonts w:hint="eastAsia"/>
        </w:rPr>
      </w:pPr>
      <w:r>
        <w:rPr>
          <w:rFonts w:hint="eastAsia"/>
        </w:rPr>
        <w:t xml:space="preserve">投标人应承担所供产品的安装、调试和配置工作，同时应提供完整的安装调试文档及系统配置文件。 </w:t>
      </w:r>
    </w:p>
    <w:p w14:paraId="447C0092">
      <w:pPr>
        <w:numPr>
          <w:ilvl w:val="3"/>
          <w:numId w:val="10"/>
        </w:numPr>
        <w:spacing w:after="0" w:line="500" w:lineRule="exact"/>
        <w:ind w:left="24" w:leftChars="10" w:right="113" w:firstLine="480" w:firstLineChars="200"/>
        <w:rPr>
          <w:rFonts w:hint="eastAsia"/>
        </w:rPr>
      </w:pPr>
      <w:r>
        <w:rPr>
          <w:rFonts w:hint="eastAsia"/>
        </w:rPr>
        <w:t xml:space="preserve">投标人应全力与招标人及其他相关产品供应商配合，保证系统按时、正常地投入运行。 </w:t>
      </w:r>
    </w:p>
    <w:p w14:paraId="642EBB67">
      <w:pPr>
        <w:numPr>
          <w:ilvl w:val="3"/>
          <w:numId w:val="10"/>
        </w:numPr>
        <w:spacing w:after="0" w:line="500" w:lineRule="exact"/>
        <w:ind w:left="24" w:leftChars="10" w:right="113" w:firstLine="480" w:firstLineChars="200"/>
        <w:rPr>
          <w:rFonts w:hint="eastAsia"/>
        </w:rPr>
      </w:pPr>
      <w:r>
        <w:rPr>
          <w:rFonts w:hint="eastAsia"/>
        </w:rPr>
        <w:t xml:space="preserve">投标人需保证所配置的软件产品有合法的使用权。 </w:t>
      </w:r>
    </w:p>
    <w:p w14:paraId="6FD83A81">
      <w:pPr>
        <w:numPr>
          <w:ilvl w:val="2"/>
          <w:numId w:val="9"/>
        </w:numPr>
        <w:spacing w:after="0" w:line="500" w:lineRule="exact"/>
        <w:ind w:left="24" w:leftChars="10" w:right="113" w:firstLine="480" w:firstLineChars="200"/>
        <w:rPr>
          <w:rFonts w:hint="eastAsia"/>
        </w:rPr>
      </w:pPr>
      <w:r>
        <w:rPr>
          <w:rFonts w:hint="eastAsia"/>
        </w:rPr>
        <w:t xml:space="preserve">项目验收 </w:t>
      </w:r>
    </w:p>
    <w:p w14:paraId="554949C5">
      <w:pPr>
        <w:numPr>
          <w:ilvl w:val="3"/>
          <w:numId w:val="11"/>
        </w:numPr>
        <w:spacing w:after="0" w:line="500" w:lineRule="exact"/>
        <w:ind w:left="24" w:leftChars="10" w:right="113" w:firstLine="480" w:firstLineChars="200"/>
        <w:rPr>
          <w:rFonts w:hint="eastAsia"/>
        </w:rPr>
      </w:pPr>
      <w:r>
        <w:rPr>
          <w:rFonts w:hint="eastAsia"/>
        </w:rPr>
        <w:t xml:space="preserve">系统验收合格的条件必须至少满足以下三点要求：试运行时性能满足合同要求；性能测试和试运行验收时出现的问题已被解决；已提供了合同的全部货物和资料。 </w:t>
      </w:r>
    </w:p>
    <w:p w14:paraId="779FDB69">
      <w:pPr>
        <w:numPr>
          <w:ilvl w:val="3"/>
          <w:numId w:val="11"/>
        </w:numPr>
        <w:spacing w:after="0" w:line="500" w:lineRule="exact"/>
        <w:ind w:left="24" w:leftChars="10" w:right="113" w:firstLine="480" w:firstLineChars="200"/>
        <w:rPr>
          <w:rFonts w:hint="eastAsia"/>
        </w:rPr>
      </w:pPr>
      <w:r>
        <w:rPr>
          <w:rFonts w:hint="eastAsia"/>
        </w:rPr>
        <w:t>本项目建设内容正式投入运行后进行系统验收。本项目建设内容正式投入运行后进行系统验收，包括系统的安全性、完整性、易用性、适用性等，项目验收合格后双方共同签署《项目验收报告》，即视为验收合格。</w:t>
      </w:r>
    </w:p>
    <w:p w14:paraId="4AB14AF9">
      <w:pPr>
        <w:pStyle w:val="21"/>
        <w:numPr>
          <w:ilvl w:val="0"/>
          <w:numId w:val="6"/>
        </w:numPr>
        <w:spacing w:after="0" w:line="500" w:lineRule="exact"/>
        <w:ind w:right="113" w:firstLineChars="0"/>
        <w:rPr>
          <w:rFonts w:hint="eastAsia"/>
          <w:b/>
          <w:bCs/>
          <w:szCs w:val="24"/>
        </w:rPr>
      </w:pPr>
      <w:r>
        <w:rPr>
          <w:rFonts w:hint="eastAsia"/>
          <w:b/>
          <w:bCs/>
          <w:szCs w:val="24"/>
        </w:rPr>
        <w:t xml:space="preserve">技术文档 </w:t>
      </w:r>
    </w:p>
    <w:p w14:paraId="0E9607CE">
      <w:pPr>
        <w:spacing w:after="0" w:line="500" w:lineRule="exact"/>
        <w:ind w:left="24" w:leftChars="10" w:right="113" w:firstLine="480" w:firstLineChars="200"/>
        <w:rPr>
          <w:rFonts w:hint="eastAsia"/>
          <w:sz w:val="32"/>
          <w:szCs w:val="28"/>
        </w:rPr>
      </w:pPr>
      <w:r>
        <w:rPr>
          <w:rFonts w:hint="eastAsia"/>
        </w:rPr>
        <w:t xml:space="preserve">系统验收后投标人需向招标人提供项目准备、需求分析、设计、集成、实施、上线、交付各阶段及项目管理全过程中的有关文档。 </w:t>
      </w:r>
      <w:r>
        <w:rPr>
          <w:rFonts w:hint="eastAsia"/>
          <w:sz w:val="32"/>
          <w:szCs w:val="28"/>
        </w:rPr>
        <w:t xml:space="preserve"> </w:t>
      </w:r>
    </w:p>
    <w:p w14:paraId="2CB6190B">
      <w:pPr>
        <w:pStyle w:val="21"/>
        <w:numPr>
          <w:ilvl w:val="0"/>
          <w:numId w:val="6"/>
        </w:numPr>
        <w:spacing w:after="0" w:line="500" w:lineRule="exact"/>
        <w:ind w:right="113" w:firstLineChars="0"/>
        <w:rPr>
          <w:rFonts w:hint="eastAsia"/>
          <w:szCs w:val="24"/>
        </w:rPr>
      </w:pPr>
      <w:r>
        <w:rPr>
          <w:rFonts w:hint="eastAsia"/>
          <w:b/>
          <w:bCs/>
          <w:szCs w:val="24"/>
        </w:rPr>
        <w:t>风险控制要求</w:t>
      </w:r>
      <w:r>
        <w:rPr>
          <w:rFonts w:hint="eastAsia"/>
          <w:szCs w:val="24"/>
        </w:rPr>
        <w:t xml:space="preserve"> </w:t>
      </w:r>
    </w:p>
    <w:p w14:paraId="60EB7F1B">
      <w:pPr>
        <w:spacing w:after="0" w:line="500" w:lineRule="exact"/>
        <w:ind w:left="24" w:leftChars="10" w:right="113" w:firstLine="480" w:firstLineChars="200"/>
        <w:rPr>
          <w:rFonts w:hint="eastAsia"/>
          <w:sz w:val="32"/>
          <w:szCs w:val="28"/>
        </w:rPr>
      </w:pPr>
      <w:r>
        <w:rPr>
          <w:rFonts w:hint="eastAsia"/>
        </w:rPr>
        <w:t>投标人要能在充分理解本项目需求的基础上，对可能出现的各类风险进行评估和制定应对措施，以保证本项目的顺利实施。</w:t>
      </w:r>
      <w:r>
        <w:rPr>
          <w:rFonts w:hint="eastAsia"/>
          <w:sz w:val="32"/>
          <w:szCs w:val="28"/>
        </w:rPr>
        <w:t xml:space="preserve"> </w:t>
      </w:r>
    </w:p>
    <w:p w14:paraId="45780CEB">
      <w:pPr>
        <w:pStyle w:val="21"/>
        <w:numPr>
          <w:ilvl w:val="0"/>
          <w:numId w:val="6"/>
        </w:numPr>
        <w:spacing w:after="0" w:line="500" w:lineRule="exact"/>
        <w:ind w:right="113" w:firstLineChars="0"/>
        <w:rPr>
          <w:rFonts w:hint="eastAsia"/>
          <w:b/>
          <w:bCs/>
          <w:szCs w:val="24"/>
        </w:rPr>
      </w:pPr>
      <w:r>
        <w:rPr>
          <w:rFonts w:hint="eastAsia"/>
          <w:b/>
          <w:bCs/>
          <w:szCs w:val="24"/>
        </w:rPr>
        <w:t xml:space="preserve">项目培训要求 </w:t>
      </w:r>
    </w:p>
    <w:p w14:paraId="2994729B">
      <w:pPr>
        <w:spacing w:after="0" w:line="500" w:lineRule="exact"/>
        <w:ind w:left="24" w:leftChars="10" w:right="113" w:firstLine="480" w:firstLineChars="200"/>
        <w:jc w:val="both"/>
        <w:rPr>
          <w:rFonts w:hint="eastAsia"/>
        </w:rPr>
      </w:pPr>
      <w:r>
        <w:rPr>
          <w:rFonts w:hint="eastAsia"/>
        </w:rPr>
        <w:t xml:space="preserve">培训工作是整个系统得以正常运行的关键，投标人应据此制定详细的培训方案。培训对象除包含普通业务人员的专项培训以外，还应对系统维护人员进行系统维护的培训。 </w:t>
      </w:r>
    </w:p>
    <w:p w14:paraId="3EFD78FA">
      <w:pPr>
        <w:spacing w:after="0" w:line="500" w:lineRule="exact"/>
        <w:ind w:left="24" w:leftChars="10" w:right="113" w:firstLine="480" w:firstLineChars="200"/>
        <w:rPr>
          <w:rFonts w:hint="eastAsia"/>
        </w:rPr>
      </w:pPr>
      <w:r>
        <w:rPr>
          <w:rFonts w:hint="eastAsia"/>
        </w:rPr>
        <w:t xml:space="preserve">投标人须为招标人进行现场安装指导，使招标人掌握产品安装、调试、验收、故障诊断的基本技能；投标人须提供高水平的、全面的专业技术培训，培训内容应涵盖设备功能介绍、设备维护管理、设备故障诊断等要点。使招标人的人员达到能独立进行管理、维护测试、故障处理等工作，保证系统平台能够正常、安全地运行。 </w:t>
      </w:r>
    </w:p>
    <w:p w14:paraId="1D16F267">
      <w:pPr>
        <w:spacing w:after="0" w:line="500" w:lineRule="exact"/>
        <w:ind w:left="24" w:leftChars="10" w:right="113" w:firstLine="480" w:firstLineChars="200"/>
        <w:rPr>
          <w:rFonts w:hint="eastAsia"/>
          <w:sz w:val="32"/>
          <w:szCs w:val="28"/>
        </w:rPr>
      </w:pPr>
      <w:r>
        <w:rPr>
          <w:rFonts w:hint="eastAsia"/>
        </w:rPr>
        <w:t>本次投标报价须包含培训产生的相关费用。</w:t>
      </w:r>
      <w:r>
        <w:rPr>
          <w:rFonts w:hint="eastAsia"/>
          <w:sz w:val="32"/>
          <w:szCs w:val="28"/>
        </w:rPr>
        <w:t xml:space="preserve"> </w:t>
      </w:r>
    </w:p>
    <w:p w14:paraId="145E1C42">
      <w:pPr>
        <w:spacing w:after="0" w:line="500" w:lineRule="exact"/>
        <w:ind w:left="24" w:leftChars="10" w:right="113" w:firstLine="640" w:firstLineChars="200"/>
        <w:rPr>
          <w:rFonts w:hint="eastAsia"/>
          <w:sz w:val="32"/>
          <w:szCs w:val="28"/>
        </w:rPr>
      </w:pPr>
    </w:p>
    <w:p w14:paraId="796EC459">
      <w:pPr>
        <w:pStyle w:val="3"/>
        <w:numPr>
          <w:ilvl w:val="0"/>
          <w:numId w:val="2"/>
        </w:numPr>
        <w:spacing w:after="0" w:line="500" w:lineRule="exact"/>
        <w:ind w:left="24" w:leftChars="10" w:right="113"/>
        <w:rPr>
          <w:rFonts w:hint="eastAsia" w:ascii="宋体" w:hAnsi="宋体" w:eastAsia="宋体" w:cs="宋体"/>
        </w:rPr>
      </w:pPr>
      <w:r>
        <w:rPr>
          <w:rFonts w:hint="eastAsia" w:ascii="宋体" w:hAnsi="宋体" w:eastAsia="宋体" w:cs="宋体"/>
          <w:b/>
          <w:bCs/>
        </w:rPr>
        <w:t>售后服务要求</w:t>
      </w:r>
      <w:r>
        <w:rPr>
          <w:rFonts w:hint="eastAsia" w:ascii="宋体" w:hAnsi="宋体" w:eastAsia="宋体" w:cs="宋体"/>
        </w:rPr>
        <w:t xml:space="preserve"> </w:t>
      </w:r>
    </w:p>
    <w:p w14:paraId="296F8943">
      <w:pPr>
        <w:pStyle w:val="22"/>
        <w:spacing w:after="0" w:line="500" w:lineRule="exact"/>
        <w:ind w:left="24" w:leftChars="10" w:right="113" w:firstLine="482" w:firstLineChars="200"/>
        <w:rPr>
          <w:rFonts w:hint="eastAsia"/>
          <w:b/>
          <w:bCs/>
        </w:rPr>
      </w:pPr>
      <w:r>
        <w:rPr>
          <w:rFonts w:hint="eastAsia"/>
          <w:b/>
          <w:bCs/>
        </w:rPr>
        <w:t xml:space="preserve">保修期限 </w:t>
      </w:r>
    </w:p>
    <w:p w14:paraId="36F19DCA">
      <w:pPr>
        <w:spacing w:after="0" w:line="500" w:lineRule="exact"/>
        <w:ind w:left="24" w:leftChars="10" w:right="113" w:firstLine="480" w:firstLineChars="200"/>
        <w:rPr>
          <w:rFonts w:hint="eastAsia"/>
        </w:rPr>
      </w:pPr>
      <w:r>
        <w:rPr>
          <w:rFonts w:hint="eastAsia"/>
        </w:rPr>
        <w:t xml:space="preserve">本项目保修期为1年，硬件自签收之日起计算，软件自竣工验收之日起计算。保修期到期后，双方友好协商有偿服务。 </w:t>
      </w:r>
    </w:p>
    <w:p w14:paraId="6E3F2F0A">
      <w:pPr>
        <w:pStyle w:val="22"/>
        <w:spacing w:after="0" w:line="500" w:lineRule="exact"/>
        <w:ind w:left="24" w:leftChars="10" w:right="113" w:firstLine="482" w:firstLineChars="200"/>
        <w:rPr>
          <w:rFonts w:hint="eastAsia"/>
          <w:b/>
          <w:bCs/>
        </w:rPr>
      </w:pPr>
      <w:r>
        <w:rPr>
          <w:rFonts w:hint="eastAsia"/>
          <w:b/>
          <w:bCs/>
        </w:rPr>
        <w:t xml:space="preserve">售后服务 </w:t>
      </w:r>
    </w:p>
    <w:p w14:paraId="08FC789D">
      <w:pPr>
        <w:widowControl w:val="0"/>
        <w:numPr>
          <w:ilvl w:val="0"/>
          <w:numId w:val="12"/>
        </w:numPr>
        <w:spacing w:after="0" w:line="500" w:lineRule="exact"/>
        <w:ind w:left="24" w:leftChars="10" w:right="113" w:firstLine="480" w:firstLineChars="200"/>
        <w:jc w:val="both"/>
        <w:rPr>
          <w:rFonts w:hint="eastAsia"/>
        </w:rPr>
      </w:pPr>
      <w:r>
        <w:rPr>
          <w:rFonts w:hint="eastAsia"/>
        </w:rPr>
        <w:t>提供专业的实施服务队伍，确保服务畅通和高效，实行项目经理负责制。</w:t>
      </w:r>
    </w:p>
    <w:p w14:paraId="58ABDAC0">
      <w:pPr>
        <w:widowControl w:val="0"/>
        <w:numPr>
          <w:ilvl w:val="0"/>
          <w:numId w:val="12"/>
        </w:numPr>
        <w:spacing w:after="0" w:line="500" w:lineRule="exact"/>
        <w:ind w:left="24" w:leftChars="10" w:right="113" w:firstLine="480" w:firstLineChars="200"/>
        <w:jc w:val="both"/>
        <w:rPr>
          <w:rFonts w:hint="eastAsia"/>
        </w:rPr>
      </w:pPr>
      <w:r>
        <w:rPr>
          <w:rFonts w:hint="eastAsia"/>
        </w:rPr>
        <w:t>提供包括技术咨询、操作培训、系统维护等在内的实施和服务内容。</w:t>
      </w:r>
    </w:p>
    <w:p w14:paraId="53F3EF09">
      <w:pPr>
        <w:widowControl w:val="0"/>
        <w:numPr>
          <w:ilvl w:val="0"/>
          <w:numId w:val="12"/>
        </w:numPr>
        <w:spacing w:after="0" w:line="500" w:lineRule="exact"/>
        <w:ind w:left="24" w:leftChars="10" w:right="113" w:firstLine="480" w:firstLineChars="200"/>
        <w:jc w:val="both"/>
        <w:rPr>
          <w:rFonts w:hint="eastAsia"/>
        </w:rPr>
      </w:pPr>
      <w:r>
        <w:rPr>
          <w:rFonts w:hint="eastAsia"/>
        </w:rPr>
        <w:t>服务方式包括现场服务、远程服务以及电话支持。</w:t>
      </w:r>
    </w:p>
    <w:p w14:paraId="50260CB4">
      <w:pPr>
        <w:numPr>
          <w:ilvl w:val="0"/>
          <w:numId w:val="13"/>
        </w:numPr>
        <w:spacing w:after="0" w:line="500" w:lineRule="exact"/>
        <w:ind w:left="24" w:leftChars="10" w:right="113" w:firstLine="480" w:firstLineChars="200"/>
        <w:rPr>
          <w:rFonts w:hint="eastAsia"/>
        </w:rPr>
      </w:pPr>
      <w:r>
        <w:rPr>
          <w:rFonts w:hint="eastAsia"/>
        </w:rPr>
        <w:t>远程维护：8小时＊5天工作时间内实时响应</w:t>
      </w:r>
    </w:p>
    <w:p w14:paraId="5EC22676">
      <w:pPr>
        <w:numPr>
          <w:ilvl w:val="0"/>
          <w:numId w:val="13"/>
        </w:numPr>
        <w:spacing w:after="0" w:line="500" w:lineRule="exact"/>
        <w:ind w:left="24" w:leftChars="10" w:right="113" w:firstLine="480" w:firstLineChars="200"/>
        <w:rPr>
          <w:rFonts w:hint="eastAsia"/>
        </w:rPr>
      </w:pPr>
      <w:r>
        <w:rPr>
          <w:rFonts w:hint="eastAsia"/>
        </w:rPr>
        <w:t>电话24小时＊365天时响应</w:t>
      </w:r>
    </w:p>
    <w:p w14:paraId="594A6B3C">
      <w:pPr>
        <w:numPr>
          <w:ilvl w:val="0"/>
          <w:numId w:val="13"/>
        </w:numPr>
        <w:spacing w:after="0" w:line="500" w:lineRule="exact"/>
        <w:ind w:left="24" w:leftChars="10" w:right="113" w:firstLine="480" w:firstLineChars="200"/>
        <w:rPr>
          <w:rFonts w:hint="eastAsia"/>
        </w:rPr>
      </w:pPr>
      <w:r>
        <w:rPr>
          <w:rFonts w:hint="eastAsia"/>
        </w:rPr>
        <w:t>一般故障：30分钟内响应，12小时内解决</w:t>
      </w:r>
    </w:p>
    <w:p w14:paraId="1700CBFE">
      <w:pPr>
        <w:numPr>
          <w:ilvl w:val="0"/>
          <w:numId w:val="13"/>
        </w:numPr>
        <w:spacing w:after="0" w:line="500" w:lineRule="exact"/>
        <w:ind w:left="24" w:leftChars="10" w:right="113" w:firstLine="480" w:firstLineChars="200"/>
        <w:rPr>
          <w:rFonts w:hint="eastAsia"/>
        </w:rPr>
      </w:pPr>
      <w:r>
        <w:rPr>
          <w:rFonts w:hint="eastAsia"/>
        </w:rPr>
        <w:t>重大问题：4小时内给出解决方案，24小时内到达现场</w:t>
      </w:r>
    </w:p>
    <w:p w14:paraId="149E9808">
      <w:pPr>
        <w:numPr>
          <w:ilvl w:val="255"/>
          <w:numId w:val="0"/>
        </w:numPr>
        <w:spacing w:after="0" w:line="500" w:lineRule="exact"/>
        <w:ind w:left="512" w:leftChars="210" w:right="113"/>
        <w:rPr>
          <w:rFonts w:hint="eastAsia"/>
        </w:rPr>
      </w:pPr>
    </w:p>
    <w:p w14:paraId="233B2CB2">
      <w:pPr>
        <w:pStyle w:val="3"/>
        <w:numPr>
          <w:ilvl w:val="0"/>
          <w:numId w:val="2"/>
        </w:numPr>
        <w:spacing w:after="0" w:line="500" w:lineRule="exact"/>
        <w:ind w:left="24" w:leftChars="10" w:right="113"/>
        <w:rPr>
          <w:rFonts w:hint="eastAsia" w:ascii="宋体" w:hAnsi="宋体" w:eastAsia="宋体" w:cs="宋体"/>
          <w:b/>
          <w:bCs/>
        </w:rPr>
      </w:pPr>
      <w:r>
        <w:rPr>
          <w:rFonts w:hint="eastAsia" w:ascii="宋体" w:hAnsi="宋体" w:eastAsia="宋体" w:cs="宋体"/>
          <w:b/>
          <w:bCs/>
        </w:rPr>
        <w:t xml:space="preserve">保密承诺 </w:t>
      </w:r>
    </w:p>
    <w:p w14:paraId="302E6E93">
      <w:pPr>
        <w:spacing w:after="0" w:line="500" w:lineRule="exact"/>
        <w:ind w:left="24" w:leftChars="10" w:right="113" w:firstLine="480" w:firstLineChars="200"/>
        <w:rPr>
          <w:rFonts w:hint="eastAsia"/>
        </w:rPr>
      </w:pPr>
      <w:r>
        <w:rPr>
          <w:rFonts w:hint="eastAsia"/>
        </w:rPr>
        <w:t xml:space="preserve">参与本项目的所有服务人员应严格保守与招标人项目有关的技术秘密和商业秘密，任何涉及招标人信息，包括但不限于数据、特有的功能需求等，在未得到招标人及招标人书面同意的情况下，不得对任何第三方介绍、展示乃至销售，否则投标人将承担由此产生的一切后果。 </w:t>
      </w:r>
    </w:p>
    <w:p w14:paraId="0054C2F1">
      <w:pPr>
        <w:spacing w:after="0" w:line="500" w:lineRule="exact"/>
        <w:ind w:left="24" w:leftChars="10" w:right="113" w:firstLine="480" w:firstLineChars="200"/>
        <w:rPr>
          <w:rFonts w:hint="eastAsia"/>
          <w:sz w:val="32"/>
          <w:szCs w:val="28"/>
        </w:rPr>
      </w:pPr>
      <w:r>
        <w:rPr>
          <w:rFonts w:hint="eastAsia"/>
        </w:rPr>
        <w:t>投标人不以实施项目为名，侵害本项目各参与单位的技术、商业秘密或者知识产权，否则投标人将承担由此产生的一切后果。</w:t>
      </w:r>
      <w:r>
        <w:rPr>
          <w:rFonts w:hint="eastAsia"/>
          <w:sz w:val="32"/>
          <w:szCs w:val="28"/>
        </w:rPr>
        <w:t xml:space="preserve"> </w:t>
      </w:r>
    </w:p>
    <w:p w14:paraId="4EC73A3E">
      <w:pPr>
        <w:spacing w:after="0" w:line="500" w:lineRule="exact"/>
        <w:ind w:left="24" w:leftChars="10" w:right="113" w:firstLine="640" w:firstLineChars="200"/>
        <w:rPr>
          <w:rFonts w:hint="eastAsia"/>
          <w:sz w:val="32"/>
          <w:szCs w:val="28"/>
        </w:rPr>
      </w:pPr>
    </w:p>
    <w:p w14:paraId="4C123A2F">
      <w:pPr>
        <w:pStyle w:val="3"/>
        <w:numPr>
          <w:ilvl w:val="0"/>
          <w:numId w:val="2"/>
        </w:numPr>
        <w:spacing w:after="0" w:line="500" w:lineRule="exact"/>
        <w:ind w:left="24" w:leftChars="10" w:right="113"/>
        <w:rPr>
          <w:rFonts w:hint="eastAsia" w:ascii="宋体" w:hAnsi="宋体" w:eastAsia="宋体" w:cs="宋体"/>
          <w:b/>
          <w:bCs/>
        </w:rPr>
      </w:pPr>
      <w:r>
        <w:rPr>
          <w:rFonts w:hint="eastAsia" w:ascii="宋体" w:hAnsi="宋体" w:eastAsia="宋体" w:cs="宋体"/>
          <w:b/>
          <w:bCs/>
        </w:rPr>
        <w:t xml:space="preserve">知识产权 </w:t>
      </w:r>
    </w:p>
    <w:p w14:paraId="724F073F">
      <w:pPr>
        <w:spacing w:after="0" w:line="500" w:lineRule="exact"/>
        <w:ind w:left="24" w:leftChars="10" w:right="113" w:firstLine="480" w:firstLineChars="200"/>
        <w:rPr>
          <w:rFonts w:hint="eastAsia"/>
        </w:rPr>
      </w:pPr>
      <w:r>
        <w:rPr>
          <w:rFonts w:hint="eastAsia"/>
        </w:rPr>
        <w:t>投标人应该保证所提供的所有产品或服务皆不侵犯任何第三方的版权、知识产权和其他合法权利。本项目成果产生的软件知识产权由双方共同拥有。</w:t>
      </w:r>
    </w:p>
    <w:p w14:paraId="5CD5E47C">
      <w:pPr>
        <w:spacing w:after="0" w:line="500" w:lineRule="exact"/>
        <w:ind w:left="24" w:leftChars="10" w:right="113" w:firstLine="480" w:firstLineChars="200"/>
        <w:rPr>
          <w:rFonts w:hint="eastAsia"/>
        </w:rPr>
      </w:pPr>
    </w:p>
    <w:p w14:paraId="14AB58C5">
      <w:pPr>
        <w:pStyle w:val="3"/>
        <w:numPr>
          <w:ilvl w:val="0"/>
          <w:numId w:val="2"/>
        </w:numPr>
        <w:spacing w:after="0" w:line="500" w:lineRule="exact"/>
        <w:ind w:left="24" w:leftChars="10" w:right="113"/>
        <w:rPr>
          <w:rFonts w:hint="eastAsia" w:ascii="宋体" w:hAnsi="宋体" w:eastAsia="宋体" w:cs="宋体"/>
          <w:b/>
          <w:bCs/>
        </w:rPr>
      </w:pPr>
      <w:r>
        <w:rPr>
          <w:rFonts w:hint="eastAsia" w:ascii="宋体" w:hAnsi="宋体" w:eastAsia="宋体" w:cs="宋体"/>
          <w:b/>
          <w:bCs/>
        </w:rPr>
        <w:t xml:space="preserve">付款方式 </w:t>
      </w:r>
    </w:p>
    <w:p w14:paraId="0C792A61">
      <w:pPr>
        <w:numPr>
          <w:ilvl w:val="1"/>
          <w:numId w:val="14"/>
        </w:numPr>
        <w:spacing w:after="0" w:line="500" w:lineRule="exact"/>
        <w:ind w:left="24" w:leftChars="10" w:right="113" w:firstLine="480" w:firstLineChars="200"/>
        <w:rPr>
          <w:rFonts w:hint="eastAsia"/>
        </w:rPr>
      </w:pPr>
      <w:r>
        <w:rPr>
          <w:rFonts w:hint="eastAsia"/>
        </w:rPr>
        <w:t xml:space="preserve">合同签订后10个工作日内支付合同总价的 30%； </w:t>
      </w:r>
    </w:p>
    <w:p w14:paraId="1F5B702E">
      <w:pPr>
        <w:numPr>
          <w:ilvl w:val="1"/>
          <w:numId w:val="14"/>
        </w:numPr>
        <w:spacing w:after="0" w:line="500" w:lineRule="exact"/>
        <w:ind w:left="24" w:leftChars="10" w:right="113" w:firstLine="480" w:firstLineChars="200"/>
        <w:rPr>
          <w:rFonts w:hint="eastAsia"/>
        </w:rPr>
      </w:pPr>
      <w:r>
        <w:rPr>
          <w:rFonts w:hint="eastAsia"/>
        </w:rPr>
        <w:t>系统上线后10个工作日内支付合同总价的30%；</w:t>
      </w:r>
    </w:p>
    <w:p w14:paraId="11EB5D3F">
      <w:pPr>
        <w:numPr>
          <w:ilvl w:val="1"/>
          <w:numId w:val="14"/>
        </w:numPr>
        <w:spacing w:after="0" w:line="500" w:lineRule="exact"/>
        <w:ind w:left="24" w:leftChars="10" w:right="113" w:firstLine="480" w:firstLineChars="200"/>
        <w:rPr>
          <w:rFonts w:hint="eastAsia"/>
        </w:rPr>
      </w:pPr>
      <w:r>
        <w:rPr>
          <w:rFonts w:hint="eastAsia"/>
        </w:rPr>
        <w:t>试运行1个月后进行系统测评，系统测评通过且收到测评报告后10个工作日内支付合同总价的30%；</w:t>
      </w:r>
    </w:p>
    <w:p w14:paraId="0D64E6C6">
      <w:pPr>
        <w:numPr>
          <w:ilvl w:val="1"/>
          <w:numId w:val="14"/>
        </w:numPr>
        <w:spacing w:after="0" w:line="500" w:lineRule="exact"/>
        <w:ind w:left="24" w:leftChars="10" w:right="113" w:firstLine="480" w:firstLineChars="200"/>
        <w:rPr>
          <w:rFonts w:hint="eastAsia"/>
        </w:rPr>
      </w:pPr>
      <w:r>
        <w:rPr>
          <w:rFonts w:hint="eastAsia"/>
        </w:rPr>
        <w:t>项目竣工经科委验收通过后10个工作日内支付合同总价的 10%</w:t>
      </w:r>
      <w:r>
        <w:rPr>
          <w:rFonts w:hint="eastAsia"/>
          <w:lang w:eastAsia="zh-CN"/>
        </w:rPr>
        <w:t>。</w:t>
      </w:r>
    </w:p>
    <w:p w14:paraId="72F5E5D6">
      <w:pPr>
        <w:numPr>
          <w:ilvl w:val="255"/>
          <w:numId w:val="0"/>
        </w:numPr>
        <w:spacing w:after="0" w:line="500" w:lineRule="exact"/>
        <w:ind w:left="512" w:leftChars="210" w:right="113"/>
        <w:rPr>
          <w:rFonts w:hint="eastAsia"/>
        </w:rPr>
      </w:pPr>
    </w:p>
    <w:p w14:paraId="5E7F2D83">
      <w:pPr>
        <w:numPr>
          <w:ilvl w:val="0"/>
          <w:numId w:val="15"/>
        </w:numPr>
        <w:spacing w:after="0" w:line="500" w:lineRule="exact"/>
        <w:ind w:left="0" w:right="113" w:firstLine="0"/>
        <w:rPr>
          <w:rFonts w:hint="eastAsia"/>
          <w:b/>
          <w:bCs/>
          <w:sz w:val="28"/>
          <w:szCs w:val="28"/>
        </w:rPr>
      </w:pPr>
      <w:r>
        <w:rPr>
          <w:rFonts w:hint="eastAsia"/>
          <w:b/>
          <w:bCs/>
          <w:sz w:val="28"/>
          <w:szCs w:val="28"/>
        </w:rPr>
        <w:t>其他</w:t>
      </w:r>
    </w:p>
    <w:p w14:paraId="5001F4A6">
      <w:pPr>
        <w:pStyle w:val="3"/>
        <w:numPr>
          <w:ilvl w:val="255"/>
          <w:numId w:val="0"/>
        </w:numPr>
        <w:spacing w:after="0" w:line="500" w:lineRule="exact"/>
        <w:ind w:left="504" w:leftChars="210" w:right="113"/>
        <w:rPr>
          <w:rFonts w:hint="eastAsia" w:ascii="宋体" w:hAnsi="宋体" w:eastAsia="宋体" w:cs="宋体"/>
          <w:sz w:val="24"/>
          <w:szCs w:val="24"/>
        </w:rPr>
      </w:pPr>
      <w:r>
        <w:rPr>
          <w:rFonts w:hint="eastAsia" w:ascii="宋体" w:hAnsi="宋体" w:eastAsia="宋体" w:cs="宋体"/>
          <w:sz w:val="24"/>
          <w:szCs w:val="24"/>
        </w:rPr>
        <w:t>本项目需要进行现场述标，主要围绕以下内容进行：</w:t>
      </w:r>
    </w:p>
    <w:p w14:paraId="76135A05">
      <w:pPr>
        <w:pStyle w:val="21"/>
        <w:widowControl w:val="0"/>
        <w:numPr>
          <w:ilvl w:val="255"/>
          <w:numId w:val="0"/>
        </w:numPr>
        <w:tabs>
          <w:tab w:val="left" w:pos="5220"/>
        </w:tabs>
        <w:spacing w:after="0" w:line="500" w:lineRule="exact"/>
        <w:ind w:left="504" w:right="113"/>
        <w:jc w:val="both"/>
        <w:rPr>
          <w:rFonts w:hint="eastAsia"/>
          <w:color w:val="auto"/>
          <w:szCs w:val="24"/>
        </w:rPr>
      </w:pPr>
      <w:r>
        <w:rPr>
          <w:rFonts w:hint="eastAsia"/>
          <w:color w:val="auto"/>
          <w:szCs w:val="24"/>
        </w:rPr>
        <w:t>1、阐述项目背景情况，重点描述本项目要重点解决的问题；</w:t>
      </w:r>
    </w:p>
    <w:p w14:paraId="5F716A39">
      <w:pPr>
        <w:pStyle w:val="21"/>
        <w:widowControl w:val="0"/>
        <w:numPr>
          <w:ilvl w:val="255"/>
          <w:numId w:val="0"/>
        </w:numPr>
        <w:tabs>
          <w:tab w:val="left" w:pos="5220"/>
        </w:tabs>
        <w:spacing w:after="0" w:line="500" w:lineRule="exact"/>
        <w:ind w:left="504" w:right="113"/>
        <w:jc w:val="both"/>
        <w:rPr>
          <w:rFonts w:hint="eastAsia"/>
          <w:color w:val="auto"/>
          <w:szCs w:val="24"/>
        </w:rPr>
      </w:pPr>
      <w:r>
        <w:rPr>
          <w:rFonts w:hint="eastAsia"/>
          <w:color w:val="auto"/>
          <w:szCs w:val="24"/>
        </w:rPr>
        <w:t>2、理解项目目标，详述对项目需求的理解；</w:t>
      </w:r>
    </w:p>
    <w:p w14:paraId="1D050904">
      <w:pPr>
        <w:pStyle w:val="21"/>
        <w:widowControl w:val="0"/>
        <w:numPr>
          <w:ilvl w:val="255"/>
          <w:numId w:val="0"/>
        </w:numPr>
        <w:tabs>
          <w:tab w:val="left" w:pos="5220"/>
        </w:tabs>
        <w:spacing w:after="0" w:line="500" w:lineRule="exact"/>
        <w:ind w:left="504" w:right="113"/>
        <w:jc w:val="both"/>
        <w:rPr>
          <w:rFonts w:hint="eastAsia"/>
          <w:color w:val="auto"/>
          <w:szCs w:val="24"/>
        </w:rPr>
      </w:pPr>
      <w:r>
        <w:rPr>
          <w:rFonts w:hint="eastAsia"/>
          <w:color w:val="auto"/>
          <w:szCs w:val="24"/>
        </w:rPr>
        <w:t>3、详细阐述项目的建设目标与主要内容，包括但不限于项目的建设目标，整体框架，建设内容等，要求覆盖本项目所要求的内容。</w:t>
      </w:r>
    </w:p>
    <w:p w14:paraId="65379F0A">
      <w:pPr>
        <w:pStyle w:val="21"/>
        <w:widowControl w:val="0"/>
        <w:numPr>
          <w:ilvl w:val="255"/>
          <w:numId w:val="0"/>
        </w:numPr>
        <w:tabs>
          <w:tab w:val="left" w:pos="5220"/>
        </w:tabs>
        <w:spacing w:after="0" w:line="500" w:lineRule="exact"/>
        <w:ind w:left="504" w:right="113"/>
        <w:jc w:val="both"/>
        <w:rPr>
          <w:rFonts w:hint="eastAsia"/>
          <w:color w:val="auto"/>
          <w:szCs w:val="24"/>
        </w:rPr>
      </w:pPr>
      <w:r>
        <w:rPr>
          <w:rFonts w:hint="eastAsia"/>
          <w:color w:val="auto"/>
          <w:szCs w:val="24"/>
        </w:rPr>
        <w:t>述标相关要求详见招标文件。</w:t>
      </w:r>
    </w:p>
    <w:p w14:paraId="21DD3281">
      <w:pPr>
        <w:numPr>
          <w:ilvl w:val="255"/>
          <w:numId w:val="0"/>
        </w:numPr>
        <w:spacing w:after="0" w:line="500" w:lineRule="exact"/>
        <w:ind w:right="113"/>
        <w:rPr>
          <w:rFonts w:hint="eastAsia"/>
        </w:rPr>
      </w:pPr>
      <w:r>
        <w:rPr>
          <w:rFonts w:hint="eastAsia"/>
        </w:rPr>
        <w:t xml:space="preserve"> </w:t>
      </w:r>
    </w:p>
    <w:p w14:paraId="3DE7399C">
      <w:pPr>
        <w:spacing w:after="0" w:line="500" w:lineRule="exact"/>
        <w:ind w:left="32" w:leftChars="10" w:right="113"/>
        <w:rPr>
          <w:rFonts w:hint="eastAsia"/>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榛戜綋">
    <w:altName w:val="Calibri"/>
    <w:panose1 w:val="00000000000000000000"/>
    <w:charset w:val="00"/>
    <w:family w:val="auto"/>
    <w:pitch w:val="default"/>
    <w:sig w:usb0="00000000" w:usb1="00000000" w:usb2="00000000" w:usb3="00000000" w:csb0="00000000" w:csb1="00000000"/>
  </w:font>
  <w:font w:name="瀹嬩綋">
    <w:altName w:val="Calibri"/>
    <w:panose1 w:val="00000000000000000000"/>
    <w:charset w:val="00"/>
    <w:family w:val="auto"/>
    <w:pitch w:val="default"/>
    <w:sig w:usb0="00000000" w:usb1="00000000" w:usb2="00000000" w:usb3="00000000" w:csb0="00000000"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6607606"/>
    </w:sdtPr>
    <w:sdtContent>
      <w:p w14:paraId="10F01B42">
        <w:pPr>
          <w:pStyle w:val="6"/>
          <w:jc w:val="right"/>
          <w:rPr>
            <w:rFonts w:hint="eastAsia"/>
          </w:rPr>
        </w:pPr>
        <w:r>
          <w:fldChar w:fldCharType="begin"/>
        </w:r>
        <w:r>
          <w:instrText xml:space="preserve">PAGE   \* MERGEFORMAT</w:instrText>
        </w:r>
        <w:r>
          <w:fldChar w:fldCharType="separate"/>
        </w:r>
        <w:r>
          <w:rPr>
            <w:lang w:val="zh-CN"/>
          </w:rPr>
          <w:t>2</w:t>
        </w:r>
        <w:r>
          <w:fldChar w:fldCharType="end"/>
        </w:r>
      </w:p>
    </w:sdtContent>
  </w:sdt>
  <w:p w14:paraId="66527D61">
    <w:pPr>
      <w:pStyle w:val="6"/>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7A8973"/>
    <w:multiLevelType w:val="singleLevel"/>
    <w:tmpl w:val="DD7A8973"/>
    <w:lvl w:ilvl="0" w:tentative="0">
      <w:start w:val="1"/>
      <w:numFmt w:val="decimal"/>
      <w:lvlText w:val="4.1.%1"/>
      <w:lvlJc w:val="left"/>
      <w:pPr>
        <w:ind w:left="2982" w:hanging="440"/>
      </w:pPr>
      <w:rPr>
        <w:rFonts w:hint="eastAsia"/>
      </w:rPr>
    </w:lvl>
  </w:abstractNum>
  <w:abstractNum w:abstractNumId="1">
    <w:nsid w:val="EE111D33"/>
    <w:multiLevelType w:val="singleLevel"/>
    <w:tmpl w:val="EE111D33"/>
    <w:lvl w:ilvl="0" w:tentative="0">
      <w:start w:val="1"/>
      <w:numFmt w:val="decimal"/>
      <w:lvlText w:val="%1."/>
      <w:lvlJc w:val="left"/>
      <w:pPr>
        <w:ind w:left="425" w:hanging="425"/>
      </w:pPr>
      <w:rPr>
        <w:rFonts w:hint="default"/>
      </w:rPr>
    </w:lvl>
  </w:abstractNum>
  <w:abstractNum w:abstractNumId="2">
    <w:nsid w:val="1104E08D"/>
    <w:multiLevelType w:val="singleLevel"/>
    <w:tmpl w:val="1104E08D"/>
    <w:lvl w:ilvl="0" w:tentative="0">
      <w:start w:val="9"/>
      <w:numFmt w:val="chineseCounting"/>
      <w:suff w:val="nothing"/>
      <w:lvlText w:val="%1、"/>
      <w:lvlJc w:val="left"/>
      <w:rPr>
        <w:rFonts w:hint="eastAsia"/>
      </w:rPr>
    </w:lvl>
  </w:abstractNum>
  <w:abstractNum w:abstractNumId="3">
    <w:nsid w:val="12046185"/>
    <w:multiLevelType w:val="multilevel"/>
    <w:tmpl w:val="12046185"/>
    <w:lvl w:ilvl="0" w:tentative="0">
      <w:start w:val="1"/>
      <w:numFmt w:val="decimal"/>
      <w:pStyle w:val="22"/>
      <w:lvlText w:val="5.%1"/>
      <w:lvlJc w:val="left"/>
      <w:pPr>
        <w:ind w:left="944" w:hanging="440"/>
      </w:pPr>
      <w:rPr>
        <w:rFonts w:hint="eastAsia"/>
      </w:rPr>
    </w:lvl>
    <w:lvl w:ilvl="1" w:tentative="0">
      <w:start w:val="1"/>
      <w:numFmt w:val="lowerLetter"/>
      <w:lvlText w:val="%2)"/>
      <w:lvlJc w:val="left"/>
      <w:pPr>
        <w:ind w:left="1384" w:hanging="440"/>
      </w:pPr>
    </w:lvl>
    <w:lvl w:ilvl="2" w:tentative="0">
      <w:start w:val="1"/>
      <w:numFmt w:val="lowerRoman"/>
      <w:lvlText w:val="%3."/>
      <w:lvlJc w:val="right"/>
      <w:pPr>
        <w:ind w:left="1824" w:hanging="440"/>
      </w:pPr>
    </w:lvl>
    <w:lvl w:ilvl="3" w:tentative="0">
      <w:start w:val="1"/>
      <w:numFmt w:val="decimal"/>
      <w:lvlText w:val="%4."/>
      <w:lvlJc w:val="left"/>
      <w:pPr>
        <w:ind w:left="2264" w:hanging="440"/>
      </w:pPr>
    </w:lvl>
    <w:lvl w:ilvl="4" w:tentative="0">
      <w:start w:val="1"/>
      <w:numFmt w:val="lowerLetter"/>
      <w:lvlText w:val="%5)"/>
      <w:lvlJc w:val="left"/>
      <w:pPr>
        <w:ind w:left="2704" w:hanging="440"/>
      </w:pPr>
    </w:lvl>
    <w:lvl w:ilvl="5" w:tentative="0">
      <w:start w:val="1"/>
      <w:numFmt w:val="lowerRoman"/>
      <w:lvlText w:val="%6."/>
      <w:lvlJc w:val="right"/>
      <w:pPr>
        <w:ind w:left="3144" w:hanging="440"/>
      </w:pPr>
    </w:lvl>
    <w:lvl w:ilvl="6" w:tentative="0">
      <w:start w:val="1"/>
      <w:numFmt w:val="decimal"/>
      <w:lvlText w:val="%7."/>
      <w:lvlJc w:val="left"/>
      <w:pPr>
        <w:ind w:left="3584" w:hanging="440"/>
      </w:pPr>
    </w:lvl>
    <w:lvl w:ilvl="7" w:tentative="0">
      <w:start w:val="1"/>
      <w:numFmt w:val="lowerLetter"/>
      <w:lvlText w:val="%8)"/>
      <w:lvlJc w:val="left"/>
      <w:pPr>
        <w:ind w:left="4024" w:hanging="440"/>
      </w:pPr>
    </w:lvl>
    <w:lvl w:ilvl="8" w:tentative="0">
      <w:start w:val="1"/>
      <w:numFmt w:val="lowerRoman"/>
      <w:lvlText w:val="%9."/>
      <w:lvlJc w:val="right"/>
      <w:pPr>
        <w:ind w:left="4464" w:hanging="440"/>
      </w:pPr>
    </w:lvl>
  </w:abstractNum>
  <w:abstractNum w:abstractNumId="4">
    <w:nsid w:val="19EB0CDD"/>
    <w:multiLevelType w:val="multilevel"/>
    <w:tmpl w:val="19EB0CDD"/>
    <w:lvl w:ilvl="0" w:tentative="0">
      <w:start w:val="6"/>
      <w:numFmt w:val="ideographDigital"/>
      <w:lvlText w:val="%1、"/>
      <w:lvlJc w:val="left"/>
      <w:pPr>
        <w:ind w:left="602"/>
      </w:pPr>
      <w:rPr>
        <w:rFonts w:ascii="隶书" w:hAnsi="隶书" w:eastAsia="隶书" w:cs="隶书"/>
        <w:b w:val="0"/>
        <w:i w:val="0"/>
        <w:strike w:val="0"/>
        <w:dstrike w:val="0"/>
        <w:color w:val="000000"/>
        <w:sz w:val="24"/>
        <w:szCs w:val="24"/>
        <w:u w:val="none" w:color="000000"/>
        <w:shd w:val="clear" w:color="auto" w:fill="auto"/>
        <w:vertAlign w:val="baseline"/>
      </w:rPr>
    </w:lvl>
    <w:lvl w:ilvl="1" w:tentative="0">
      <w:start w:val="1"/>
      <w:numFmt w:val="decimal"/>
      <w:lvlText w:val="%2）"/>
      <w:lvlJc w:val="left"/>
      <w:pPr>
        <w:ind w:left="845"/>
      </w:pPr>
      <w:rPr>
        <w:rFonts w:ascii="宋体" w:hAnsi="宋体" w:eastAsia="宋体" w:cs="宋体"/>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562"/>
      </w:pPr>
      <w:rPr>
        <w:rFonts w:ascii="宋体" w:hAnsi="宋体" w:eastAsia="宋体" w:cs="宋体"/>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282"/>
      </w:pPr>
      <w:rPr>
        <w:rFonts w:ascii="宋体" w:hAnsi="宋体" w:eastAsia="宋体" w:cs="宋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002"/>
      </w:pPr>
      <w:rPr>
        <w:rFonts w:ascii="宋体" w:hAnsi="宋体" w:eastAsia="宋体" w:cs="宋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722"/>
      </w:pPr>
      <w:rPr>
        <w:rFonts w:ascii="宋体" w:hAnsi="宋体" w:eastAsia="宋体" w:cs="宋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442"/>
      </w:pPr>
      <w:rPr>
        <w:rFonts w:ascii="宋体" w:hAnsi="宋体" w:eastAsia="宋体" w:cs="宋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162"/>
      </w:pPr>
      <w:rPr>
        <w:rFonts w:ascii="宋体" w:hAnsi="宋体" w:eastAsia="宋体" w:cs="宋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882"/>
      </w:pPr>
      <w:rPr>
        <w:rFonts w:ascii="宋体" w:hAnsi="宋体" w:eastAsia="宋体" w:cs="宋体"/>
        <w:b w:val="0"/>
        <w:i w:val="0"/>
        <w:strike w:val="0"/>
        <w:dstrike w:val="0"/>
        <w:color w:val="000000"/>
        <w:sz w:val="24"/>
        <w:szCs w:val="24"/>
        <w:u w:val="none" w:color="000000"/>
        <w:shd w:val="clear" w:color="auto" w:fill="auto"/>
        <w:vertAlign w:val="baseline"/>
      </w:rPr>
    </w:lvl>
  </w:abstractNum>
  <w:abstractNum w:abstractNumId="5">
    <w:nsid w:val="2CC66EB7"/>
    <w:multiLevelType w:val="multilevel"/>
    <w:tmpl w:val="2CC66EB7"/>
    <w:lvl w:ilvl="0" w:tentative="0">
      <w:start w:val="1"/>
      <w:numFmt w:val="decimal"/>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6">
    <w:nsid w:val="3FEE5831"/>
    <w:multiLevelType w:val="multilevel"/>
    <w:tmpl w:val="3FEE5831"/>
    <w:lvl w:ilvl="0" w:tentative="0">
      <w:start w:val="4"/>
      <w:numFmt w:val="decimal"/>
      <w:lvlText w:val="%1"/>
      <w:lvlJc w:val="left"/>
      <w:pPr>
        <w:ind w:left="360"/>
      </w:pPr>
      <w:rPr>
        <w:rFonts w:ascii="宋体" w:hAnsi="宋体" w:eastAsia="宋体" w:cs="宋体"/>
        <w:b w:val="0"/>
        <w:i w:val="0"/>
        <w:strike w:val="0"/>
        <w:dstrike w:val="0"/>
        <w:color w:val="000000"/>
        <w:sz w:val="24"/>
        <w:szCs w:val="24"/>
        <w:u w:val="none" w:color="000000"/>
        <w:shd w:val="clear" w:color="auto" w:fill="auto"/>
        <w:vertAlign w:val="baseline"/>
      </w:rPr>
    </w:lvl>
    <w:lvl w:ilvl="1" w:tentative="0">
      <w:start w:val="2"/>
      <w:numFmt w:val="decimal"/>
      <w:lvlText w:val="%1.%2"/>
      <w:lvlJc w:val="left"/>
      <w:pPr>
        <w:ind w:left="360"/>
      </w:pPr>
      <w:rPr>
        <w:rFonts w:ascii="宋体" w:hAnsi="宋体" w:eastAsia="宋体" w:cs="宋体"/>
        <w:b w:val="0"/>
        <w:i w:val="0"/>
        <w:strike w:val="0"/>
        <w:dstrike w:val="0"/>
        <w:color w:val="000000"/>
        <w:sz w:val="24"/>
        <w:szCs w:val="24"/>
        <w:u w:val="none" w:color="000000"/>
        <w:shd w:val="clear" w:color="auto" w:fill="auto"/>
        <w:vertAlign w:val="baseline"/>
      </w:rPr>
    </w:lvl>
    <w:lvl w:ilvl="2" w:tentative="0">
      <w:start w:val="1"/>
      <w:numFmt w:val="decimal"/>
      <w:lvlRestart w:val="0"/>
      <w:lvlText w:val="%1.%2.%3."/>
      <w:lvlJc w:val="left"/>
      <w:pPr>
        <w:ind w:left="1512"/>
      </w:pPr>
      <w:rPr>
        <w:rFonts w:ascii="宋体" w:hAnsi="宋体" w:eastAsia="宋体" w:cs="宋体"/>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080"/>
      </w:pPr>
      <w:rPr>
        <w:rFonts w:ascii="宋体" w:hAnsi="宋体" w:eastAsia="宋体" w:cs="宋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1800"/>
      </w:pPr>
      <w:rPr>
        <w:rFonts w:ascii="宋体" w:hAnsi="宋体" w:eastAsia="宋体" w:cs="宋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2520"/>
      </w:pPr>
      <w:rPr>
        <w:rFonts w:ascii="宋体" w:hAnsi="宋体" w:eastAsia="宋体" w:cs="宋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240"/>
      </w:pPr>
      <w:rPr>
        <w:rFonts w:ascii="宋体" w:hAnsi="宋体" w:eastAsia="宋体" w:cs="宋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3960"/>
      </w:pPr>
      <w:rPr>
        <w:rFonts w:ascii="宋体" w:hAnsi="宋体" w:eastAsia="宋体" w:cs="宋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4680"/>
      </w:pPr>
      <w:rPr>
        <w:rFonts w:ascii="宋体" w:hAnsi="宋体" w:eastAsia="宋体" w:cs="宋体"/>
        <w:b w:val="0"/>
        <w:i w:val="0"/>
        <w:strike w:val="0"/>
        <w:dstrike w:val="0"/>
        <w:color w:val="000000"/>
        <w:sz w:val="24"/>
        <w:szCs w:val="24"/>
        <w:u w:val="none" w:color="000000"/>
        <w:shd w:val="clear" w:color="auto" w:fill="auto"/>
        <w:vertAlign w:val="baseline"/>
      </w:rPr>
    </w:lvl>
  </w:abstractNum>
  <w:abstractNum w:abstractNumId="7">
    <w:nsid w:val="407A4C75"/>
    <w:multiLevelType w:val="multilevel"/>
    <w:tmpl w:val="407A4C75"/>
    <w:lvl w:ilvl="0" w:tentative="0">
      <w:start w:val="1"/>
      <w:numFmt w:val="decimal"/>
      <w:lvlText w:val="%1."/>
      <w:lvlJc w:val="left"/>
      <w:pPr>
        <w:ind w:left="944" w:hanging="440"/>
      </w:pPr>
    </w:lvl>
    <w:lvl w:ilvl="1" w:tentative="0">
      <w:start w:val="1"/>
      <w:numFmt w:val="lowerLetter"/>
      <w:lvlText w:val="%2)"/>
      <w:lvlJc w:val="left"/>
      <w:pPr>
        <w:ind w:left="1384" w:hanging="440"/>
      </w:pPr>
    </w:lvl>
    <w:lvl w:ilvl="2" w:tentative="0">
      <w:start w:val="1"/>
      <w:numFmt w:val="lowerRoman"/>
      <w:lvlText w:val="%3."/>
      <w:lvlJc w:val="right"/>
      <w:pPr>
        <w:ind w:left="1824" w:hanging="440"/>
      </w:pPr>
    </w:lvl>
    <w:lvl w:ilvl="3" w:tentative="0">
      <w:start w:val="1"/>
      <w:numFmt w:val="decimal"/>
      <w:lvlText w:val="%4."/>
      <w:lvlJc w:val="left"/>
      <w:pPr>
        <w:ind w:left="2264" w:hanging="440"/>
      </w:pPr>
    </w:lvl>
    <w:lvl w:ilvl="4" w:tentative="0">
      <w:start w:val="1"/>
      <w:numFmt w:val="lowerLetter"/>
      <w:lvlText w:val="%5)"/>
      <w:lvlJc w:val="left"/>
      <w:pPr>
        <w:ind w:left="2704" w:hanging="440"/>
      </w:pPr>
    </w:lvl>
    <w:lvl w:ilvl="5" w:tentative="0">
      <w:start w:val="1"/>
      <w:numFmt w:val="lowerRoman"/>
      <w:lvlText w:val="%6."/>
      <w:lvlJc w:val="right"/>
      <w:pPr>
        <w:ind w:left="3144" w:hanging="440"/>
      </w:pPr>
    </w:lvl>
    <w:lvl w:ilvl="6" w:tentative="0">
      <w:start w:val="1"/>
      <w:numFmt w:val="decimal"/>
      <w:lvlText w:val="%7."/>
      <w:lvlJc w:val="left"/>
      <w:pPr>
        <w:ind w:left="3584" w:hanging="440"/>
      </w:pPr>
    </w:lvl>
    <w:lvl w:ilvl="7" w:tentative="0">
      <w:start w:val="1"/>
      <w:numFmt w:val="lowerLetter"/>
      <w:lvlText w:val="%8)"/>
      <w:lvlJc w:val="left"/>
      <w:pPr>
        <w:ind w:left="4024" w:hanging="440"/>
      </w:pPr>
    </w:lvl>
    <w:lvl w:ilvl="8" w:tentative="0">
      <w:start w:val="1"/>
      <w:numFmt w:val="lowerRoman"/>
      <w:lvlText w:val="%9."/>
      <w:lvlJc w:val="right"/>
      <w:pPr>
        <w:ind w:left="4464" w:hanging="440"/>
      </w:pPr>
    </w:lvl>
  </w:abstractNum>
  <w:abstractNum w:abstractNumId="8">
    <w:nsid w:val="47997224"/>
    <w:multiLevelType w:val="singleLevel"/>
    <w:tmpl w:val="47997224"/>
    <w:lvl w:ilvl="0" w:tentative="0">
      <w:start w:val="1"/>
      <w:numFmt w:val="decimal"/>
      <w:lvlText w:val="%1)"/>
      <w:lvlJc w:val="left"/>
      <w:pPr>
        <w:ind w:left="425" w:hanging="425"/>
      </w:pPr>
      <w:rPr>
        <w:rFonts w:hint="default"/>
      </w:rPr>
    </w:lvl>
  </w:abstractNum>
  <w:abstractNum w:abstractNumId="9">
    <w:nsid w:val="49993AAB"/>
    <w:multiLevelType w:val="multilevel"/>
    <w:tmpl w:val="49993AAB"/>
    <w:lvl w:ilvl="0" w:tentative="0">
      <w:start w:val="2"/>
      <w:numFmt w:val="decimal"/>
      <w:lvlText w:val="%1"/>
      <w:lvlJc w:val="left"/>
      <w:pPr>
        <w:ind w:left="360"/>
      </w:pPr>
      <w:rPr>
        <w:rFonts w:ascii="宋体" w:hAnsi="宋体" w:eastAsia="宋体" w:cs="宋体"/>
        <w:b w:val="0"/>
        <w:i w:val="0"/>
        <w:strike w:val="0"/>
        <w:dstrike w:val="0"/>
        <w:color w:val="000000"/>
        <w:sz w:val="24"/>
        <w:szCs w:val="24"/>
        <w:u w:val="none" w:color="000000"/>
        <w:shd w:val="clear" w:color="auto" w:fill="auto"/>
        <w:vertAlign w:val="baseline"/>
      </w:rPr>
    </w:lvl>
    <w:lvl w:ilvl="1" w:tentative="0">
      <w:start w:val="1"/>
      <w:numFmt w:val="decimal"/>
      <w:lvlRestart w:val="0"/>
      <w:lvlText w:val="%1.%2."/>
      <w:lvlJc w:val="left"/>
      <w:pPr>
        <w:ind w:left="1270"/>
      </w:pPr>
      <w:rPr>
        <w:rFonts w:ascii="宋体" w:hAnsi="宋体" w:eastAsia="宋体" w:cs="宋体"/>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080"/>
      </w:pPr>
      <w:rPr>
        <w:rFonts w:ascii="宋体" w:hAnsi="宋体" w:eastAsia="宋体" w:cs="宋体"/>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800"/>
      </w:pPr>
      <w:rPr>
        <w:rFonts w:ascii="宋体" w:hAnsi="宋体" w:eastAsia="宋体" w:cs="宋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520"/>
      </w:pPr>
      <w:rPr>
        <w:rFonts w:ascii="宋体" w:hAnsi="宋体" w:eastAsia="宋体" w:cs="宋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240"/>
      </w:pPr>
      <w:rPr>
        <w:rFonts w:ascii="宋体" w:hAnsi="宋体" w:eastAsia="宋体" w:cs="宋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960"/>
      </w:pPr>
      <w:rPr>
        <w:rFonts w:ascii="宋体" w:hAnsi="宋体" w:eastAsia="宋体" w:cs="宋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680"/>
      </w:pPr>
      <w:rPr>
        <w:rFonts w:ascii="宋体" w:hAnsi="宋体" w:eastAsia="宋体" w:cs="宋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400"/>
      </w:pPr>
      <w:rPr>
        <w:rFonts w:ascii="宋体" w:hAnsi="宋体" w:eastAsia="宋体" w:cs="宋体"/>
        <w:b w:val="0"/>
        <w:i w:val="0"/>
        <w:strike w:val="0"/>
        <w:dstrike w:val="0"/>
        <w:color w:val="000000"/>
        <w:sz w:val="24"/>
        <w:szCs w:val="24"/>
        <w:u w:val="none" w:color="000000"/>
        <w:shd w:val="clear" w:color="auto" w:fill="auto"/>
        <w:vertAlign w:val="baseline"/>
      </w:rPr>
    </w:lvl>
  </w:abstractNum>
  <w:abstractNum w:abstractNumId="10">
    <w:nsid w:val="5C8B7B9D"/>
    <w:multiLevelType w:val="multilevel"/>
    <w:tmpl w:val="5C8B7B9D"/>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6DD60C7B"/>
    <w:multiLevelType w:val="multilevel"/>
    <w:tmpl w:val="6DD60C7B"/>
    <w:lvl w:ilvl="0" w:tentative="0">
      <w:start w:val="1"/>
      <w:numFmt w:val="decimal"/>
      <w:lvlText w:val="%1"/>
      <w:lvlJc w:val="left"/>
      <w:pPr>
        <w:ind w:left="360"/>
      </w:pPr>
      <w:rPr>
        <w:rFonts w:ascii="宋体" w:hAnsi="宋体" w:eastAsia="宋体" w:cs="宋体"/>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521"/>
      </w:pPr>
      <w:rPr>
        <w:rFonts w:ascii="宋体" w:hAnsi="宋体" w:eastAsia="宋体" w:cs="宋体"/>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682"/>
      </w:pPr>
      <w:rPr>
        <w:rFonts w:ascii="宋体" w:hAnsi="宋体" w:eastAsia="宋体" w:cs="宋体"/>
        <w:b w:val="0"/>
        <w:i w:val="0"/>
        <w:strike w:val="0"/>
        <w:dstrike w:val="0"/>
        <w:color w:val="000000"/>
        <w:sz w:val="24"/>
        <w:szCs w:val="24"/>
        <w:u w:val="none" w:color="000000"/>
        <w:shd w:val="clear" w:color="auto" w:fill="auto"/>
        <w:vertAlign w:val="baseline"/>
      </w:rPr>
    </w:lvl>
    <w:lvl w:ilvl="3" w:tentative="0">
      <w:start w:val="1"/>
      <w:numFmt w:val="decimal"/>
      <w:lvlRestart w:val="0"/>
      <w:lvlText w:val="%4)"/>
      <w:lvlJc w:val="left"/>
      <w:pPr>
        <w:ind w:left="1042"/>
      </w:pPr>
      <w:rPr>
        <w:rFonts w:ascii="宋体" w:hAnsi="宋体" w:eastAsia="宋体" w:cs="宋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1562"/>
      </w:pPr>
      <w:rPr>
        <w:rFonts w:ascii="宋体" w:hAnsi="宋体" w:eastAsia="宋体" w:cs="宋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2282"/>
      </w:pPr>
      <w:rPr>
        <w:rFonts w:ascii="宋体" w:hAnsi="宋体" w:eastAsia="宋体" w:cs="宋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002"/>
      </w:pPr>
      <w:rPr>
        <w:rFonts w:ascii="宋体" w:hAnsi="宋体" w:eastAsia="宋体" w:cs="宋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3722"/>
      </w:pPr>
      <w:rPr>
        <w:rFonts w:ascii="宋体" w:hAnsi="宋体" w:eastAsia="宋体" w:cs="宋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4442"/>
      </w:pPr>
      <w:rPr>
        <w:rFonts w:ascii="宋体" w:hAnsi="宋体" w:eastAsia="宋体" w:cs="宋体"/>
        <w:b w:val="0"/>
        <w:i w:val="0"/>
        <w:strike w:val="0"/>
        <w:dstrike w:val="0"/>
        <w:color w:val="000000"/>
        <w:sz w:val="24"/>
        <w:szCs w:val="24"/>
        <w:u w:val="none" w:color="000000"/>
        <w:shd w:val="clear" w:color="auto" w:fill="auto"/>
        <w:vertAlign w:val="baseline"/>
      </w:rPr>
    </w:lvl>
  </w:abstractNum>
  <w:abstractNum w:abstractNumId="12">
    <w:nsid w:val="73640B45"/>
    <w:multiLevelType w:val="multilevel"/>
    <w:tmpl w:val="73640B45"/>
    <w:lvl w:ilvl="0" w:tentative="0">
      <w:start w:val="1"/>
      <w:numFmt w:val="decimal"/>
      <w:lvlText w:val="%1"/>
      <w:lvlJc w:val="left"/>
      <w:pPr>
        <w:ind w:left="360"/>
      </w:pPr>
      <w:rPr>
        <w:rFonts w:ascii="宋体" w:hAnsi="宋体" w:eastAsia="宋体" w:cs="宋体"/>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521"/>
      </w:pPr>
      <w:rPr>
        <w:rFonts w:ascii="宋体" w:hAnsi="宋体" w:eastAsia="宋体" w:cs="宋体"/>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682"/>
      </w:pPr>
      <w:rPr>
        <w:rFonts w:ascii="宋体" w:hAnsi="宋体" w:eastAsia="宋体" w:cs="宋体"/>
        <w:b w:val="0"/>
        <w:i w:val="0"/>
        <w:strike w:val="0"/>
        <w:dstrike w:val="0"/>
        <w:color w:val="000000"/>
        <w:sz w:val="24"/>
        <w:szCs w:val="24"/>
        <w:u w:val="none" w:color="000000"/>
        <w:shd w:val="clear" w:color="auto" w:fill="auto"/>
        <w:vertAlign w:val="baseline"/>
      </w:rPr>
    </w:lvl>
    <w:lvl w:ilvl="3" w:tentative="0">
      <w:start w:val="1"/>
      <w:numFmt w:val="decimal"/>
      <w:lvlRestart w:val="0"/>
      <w:lvlText w:val="%4)"/>
      <w:lvlJc w:val="left"/>
      <w:pPr>
        <w:ind w:left="1042"/>
      </w:pPr>
      <w:rPr>
        <w:rFonts w:ascii="宋体" w:hAnsi="宋体" w:eastAsia="宋体" w:cs="宋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1562"/>
      </w:pPr>
      <w:rPr>
        <w:rFonts w:ascii="宋体" w:hAnsi="宋体" w:eastAsia="宋体" w:cs="宋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2282"/>
      </w:pPr>
      <w:rPr>
        <w:rFonts w:ascii="宋体" w:hAnsi="宋体" w:eastAsia="宋体" w:cs="宋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002"/>
      </w:pPr>
      <w:rPr>
        <w:rFonts w:ascii="宋体" w:hAnsi="宋体" w:eastAsia="宋体" w:cs="宋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3722"/>
      </w:pPr>
      <w:rPr>
        <w:rFonts w:ascii="宋体" w:hAnsi="宋体" w:eastAsia="宋体" w:cs="宋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4442"/>
      </w:pPr>
      <w:rPr>
        <w:rFonts w:ascii="宋体" w:hAnsi="宋体" w:eastAsia="宋体" w:cs="宋体"/>
        <w:b w:val="0"/>
        <w:i w:val="0"/>
        <w:strike w:val="0"/>
        <w:dstrike w:val="0"/>
        <w:color w:val="000000"/>
        <w:sz w:val="24"/>
        <w:szCs w:val="24"/>
        <w:u w:val="none" w:color="000000"/>
        <w:shd w:val="clear" w:color="auto" w:fill="auto"/>
        <w:vertAlign w:val="baseline"/>
      </w:rPr>
    </w:lvl>
  </w:abstractNum>
  <w:abstractNum w:abstractNumId="13">
    <w:nsid w:val="7DE33FC9"/>
    <w:multiLevelType w:val="multilevel"/>
    <w:tmpl w:val="7DE33FC9"/>
    <w:lvl w:ilvl="0" w:tentative="0">
      <w:start w:val="1"/>
      <w:numFmt w:val="decimal"/>
      <w:lvlText w:val="4.%1"/>
      <w:lvlJc w:val="left"/>
      <w:pPr>
        <w:ind w:left="944" w:hanging="440"/>
      </w:pPr>
      <w:rPr>
        <w:rFonts w:hint="eastAsia"/>
      </w:rPr>
    </w:lvl>
    <w:lvl w:ilvl="1" w:tentative="0">
      <w:start w:val="1"/>
      <w:numFmt w:val="lowerLetter"/>
      <w:lvlText w:val="%2)"/>
      <w:lvlJc w:val="left"/>
      <w:pPr>
        <w:ind w:left="1384" w:hanging="440"/>
      </w:pPr>
    </w:lvl>
    <w:lvl w:ilvl="2" w:tentative="0">
      <w:start w:val="1"/>
      <w:numFmt w:val="lowerRoman"/>
      <w:lvlText w:val="%3."/>
      <w:lvlJc w:val="right"/>
      <w:pPr>
        <w:ind w:left="1824" w:hanging="440"/>
      </w:pPr>
    </w:lvl>
    <w:lvl w:ilvl="3" w:tentative="0">
      <w:start w:val="1"/>
      <w:numFmt w:val="decimal"/>
      <w:lvlText w:val="%4."/>
      <w:lvlJc w:val="left"/>
      <w:pPr>
        <w:ind w:left="2264" w:hanging="440"/>
      </w:pPr>
    </w:lvl>
    <w:lvl w:ilvl="4" w:tentative="0">
      <w:start w:val="1"/>
      <w:numFmt w:val="lowerLetter"/>
      <w:lvlText w:val="%5)"/>
      <w:lvlJc w:val="left"/>
      <w:pPr>
        <w:ind w:left="2704" w:hanging="440"/>
      </w:pPr>
    </w:lvl>
    <w:lvl w:ilvl="5" w:tentative="0">
      <w:start w:val="1"/>
      <w:numFmt w:val="lowerRoman"/>
      <w:lvlText w:val="%6."/>
      <w:lvlJc w:val="right"/>
      <w:pPr>
        <w:ind w:left="3144" w:hanging="440"/>
      </w:pPr>
    </w:lvl>
    <w:lvl w:ilvl="6" w:tentative="0">
      <w:start w:val="1"/>
      <w:numFmt w:val="decimal"/>
      <w:lvlText w:val="%7."/>
      <w:lvlJc w:val="left"/>
      <w:pPr>
        <w:ind w:left="3584" w:hanging="440"/>
      </w:pPr>
    </w:lvl>
    <w:lvl w:ilvl="7" w:tentative="0">
      <w:start w:val="1"/>
      <w:numFmt w:val="lowerLetter"/>
      <w:lvlText w:val="%8)"/>
      <w:lvlJc w:val="left"/>
      <w:pPr>
        <w:ind w:left="4024" w:hanging="440"/>
      </w:pPr>
    </w:lvl>
    <w:lvl w:ilvl="8" w:tentative="0">
      <w:start w:val="1"/>
      <w:numFmt w:val="lowerRoman"/>
      <w:lvlText w:val="%9."/>
      <w:lvlJc w:val="right"/>
      <w:pPr>
        <w:ind w:left="4464" w:hanging="440"/>
      </w:pPr>
    </w:lvl>
  </w:abstractNum>
  <w:abstractNum w:abstractNumId="14">
    <w:nsid w:val="7EF8EEDB"/>
    <w:multiLevelType w:val="singleLevel"/>
    <w:tmpl w:val="7EF8EEDB"/>
    <w:lvl w:ilvl="0" w:tentative="0">
      <w:start w:val="1"/>
      <w:numFmt w:val="lowerLetter"/>
      <w:lvlText w:val="%1、"/>
      <w:lvlJc w:val="left"/>
      <w:pPr>
        <w:ind w:left="425" w:hanging="425"/>
      </w:pPr>
      <w:rPr>
        <w:rFonts w:ascii="宋体" w:hAnsi="宋体" w:eastAsia="宋体" w:cs="Times New Roman"/>
      </w:rPr>
    </w:lvl>
  </w:abstractNum>
  <w:num w:numId="1">
    <w:abstractNumId w:val="3"/>
  </w:num>
  <w:num w:numId="2">
    <w:abstractNumId w:val="10"/>
  </w:num>
  <w:num w:numId="3">
    <w:abstractNumId w:val="9"/>
  </w:num>
  <w:num w:numId="4">
    <w:abstractNumId w:val="1"/>
  </w:num>
  <w:num w:numId="5">
    <w:abstractNumId w:val="7"/>
  </w:num>
  <w:num w:numId="6">
    <w:abstractNumId w:val="13"/>
  </w:num>
  <w:num w:numId="7">
    <w:abstractNumId w:val="0"/>
  </w:num>
  <w:num w:numId="8">
    <w:abstractNumId w:val="5"/>
  </w:num>
  <w:num w:numId="9">
    <w:abstractNumId w:val="6"/>
  </w:num>
  <w:num w:numId="10">
    <w:abstractNumId w:val="12"/>
  </w:num>
  <w:num w:numId="11">
    <w:abstractNumId w:val="11"/>
  </w:num>
  <w:num w:numId="12">
    <w:abstractNumId w:val="8"/>
  </w:num>
  <w:num w:numId="13">
    <w:abstractNumId w:val="14"/>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iNDM4NWVlYWVjMzkyOTAyNTFlMjlmMzBlNjZhZGMifQ=="/>
  </w:docVars>
  <w:rsids>
    <w:rsidRoot w:val="00DB11CB"/>
    <w:rsid w:val="000E33FC"/>
    <w:rsid w:val="000E59D0"/>
    <w:rsid w:val="00157590"/>
    <w:rsid w:val="00226FD3"/>
    <w:rsid w:val="0032092F"/>
    <w:rsid w:val="003475FA"/>
    <w:rsid w:val="00380AAA"/>
    <w:rsid w:val="003A0F96"/>
    <w:rsid w:val="003D1A3A"/>
    <w:rsid w:val="003D4EDF"/>
    <w:rsid w:val="003F3895"/>
    <w:rsid w:val="00432847"/>
    <w:rsid w:val="00445B2C"/>
    <w:rsid w:val="004A1EBB"/>
    <w:rsid w:val="004A51B8"/>
    <w:rsid w:val="004A723C"/>
    <w:rsid w:val="004F196E"/>
    <w:rsid w:val="00517B90"/>
    <w:rsid w:val="005201BE"/>
    <w:rsid w:val="00570637"/>
    <w:rsid w:val="005756CB"/>
    <w:rsid w:val="00630685"/>
    <w:rsid w:val="006D6454"/>
    <w:rsid w:val="006E1702"/>
    <w:rsid w:val="00756087"/>
    <w:rsid w:val="007B0FEC"/>
    <w:rsid w:val="0083351D"/>
    <w:rsid w:val="0084601E"/>
    <w:rsid w:val="00863602"/>
    <w:rsid w:val="009A7770"/>
    <w:rsid w:val="009E40F9"/>
    <w:rsid w:val="00A73A11"/>
    <w:rsid w:val="00A85C09"/>
    <w:rsid w:val="00BB66CF"/>
    <w:rsid w:val="00BC6B03"/>
    <w:rsid w:val="00BF2084"/>
    <w:rsid w:val="00C65947"/>
    <w:rsid w:val="00CA1627"/>
    <w:rsid w:val="00D02908"/>
    <w:rsid w:val="00D37CFB"/>
    <w:rsid w:val="00D6027E"/>
    <w:rsid w:val="00D85ADA"/>
    <w:rsid w:val="00DB11CB"/>
    <w:rsid w:val="00DB522D"/>
    <w:rsid w:val="00DC6DFC"/>
    <w:rsid w:val="00E110E2"/>
    <w:rsid w:val="00E57FD3"/>
    <w:rsid w:val="00E7553E"/>
    <w:rsid w:val="00E82B19"/>
    <w:rsid w:val="00F066C3"/>
    <w:rsid w:val="00FE243E"/>
    <w:rsid w:val="03594B8D"/>
    <w:rsid w:val="07564DE7"/>
    <w:rsid w:val="0B407925"/>
    <w:rsid w:val="14290200"/>
    <w:rsid w:val="14D03DB7"/>
    <w:rsid w:val="17934745"/>
    <w:rsid w:val="193C52A5"/>
    <w:rsid w:val="1B7C6117"/>
    <w:rsid w:val="1FD6287E"/>
    <w:rsid w:val="26056131"/>
    <w:rsid w:val="27061C16"/>
    <w:rsid w:val="357C6E21"/>
    <w:rsid w:val="360F36CE"/>
    <w:rsid w:val="3EF37DC4"/>
    <w:rsid w:val="3EFF207E"/>
    <w:rsid w:val="43C8779B"/>
    <w:rsid w:val="45A13E49"/>
    <w:rsid w:val="473E4C3F"/>
    <w:rsid w:val="47706AC6"/>
    <w:rsid w:val="4AEF1C2B"/>
    <w:rsid w:val="53B77CE7"/>
    <w:rsid w:val="567E5FE8"/>
    <w:rsid w:val="599E2E37"/>
    <w:rsid w:val="5BDB5443"/>
    <w:rsid w:val="617A62F9"/>
    <w:rsid w:val="62287742"/>
    <w:rsid w:val="62F2628E"/>
    <w:rsid w:val="6434411D"/>
    <w:rsid w:val="65404F81"/>
    <w:rsid w:val="6566711C"/>
    <w:rsid w:val="69780837"/>
    <w:rsid w:val="6AE76F44"/>
    <w:rsid w:val="7C7308D2"/>
    <w:rsid w:val="7CE64029"/>
    <w:rsid w:val="7E650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 w:line="265" w:lineRule="auto"/>
      <w:ind w:left="8" w:right="4180" w:hanging="8"/>
    </w:pPr>
    <w:rPr>
      <w:rFonts w:ascii="宋体" w:hAnsi="宋体" w:eastAsia="宋体" w:cs="宋体"/>
      <w:color w:val="000000"/>
      <w:kern w:val="2"/>
      <w:sz w:val="24"/>
      <w:szCs w:val="22"/>
      <w:lang w:val="en-US" w:eastAsia="zh-CN" w:bidi="ar-SA"/>
      <w14:ligatures w14:val="standardContextual"/>
    </w:rPr>
  </w:style>
  <w:style w:type="paragraph" w:styleId="2">
    <w:name w:val="heading 1"/>
    <w:next w:val="1"/>
    <w:link w:val="15"/>
    <w:qFormat/>
    <w:uiPriority w:val="9"/>
    <w:pPr>
      <w:keepNext/>
      <w:keepLines/>
      <w:spacing w:line="216" w:lineRule="auto"/>
      <w:ind w:left="3257" w:hanging="3202"/>
      <w:outlineLvl w:val="0"/>
    </w:pPr>
    <w:rPr>
      <w:rFonts w:ascii="宋体" w:hAnsi="宋体" w:eastAsia="宋体" w:cs="宋体"/>
      <w:color w:val="FF0000"/>
      <w:kern w:val="2"/>
      <w:sz w:val="52"/>
      <w:szCs w:val="22"/>
      <w:lang w:val="en-US" w:eastAsia="zh-CN" w:bidi="ar-SA"/>
      <w14:ligatures w14:val="standardContextual"/>
    </w:rPr>
  </w:style>
  <w:style w:type="paragraph" w:styleId="3">
    <w:name w:val="heading 2"/>
    <w:next w:val="1"/>
    <w:link w:val="16"/>
    <w:unhideWhenUsed/>
    <w:qFormat/>
    <w:uiPriority w:val="9"/>
    <w:pPr>
      <w:keepNext/>
      <w:keepLines/>
      <w:spacing w:after="66" w:line="259" w:lineRule="auto"/>
      <w:outlineLvl w:val="1"/>
    </w:pPr>
    <w:rPr>
      <w:rFonts w:ascii="黑体" w:hAnsi="黑体" w:eastAsia="黑体" w:cs="黑体"/>
      <w:color w:val="000000"/>
      <w:kern w:val="2"/>
      <w:sz w:val="28"/>
      <w:szCs w:val="22"/>
      <w:lang w:val="en-US" w:eastAsia="zh-CN" w:bidi="ar-SA"/>
      <w14:ligatures w14:val="standardContextual"/>
    </w:rPr>
  </w:style>
  <w:style w:type="paragraph" w:styleId="4">
    <w:name w:val="heading 3"/>
    <w:next w:val="1"/>
    <w:link w:val="17"/>
    <w:unhideWhenUsed/>
    <w:qFormat/>
    <w:uiPriority w:val="9"/>
    <w:pPr>
      <w:keepNext/>
      <w:keepLines/>
      <w:spacing w:line="259" w:lineRule="auto"/>
      <w:ind w:left="10" w:hanging="10"/>
      <w:outlineLvl w:val="2"/>
    </w:pPr>
    <w:rPr>
      <w:rFonts w:ascii="Arial" w:hAnsi="Arial" w:eastAsia="Arial" w:cs="Arial"/>
      <w:b/>
      <w:color w:val="000000"/>
      <w:kern w:val="2"/>
      <w:sz w:val="28"/>
      <w:szCs w:val="22"/>
      <w:lang w:val="en-US" w:eastAsia="zh-CN" w:bidi="ar-SA"/>
      <w14:ligatures w14:val="standardContextual"/>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9"/>
    <w:unhideWhenUsed/>
    <w:qFormat/>
    <w:uiPriority w:val="0"/>
  </w:style>
  <w:style w:type="paragraph" w:styleId="6">
    <w:name w:val="footer"/>
    <w:basedOn w:val="1"/>
    <w:link w:val="14"/>
    <w:unhideWhenUsed/>
    <w:qFormat/>
    <w:uiPriority w:val="99"/>
    <w:pPr>
      <w:tabs>
        <w:tab w:val="center" w:pos="4153"/>
        <w:tab w:val="right" w:pos="8306"/>
      </w:tabs>
      <w:snapToGrid w:val="0"/>
    </w:pPr>
    <w:rPr>
      <w:sz w:val="18"/>
      <w:szCs w:val="18"/>
    </w:rPr>
  </w:style>
  <w:style w:type="paragraph" w:styleId="7">
    <w:name w:val="header"/>
    <w:basedOn w:val="1"/>
    <w:link w:val="13"/>
    <w:unhideWhenUsed/>
    <w:qFormat/>
    <w:uiPriority w:val="99"/>
    <w:pPr>
      <w:tabs>
        <w:tab w:val="center" w:pos="4153"/>
        <w:tab w:val="right" w:pos="8306"/>
      </w:tabs>
      <w:snapToGrid w:val="0"/>
      <w:jc w:val="center"/>
    </w:pPr>
    <w:rPr>
      <w:sz w:val="18"/>
      <w:szCs w:val="18"/>
    </w:rPr>
  </w:style>
  <w:style w:type="paragraph" w:styleId="8">
    <w:name w:val="annotation subject"/>
    <w:basedOn w:val="5"/>
    <w:next w:val="5"/>
    <w:link w:val="20"/>
    <w:semiHidden/>
    <w:unhideWhenUsed/>
    <w:qFormat/>
    <w:uiPriority w:val="99"/>
    <w:rPr>
      <w:b/>
      <w:bCs/>
    </w:rPr>
  </w:style>
  <w:style w:type="table" w:styleId="10">
    <w:name w:val="Table Grid"/>
    <w:basedOn w:val="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unhideWhenUsed/>
    <w:qFormat/>
    <w:uiPriority w:val="0"/>
    <w:rPr>
      <w:sz w:val="21"/>
      <w:szCs w:val="21"/>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character" w:customStyle="1" w:styleId="15">
    <w:name w:val="标题 1 字符"/>
    <w:basedOn w:val="11"/>
    <w:link w:val="2"/>
    <w:qFormat/>
    <w:uiPriority w:val="9"/>
    <w:rPr>
      <w:rFonts w:ascii="宋体" w:hAnsi="宋体" w:eastAsia="宋体" w:cs="宋体"/>
      <w:color w:val="FF0000"/>
      <w:sz w:val="52"/>
    </w:rPr>
  </w:style>
  <w:style w:type="character" w:customStyle="1" w:styleId="16">
    <w:name w:val="标题 2 字符"/>
    <w:basedOn w:val="11"/>
    <w:link w:val="3"/>
    <w:qFormat/>
    <w:uiPriority w:val="9"/>
    <w:rPr>
      <w:rFonts w:ascii="黑体" w:hAnsi="黑体" w:eastAsia="黑体" w:cs="黑体"/>
      <w:color w:val="000000"/>
      <w:sz w:val="28"/>
    </w:rPr>
  </w:style>
  <w:style w:type="character" w:customStyle="1" w:styleId="17">
    <w:name w:val="标题 3 字符"/>
    <w:basedOn w:val="11"/>
    <w:link w:val="4"/>
    <w:qFormat/>
    <w:uiPriority w:val="9"/>
    <w:rPr>
      <w:rFonts w:ascii="Arial" w:hAnsi="Arial" w:eastAsia="Arial" w:cs="Arial"/>
      <w:b/>
      <w:color w:val="000000"/>
      <w:sz w:val="28"/>
    </w:rPr>
  </w:style>
  <w:style w:type="table" w:customStyle="1" w:styleId="18">
    <w:name w:val="TableGrid"/>
    <w:qFormat/>
    <w:uiPriority w:val="0"/>
    <w:tblPr>
      <w:tblCellMar>
        <w:top w:w="0" w:type="dxa"/>
        <w:left w:w="0" w:type="dxa"/>
        <w:bottom w:w="0" w:type="dxa"/>
        <w:right w:w="0" w:type="dxa"/>
      </w:tblCellMar>
    </w:tblPr>
  </w:style>
  <w:style w:type="character" w:customStyle="1" w:styleId="19">
    <w:name w:val="批注文字 字符"/>
    <w:basedOn w:val="11"/>
    <w:link w:val="5"/>
    <w:qFormat/>
    <w:uiPriority w:val="0"/>
    <w:rPr>
      <w:rFonts w:ascii="宋体" w:hAnsi="宋体" w:eastAsia="宋体" w:cs="宋体"/>
      <w:color w:val="000000"/>
      <w:sz w:val="24"/>
    </w:rPr>
  </w:style>
  <w:style w:type="character" w:customStyle="1" w:styleId="20">
    <w:name w:val="批注主题 字符"/>
    <w:basedOn w:val="19"/>
    <w:link w:val="8"/>
    <w:semiHidden/>
    <w:qFormat/>
    <w:uiPriority w:val="99"/>
    <w:rPr>
      <w:rFonts w:ascii="宋体" w:hAnsi="宋体" w:eastAsia="宋体" w:cs="宋体"/>
      <w:b/>
      <w:bCs/>
      <w:color w:val="000000"/>
      <w:sz w:val="24"/>
    </w:rPr>
  </w:style>
  <w:style w:type="paragraph" w:styleId="21">
    <w:name w:val="List Paragraph"/>
    <w:basedOn w:val="1"/>
    <w:qFormat/>
    <w:uiPriority w:val="99"/>
    <w:pPr>
      <w:ind w:firstLine="420" w:firstLineChars="200"/>
    </w:pPr>
  </w:style>
  <w:style w:type="paragraph" w:customStyle="1" w:styleId="22">
    <w:name w:val="DH Heading 3"/>
    <w:basedOn w:val="1"/>
    <w:qFormat/>
    <w:uiPriority w:val="0"/>
    <w:pPr>
      <w:numPr>
        <w:ilvl w:val="0"/>
        <w:numId w:val="1"/>
      </w:numPr>
    </w:pPr>
  </w:style>
  <w:style w:type="paragraph" w:customStyle="1" w:styleId="23">
    <w:name w:val="修订1"/>
    <w:hidden/>
    <w:unhideWhenUsed/>
    <w:qFormat/>
    <w:uiPriority w:val="99"/>
    <w:rPr>
      <w:rFonts w:ascii="宋体" w:hAnsi="宋体" w:eastAsia="宋体" w:cs="宋体"/>
      <w:color w:val="000000"/>
      <w:kern w:val="2"/>
      <w:sz w:val="24"/>
      <w:szCs w:val="22"/>
      <w:lang w:val="en-US" w:eastAsia="zh-CN" w:bidi="ar-SA"/>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10876</Words>
  <Characters>11274</Characters>
  <Lines>85</Lines>
  <Paragraphs>23</Paragraphs>
  <TotalTime>17</TotalTime>
  <ScaleCrop>false</ScaleCrop>
  <LinksUpToDate>false</LinksUpToDate>
  <CharactersWithSpaces>11387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2024-08-13T08:40:00Z</dcterms:created>
  <dc:creator>sl h</dc:creator>
  <cp:lastModifiedBy>lenovo</cp:lastModifiedBy>
  <dcterms:modified xsi:type="dcterms:W3CDTF">2024-08-23T00:42:53Z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B345B4B9016D40BDBD6FA5875887542A_13</vt:lpwstr>
  </property>
</Properties>
</file>