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B75ED3">
      <w:pPr>
        <w:jc w:val="center"/>
        <w:rPr>
          <w:rFonts w:hint="eastAsia" w:ascii="宋体" w:hAnsi="宋体" w:cs="楷体"/>
          <w:b/>
          <w:bCs/>
          <w:color w:val="000000"/>
          <w:sz w:val="32"/>
          <w:szCs w:val="32"/>
          <w:lang w:val="en-US" w:eastAsia="zh-CN"/>
        </w:rPr>
      </w:pPr>
      <w:r>
        <w:rPr>
          <w:rFonts w:hint="eastAsia" w:ascii="宋体" w:hAnsi="宋体" w:cs="楷体"/>
          <w:b/>
          <w:bCs/>
          <w:color w:val="000000"/>
          <w:sz w:val="32"/>
          <w:szCs w:val="32"/>
          <w:lang w:val="en-US" w:eastAsia="zh-CN"/>
        </w:rPr>
        <w:t>临汾路街道卫生服务中心</w:t>
      </w:r>
    </w:p>
    <w:p w14:paraId="570C393D">
      <w:pPr>
        <w:jc w:val="center"/>
        <w:rPr>
          <w:rFonts w:ascii="宋体" w:hAnsi="宋体" w:cs="楷体"/>
          <w:b/>
          <w:bCs/>
          <w:color w:val="000000"/>
          <w:sz w:val="32"/>
          <w:szCs w:val="32"/>
        </w:rPr>
      </w:pPr>
      <w:r>
        <w:rPr>
          <w:rFonts w:hint="eastAsia" w:ascii="宋体" w:hAnsi="宋体" w:cs="楷体"/>
          <w:b/>
          <w:bCs/>
          <w:color w:val="000000"/>
          <w:sz w:val="32"/>
          <w:szCs w:val="32"/>
        </w:rPr>
        <w:t>物业管理服务</w:t>
      </w:r>
    </w:p>
    <w:p w14:paraId="41252D39">
      <w:pPr>
        <w:spacing w:line="360" w:lineRule="auto"/>
        <w:jc w:val="left"/>
        <w:rPr>
          <w:rFonts w:ascii="宋体"/>
          <w:b/>
          <w:sz w:val="24"/>
          <w:szCs w:val="24"/>
        </w:rPr>
      </w:pPr>
      <w:r>
        <w:rPr>
          <w:rFonts w:hint="eastAsia" w:ascii="宋体"/>
          <w:b/>
          <w:sz w:val="24"/>
          <w:szCs w:val="24"/>
        </w:rPr>
        <w:t>一、委托管理服务的物业概况</w:t>
      </w:r>
    </w:p>
    <w:p w14:paraId="3C902E5F">
      <w:pPr>
        <w:spacing w:line="360" w:lineRule="auto"/>
        <w:rPr>
          <w:rFonts w:ascii="宋体"/>
        </w:rPr>
      </w:pPr>
      <w:r>
        <w:rPr>
          <w:rFonts w:hint="eastAsia" w:ascii="宋体" w:hAnsi="宋体"/>
        </w:rPr>
        <w:t>（一）物业基本情况</w:t>
      </w:r>
    </w:p>
    <w:p w14:paraId="4B420BBB">
      <w:pPr>
        <w:spacing w:line="360" w:lineRule="auto"/>
        <w:ind w:firstLine="420" w:firstLineChars="200"/>
        <w:rPr>
          <w:rFonts w:ascii="宋体" w:hAnsi="宋体"/>
          <w:u w:val="single"/>
        </w:rPr>
      </w:pPr>
      <w:r>
        <w:rPr>
          <w:rFonts w:hint="eastAsia" w:ascii="宋体" w:hAnsi="宋体"/>
        </w:rPr>
        <w:t>物业名称：</w:t>
      </w:r>
      <w:r>
        <w:rPr>
          <w:rFonts w:ascii="宋体" w:hAnsi="宋体"/>
          <w:u w:val="single"/>
        </w:rPr>
        <w:t xml:space="preserve">         </w:t>
      </w:r>
      <w:r>
        <w:rPr>
          <w:rFonts w:hint="eastAsia" w:ascii="宋体" w:hAnsi="宋体"/>
          <w:u w:val="single"/>
          <w:lang w:val="en-US" w:eastAsia="zh-CN"/>
        </w:rPr>
        <w:t>上海市静安区临汾路街道社区卫生服务中心</w:t>
      </w:r>
      <w:r>
        <w:rPr>
          <w:rFonts w:ascii="宋体" w:hAnsi="宋体"/>
          <w:u w:val="single"/>
        </w:rPr>
        <w:t xml:space="preserve">                    </w:t>
      </w:r>
    </w:p>
    <w:p w14:paraId="1FDF4764">
      <w:pPr>
        <w:spacing w:line="360" w:lineRule="auto"/>
        <w:ind w:firstLine="420" w:firstLineChars="200"/>
        <w:rPr>
          <w:rFonts w:ascii="宋体"/>
        </w:rPr>
      </w:pPr>
      <w:r>
        <w:rPr>
          <w:rFonts w:hint="eastAsia" w:ascii="宋体" w:hAnsi="宋体"/>
        </w:rPr>
        <w:t>物业类型：</w:t>
      </w:r>
      <w:r>
        <w:rPr>
          <w:rFonts w:ascii="宋体" w:hAnsi="宋体"/>
          <w:u w:val="single"/>
        </w:rPr>
        <w:t xml:space="preserve">               </w:t>
      </w:r>
      <w:r>
        <w:rPr>
          <w:rFonts w:hint="eastAsia" w:ascii="宋体" w:hAnsi="宋体"/>
          <w:u w:val="single"/>
          <w:lang w:val="en-US" w:eastAsia="zh-CN"/>
        </w:rPr>
        <w:t>社区医院</w:t>
      </w:r>
      <w:r>
        <w:rPr>
          <w:rFonts w:ascii="宋体" w:hAnsi="宋体"/>
          <w:u w:val="single"/>
        </w:rPr>
        <w:t xml:space="preserve">                         </w:t>
      </w:r>
    </w:p>
    <w:p w14:paraId="2F7C2EB7">
      <w:pPr>
        <w:spacing w:line="360" w:lineRule="auto"/>
        <w:ind w:firstLine="420" w:firstLineChars="200"/>
        <w:rPr>
          <w:rFonts w:ascii="宋体"/>
        </w:rPr>
      </w:pPr>
      <w:r>
        <w:rPr>
          <w:rFonts w:hint="eastAsia" w:ascii="宋体" w:hAnsi="宋体"/>
        </w:rPr>
        <w:t>坐落位置：</w:t>
      </w:r>
      <w:r>
        <w:rPr>
          <w:rFonts w:ascii="宋体" w:hAnsi="宋体"/>
          <w:u w:val="single"/>
        </w:rPr>
        <w:t xml:space="preserve"> </w:t>
      </w:r>
      <w:r>
        <w:rPr>
          <w:rFonts w:hint="eastAsia" w:ascii="宋体" w:hAnsi="宋体"/>
          <w:u w:val="single"/>
          <w:lang w:val="en-US" w:eastAsia="zh-CN"/>
        </w:rPr>
        <w:t>上海市</w:t>
      </w:r>
      <w:r>
        <w:rPr>
          <w:rFonts w:ascii="宋体" w:hAnsi="宋体"/>
          <w:u w:val="single"/>
        </w:rPr>
        <w:t xml:space="preserve"> </w:t>
      </w:r>
      <w:r>
        <w:rPr>
          <w:rFonts w:hint="eastAsia" w:ascii="宋体" w:hAnsi="宋体"/>
        </w:rPr>
        <w:t>市</w:t>
      </w:r>
      <w:r>
        <w:rPr>
          <w:rFonts w:ascii="宋体" w:hAnsi="宋体"/>
          <w:u w:val="single"/>
        </w:rPr>
        <w:t xml:space="preserve"> </w:t>
      </w:r>
      <w:r>
        <w:rPr>
          <w:rFonts w:hint="eastAsia" w:ascii="宋体" w:hAnsi="宋体"/>
          <w:u w:val="single"/>
          <w:lang w:val="en-US" w:eastAsia="zh-CN"/>
        </w:rPr>
        <w:t>静安</w:t>
      </w:r>
      <w:r>
        <w:rPr>
          <w:rFonts w:hint="eastAsia" w:ascii="宋体" w:hAnsi="宋体"/>
        </w:rPr>
        <w:t>区</w:t>
      </w:r>
      <w:r>
        <w:rPr>
          <w:rFonts w:ascii="宋体" w:hAnsi="宋体"/>
          <w:u w:val="single"/>
        </w:rPr>
        <w:t xml:space="preserve">  </w:t>
      </w:r>
      <w:r>
        <w:rPr>
          <w:rFonts w:hint="eastAsia" w:ascii="宋体" w:hAnsi="宋体"/>
          <w:u w:val="single"/>
          <w:lang w:val="en-US" w:eastAsia="zh-CN"/>
        </w:rPr>
        <w:t>临汾</w:t>
      </w:r>
      <w:r>
        <w:rPr>
          <w:rFonts w:ascii="宋体" w:hAnsi="宋体"/>
          <w:u w:val="single"/>
        </w:rPr>
        <w:t xml:space="preserve">  </w:t>
      </w:r>
      <w:r>
        <w:rPr>
          <w:rFonts w:hint="eastAsia" w:ascii="宋体" w:hAnsi="宋体"/>
        </w:rPr>
        <w:t>路（街道）</w:t>
      </w:r>
      <w:r>
        <w:rPr>
          <w:rFonts w:ascii="宋体" w:hAnsi="宋体"/>
          <w:u w:val="single"/>
        </w:rPr>
        <w:t xml:space="preserve"> </w:t>
      </w:r>
      <w:r>
        <w:rPr>
          <w:rFonts w:hint="eastAsia" w:ascii="宋体" w:hAnsi="宋体"/>
          <w:u w:val="single"/>
          <w:lang w:val="en-US" w:eastAsia="zh-CN"/>
        </w:rPr>
        <w:t>385</w:t>
      </w:r>
      <w:r>
        <w:rPr>
          <w:rFonts w:ascii="宋体" w:hAnsi="宋体"/>
          <w:u w:val="single"/>
        </w:rPr>
        <w:t xml:space="preserve"> </w:t>
      </w:r>
      <w:r>
        <w:rPr>
          <w:rFonts w:hint="eastAsia" w:ascii="宋体" w:hAnsi="宋体"/>
        </w:rPr>
        <w:t>号</w:t>
      </w:r>
    </w:p>
    <w:p w14:paraId="2AAD802D">
      <w:pPr>
        <w:spacing w:line="360" w:lineRule="auto"/>
        <w:ind w:firstLine="420" w:firstLineChars="200"/>
        <w:rPr>
          <w:rFonts w:ascii="宋体" w:hAnsi="宋体"/>
          <w:u w:val="single"/>
        </w:rPr>
      </w:pPr>
      <w:r>
        <w:rPr>
          <w:rFonts w:hint="eastAsia" w:ascii="宋体" w:hAnsi="宋体"/>
        </w:rPr>
        <w:t>四面边界至：东</w:t>
      </w:r>
      <w:r>
        <w:rPr>
          <w:rFonts w:ascii="宋体" w:hAnsi="宋体"/>
          <w:u w:val="single"/>
        </w:rPr>
        <w:t xml:space="preserve">  </w:t>
      </w:r>
      <w:r>
        <w:rPr>
          <w:rFonts w:hint="eastAsia" w:ascii="宋体" w:hAnsi="宋体"/>
          <w:u w:val="single"/>
          <w:lang w:val="en-US" w:eastAsia="zh-CN"/>
        </w:rPr>
        <w:t>临汾路375弄小区</w:t>
      </w:r>
      <w:r>
        <w:rPr>
          <w:rFonts w:ascii="宋体" w:hAnsi="宋体"/>
          <w:u w:val="single"/>
        </w:rPr>
        <w:t xml:space="preserve">   </w:t>
      </w:r>
      <w:r>
        <w:rPr>
          <w:rFonts w:hint="eastAsia" w:ascii="宋体" w:hAnsi="宋体"/>
        </w:rPr>
        <w:t>南</w:t>
      </w:r>
      <w:r>
        <w:rPr>
          <w:rFonts w:ascii="宋体" w:hAnsi="宋体"/>
          <w:u w:val="single"/>
        </w:rPr>
        <w:t xml:space="preserve"> </w:t>
      </w:r>
      <w:r>
        <w:rPr>
          <w:rFonts w:hint="eastAsia" w:ascii="宋体" w:hAnsi="宋体"/>
          <w:u w:val="single"/>
          <w:lang w:val="en-US" w:eastAsia="zh-CN"/>
        </w:rPr>
        <w:t>临汾路375弄小区</w:t>
      </w:r>
      <w:r>
        <w:rPr>
          <w:rFonts w:ascii="宋体" w:hAnsi="宋体"/>
          <w:u w:val="single"/>
        </w:rPr>
        <w:t xml:space="preserve"> </w:t>
      </w:r>
      <w:r>
        <w:rPr>
          <w:rFonts w:hint="eastAsia" w:ascii="宋体" w:hAnsi="宋体"/>
        </w:rPr>
        <w:t>西</w:t>
      </w:r>
      <w:r>
        <w:rPr>
          <w:rFonts w:ascii="宋体" w:hAnsi="宋体"/>
          <w:u w:val="single"/>
        </w:rPr>
        <w:t xml:space="preserve">  </w:t>
      </w:r>
      <w:r>
        <w:rPr>
          <w:rFonts w:hint="eastAsia" w:ascii="宋体" w:hAnsi="宋体"/>
          <w:u w:val="single"/>
          <w:lang w:val="en-US" w:eastAsia="zh-CN"/>
        </w:rPr>
        <w:t>临汾路451弄小区</w:t>
      </w:r>
      <w:r>
        <w:rPr>
          <w:rFonts w:ascii="宋体" w:hAnsi="宋体"/>
          <w:u w:val="single"/>
        </w:rPr>
        <w:t xml:space="preserve"> </w:t>
      </w:r>
      <w:r>
        <w:rPr>
          <w:rFonts w:hint="eastAsia" w:ascii="宋体" w:hAnsi="宋体"/>
        </w:rPr>
        <w:t>北</w:t>
      </w:r>
      <w:r>
        <w:rPr>
          <w:rFonts w:ascii="宋体" w:hAnsi="宋体"/>
          <w:u w:val="single"/>
        </w:rPr>
        <w:t xml:space="preserve"> </w:t>
      </w:r>
      <w:r>
        <w:rPr>
          <w:rFonts w:hint="eastAsia" w:ascii="宋体" w:hAnsi="宋体"/>
          <w:u w:val="single"/>
          <w:lang w:val="en-US" w:eastAsia="zh-CN"/>
        </w:rPr>
        <w:t>临汾路</w:t>
      </w:r>
      <w:r>
        <w:rPr>
          <w:rFonts w:ascii="宋体" w:hAnsi="宋体"/>
          <w:u w:val="single"/>
        </w:rPr>
        <w:t xml:space="preserve">  </w:t>
      </w:r>
    </w:p>
    <w:p w14:paraId="5210E32D">
      <w:pPr>
        <w:spacing w:line="360" w:lineRule="auto"/>
        <w:ind w:firstLine="420" w:firstLineChars="200"/>
        <w:rPr>
          <w:rFonts w:ascii="宋体"/>
        </w:rPr>
      </w:pPr>
      <w:r>
        <w:rPr>
          <w:rFonts w:hint="eastAsia" w:ascii="宋体" w:hAnsi="宋体"/>
        </w:rPr>
        <w:t>占地面积：</w:t>
      </w:r>
      <w:r>
        <w:rPr>
          <w:rFonts w:ascii="宋体" w:hAnsi="宋体"/>
          <w:u w:val="single"/>
        </w:rPr>
        <w:t xml:space="preserve">  </w:t>
      </w:r>
      <w:r>
        <w:rPr>
          <w:rFonts w:hint="eastAsia" w:ascii="宋体" w:hAnsi="宋体"/>
          <w:u w:val="single"/>
          <w:lang w:val="en-US" w:eastAsia="zh-CN"/>
        </w:rPr>
        <w:t>4000</w:t>
      </w:r>
      <w:r>
        <w:rPr>
          <w:rFonts w:ascii="宋体" w:hAnsi="宋体"/>
          <w:u w:val="single"/>
        </w:rPr>
        <w:t xml:space="preserve">  </w:t>
      </w:r>
      <w:r>
        <w:rPr>
          <w:rFonts w:hint="eastAsia" w:ascii="宋体" w:hAnsi="宋体"/>
        </w:rPr>
        <w:t>平方米，其中绿地面积</w:t>
      </w:r>
      <w:r>
        <w:rPr>
          <w:rFonts w:ascii="宋体" w:hAnsi="宋体"/>
          <w:u w:val="single"/>
        </w:rPr>
        <w:t xml:space="preserve"> </w:t>
      </w:r>
      <w:r>
        <w:rPr>
          <w:rFonts w:hint="eastAsia" w:ascii="宋体" w:hAnsi="宋体"/>
          <w:u w:val="single"/>
          <w:lang w:val="en-US" w:eastAsia="zh-CN"/>
        </w:rPr>
        <w:t>274.25</w:t>
      </w:r>
      <w:r>
        <w:rPr>
          <w:rFonts w:ascii="宋体" w:hAnsi="宋体"/>
          <w:u w:val="single"/>
        </w:rPr>
        <w:t xml:space="preserve">  </w:t>
      </w:r>
      <w:r>
        <w:rPr>
          <w:rFonts w:hint="eastAsia" w:ascii="宋体" w:hAnsi="宋体"/>
        </w:rPr>
        <w:t>平方米。</w:t>
      </w:r>
    </w:p>
    <w:p w14:paraId="31ABBC99">
      <w:pPr>
        <w:spacing w:line="360" w:lineRule="auto"/>
        <w:ind w:firstLine="420" w:firstLineChars="200"/>
        <w:rPr>
          <w:rFonts w:ascii="宋体"/>
        </w:rPr>
      </w:pPr>
      <w:r>
        <w:rPr>
          <w:rFonts w:hint="eastAsia" w:ascii="宋体" w:hAnsi="宋体"/>
        </w:rPr>
        <w:t>建筑面积：</w:t>
      </w:r>
      <w:r>
        <w:rPr>
          <w:rFonts w:hint="eastAsia" w:ascii="宋体" w:hAnsi="宋体"/>
          <w:u w:val="single"/>
          <w:lang w:val="en-US" w:eastAsia="zh-CN"/>
        </w:rPr>
        <w:t>4777</w:t>
      </w:r>
      <w:r>
        <w:rPr>
          <w:rFonts w:ascii="宋体" w:hAnsi="宋体"/>
          <w:u w:val="single"/>
        </w:rPr>
        <w:t xml:space="preserve"> </w:t>
      </w:r>
      <w:r>
        <w:rPr>
          <w:rFonts w:hint="eastAsia" w:ascii="宋体" w:hAnsi="宋体"/>
        </w:rPr>
        <w:t>平方米，</w:t>
      </w:r>
    </w:p>
    <w:p w14:paraId="45CD6EA9">
      <w:pPr>
        <w:spacing w:line="360" w:lineRule="auto"/>
        <w:ind w:firstLine="420" w:firstLineChars="200"/>
        <w:rPr>
          <w:rFonts w:hint="eastAsia" w:ascii="宋体" w:eastAsia="宋体"/>
          <w:lang w:val="en-US" w:eastAsia="zh-CN"/>
        </w:rPr>
      </w:pPr>
      <w:r>
        <w:rPr>
          <w:rFonts w:hint="eastAsia" w:ascii="宋体" w:hAnsi="宋体"/>
        </w:rPr>
        <w:t>其中</w:t>
      </w:r>
      <w:r>
        <w:rPr>
          <w:rFonts w:ascii="宋体" w:hAnsi="宋体"/>
        </w:rPr>
        <w:t>:</w:t>
      </w:r>
      <w:r>
        <w:rPr>
          <w:rFonts w:hint="eastAsia" w:ascii="宋体" w:hAnsi="宋体"/>
        </w:rPr>
        <w:t>办公楼</w:t>
      </w:r>
      <w:r>
        <w:rPr>
          <w:rFonts w:hint="eastAsia" w:ascii="宋体" w:hAnsi="宋体"/>
          <w:u w:val="single"/>
          <w:lang w:val="en-US" w:eastAsia="zh-CN"/>
        </w:rPr>
        <w:t>4777</w:t>
      </w:r>
      <w:r>
        <w:rPr>
          <w:rFonts w:ascii="宋体" w:hAnsi="宋体"/>
          <w:u w:val="single"/>
        </w:rPr>
        <w:t xml:space="preserve"> </w:t>
      </w:r>
      <w:r>
        <w:rPr>
          <w:rFonts w:hint="eastAsia" w:ascii="宋体" w:hAnsi="宋体"/>
        </w:rPr>
        <w:t>平方米（多层</w:t>
      </w:r>
      <w:r>
        <w:rPr>
          <w:rFonts w:hint="eastAsia" w:ascii="宋体" w:hAnsi="宋体"/>
          <w:u w:val="single"/>
          <w:lang w:val="en-US" w:eastAsia="zh-CN"/>
        </w:rPr>
        <w:t>3</w:t>
      </w:r>
      <w:r>
        <w:rPr>
          <w:rFonts w:ascii="宋体" w:hAnsi="宋体"/>
          <w:u w:val="single"/>
        </w:rPr>
        <w:t xml:space="preserve"> </w:t>
      </w:r>
      <w:r>
        <w:rPr>
          <w:rFonts w:hint="eastAsia" w:ascii="宋体" w:hAnsi="宋体"/>
          <w:u w:val="single"/>
          <w:lang w:val="en-US" w:eastAsia="zh-CN"/>
        </w:rPr>
        <w:t>)</w:t>
      </w:r>
    </w:p>
    <w:p w14:paraId="35DF7567">
      <w:pPr>
        <w:spacing w:line="360" w:lineRule="auto"/>
        <w:ind w:firstLine="420" w:firstLineChars="200"/>
        <w:rPr>
          <w:rFonts w:ascii="宋体"/>
        </w:rPr>
      </w:pPr>
      <w:r>
        <w:rPr>
          <w:rFonts w:hint="eastAsia" w:ascii="宋体" w:hAnsi="宋体"/>
        </w:rPr>
        <w:t>带电梯办公楼共</w:t>
      </w:r>
      <w:r>
        <w:rPr>
          <w:rFonts w:ascii="宋体" w:hAnsi="宋体"/>
          <w:u w:val="single"/>
        </w:rPr>
        <w:t xml:space="preserve"> </w:t>
      </w:r>
      <w:r>
        <w:rPr>
          <w:rFonts w:hint="eastAsia" w:ascii="宋体" w:hAnsi="宋体"/>
          <w:u w:val="single"/>
          <w:lang w:val="en-US" w:eastAsia="zh-CN"/>
        </w:rPr>
        <w:t>1</w:t>
      </w:r>
      <w:r>
        <w:rPr>
          <w:rFonts w:hint="eastAsia" w:ascii="宋体" w:hAnsi="宋体"/>
        </w:rPr>
        <w:t>栋，建筑面积共</w:t>
      </w:r>
      <w:r>
        <w:rPr>
          <w:rFonts w:hint="eastAsia" w:ascii="宋体" w:hAnsi="宋体"/>
          <w:u w:val="single"/>
          <w:lang w:val="en-US" w:eastAsia="zh-CN"/>
        </w:rPr>
        <w:t>4267</w:t>
      </w:r>
      <w:r>
        <w:rPr>
          <w:rFonts w:hint="eastAsia" w:ascii="宋体" w:hAnsi="宋体"/>
        </w:rPr>
        <w:t>平方米；不带电梯办公楼共</w:t>
      </w:r>
      <w:r>
        <w:rPr>
          <w:rFonts w:ascii="宋体" w:hAnsi="宋体"/>
          <w:u w:val="single"/>
        </w:rPr>
        <w:t xml:space="preserve"> </w:t>
      </w:r>
      <w:r>
        <w:rPr>
          <w:rFonts w:hint="eastAsia" w:ascii="宋体" w:hAnsi="宋体"/>
          <w:u w:val="single"/>
          <w:lang w:val="en-US" w:eastAsia="zh-CN"/>
        </w:rPr>
        <w:t>1</w:t>
      </w:r>
      <w:r>
        <w:rPr>
          <w:rFonts w:ascii="宋体" w:hAnsi="宋体"/>
          <w:u w:val="single"/>
        </w:rPr>
        <w:t xml:space="preserve"> </w:t>
      </w:r>
      <w:r>
        <w:rPr>
          <w:rFonts w:hint="eastAsia" w:ascii="宋体" w:hAnsi="宋体"/>
        </w:rPr>
        <w:t>栋，建筑面积共</w:t>
      </w:r>
      <w:r>
        <w:rPr>
          <w:rFonts w:hint="eastAsia" w:ascii="宋体" w:hAnsi="宋体"/>
          <w:u w:val="single"/>
          <w:lang w:val="en-US" w:eastAsia="zh-CN"/>
        </w:rPr>
        <w:t>510</w:t>
      </w:r>
      <w:r>
        <w:rPr>
          <w:rFonts w:hint="eastAsia" w:ascii="宋体" w:hAnsi="宋体"/>
        </w:rPr>
        <w:t>平方米。</w:t>
      </w:r>
    </w:p>
    <w:p w14:paraId="3F368E35">
      <w:pPr>
        <w:spacing w:line="360" w:lineRule="auto"/>
        <w:ind w:firstLine="420" w:firstLineChars="200"/>
        <w:rPr>
          <w:rFonts w:ascii="宋体"/>
        </w:rPr>
      </w:pPr>
      <w:r>
        <w:rPr>
          <w:rFonts w:hint="eastAsia" w:ascii="宋体" w:hAnsi="宋体"/>
        </w:rPr>
        <w:t>公用设施、设备及公共场所（地）情况：</w:t>
      </w:r>
    </w:p>
    <w:p w14:paraId="359520BB">
      <w:pPr>
        <w:spacing w:line="360" w:lineRule="auto"/>
        <w:ind w:firstLine="420" w:firstLineChars="200"/>
        <w:rPr>
          <w:rFonts w:ascii="宋体"/>
        </w:rPr>
      </w:pPr>
      <w:r>
        <w:rPr>
          <w:rFonts w:ascii="宋体" w:hAnsi="宋体"/>
        </w:rPr>
        <w:t>1</w:t>
      </w:r>
      <w:r>
        <w:rPr>
          <w:rFonts w:hint="eastAsia" w:ascii="宋体" w:hAnsi="宋体"/>
        </w:rPr>
        <w:t>、院区车辆出入口</w:t>
      </w:r>
      <w:r>
        <w:rPr>
          <w:rFonts w:ascii="宋体" w:hAnsi="宋体"/>
          <w:u w:val="single"/>
        </w:rPr>
        <w:t xml:space="preserve"> </w:t>
      </w:r>
      <w:r>
        <w:rPr>
          <w:rFonts w:hint="eastAsia" w:ascii="宋体" w:hAnsi="宋体"/>
          <w:u w:val="single"/>
          <w:lang w:val="en-US" w:eastAsia="zh-CN"/>
        </w:rPr>
        <w:t>1</w:t>
      </w:r>
      <w:r>
        <w:rPr>
          <w:rFonts w:ascii="宋体" w:hAnsi="宋体"/>
          <w:u w:val="single"/>
        </w:rPr>
        <w:t xml:space="preserve"> </w:t>
      </w:r>
      <w:r>
        <w:rPr>
          <w:rFonts w:hint="eastAsia" w:ascii="宋体" w:hAnsi="宋体"/>
        </w:rPr>
        <w:t>个，人行出入口</w:t>
      </w:r>
      <w:r>
        <w:rPr>
          <w:rFonts w:ascii="宋体" w:hAnsi="宋体"/>
          <w:u w:val="single"/>
        </w:rPr>
        <w:t xml:space="preserve"> </w:t>
      </w:r>
      <w:r>
        <w:rPr>
          <w:rFonts w:hint="eastAsia" w:ascii="宋体" w:hAnsi="宋体"/>
          <w:u w:val="single"/>
          <w:lang w:val="en-US" w:eastAsia="zh-CN"/>
        </w:rPr>
        <w:t>1</w:t>
      </w:r>
      <w:r>
        <w:rPr>
          <w:rFonts w:hint="eastAsia" w:ascii="宋体" w:hAnsi="宋体"/>
        </w:rPr>
        <w:t>个；</w:t>
      </w:r>
    </w:p>
    <w:p w14:paraId="118E1ACC">
      <w:pPr>
        <w:spacing w:line="360" w:lineRule="auto"/>
        <w:ind w:firstLine="420" w:firstLineChars="200"/>
        <w:rPr>
          <w:rFonts w:ascii="宋体"/>
        </w:rPr>
      </w:pPr>
      <w:r>
        <w:rPr>
          <w:rFonts w:ascii="宋体" w:hAnsi="宋体"/>
        </w:rPr>
        <w:t>2</w:t>
      </w:r>
      <w:r>
        <w:rPr>
          <w:rFonts w:hint="eastAsia" w:ascii="宋体" w:hAnsi="宋体"/>
        </w:rPr>
        <w:t>、道路、车行道</w:t>
      </w:r>
      <w:r>
        <w:rPr>
          <w:rFonts w:ascii="宋体" w:hAnsi="宋体"/>
          <w:u w:val="single"/>
        </w:rPr>
        <w:t xml:space="preserve">  </w:t>
      </w:r>
      <w:r>
        <w:rPr>
          <w:rFonts w:hint="eastAsia" w:ascii="宋体" w:hAnsi="宋体"/>
          <w:u w:val="single"/>
          <w:lang w:val="en-US" w:eastAsia="zh-CN"/>
        </w:rPr>
        <w:t>10</w:t>
      </w:r>
      <w:r>
        <w:rPr>
          <w:rFonts w:ascii="宋体" w:hAnsi="宋体"/>
          <w:u w:val="single"/>
        </w:rPr>
        <w:t xml:space="preserve"> </w:t>
      </w:r>
      <w:r>
        <w:rPr>
          <w:rFonts w:hint="eastAsia" w:ascii="宋体" w:hAnsi="宋体"/>
        </w:rPr>
        <w:t>平方米，人行道</w:t>
      </w:r>
      <w:r>
        <w:rPr>
          <w:rFonts w:ascii="宋体" w:hAnsi="宋体"/>
          <w:u w:val="single"/>
        </w:rPr>
        <w:t xml:space="preserve">  </w:t>
      </w:r>
      <w:r>
        <w:rPr>
          <w:rFonts w:hint="eastAsia" w:ascii="宋体" w:hAnsi="宋体"/>
          <w:u w:val="single"/>
          <w:lang w:val="en-US" w:eastAsia="zh-CN"/>
        </w:rPr>
        <w:t>3.2</w:t>
      </w:r>
      <w:r>
        <w:rPr>
          <w:rFonts w:ascii="宋体" w:hAnsi="宋体"/>
          <w:u w:val="single"/>
        </w:rPr>
        <w:t xml:space="preserve">  </w:t>
      </w:r>
      <w:r>
        <w:rPr>
          <w:rFonts w:hint="eastAsia" w:ascii="宋体" w:hAnsi="宋体"/>
        </w:rPr>
        <w:t>平方米；</w:t>
      </w:r>
    </w:p>
    <w:p w14:paraId="5A89F23B">
      <w:pPr>
        <w:spacing w:line="360" w:lineRule="auto"/>
        <w:ind w:firstLine="420" w:firstLineChars="200"/>
        <w:rPr>
          <w:rFonts w:ascii="宋体"/>
        </w:rPr>
      </w:pPr>
      <w:r>
        <w:rPr>
          <w:rFonts w:ascii="宋体" w:hAnsi="宋体"/>
        </w:rPr>
        <w:t>3</w:t>
      </w:r>
      <w:r>
        <w:rPr>
          <w:rFonts w:hint="eastAsia" w:ascii="宋体" w:hAnsi="宋体"/>
        </w:rPr>
        <w:t>、绿化面积</w:t>
      </w:r>
      <w:r>
        <w:rPr>
          <w:rFonts w:hint="eastAsia" w:ascii="宋体" w:hAnsi="宋体"/>
          <w:u w:val="single"/>
          <w:lang w:val="en-US" w:eastAsia="zh-CN"/>
        </w:rPr>
        <w:t>274.25</w:t>
      </w:r>
      <w:r>
        <w:rPr>
          <w:rFonts w:ascii="宋体" w:hAnsi="宋体"/>
          <w:u w:val="single"/>
        </w:rPr>
        <w:t xml:space="preserve"> </w:t>
      </w:r>
      <w:r>
        <w:rPr>
          <w:rFonts w:hint="eastAsia" w:ascii="宋体" w:hAnsi="宋体"/>
        </w:rPr>
        <w:t>平方米；</w:t>
      </w:r>
    </w:p>
    <w:p w14:paraId="60AB6052">
      <w:pPr>
        <w:spacing w:line="360" w:lineRule="auto"/>
        <w:ind w:firstLine="420" w:firstLineChars="200"/>
        <w:rPr>
          <w:rFonts w:ascii="宋体"/>
        </w:rPr>
      </w:pPr>
      <w:r>
        <w:rPr>
          <w:rFonts w:ascii="宋体" w:hAnsi="宋体"/>
        </w:rPr>
        <w:t>4</w:t>
      </w:r>
      <w:r>
        <w:rPr>
          <w:rFonts w:hint="eastAsia" w:ascii="宋体" w:hAnsi="宋体"/>
        </w:rPr>
        <w:t>、污水管长</w:t>
      </w:r>
      <w:r>
        <w:rPr>
          <w:rFonts w:hint="eastAsia" w:ascii="宋体" w:hAnsi="宋体"/>
          <w:u w:val="single"/>
          <w:lang w:val="en-US" w:eastAsia="zh-CN"/>
        </w:rPr>
        <w:t>230</w:t>
      </w:r>
      <w:r>
        <w:rPr>
          <w:rFonts w:ascii="宋体" w:hAnsi="宋体"/>
          <w:u w:val="single"/>
        </w:rPr>
        <w:t xml:space="preserve"> </w:t>
      </w:r>
      <w:r>
        <w:rPr>
          <w:rFonts w:hint="eastAsia" w:ascii="宋体" w:hAnsi="宋体"/>
        </w:rPr>
        <w:t>米，污水检查井</w:t>
      </w:r>
      <w:r>
        <w:rPr>
          <w:rFonts w:hint="eastAsia" w:ascii="宋体" w:hAnsi="宋体"/>
          <w:u w:val="single"/>
          <w:lang w:val="en-US" w:eastAsia="zh-CN"/>
        </w:rPr>
        <w:t>23</w:t>
      </w:r>
      <w:r>
        <w:rPr>
          <w:rFonts w:ascii="宋体" w:hAnsi="宋体"/>
          <w:u w:val="single"/>
        </w:rPr>
        <w:t xml:space="preserve"> </w:t>
      </w:r>
      <w:r>
        <w:rPr>
          <w:rFonts w:hint="eastAsia" w:ascii="宋体" w:hAnsi="宋体"/>
        </w:rPr>
        <w:t>座；雨水管长</w:t>
      </w:r>
      <w:r>
        <w:rPr>
          <w:rFonts w:ascii="宋体" w:hAnsi="宋体"/>
          <w:u w:val="single"/>
        </w:rPr>
        <w:t xml:space="preserve"> </w:t>
      </w:r>
      <w:r>
        <w:rPr>
          <w:rFonts w:hint="eastAsia" w:ascii="宋体" w:hAnsi="宋体"/>
          <w:u w:val="single"/>
          <w:lang w:val="en-US" w:eastAsia="zh-CN"/>
        </w:rPr>
        <w:t>230</w:t>
      </w:r>
      <w:r>
        <w:rPr>
          <w:rFonts w:hint="eastAsia" w:ascii="宋体" w:hAnsi="宋体"/>
        </w:rPr>
        <w:t>米，雨水检查井</w:t>
      </w:r>
      <w:r>
        <w:rPr>
          <w:rFonts w:hint="eastAsia" w:ascii="宋体" w:hAnsi="宋体"/>
          <w:u w:val="single"/>
          <w:lang w:val="en-US" w:eastAsia="zh-CN"/>
        </w:rPr>
        <w:t>25</w:t>
      </w:r>
      <w:r>
        <w:rPr>
          <w:rFonts w:ascii="宋体" w:hAnsi="宋体"/>
          <w:u w:val="single"/>
        </w:rPr>
        <w:t xml:space="preserve"> </w:t>
      </w:r>
      <w:r>
        <w:rPr>
          <w:rFonts w:hint="eastAsia" w:ascii="宋体" w:hAnsi="宋体"/>
        </w:rPr>
        <w:t>座，化粪池</w:t>
      </w:r>
      <w:r>
        <w:rPr>
          <w:rFonts w:ascii="宋体" w:hAnsi="宋体"/>
          <w:u w:val="single"/>
        </w:rPr>
        <w:t xml:space="preserve"> </w:t>
      </w:r>
      <w:r>
        <w:rPr>
          <w:rFonts w:hint="eastAsia" w:ascii="宋体" w:hAnsi="宋体"/>
          <w:u w:val="single"/>
          <w:lang w:val="en-US" w:eastAsia="zh-CN"/>
        </w:rPr>
        <w:t>1</w:t>
      </w:r>
      <w:r>
        <w:rPr>
          <w:rFonts w:ascii="宋体" w:hAnsi="宋体"/>
          <w:u w:val="single"/>
        </w:rPr>
        <w:t xml:space="preserve"> </w:t>
      </w:r>
      <w:r>
        <w:rPr>
          <w:rFonts w:hint="eastAsia" w:ascii="宋体" w:hAnsi="宋体"/>
        </w:rPr>
        <w:t>座</w:t>
      </w:r>
    </w:p>
    <w:p w14:paraId="3493BEB5">
      <w:pPr>
        <w:spacing w:line="360" w:lineRule="auto"/>
        <w:ind w:firstLine="420" w:firstLineChars="200"/>
        <w:rPr>
          <w:rFonts w:ascii="宋体"/>
        </w:rPr>
      </w:pPr>
      <w:r>
        <w:rPr>
          <w:rFonts w:hint="eastAsia" w:ascii="宋体" w:hAnsi="宋体"/>
          <w:lang w:val="en-US" w:eastAsia="zh-CN"/>
        </w:rPr>
        <w:t>5</w:t>
      </w:r>
      <w:r>
        <w:rPr>
          <w:rFonts w:hint="eastAsia" w:ascii="宋体" w:hAnsi="宋体"/>
        </w:rPr>
        <w:t>、垃圾箱</w:t>
      </w:r>
      <w:r>
        <w:rPr>
          <w:rFonts w:ascii="宋体" w:hAnsi="宋体"/>
          <w:u w:val="single"/>
        </w:rPr>
        <w:t xml:space="preserve">  </w:t>
      </w:r>
      <w:r>
        <w:rPr>
          <w:rFonts w:hint="eastAsia" w:ascii="宋体" w:hAnsi="宋体"/>
          <w:u w:val="single"/>
          <w:lang w:val="en-US" w:eastAsia="zh-CN"/>
        </w:rPr>
        <w:t>15</w:t>
      </w:r>
      <w:r>
        <w:rPr>
          <w:rFonts w:ascii="宋体" w:hAnsi="宋体"/>
          <w:u w:val="single"/>
        </w:rPr>
        <w:t xml:space="preserve"> </w:t>
      </w:r>
      <w:r>
        <w:rPr>
          <w:rFonts w:hint="eastAsia" w:ascii="宋体" w:hAnsi="宋体"/>
        </w:rPr>
        <w:t>个，垃圾房（或垃圾中转站）建筑面积</w:t>
      </w:r>
      <w:r>
        <w:rPr>
          <w:rFonts w:ascii="宋体" w:hAnsi="宋体"/>
          <w:u w:val="single"/>
        </w:rPr>
        <w:t xml:space="preserve">   </w:t>
      </w:r>
      <w:r>
        <w:rPr>
          <w:rFonts w:hint="eastAsia" w:ascii="宋体" w:hAnsi="宋体"/>
          <w:u w:val="single"/>
          <w:lang w:val="en-US" w:eastAsia="zh-CN"/>
        </w:rPr>
        <w:t>10</w:t>
      </w:r>
      <w:r>
        <w:rPr>
          <w:rFonts w:ascii="宋体" w:hAnsi="宋体"/>
          <w:u w:val="single"/>
        </w:rPr>
        <w:t xml:space="preserve">    </w:t>
      </w:r>
      <w:r>
        <w:rPr>
          <w:rFonts w:hint="eastAsia" w:ascii="宋体" w:hAnsi="宋体"/>
        </w:rPr>
        <w:t>平方米；</w:t>
      </w:r>
    </w:p>
    <w:p w14:paraId="63FEAA86">
      <w:pPr>
        <w:spacing w:line="360" w:lineRule="auto"/>
        <w:ind w:firstLine="420" w:firstLineChars="200"/>
        <w:rPr>
          <w:rFonts w:ascii="宋体"/>
        </w:rPr>
      </w:pPr>
      <w:r>
        <w:rPr>
          <w:rFonts w:hint="eastAsia" w:ascii="宋体" w:hAnsi="宋体"/>
          <w:lang w:val="en-US" w:eastAsia="zh-CN"/>
        </w:rPr>
        <w:t>6</w:t>
      </w:r>
      <w:r>
        <w:rPr>
          <w:rFonts w:hint="eastAsia" w:ascii="宋体" w:hAnsi="宋体"/>
        </w:rPr>
        <w:t>、电梯</w:t>
      </w:r>
      <w:r>
        <w:rPr>
          <w:rFonts w:ascii="宋体" w:hAnsi="宋体"/>
          <w:u w:val="single"/>
        </w:rPr>
        <w:t xml:space="preserve"> </w:t>
      </w:r>
      <w:r>
        <w:rPr>
          <w:rFonts w:hint="eastAsia" w:ascii="宋体" w:hAnsi="宋体"/>
          <w:u w:val="single"/>
          <w:lang w:val="en-US" w:eastAsia="zh-CN"/>
        </w:rPr>
        <w:t>1</w:t>
      </w:r>
      <w:r>
        <w:rPr>
          <w:rFonts w:ascii="宋体" w:hAnsi="宋体"/>
          <w:u w:val="single"/>
        </w:rPr>
        <w:t xml:space="preserve"> </w:t>
      </w:r>
      <w:r>
        <w:rPr>
          <w:rFonts w:hint="eastAsia" w:ascii="宋体" w:hAnsi="宋体"/>
        </w:rPr>
        <w:t>台，功率</w:t>
      </w:r>
      <w:r>
        <w:rPr>
          <w:rFonts w:ascii="宋体" w:hAnsi="宋体"/>
          <w:u w:val="single"/>
        </w:rPr>
        <w:t xml:space="preserve">  </w:t>
      </w:r>
      <w:r>
        <w:rPr>
          <w:rFonts w:hint="eastAsia" w:ascii="宋体" w:hAnsi="宋体"/>
          <w:u w:val="single"/>
          <w:lang w:val="en-US" w:eastAsia="zh-CN"/>
        </w:rPr>
        <w:t>4.5</w:t>
      </w:r>
      <w:r>
        <w:rPr>
          <w:rFonts w:ascii="宋体" w:hAnsi="宋体"/>
          <w:u w:val="single"/>
        </w:rPr>
        <w:t xml:space="preserve">  </w:t>
      </w:r>
      <w:r>
        <w:rPr>
          <w:rFonts w:hint="eastAsia" w:ascii="宋体" w:hAnsi="宋体"/>
        </w:rPr>
        <w:t>千瓦，品牌型号</w:t>
      </w:r>
      <w:r>
        <w:rPr>
          <w:rFonts w:ascii="宋体" w:hAnsi="宋体"/>
          <w:u w:val="single"/>
        </w:rPr>
        <w:t xml:space="preserve"> </w:t>
      </w:r>
      <w:r>
        <w:rPr>
          <w:rFonts w:hint="eastAsia" w:ascii="宋体" w:hAnsi="宋体"/>
          <w:u w:val="single"/>
          <w:lang w:val="en-US" w:eastAsia="zh-CN"/>
        </w:rPr>
        <w:t>三菱</w:t>
      </w:r>
      <w:r>
        <w:rPr>
          <w:rFonts w:ascii="宋体" w:hAnsi="宋体"/>
          <w:u w:val="single"/>
        </w:rPr>
        <w:t xml:space="preserve">  </w:t>
      </w:r>
      <w:r>
        <w:rPr>
          <w:rFonts w:hint="eastAsia" w:ascii="宋体" w:hAnsi="宋体"/>
        </w:rPr>
        <w:t>，启用时间</w:t>
      </w:r>
      <w:r>
        <w:rPr>
          <w:rFonts w:ascii="宋体" w:hAnsi="宋体"/>
          <w:u w:val="single"/>
        </w:rPr>
        <w:t xml:space="preserve"> </w:t>
      </w:r>
      <w:r>
        <w:rPr>
          <w:rFonts w:hint="eastAsia" w:ascii="宋体" w:hAnsi="宋体"/>
          <w:u w:val="single"/>
          <w:lang w:val="en-US" w:eastAsia="zh-CN"/>
        </w:rPr>
        <w:t>2008年</w:t>
      </w:r>
      <w:r>
        <w:rPr>
          <w:rFonts w:ascii="宋体" w:hAnsi="宋体"/>
          <w:u w:val="single"/>
        </w:rPr>
        <w:t xml:space="preserve">  </w:t>
      </w:r>
      <w:r>
        <w:rPr>
          <w:rFonts w:hint="eastAsia" w:ascii="宋体" w:hAnsi="宋体"/>
        </w:rPr>
        <w:t>；</w:t>
      </w:r>
      <w:r>
        <w:rPr>
          <w:rFonts w:hint="eastAsia" w:ascii="宋体" w:hAnsi="宋体"/>
          <w:b/>
        </w:rPr>
        <w:t>（分楼描述）</w:t>
      </w:r>
    </w:p>
    <w:p w14:paraId="303711EB">
      <w:pPr>
        <w:spacing w:line="360" w:lineRule="auto"/>
        <w:ind w:firstLine="420" w:firstLineChars="200"/>
        <w:rPr>
          <w:rFonts w:ascii="宋体"/>
        </w:rPr>
      </w:pPr>
      <w:r>
        <w:rPr>
          <w:rFonts w:hint="eastAsia" w:ascii="宋体" w:hAnsi="宋体"/>
          <w:lang w:val="en-US" w:eastAsia="zh-CN"/>
        </w:rPr>
        <w:t>7、</w:t>
      </w:r>
      <w:r>
        <w:rPr>
          <w:rFonts w:hint="eastAsia" w:ascii="宋体" w:hAnsi="宋体"/>
        </w:rPr>
        <w:t>防水泵</w:t>
      </w:r>
      <w:r>
        <w:rPr>
          <w:rFonts w:ascii="宋体" w:hAnsi="宋体"/>
          <w:u w:val="single"/>
        </w:rPr>
        <w:t xml:space="preserve">  </w:t>
      </w:r>
      <w:r>
        <w:rPr>
          <w:rFonts w:hint="eastAsia" w:ascii="宋体" w:hAnsi="宋体"/>
          <w:u w:val="single"/>
          <w:lang w:val="en-US" w:eastAsia="zh-CN"/>
        </w:rPr>
        <w:t>2</w:t>
      </w:r>
      <w:r>
        <w:rPr>
          <w:rFonts w:ascii="宋体" w:hAnsi="宋体"/>
          <w:u w:val="single"/>
        </w:rPr>
        <w:t xml:space="preserve"> </w:t>
      </w:r>
      <w:r>
        <w:rPr>
          <w:rFonts w:hint="eastAsia" w:ascii="宋体" w:hAnsi="宋体"/>
        </w:rPr>
        <w:t>台，功率为</w:t>
      </w:r>
      <w:r>
        <w:rPr>
          <w:rFonts w:ascii="宋体" w:hAnsi="宋体"/>
          <w:u w:val="single"/>
        </w:rPr>
        <w:t xml:space="preserve"> </w:t>
      </w:r>
      <w:r>
        <w:rPr>
          <w:rFonts w:hint="eastAsia" w:ascii="宋体" w:hAnsi="宋体"/>
          <w:u w:val="single"/>
          <w:lang w:val="en-US" w:eastAsia="zh-CN"/>
        </w:rPr>
        <w:t>18.5</w:t>
      </w:r>
      <w:r>
        <w:rPr>
          <w:rFonts w:ascii="宋体" w:hAnsi="宋体"/>
          <w:u w:val="single"/>
        </w:rPr>
        <w:t xml:space="preserve"> </w:t>
      </w:r>
      <w:r>
        <w:rPr>
          <w:rFonts w:hint="eastAsia" w:ascii="宋体" w:hAnsi="宋体"/>
        </w:rPr>
        <w:t>千瓦</w:t>
      </w:r>
      <w:r>
        <w:rPr>
          <w:rFonts w:ascii="宋体" w:hAnsi="宋体"/>
        </w:rPr>
        <w:t>/</w:t>
      </w:r>
      <w:r>
        <w:rPr>
          <w:rFonts w:hint="eastAsia" w:ascii="宋体" w:hAnsi="宋体"/>
        </w:rPr>
        <w:t>台，启用时间</w:t>
      </w:r>
      <w:r>
        <w:rPr>
          <w:rFonts w:ascii="宋体" w:hAnsi="宋体"/>
          <w:u w:val="single"/>
        </w:rPr>
        <w:t xml:space="preserve">  </w:t>
      </w:r>
      <w:r>
        <w:rPr>
          <w:rFonts w:hint="eastAsia" w:ascii="宋体" w:hAnsi="宋体"/>
          <w:u w:val="single"/>
          <w:lang w:val="en-US" w:eastAsia="zh-CN"/>
        </w:rPr>
        <w:t>2012年</w:t>
      </w:r>
      <w:r>
        <w:rPr>
          <w:rFonts w:ascii="宋体" w:hAnsi="宋体"/>
          <w:u w:val="single"/>
        </w:rPr>
        <w:t xml:space="preserve">   </w:t>
      </w:r>
      <w:r>
        <w:rPr>
          <w:rFonts w:hint="eastAsia" w:ascii="宋体" w:hAnsi="宋体"/>
        </w:rPr>
        <w:t>；</w:t>
      </w:r>
      <w:r>
        <w:rPr>
          <w:rFonts w:hint="eastAsia" w:ascii="宋体" w:hAnsi="宋体"/>
          <w:b/>
        </w:rPr>
        <w:t>（分楼描述）</w:t>
      </w:r>
    </w:p>
    <w:p w14:paraId="3B5D2FEB">
      <w:pPr>
        <w:spacing w:line="360" w:lineRule="auto"/>
        <w:ind w:firstLine="420" w:firstLineChars="200"/>
        <w:rPr>
          <w:rFonts w:ascii="宋体"/>
        </w:rPr>
      </w:pPr>
      <w:r>
        <w:rPr>
          <w:rFonts w:hint="eastAsia" w:ascii="宋体" w:hAnsi="宋体"/>
          <w:lang w:val="en-US" w:eastAsia="zh-CN"/>
        </w:rPr>
        <w:t>8</w:t>
      </w:r>
      <w:r>
        <w:rPr>
          <w:rFonts w:hint="eastAsia" w:ascii="宋体" w:hAnsi="宋体"/>
        </w:rPr>
        <w:t>、消防自动报警系统情况及消防灭火器配备情况</w:t>
      </w:r>
      <w:r>
        <w:rPr>
          <w:rFonts w:ascii="宋体" w:hAnsi="宋体"/>
          <w:u w:val="single"/>
        </w:rPr>
        <w:t xml:space="preserve"> </w:t>
      </w:r>
      <w:r>
        <w:rPr>
          <w:rFonts w:hint="eastAsia" w:ascii="宋体" w:hAnsi="宋体"/>
          <w:u w:val="single"/>
          <w:lang w:val="en-US" w:eastAsia="zh-CN"/>
        </w:rPr>
        <w:t>业务楼一层配备火灾报警系统，业务楼二层配备火灾报警系统及部分区域配备消防喷淋系统，业务楼三层配备火灾报警系统及部分区域配备消防喷淋系统，业务楼一层至三层配备火灾报警系统，各区域内都配备灭火器</w:t>
      </w:r>
      <w:r>
        <w:rPr>
          <w:rFonts w:ascii="宋体" w:hAnsi="宋体"/>
          <w:u w:val="single"/>
        </w:rPr>
        <w:t xml:space="preserve">  </w:t>
      </w:r>
      <w:r>
        <w:rPr>
          <w:rFonts w:hint="eastAsia" w:ascii="宋体" w:hAnsi="宋体"/>
        </w:rPr>
        <w:t>；</w:t>
      </w:r>
      <w:r>
        <w:rPr>
          <w:rFonts w:hint="eastAsia" w:ascii="宋体" w:hAnsi="宋体"/>
          <w:b/>
        </w:rPr>
        <w:t>（分楼描述）</w:t>
      </w:r>
    </w:p>
    <w:p w14:paraId="6D72B93A">
      <w:pPr>
        <w:spacing w:line="360" w:lineRule="auto"/>
        <w:ind w:firstLine="360"/>
        <w:rPr>
          <w:rFonts w:ascii="宋体"/>
          <w:sz w:val="24"/>
          <w:szCs w:val="24"/>
        </w:rPr>
      </w:pPr>
    </w:p>
    <w:p w14:paraId="0C0909E0">
      <w:pPr>
        <w:spacing w:line="360" w:lineRule="auto"/>
        <w:rPr>
          <w:rFonts w:ascii="宋体"/>
          <w:sz w:val="24"/>
          <w:szCs w:val="24"/>
        </w:rPr>
      </w:pPr>
      <w:r>
        <w:rPr>
          <w:rFonts w:hint="eastAsia" w:ascii="宋体"/>
          <w:b/>
          <w:sz w:val="24"/>
          <w:szCs w:val="24"/>
        </w:rPr>
        <w:t>（二）各楼宇各层功能分布情况</w:t>
      </w:r>
    </w:p>
    <w:p w14:paraId="1CCEE984">
      <w:pPr>
        <w:spacing w:line="360" w:lineRule="auto"/>
        <w:rPr>
          <w:rFonts w:ascii="宋体"/>
        </w:rPr>
      </w:pPr>
      <w:r>
        <w:rPr>
          <w:rFonts w:hint="eastAsia" w:ascii="宋体"/>
        </w:rPr>
        <w:t>1、</w:t>
      </w:r>
      <w:r>
        <w:rPr>
          <w:rFonts w:ascii="宋体"/>
        </w:rPr>
        <w:t>1</w:t>
      </w:r>
      <w:r>
        <w:rPr>
          <w:rFonts w:hint="eastAsia" w:ascii="宋体"/>
        </w:rPr>
        <w:t>号楼</w:t>
      </w:r>
    </w:p>
    <w:p w14:paraId="68FA0602">
      <w:pPr>
        <w:spacing w:line="360" w:lineRule="auto"/>
        <w:ind w:firstLine="420" w:firstLineChars="200"/>
        <w:rPr>
          <w:rFonts w:hint="default" w:ascii="宋体" w:eastAsia="宋体"/>
          <w:lang w:val="en-US" w:eastAsia="zh-CN"/>
        </w:rPr>
      </w:pPr>
      <w:r>
        <w:rPr>
          <w:rFonts w:ascii="宋体"/>
        </w:rPr>
        <w:t>1F</w:t>
      </w:r>
      <w:r>
        <w:rPr>
          <w:rFonts w:hint="eastAsia" w:ascii="宋体"/>
        </w:rPr>
        <w:t>：大厅、</w:t>
      </w:r>
      <w:r>
        <w:rPr>
          <w:rFonts w:hint="eastAsia" w:ascii="宋体"/>
          <w:lang w:val="en-US" w:eastAsia="zh-CN"/>
        </w:rPr>
        <w:t>收费处</w:t>
      </w:r>
      <w:r>
        <w:rPr>
          <w:rFonts w:hint="eastAsia" w:ascii="宋体"/>
        </w:rPr>
        <w:t>、</w:t>
      </w:r>
      <w:r>
        <w:rPr>
          <w:rFonts w:hint="eastAsia" w:ascii="宋体"/>
          <w:lang w:val="en-US" w:eastAsia="zh-CN"/>
        </w:rPr>
        <w:t>中医</w:t>
      </w:r>
      <w:r>
        <w:rPr>
          <w:rFonts w:hint="eastAsia" w:ascii="宋体"/>
        </w:rPr>
        <w:t>、</w:t>
      </w:r>
      <w:r>
        <w:rPr>
          <w:rFonts w:hint="eastAsia" w:ascii="宋体"/>
          <w:lang w:val="en-US" w:eastAsia="zh-CN"/>
        </w:rPr>
        <w:t>药房</w:t>
      </w:r>
      <w:r>
        <w:rPr>
          <w:rFonts w:hint="eastAsia" w:ascii="宋体"/>
        </w:rPr>
        <w:t>、</w:t>
      </w:r>
      <w:r>
        <w:rPr>
          <w:rFonts w:hint="eastAsia" w:ascii="宋体"/>
          <w:lang w:val="en-US" w:eastAsia="zh-CN"/>
        </w:rPr>
        <w:t>配电间</w:t>
      </w:r>
      <w:r>
        <w:rPr>
          <w:rFonts w:hint="eastAsia" w:ascii="宋体"/>
        </w:rPr>
        <w:t>、</w:t>
      </w:r>
      <w:r>
        <w:rPr>
          <w:rFonts w:hint="eastAsia" w:ascii="宋体"/>
          <w:lang w:val="en-US" w:eastAsia="zh-CN"/>
        </w:rPr>
        <w:t>五官科</w:t>
      </w:r>
      <w:r>
        <w:rPr>
          <w:rFonts w:hint="eastAsia" w:ascii="宋体"/>
        </w:rPr>
        <w:t>、</w:t>
      </w:r>
      <w:r>
        <w:rPr>
          <w:rFonts w:hint="eastAsia" w:ascii="宋体"/>
          <w:lang w:val="en-US" w:eastAsia="zh-CN"/>
        </w:rPr>
        <w:t>妇科</w:t>
      </w:r>
      <w:r>
        <w:rPr>
          <w:rFonts w:hint="eastAsia" w:ascii="宋体"/>
        </w:rPr>
        <w:t>、</w:t>
      </w:r>
      <w:r>
        <w:rPr>
          <w:rFonts w:hint="eastAsia" w:ascii="宋体"/>
          <w:lang w:val="en-US" w:eastAsia="zh-CN"/>
        </w:rPr>
        <w:t>输液室</w:t>
      </w:r>
      <w:r>
        <w:rPr>
          <w:rFonts w:hint="eastAsia" w:ascii="宋体"/>
        </w:rPr>
        <w:t>、</w:t>
      </w:r>
      <w:r>
        <w:rPr>
          <w:rFonts w:hint="eastAsia" w:ascii="宋体"/>
          <w:lang w:val="en-US" w:eastAsia="zh-CN"/>
        </w:rPr>
        <w:t>放射科等。</w:t>
      </w:r>
    </w:p>
    <w:p w14:paraId="611E7AD6">
      <w:pPr>
        <w:spacing w:line="360" w:lineRule="auto"/>
        <w:ind w:firstLine="420"/>
        <w:rPr>
          <w:rFonts w:hint="eastAsia" w:ascii="宋体"/>
          <w:lang w:val="en-US" w:eastAsia="zh-CN"/>
        </w:rPr>
      </w:pPr>
      <w:r>
        <w:rPr>
          <w:rFonts w:ascii="宋体"/>
        </w:rPr>
        <w:t>2F</w:t>
      </w:r>
      <w:r>
        <w:rPr>
          <w:rFonts w:hint="eastAsia" w:ascii="宋体"/>
        </w:rPr>
        <w:t>：</w:t>
      </w:r>
      <w:r>
        <w:rPr>
          <w:rFonts w:hint="eastAsia" w:ascii="宋体"/>
          <w:lang w:val="en-US" w:eastAsia="zh-CN"/>
        </w:rPr>
        <w:t>病房</w:t>
      </w:r>
      <w:r>
        <w:rPr>
          <w:rFonts w:hint="eastAsia" w:ascii="宋体"/>
        </w:rPr>
        <w:t>、</w:t>
      </w:r>
      <w:r>
        <w:rPr>
          <w:rFonts w:hint="eastAsia" w:ascii="宋体"/>
          <w:lang w:val="en-US" w:eastAsia="zh-CN"/>
        </w:rPr>
        <w:t>全科</w:t>
      </w:r>
      <w:r>
        <w:rPr>
          <w:rFonts w:hint="eastAsia" w:ascii="宋体"/>
        </w:rPr>
        <w:t>、</w:t>
      </w:r>
      <w:r>
        <w:rPr>
          <w:rFonts w:hint="eastAsia" w:ascii="宋体"/>
          <w:lang w:val="en-US" w:eastAsia="zh-CN"/>
        </w:rPr>
        <w:t>外科</w:t>
      </w:r>
      <w:r>
        <w:rPr>
          <w:rFonts w:hint="eastAsia" w:ascii="宋体"/>
        </w:rPr>
        <w:t>、</w:t>
      </w:r>
      <w:r>
        <w:rPr>
          <w:rFonts w:hint="eastAsia" w:ascii="宋体"/>
          <w:lang w:val="en-US" w:eastAsia="zh-CN"/>
        </w:rPr>
        <w:t>心电图</w:t>
      </w:r>
      <w:r>
        <w:rPr>
          <w:rFonts w:hint="eastAsia" w:ascii="宋体"/>
        </w:rPr>
        <w:t>、</w:t>
      </w:r>
      <w:r>
        <w:rPr>
          <w:rFonts w:hint="eastAsia" w:ascii="宋体"/>
          <w:lang w:val="en-US" w:eastAsia="zh-CN"/>
        </w:rPr>
        <w:t>B超</w:t>
      </w:r>
      <w:r>
        <w:rPr>
          <w:rFonts w:hint="eastAsia" w:ascii="宋体"/>
        </w:rPr>
        <w:t>、</w:t>
      </w:r>
      <w:r>
        <w:rPr>
          <w:rFonts w:hint="eastAsia" w:ascii="宋体"/>
          <w:lang w:val="en-US" w:eastAsia="zh-CN"/>
        </w:rPr>
        <w:t>检验科</w:t>
      </w:r>
      <w:r>
        <w:rPr>
          <w:rFonts w:hint="eastAsia" w:ascii="宋体"/>
        </w:rPr>
        <w:t>、</w:t>
      </w:r>
      <w:r>
        <w:rPr>
          <w:rFonts w:hint="eastAsia" w:ascii="宋体"/>
          <w:lang w:val="en-US" w:eastAsia="zh-CN"/>
        </w:rPr>
        <w:t>信息科等。</w:t>
      </w:r>
    </w:p>
    <w:p w14:paraId="1365D5F6">
      <w:pPr>
        <w:spacing w:line="360" w:lineRule="auto"/>
        <w:ind w:firstLine="420"/>
        <w:rPr>
          <w:rFonts w:hint="default" w:ascii="宋体" w:eastAsia="宋体"/>
          <w:lang w:val="en-US" w:eastAsia="zh-CN"/>
        </w:rPr>
      </w:pPr>
      <w:r>
        <w:rPr>
          <w:rFonts w:hint="eastAsia" w:ascii="宋体"/>
          <w:lang w:val="en-US" w:eastAsia="zh-CN"/>
        </w:rPr>
        <w:t>3</w:t>
      </w:r>
      <w:r>
        <w:rPr>
          <w:rFonts w:ascii="宋体"/>
        </w:rPr>
        <w:t>F</w:t>
      </w:r>
      <w:r>
        <w:rPr>
          <w:rFonts w:hint="eastAsia" w:ascii="宋体"/>
        </w:rPr>
        <w:t>：</w:t>
      </w:r>
      <w:r>
        <w:rPr>
          <w:rFonts w:hint="eastAsia" w:ascii="宋体"/>
          <w:lang w:val="en-US" w:eastAsia="zh-CN"/>
        </w:rPr>
        <w:t>病房</w:t>
      </w:r>
      <w:r>
        <w:rPr>
          <w:rFonts w:hint="eastAsia" w:ascii="宋体"/>
        </w:rPr>
        <w:t>、</w:t>
      </w:r>
      <w:r>
        <w:rPr>
          <w:rFonts w:hint="eastAsia" w:ascii="宋体"/>
          <w:lang w:val="en-US" w:eastAsia="zh-CN"/>
        </w:rPr>
        <w:t>康复</w:t>
      </w:r>
      <w:r>
        <w:rPr>
          <w:rFonts w:hint="eastAsia" w:ascii="宋体"/>
        </w:rPr>
        <w:t>、</w:t>
      </w:r>
      <w:r>
        <w:rPr>
          <w:rFonts w:hint="eastAsia" w:ascii="宋体"/>
          <w:lang w:val="en-US" w:eastAsia="zh-CN"/>
        </w:rPr>
        <w:t>大会议室等。</w:t>
      </w:r>
    </w:p>
    <w:p w14:paraId="1B5795FF">
      <w:pPr>
        <w:spacing w:line="360" w:lineRule="auto"/>
        <w:rPr>
          <w:rFonts w:ascii="宋体"/>
        </w:rPr>
      </w:pPr>
      <w:r>
        <w:rPr>
          <w:rFonts w:hint="eastAsia" w:ascii="宋体"/>
        </w:rPr>
        <w:t>2、</w:t>
      </w:r>
      <w:r>
        <w:rPr>
          <w:rFonts w:ascii="宋体"/>
        </w:rPr>
        <w:t>2</w:t>
      </w:r>
      <w:r>
        <w:rPr>
          <w:rFonts w:hint="eastAsia" w:ascii="宋体"/>
        </w:rPr>
        <w:t>号楼</w:t>
      </w:r>
    </w:p>
    <w:p w14:paraId="73AFBFB0">
      <w:pPr>
        <w:spacing w:line="360" w:lineRule="auto"/>
        <w:ind w:firstLine="420" w:firstLineChars="200"/>
        <w:rPr>
          <w:rFonts w:hint="default" w:ascii="宋体" w:eastAsia="宋体"/>
          <w:lang w:val="en-US" w:eastAsia="zh-CN"/>
        </w:rPr>
      </w:pPr>
      <w:r>
        <w:rPr>
          <w:rFonts w:ascii="宋体"/>
        </w:rPr>
        <w:t>1F</w:t>
      </w:r>
      <w:r>
        <w:rPr>
          <w:rFonts w:hint="eastAsia" w:ascii="宋体"/>
        </w:rPr>
        <w:t>：</w:t>
      </w:r>
      <w:r>
        <w:rPr>
          <w:rFonts w:hint="eastAsia" w:ascii="宋体"/>
          <w:lang w:val="en-US" w:eastAsia="zh-CN"/>
        </w:rPr>
        <w:t>口腔科</w:t>
      </w:r>
    </w:p>
    <w:p w14:paraId="6510FD05">
      <w:pPr>
        <w:spacing w:line="360" w:lineRule="auto"/>
        <w:ind w:firstLine="420"/>
        <w:rPr>
          <w:rFonts w:hint="eastAsia" w:ascii="宋体"/>
          <w:lang w:val="en-US" w:eastAsia="zh-CN"/>
        </w:rPr>
      </w:pPr>
      <w:r>
        <w:rPr>
          <w:rFonts w:ascii="宋体"/>
        </w:rPr>
        <w:t>2F</w:t>
      </w:r>
      <w:r>
        <w:rPr>
          <w:rFonts w:hint="eastAsia" w:ascii="宋体"/>
        </w:rPr>
        <w:t>：</w:t>
      </w:r>
      <w:r>
        <w:rPr>
          <w:rFonts w:hint="eastAsia" w:ascii="宋体"/>
          <w:lang w:val="en-US" w:eastAsia="zh-CN"/>
        </w:rPr>
        <w:t>办公室</w:t>
      </w:r>
    </w:p>
    <w:p w14:paraId="0B7E537B">
      <w:pPr>
        <w:spacing w:line="360" w:lineRule="auto"/>
        <w:ind w:firstLine="420" w:firstLineChars="200"/>
        <w:rPr>
          <w:rFonts w:hint="eastAsia" w:ascii="宋体"/>
          <w:lang w:val="en-US" w:eastAsia="zh-CN"/>
        </w:rPr>
      </w:pPr>
      <w:r>
        <w:rPr>
          <w:rFonts w:hint="eastAsia" w:ascii="宋体"/>
          <w:lang w:val="en-US" w:eastAsia="zh-CN"/>
        </w:rPr>
        <w:t>3</w:t>
      </w:r>
      <w:r>
        <w:rPr>
          <w:rFonts w:ascii="宋体"/>
        </w:rPr>
        <w:t>F</w:t>
      </w:r>
      <w:r>
        <w:rPr>
          <w:rFonts w:hint="eastAsia" w:ascii="宋体"/>
        </w:rPr>
        <w:t>：</w:t>
      </w:r>
      <w:r>
        <w:rPr>
          <w:rFonts w:hint="eastAsia" w:ascii="宋体"/>
          <w:lang w:val="en-US" w:eastAsia="zh-CN"/>
        </w:rPr>
        <w:t>办公室</w:t>
      </w:r>
    </w:p>
    <w:p w14:paraId="390E47A9">
      <w:pPr>
        <w:numPr>
          <w:ilvl w:val="0"/>
          <w:numId w:val="1"/>
        </w:numPr>
        <w:spacing w:line="360" w:lineRule="auto"/>
        <w:rPr>
          <w:rFonts w:hint="eastAsia" w:ascii="宋体"/>
          <w:lang w:val="en-US" w:eastAsia="zh-CN"/>
        </w:rPr>
      </w:pPr>
      <w:r>
        <w:rPr>
          <w:rFonts w:hint="eastAsia" w:ascii="宋体"/>
          <w:lang w:val="en-US" w:eastAsia="zh-CN"/>
        </w:rPr>
        <w:t>外围</w:t>
      </w:r>
    </w:p>
    <w:p w14:paraId="62907A4B">
      <w:pPr>
        <w:numPr>
          <w:ilvl w:val="0"/>
          <w:numId w:val="0"/>
        </w:numPr>
        <w:spacing w:line="360" w:lineRule="auto"/>
        <w:rPr>
          <w:rFonts w:hint="default" w:ascii="宋体" w:eastAsia="宋体"/>
          <w:lang w:val="en-US" w:eastAsia="zh-CN"/>
        </w:rPr>
      </w:pPr>
      <w:r>
        <w:rPr>
          <w:rFonts w:hint="eastAsia" w:ascii="宋体"/>
          <w:lang w:val="en-US" w:eastAsia="zh-CN"/>
        </w:rPr>
        <w:t xml:space="preserve">    社区部</w:t>
      </w:r>
      <w:r>
        <w:rPr>
          <w:rFonts w:hint="eastAsia" w:ascii="宋体"/>
        </w:rPr>
        <w:t>、</w:t>
      </w:r>
      <w:r>
        <w:rPr>
          <w:rFonts w:hint="eastAsia" w:ascii="宋体"/>
          <w:lang w:val="en-US" w:eastAsia="zh-CN"/>
        </w:rPr>
        <w:t>中药房</w:t>
      </w:r>
      <w:r>
        <w:rPr>
          <w:rFonts w:hint="eastAsia" w:ascii="宋体"/>
        </w:rPr>
        <w:t>、</w:t>
      </w:r>
      <w:r>
        <w:rPr>
          <w:rFonts w:hint="eastAsia" w:ascii="宋体"/>
          <w:lang w:val="en-US" w:eastAsia="zh-CN"/>
        </w:rPr>
        <w:t>计免儿保</w:t>
      </w:r>
      <w:r>
        <w:rPr>
          <w:rFonts w:hint="eastAsia" w:ascii="宋体"/>
        </w:rPr>
        <w:t>、</w:t>
      </w:r>
      <w:r>
        <w:rPr>
          <w:rFonts w:hint="eastAsia" w:ascii="宋体"/>
          <w:lang w:val="en-US" w:eastAsia="zh-CN"/>
        </w:rPr>
        <w:t>裙房</w:t>
      </w:r>
      <w:r>
        <w:rPr>
          <w:rFonts w:hint="eastAsia" w:ascii="宋体"/>
        </w:rPr>
        <w:t>、</w:t>
      </w:r>
      <w:r>
        <w:rPr>
          <w:rFonts w:hint="eastAsia" w:ascii="宋体"/>
          <w:lang w:val="en-US" w:eastAsia="zh-CN"/>
        </w:rPr>
        <w:t>氧气房</w:t>
      </w:r>
      <w:r>
        <w:rPr>
          <w:rFonts w:hint="eastAsia" w:ascii="宋体"/>
        </w:rPr>
        <w:t>、</w:t>
      </w:r>
      <w:r>
        <w:rPr>
          <w:rFonts w:hint="eastAsia" w:ascii="宋体"/>
          <w:lang w:val="en-US" w:eastAsia="zh-CN"/>
        </w:rPr>
        <w:t>停尸房</w:t>
      </w:r>
      <w:r>
        <w:rPr>
          <w:rFonts w:hint="eastAsia" w:ascii="宋体"/>
        </w:rPr>
        <w:t>、</w:t>
      </w:r>
      <w:r>
        <w:rPr>
          <w:rFonts w:hint="eastAsia" w:ascii="宋体"/>
          <w:lang w:val="en-US" w:eastAsia="zh-CN"/>
        </w:rPr>
        <w:t>消防泵房</w:t>
      </w:r>
      <w:r>
        <w:rPr>
          <w:rFonts w:hint="eastAsia" w:ascii="宋体"/>
        </w:rPr>
        <w:t>、</w:t>
      </w:r>
      <w:r>
        <w:rPr>
          <w:rFonts w:hint="eastAsia" w:ascii="宋体"/>
          <w:lang w:val="en-US" w:eastAsia="zh-CN"/>
        </w:rPr>
        <w:t>门卫室等</w:t>
      </w:r>
    </w:p>
    <w:p w14:paraId="1F4EBA7B">
      <w:pPr>
        <w:spacing w:line="360" w:lineRule="auto"/>
        <w:ind w:firstLine="525" w:firstLineChars="250"/>
        <w:rPr>
          <w:rFonts w:ascii="宋体"/>
        </w:rPr>
      </w:pPr>
    </w:p>
    <w:p w14:paraId="592936F9">
      <w:pPr>
        <w:pStyle w:val="4"/>
        <w:spacing w:line="360" w:lineRule="auto"/>
        <w:rPr>
          <w:b/>
          <w:sz w:val="24"/>
          <w:szCs w:val="24"/>
        </w:rPr>
      </w:pPr>
      <w:r>
        <w:rPr>
          <w:rFonts w:hint="eastAsia"/>
          <w:b/>
          <w:sz w:val="24"/>
          <w:szCs w:val="24"/>
        </w:rPr>
        <w:t>二、物业管理服务要求</w:t>
      </w:r>
    </w:p>
    <w:p w14:paraId="46A1510A">
      <w:pPr>
        <w:widowControl/>
        <w:spacing w:before="100" w:beforeAutospacing="1" w:after="100" w:afterAutospacing="1"/>
        <w:jc w:val="left"/>
        <w:rPr>
          <w:rFonts w:cs="宋体"/>
          <w:b/>
          <w:bCs/>
          <w:color w:val="000000"/>
          <w:kern w:val="0"/>
          <w:sz w:val="24"/>
        </w:rPr>
      </w:pPr>
      <w:r>
        <w:rPr>
          <w:rFonts w:hint="eastAsia" w:cs="宋体"/>
          <w:b/>
          <w:bCs/>
          <w:color w:val="000000"/>
          <w:kern w:val="0"/>
          <w:sz w:val="24"/>
        </w:rPr>
        <w:t>（一）总体管理目标：</w:t>
      </w:r>
    </w:p>
    <w:p w14:paraId="568C06C7">
      <w:pPr>
        <w:widowControl/>
        <w:spacing w:before="100" w:beforeAutospacing="1" w:after="100" w:afterAutospacing="1"/>
        <w:ind w:firstLine="117" w:firstLineChars="49"/>
        <w:jc w:val="left"/>
        <w:rPr>
          <w:rFonts w:cs="宋体"/>
          <w:bCs/>
          <w:color w:val="000000"/>
          <w:kern w:val="0"/>
          <w:sz w:val="24"/>
        </w:rPr>
      </w:pPr>
      <w:r>
        <w:rPr>
          <w:rFonts w:hint="eastAsia" w:cs="宋体"/>
          <w:bCs/>
          <w:color w:val="000000"/>
          <w:kern w:val="0"/>
          <w:sz w:val="24"/>
        </w:rPr>
        <w:t>1、服务期限</w:t>
      </w:r>
    </w:p>
    <w:p w14:paraId="5B711808">
      <w:pPr>
        <w:numPr>
          <w:ilvl w:val="0"/>
          <w:numId w:val="0"/>
        </w:numPr>
        <w:spacing w:line="360" w:lineRule="auto"/>
        <w:ind w:firstLine="630" w:firstLineChars="300"/>
        <w:rPr>
          <w:rFonts w:hint="eastAsia" w:ascii="宋体"/>
          <w:lang w:val="en-US" w:eastAsia="zh-CN"/>
        </w:rPr>
      </w:pPr>
      <w:r>
        <w:rPr>
          <w:rFonts w:hint="eastAsia" w:ascii="宋体"/>
          <w:lang w:val="en-US" w:eastAsia="zh-CN"/>
        </w:rPr>
        <w:t>自 2026 年 1 月1日起至2026年 12 月31日止</w:t>
      </w:r>
      <w:bookmarkStart w:id="0" w:name="交付日期"/>
      <w:r>
        <w:rPr>
          <w:rFonts w:hint="eastAsia" w:ascii="宋体"/>
          <w:lang w:val="en-US" w:eastAsia="zh-CN"/>
        </w:rPr>
        <w:t>。项目服务期限自合同签订生效之日起</w:t>
      </w:r>
      <w:bookmarkEnd w:id="0"/>
      <w:r>
        <w:rPr>
          <w:rFonts w:hint="eastAsia" w:ascii="宋体"/>
          <w:lang w:val="en-US" w:eastAsia="zh-CN"/>
        </w:rPr>
        <w:t>。</w:t>
      </w:r>
    </w:p>
    <w:p w14:paraId="46CD7AA2">
      <w:pPr>
        <w:widowControl/>
        <w:spacing w:before="100" w:beforeAutospacing="1" w:after="100" w:afterAutospacing="1"/>
        <w:ind w:firstLine="102" w:firstLineChars="49"/>
        <w:jc w:val="left"/>
      </w:pPr>
      <w:r>
        <w:rPr>
          <w:rFonts w:hint="eastAsia"/>
        </w:rPr>
        <w:t>2、物业管理</w:t>
      </w:r>
      <w:r>
        <w:rPr>
          <w:rFonts w:hint="eastAsia"/>
          <w:lang w:val="en-US" w:eastAsia="zh-CN"/>
        </w:rPr>
        <w:t>服务</w:t>
      </w:r>
      <w:r>
        <w:rPr>
          <w:rFonts w:hint="eastAsia"/>
        </w:rPr>
        <w:t>目标</w:t>
      </w:r>
    </w:p>
    <w:p w14:paraId="6DCC2313">
      <w:pPr>
        <w:pStyle w:val="17"/>
        <w:widowControl/>
        <w:spacing w:line="360" w:lineRule="auto"/>
        <w:ind w:left="0" w:leftChars="0" w:firstLine="420" w:firstLineChars="200"/>
        <w:jc w:val="left"/>
        <w:rPr>
          <w:rFonts w:ascii="Calibri" w:hAnsi="Calibri"/>
          <w:szCs w:val="22"/>
          <w:u w:val="none"/>
        </w:rPr>
      </w:pPr>
      <w:r>
        <w:rPr>
          <w:rFonts w:hint="eastAsia" w:eastAsia="宋体" w:cs="Times New Roman"/>
          <w:u w:val="none"/>
          <w:lang w:eastAsia="zh-CN"/>
        </w:rPr>
        <w:t>总体管理</w:t>
      </w:r>
      <w:r>
        <w:rPr>
          <w:rFonts w:hint="eastAsia" w:cs="Times New Roman"/>
          <w:u w:val="none"/>
          <w:lang w:val="en-US" w:eastAsia="zh-CN"/>
        </w:rPr>
        <w:t>服务</w:t>
      </w:r>
      <w:r>
        <w:rPr>
          <w:rFonts w:hint="eastAsia" w:eastAsia="宋体" w:cs="Times New Roman"/>
          <w:u w:val="none"/>
          <w:lang w:eastAsia="zh-CN"/>
        </w:rPr>
        <w:t>目标是：在物业项目硬件达到相应物业主管部门专业考评标准、且符合物业考评条件的前提下，医院的物业管理服务一年内达优标准。</w:t>
      </w:r>
    </w:p>
    <w:p w14:paraId="744F1183">
      <w:pPr>
        <w:widowControl/>
        <w:spacing w:before="100" w:beforeAutospacing="1" w:after="100" w:afterAutospacing="1"/>
        <w:jc w:val="left"/>
        <w:rPr>
          <w:rFonts w:cs="宋体"/>
          <w:b/>
          <w:bCs/>
          <w:color w:val="000000"/>
          <w:kern w:val="0"/>
          <w:sz w:val="24"/>
        </w:rPr>
      </w:pPr>
      <w:r>
        <w:rPr>
          <w:rFonts w:hint="eastAsia" w:cs="宋体"/>
          <w:b/>
          <w:bCs/>
          <w:color w:val="000000"/>
          <w:kern w:val="0"/>
          <w:sz w:val="24"/>
        </w:rPr>
        <w:t>（二）其他管理要求</w:t>
      </w:r>
    </w:p>
    <w:p w14:paraId="5D8111B6">
      <w:pPr>
        <w:spacing w:line="360" w:lineRule="auto"/>
        <w:contextualSpacing/>
      </w:pPr>
      <w:r>
        <w:rPr>
          <w:rFonts w:hint="eastAsia" w:ascii="宋体" w:hAnsi="宋体" w:cs="宋体"/>
          <w:color w:val="000000"/>
          <w:kern w:val="0"/>
          <w:sz w:val="24"/>
        </w:rPr>
        <w:t xml:space="preserve">    </w:t>
      </w:r>
      <w:r>
        <w:rPr>
          <w:rFonts w:hint="eastAsia"/>
        </w:rPr>
        <w:t>1.项目经理受业主方委托，代表业主方，依据服务合同和约定，对内管理整个物业，组织专业化的服务；对外先行承担与物业管理相关的责任，履行相关义务，代表业主方与物业管理所涉及的各有关方面交涉，维护业主方的合法权益，并提醒业主方遵守与物业管理有关的法规政策，履行应尽的责任和义务。</w:t>
      </w:r>
    </w:p>
    <w:p w14:paraId="360705A6">
      <w:pPr>
        <w:spacing w:line="360" w:lineRule="auto"/>
        <w:contextualSpacing/>
      </w:pPr>
      <w:r>
        <w:rPr>
          <w:rFonts w:hint="eastAsia"/>
        </w:rPr>
        <w:t xml:space="preserve">    2.本次物业服务内容包括</w:t>
      </w:r>
      <w:r>
        <w:rPr>
          <w:rFonts w:hint="eastAsia"/>
          <w:lang w:eastAsia="zh-CN"/>
        </w:rPr>
        <w:t>：</w:t>
      </w:r>
      <w:r>
        <w:rPr>
          <w:rFonts w:hint="eastAsia"/>
          <w:u w:val="none"/>
          <w:lang w:val="en-US" w:eastAsia="zh-CN"/>
        </w:rPr>
        <w:t>1、</w:t>
      </w:r>
      <w:r>
        <w:rPr>
          <w:rFonts w:hint="eastAsia"/>
          <w:u w:val="none"/>
        </w:rPr>
        <w:t>保洁</w:t>
      </w:r>
      <w:r>
        <w:rPr>
          <w:rFonts w:hint="eastAsia"/>
          <w:u w:val="none"/>
          <w:lang w:val="en-US" w:eastAsia="zh-CN"/>
        </w:rPr>
        <w:t>清洁服务；2、保安</w:t>
      </w:r>
      <w:r>
        <w:rPr>
          <w:rFonts w:hint="eastAsia" w:cs="Times New Roman"/>
          <w:u w:val="none"/>
          <w:lang w:val="en-US" w:eastAsia="zh-CN"/>
        </w:rPr>
        <w:t>安全巡查，</w:t>
      </w:r>
      <w:r>
        <w:rPr>
          <w:rFonts w:hint="eastAsia" w:eastAsia="宋体" w:cs="Times New Roman"/>
          <w:u w:val="none"/>
        </w:rPr>
        <w:t>公共秩</w:t>
      </w:r>
      <w:r>
        <w:rPr>
          <w:rFonts w:hint="eastAsia"/>
          <w:u w:val="none"/>
        </w:rPr>
        <w:t>序维护</w:t>
      </w:r>
      <w:r>
        <w:rPr>
          <w:rFonts w:hint="eastAsia"/>
          <w:u w:val="none"/>
          <w:lang w:eastAsia="zh-CN"/>
        </w:rPr>
        <w:t>，</w:t>
      </w:r>
      <w:r>
        <w:rPr>
          <w:rFonts w:hint="eastAsia"/>
          <w:u w:val="none"/>
          <w:lang w:val="en-US" w:eastAsia="zh-CN"/>
        </w:rPr>
        <w:t>消控室值守，车辆出入管理等；3</w:t>
      </w:r>
      <w:r>
        <w:rPr>
          <w:rFonts w:hint="eastAsia"/>
          <w:u w:val="none"/>
        </w:rPr>
        <w:t>、</w:t>
      </w:r>
      <w:r>
        <w:rPr>
          <w:rFonts w:hint="eastAsia"/>
          <w:u w:val="none"/>
          <w:lang w:val="en-US" w:eastAsia="zh-CN"/>
        </w:rPr>
        <w:t>综合维修，电力日常巡检，空调日常清洗及消毒等；4、病房餐饮监管与协调；5、全院员工工服，病房床单，枕套，被套等清洗整理与发放；6、后勤保障等</w:t>
      </w:r>
      <w:r>
        <w:rPr>
          <w:rFonts w:hint="eastAsia"/>
          <w:u w:val="none"/>
        </w:rPr>
        <w:t>延伸服务内容。</w:t>
      </w:r>
    </w:p>
    <w:p w14:paraId="29DC9AD0">
      <w:pPr>
        <w:spacing w:line="360" w:lineRule="auto"/>
        <w:ind w:firstLine="420" w:firstLineChars="200"/>
        <w:contextualSpacing/>
        <w:rPr>
          <w:rFonts w:hint="eastAsia"/>
        </w:rPr>
      </w:pPr>
      <w:r>
        <w:rPr>
          <w:rFonts w:hint="eastAsia"/>
        </w:rPr>
        <w:t>3.服务费应包括</w:t>
      </w:r>
      <w:r>
        <w:rPr>
          <w:rFonts w:hint="eastAsia"/>
          <w:lang w:eastAsia="zh-CN"/>
        </w:rPr>
        <w:t>：</w:t>
      </w:r>
      <w:r>
        <w:rPr>
          <w:rFonts w:hint="eastAsia"/>
          <w:color w:val="auto"/>
          <w:u w:val="none"/>
        </w:rPr>
        <w:t>人工综合费用（人员工资、奖金、</w:t>
      </w:r>
      <w:r>
        <w:rPr>
          <w:rFonts w:hint="eastAsia"/>
          <w:color w:val="auto"/>
          <w:u w:val="none"/>
          <w:lang w:val="en-US" w:eastAsia="zh-CN"/>
        </w:rPr>
        <w:t>保险</w:t>
      </w:r>
      <w:r>
        <w:rPr>
          <w:rFonts w:hint="eastAsia"/>
          <w:color w:val="auto"/>
          <w:u w:val="none"/>
        </w:rPr>
        <w:t>、</w:t>
      </w:r>
      <w:r>
        <w:rPr>
          <w:rFonts w:hint="eastAsia"/>
          <w:color w:val="auto"/>
          <w:u w:val="none"/>
          <w:lang w:val="en-US" w:eastAsia="zh-CN"/>
        </w:rPr>
        <w:t>管理费、所需设备配置费、</w:t>
      </w:r>
      <w:r>
        <w:rPr>
          <w:rFonts w:hint="eastAsia"/>
          <w:color w:val="auto"/>
          <w:u w:val="none"/>
        </w:rPr>
        <w:t>国定节假日加班费、工作餐费、高温费、审证费、劳防用品费、员工通讯费、带薪休假、员工工作服装费、退工费等项）、管理酬金、法定税金等物业公司为完成本项目工作所涉及的全部费用。</w:t>
      </w:r>
    </w:p>
    <w:p w14:paraId="671C02AE">
      <w:pPr>
        <w:spacing w:line="360" w:lineRule="auto"/>
        <w:contextualSpacing/>
        <w:rPr>
          <w:rFonts w:hint="default" w:eastAsia="宋体"/>
          <w:color w:val="auto"/>
          <w:lang w:val="en-US" w:eastAsia="zh-CN"/>
        </w:rPr>
      </w:pPr>
      <w:r>
        <w:rPr>
          <w:rFonts w:hint="eastAsia"/>
          <w:lang w:val="en-US" w:eastAsia="zh-CN"/>
        </w:rPr>
        <w:t xml:space="preserve">   </w:t>
      </w:r>
      <w:r>
        <w:rPr>
          <w:rFonts w:hint="eastAsia"/>
          <w:color w:val="auto"/>
          <w:lang w:val="en-US" w:eastAsia="zh-CN"/>
        </w:rPr>
        <w:t xml:space="preserve"> 4.本次报价按岗位设置报价（保洁岗位按保洁岗位岗报价，保安岗按保安岗位报价、综合维修工岗报价、后勤服务岗报价、收费岗报价等）</w:t>
      </w:r>
    </w:p>
    <w:p w14:paraId="5A5C2E66">
      <w:pPr>
        <w:spacing w:line="360" w:lineRule="auto"/>
        <w:ind w:firstLine="420" w:firstLineChars="200"/>
      </w:pPr>
      <w:r>
        <w:rPr>
          <w:rFonts w:hint="eastAsia"/>
          <w:lang w:val="en-US" w:eastAsia="zh-CN"/>
        </w:rPr>
        <w:t>5</w:t>
      </w:r>
      <w:r>
        <w:rPr>
          <w:rFonts w:hint="eastAsia"/>
        </w:rPr>
        <w:t>.管理人员资格要求</w:t>
      </w:r>
    </w:p>
    <w:p w14:paraId="2DAFF0B9">
      <w:pPr>
        <w:spacing w:line="280" w:lineRule="exact"/>
        <w:ind w:firstLine="420" w:firstLineChars="200"/>
        <w:jc w:val="both"/>
        <w:rPr>
          <w:rFonts w:asciiTheme="minorEastAsia" w:hAnsiTheme="minorEastAsia" w:eastAsiaTheme="minorEastAsia"/>
          <w:color w:val="000000" w:themeColor="text1"/>
          <w:szCs w:val="21"/>
          <w:u w:val="single"/>
          <w14:textFill>
            <w14:solidFill>
              <w14:schemeClr w14:val="tx1"/>
            </w14:solidFill>
          </w14:textFill>
        </w:rPr>
      </w:pPr>
      <w:r>
        <w:rPr>
          <w:rFonts w:hint="eastAsia" w:ascii="宋体" w:hAnsi="Courier New"/>
          <w:szCs w:val="20"/>
        </w:rPr>
        <w:t xml:space="preserve">(1) 项目经理: </w:t>
      </w:r>
      <w:r>
        <w:rPr>
          <w:rFonts w:hint="eastAsia" w:asciiTheme="minorEastAsia" w:hAnsiTheme="minorEastAsia" w:eastAsiaTheme="minorEastAsia"/>
          <w:color w:val="000000" w:themeColor="text1"/>
          <w:szCs w:val="21"/>
          <w:u w:val="single"/>
          <w14:textFill>
            <w14:solidFill>
              <w14:schemeClr w14:val="tx1"/>
            </w14:solidFill>
          </w14:textFill>
        </w:rPr>
        <w:t>（</w:t>
      </w:r>
      <w:r>
        <w:rPr>
          <w:rFonts w:hint="eastAsia" w:asciiTheme="minorEastAsia" w:hAnsiTheme="minorEastAsia" w:eastAsiaTheme="minorEastAsia"/>
          <w:color w:val="000000" w:themeColor="text1"/>
          <w:szCs w:val="21"/>
          <w:u w:val="single"/>
          <w:lang w:val="en-US" w:eastAsia="zh-CN"/>
          <w14:textFill>
            <w14:solidFill>
              <w14:schemeClr w14:val="tx1"/>
            </w14:solidFill>
          </w14:textFill>
        </w:rPr>
        <w:t>1</w:t>
      </w:r>
      <w:r>
        <w:rPr>
          <w:rFonts w:hint="eastAsia" w:asciiTheme="minorEastAsia" w:hAnsiTheme="minorEastAsia" w:eastAsiaTheme="minorEastAsia"/>
          <w:color w:val="000000" w:themeColor="text1"/>
          <w:szCs w:val="21"/>
          <w:u w:val="single"/>
          <w14:textFill>
            <w14:solidFill>
              <w14:schemeClr w14:val="tx1"/>
            </w14:solidFill>
          </w14:textFill>
        </w:rPr>
        <w:t>）</w:t>
      </w:r>
      <w:r>
        <w:rPr>
          <w:rFonts w:hint="eastAsia" w:asciiTheme="minorEastAsia" w:hAnsiTheme="minorEastAsia" w:eastAsiaTheme="minorEastAsia"/>
          <w:color w:val="000000" w:themeColor="text1"/>
          <w:szCs w:val="21"/>
          <w:u w:val="single"/>
          <w:lang w:val="en-US" w:eastAsia="zh-CN"/>
          <w14:textFill>
            <w14:solidFill>
              <w14:schemeClr w14:val="tx1"/>
            </w14:solidFill>
          </w14:textFill>
        </w:rPr>
        <w:t>具有相应的物业服务管理3年以上的工作经验</w:t>
      </w:r>
      <w:r>
        <w:rPr>
          <w:rFonts w:hint="eastAsia" w:asciiTheme="minorEastAsia" w:hAnsiTheme="minorEastAsia" w:eastAsiaTheme="minorEastAsia"/>
          <w:color w:val="000000" w:themeColor="text1"/>
          <w:szCs w:val="21"/>
          <w:u w:val="single"/>
          <w14:textFill>
            <w14:solidFill>
              <w14:schemeClr w14:val="tx1"/>
            </w14:solidFill>
          </w14:textFill>
        </w:rPr>
        <w:t>。</w:t>
      </w:r>
    </w:p>
    <w:p w14:paraId="26303566">
      <w:pPr>
        <w:spacing w:line="280" w:lineRule="exact"/>
        <w:ind w:firstLine="1890" w:firstLineChars="900"/>
        <w:jc w:val="both"/>
        <w:rPr>
          <w:rFonts w:hint="eastAsia" w:asciiTheme="minorEastAsia" w:hAnsiTheme="minorEastAsia" w:eastAsiaTheme="minorEastAsia"/>
          <w:color w:val="auto"/>
          <w:szCs w:val="21"/>
          <w:u w:val="single"/>
        </w:rPr>
      </w:pPr>
      <w:r>
        <w:rPr>
          <w:rFonts w:hint="eastAsia" w:asciiTheme="minorEastAsia" w:hAnsiTheme="minorEastAsia" w:eastAsiaTheme="minorEastAsia"/>
          <w:color w:val="auto"/>
          <w:szCs w:val="21"/>
          <w:u w:val="single"/>
        </w:rPr>
        <w:t>（</w:t>
      </w:r>
      <w:r>
        <w:rPr>
          <w:rFonts w:hint="eastAsia" w:asciiTheme="minorEastAsia" w:hAnsiTheme="minorEastAsia" w:eastAsiaTheme="minorEastAsia"/>
          <w:color w:val="auto"/>
          <w:szCs w:val="21"/>
          <w:u w:val="single"/>
          <w:lang w:val="en-US" w:eastAsia="zh-CN"/>
        </w:rPr>
        <w:t>2</w:t>
      </w:r>
      <w:r>
        <w:rPr>
          <w:rFonts w:hint="eastAsia" w:asciiTheme="minorEastAsia" w:hAnsiTheme="minorEastAsia" w:eastAsiaTheme="minorEastAsia"/>
          <w:color w:val="auto"/>
          <w:szCs w:val="21"/>
          <w:u w:val="single"/>
        </w:rPr>
        <w:t>）</w:t>
      </w:r>
      <w:r>
        <w:rPr>
          <w:rFonts w:hint="eastAsia" w:asciiTheme="minorEastAsia" w:hAnsiTheme="minorEastAsia" w:eastAsiaTheme="minorEastAsia"/>
          <w:color w:val="auto"/>
          <w:szCs w:val="21"/>
          <w:u w:val="single"/>
          <w:lang w:val="en-US" w:eastAsia="zh-CN"/>
        </w:rPr>
        <w:t>大专以上学历，年龄45岁以下</w:t>
      </w:r>
      <w:r>
        <w:rPr>
          <w:rFonts w:hint="eastAsia" w:asciiTheme="minorEastAsia" w:hAnsiTheme="minorEastAsia" w:eastAsiaTheme="minorEastAsia"/>
          <w:color w:val="auto"/>
          <w:szCs w:val="21"/>
          <w:u w:val="single"/>
        </w:rPr>
        <w:t>。</w:t>
      </w:r>
    </w:p>
    <w:p w14:paraId="1DDEBF65">
      <w:pPr>
        <w:spacing w:line="280" w:lineRule="exact"/>
        <w:ind w:firstLine="1890" w:firstLineChars="900"/>
        <w:jc w:val="both"/>
        <w:rPr>
          <w:rFonts w:hint="eastAsia" w:ascii="宋体" w:hAnsi="Courier New"/>
          <w:color w:val="auto"/>
          <w:szCs w:val="20"/>
          <w:u w:val="single"/>
          <w:lang w:eastAsia="zh-CN"/>
        </w:rPr>
      </w:pPr>
      <w:r>
        <w:rPr>
          <w:rFonts w:hint="eastAsia" w:ascii="宋体" w:hAnsi="Courier New"/>
          <w:color w:val="auto"/>
          <w:szCs w:val="20"/>
          <w:u w:val="single"/>
          <w:lang w:eastAsia="zh-CN"/>
        </w:rPr>
        <w:t>（</w:t>
      </w:r>
      <w:r>
        <w:rPr>
          <w:rFonts w:hint="eastAsia" w:ascii="宋体" w:hAnsi="Courier New"/>
          <w:color w:val="auto"/>
          <w:szCs w:val="20"/>
          <w:u w:val="single"/>
          <w:lang w:val="en-US" w:eastAsia="zh-CN"/>
        </w:rPr>
        <w:t>3</w:t>
      </w:r>
      <w:r>
        <w:rPr>
          <w:rFonts w:hint="eastAsia" w:ascii="宋体" w:hAnsi="Courier New"/>
          <w:color w:val="auto"/>
          <w:szCs w:val="20"/>
          <w:u w:val="single"/>
          <w:lang w:eastAsia="zh-CN"/>
        </w:rPr>
        <w:t>）</w:t>
      </w:r>
      <w:r>
        <w:rPr>
          <w:rFonts w:hint="eastAsia" w:ascii="宋体" w:hAnsi="Courier New"/>
          <w:color w:val="auto"/>
          <w:szCs w:val="20"/>
          <w:u w:val="single"/>
        </w:rPr>
        <w:t xml:space="preserve"> </w:t>
      </w:r>
      <w:r>
        <w:rPr>
          <w:rFonts w:hint="eastAsia" w:ascii="宋体" w:hAnsi="Courier New"/>
          <w:color w:val="auto"/>
          <w:szCs w:val="20"/>
          <w:u w:val="single"/>
          <w:lang w:val="en-US" w:eastAsia="zh-CN"/>
        </w:rPr>
        <w:t>持有保安员证，消控员操作四级证和物业经理初级以上证件</w:t>
      </w:r>
      <w:r>
        <w:rPr>
          <w:rFonts w:hint="eastAsia" w:ascii="宋体" w:hAnsi="Courier New"/>
          <w:color w:val="auto"/>
          <w:szCs w:val="20"/>
          <w:u w:val="single"/>
        </w:rPr>
        <w:t xml:space="preserve">  </w:t>
      </w:r>
      <w:r>
        <w:rPr>
          <w:rFonts w:hint="eastAsia" w:ascii="宋体" w:hAnsi="Courier New"/>
          <w:color w:val="auto"/>
          <w:szCs w:val="20"/>
          <w:u w:val="single"/>
          <w:lang w:eastAsia="zh-CN"/>
        </w:rPr>
        <w:t>。</w:t>
      </w:r>
    </w:p>
    <w:p w14:paraId="6584382C">
      <w:pPr>
        <w:spacing w:line="280" w:lineRule="exact"/>
        <w:ind w:firstLine="1890" w:firstLineChars="900"/>
        <w:jc w:val="both"/>
        <w:rPr>
          <w:rFonts w:hint="eastAsia" w:asciiTheme="minorEastAsia" w:hAnsiTheme="minorEastAsia" w:eastAsiaTheme="minorEastAsia"/>
          <w:color w:val="auto"/>
          <w:szCs w:val="21"/>
          <w:u w:val="single"/>
        </w:rPr>
      </w:pPr>
      <w:r>
        <w:rPr>
          <w:rFonts w:hint="eastAsia" w:ascii="宋体" w:hAnsi="Courier New"/>
          <w:color w:val="auto"/>
          <w:szCs w:val="20"/>
          <w:u w:val="single"/>
          <w:lang w:eastAsia="zh-CN"/>
        </w:rPr>
        <w:t>（</w:t>
      </w:r>
      <w:r>
        <w:rPr>
          <w:rFonts w:hint="eastAsia" w:ascii="宋体" w:hAnsi="Courier New"/>
          <w:color w:val="auto"/>
          <w:szCs w:val="20"/>
          <w:u w:val="single"/>
          <w:lang w:val="en-US" w:eastAsia="zh-CN"/>
        </w:rPr>
        <w:t>4</w:t>
      </w:r>
      <w:r>
        <w:rPr>
          <w:rFonts w:hint="eastAsia" w:ascii="宋体" w:hAnsi="Courier New"/>
          <w:color w:val="auto"/>
          <w:szCs w:val="20"/>
          <w:u w:val="single"/>
          <w:lang w:eastAsia="zh-CN"/>
        </w:rPr>
        <w:t>）</w:t>
      </w:r>
      <w:r>
        <w:rPr>
          <w:rFonts w:hint="eastAsia" w:ascii="宋体" w:hAnsi="Courier New"/>
          <w:color w:val="auto"/>
          <w:szCs w:val="20"/>
          <w:u w:val="single"/>
        </w:rPr>
        <w:t xml:space="preserve"> </w:t>
      </w:r>
      <w:r>
        <w:rPr>
          <w:rFonts w:hint="eastAsia" w:ascii="宋体" w:hAnsi="Courier New"/>
          <w:color w:val="auto"/>
          <w:szCs w:val="20"/>
          <w:u w:val="single"/>
          <w:lang w:val="en-US" w:eastAsia="zh-CN"/>
        </w:rPr>
        <w:t>退伍军人优先。</w:t>
      </w:r>
      <w:r>
        <w:rPr>
          <w:rFonts w:hint="eastAsia" w:ascii="宋体" w:hAnsi="Courier New"/>
          <w:color w:val="auto"/>
          <w:szCs w:val="20"/>
          <w:u w:val="single"/>
        </w:rPr>
        <w:t xml:space="preserve">                                           </w:t>
      </w:r>
    </w:p>
    <w:p w14:paraId="4E5035C3">
      <w:pPr>
        <w:spacing w:line="360" w:lineRule="auto"/>
        <w:ind w:firstLine="420" w:firstLineChars="200"/>
        <w:rPr>
          <w:rFonts w:hint="eastAsia"/>
          <w:color w:val="auto"/>
          <w:u w:val="single"/>
          <w:lang w:val="en-US" w:eastAsia="zh-CN"/>
        </w:rPr>
      </w:pPr>
      <w:r>
        <w:rPr>
          <w:rFonts w:hint="eastAsia" w:ascii="宋体" w:hAnsi="Courier New"/>
          <w:color w:val="auto"/>
          <w:szCs w:val="20"/>
        </w:rPr>
        <w:t>(2)</w:t>
      </w:r>
      <w:r>
        <w:rPr>
          <w:rFonts w:hint="eastAsia"/>
          <w:color w:val="auto"/>
          <w:u w:val="single"/>
          <w:lang w:val="en-US" w:eastAsia="zh-CN"/>
        </w:rPr>
        <w:t>保安员：（1）需持消控员操作四级证并承诺中标后持保安员证上岗；</w:t>
      </w:r>
      <w:r>
        <w:rPr>
          <w:rFonts w:hint="eastAsia"/>
          <w:color w:val="auto"/>
          <w:u w:val="single"/>
        </w:rPr>
        <w:t xml:space="preserve"> </w:t>
      </w:r>
      <w:r>
        <w:rPr>
          <w:rFonts w:hint="eastAsia"/>
          <w:color w:val="auto"/>
          <w:u w:val="single"/>
          <w:lang w:eastAsia="zh-CN"/>
        </w:rPr>
        <w:t>（</w:t>
      </w:r>
      <w:r>
        <w:rPr>
          <w:rFonts w:hint="eastAsia"/>
          <w:color w:val="auto"/>
          <w:u w:val="single"/>
          <w:lang w:val="en-US" w:eastAsia="zh-CN"/>
        </w:rPr>
        <w:t>2</w:t>
      </w:r>
      <w:r>
        <w:rPr>
          <w:rFonts w:hint="eastAsia"/>
          <w:color w:val="auto"/>
          <w:u w:val="single"/>
          <w:lang w:eastAsia="zh-CN"/>
        </w:rPr>
        <w:t>）</w:t>
      </w:r>
      <w:r>
        <w:rPr>
          <w:rFonts w:hint="eastAsia"/>
          <w:color w:val="auto"/>
          <w:u w:val="single"/>
          <w:lang w:val="en-US" w:eastAsia="zh-CN"/>
        </w:rPr>
        <w:t>年龄45周岁以下</w:t>
      </w:r>
    </w:p>
    <w:p w14:paraId="072FAEC6">
      <w:pPr>
        <w:spacing w:line="360" w:lineRule="auto"/>
        <w:ind w:firstLine="1680" w:firstLineChars="800"/>
        <w:rPr>
          <w:rFonts w:hint="eastAsia"/>
          <w:u w:val="single"/>
        </w:rPr>
      </w:pPr>
      <w:r>
        <w:rPr>
          <w:rFonts w:hint="eastAsia"/>
          <w:u w:val="single"/>
          <w:lang w:val="en-US" w:eastAsia="zh-CN"/>
        </w:rPr>
        <w:t>（3）初中以上学历</w:t>
      </w:r>
      <w:r>
        <w:rPr>
          <w:rFonts w:hint="eastAsia"/>
          <w:u w:val="single"/>
        </w:rPr>
        <w:t xml:space="preserve"> </w:t>
      </w:r>
      <w:r>
        <w:rPr>
          <w:rFonts w:hint="eastAsia"/>
          <w:u w:val="single"/>
          <w:lang w:eastAsia="zh-CN"/>
        </w:rPr>
        <w:t>（</w:t>
      </w:r>
      <w:r>
        <w:rPr>
          <w:rFonts w:hint="eastAsia"/>
          <w:u w:val="single"/>
          <w:lang w:val="en-US" w:eastAsia="zh-CN"/>
        </w:rPr>
        <w:t>4</w:t>
      </w:r>
      <w:r>
        <w:rPr>
          <w:rFonts w:hint="eastAsia"/>
          <w:u w:val="single"/>
          <w:lang w:eastAsia="zh-CN"/>
        </w:rPr>
        <w:t>）</w:t>
      </w:r>
      <w:r>
        <w:rPr>
          <w:rFonts w:hint="eastAsia"/>
          <w:u w:val="single"/>
          <w:lang w:val="en-US" w:eastAsia="zh-CN"/>
        </w:rPr>
        <w:t>白班身高175以上。</w:t>
      </w:r>
      <w:r>
        <w:rPr>
          <w:rFonts w:hint="eastAsia"/>
          <w:u w:val="single"/>
        </w:rPr>
        <w:t xml:space="preserve">             </w:t>
      </w:r>
    </w:p>
    <w:p w14:paraId="47505354">
      <w:pPr>
        <w:spacing w:line="360" w:lineRule="auto"/>
        <w:ind w:firstLine="630" w:firstLineChars="300"/>
        <w:rPr>
          <w:rFonts w:hint="eastAsia"/>
          <w:u w:val="single"/>
        </w:rPr>
      </w:pPr>
      <w:r>
        <w:rPr>
          <w:rFonts w:hint="eastAsia"/>
          <w:u w:val="single"/>
          <w:lang w:val="en-US" w:eastAsia="zh-CN"/>
        </w:rPr>
        <w:t>(3) 保洁员：</w:t>
      </w:r>
      <w:r>
        <w:rPr>
          <w:rFonts w:hint="eastAsia"/>
          <w:u w:val="single"/>
        </w:rPr>
        <w:t xml:space="preserve"> </w:t>
      </w:r>
      <w:r>
        <w:rPr>
          <w:rFonts w:hint="eastAsia"/>
          <w:u w:val="single"/>
          <w:lang w:val="en-US" w:eastAsia="zh-CN"/>
        </w:rPr>
        <w:t>60周岁以下，具有保洁服务相关经验</w:t>
      </w:r>
      <w:r>
        <w:rPr>
          <w:rFonts w:hint="eastAsia"/>
          <w:u w:val="single"/>
        </w:rPr>
        <w:t xml:space="preserve">                </w:t>
      </w:r>
    </w:p>
    <w:p w14:paraId="3B166AFD">
      <w:pPr>
        <w:spacing w:line="360" w:lineRule="auto"/>
        <w:ind w:firstLine="630" w:firstLineChars="300"/>
        <w:rPr>
          <w:rFonts w:hint="eastAsia"/>
          <w:b w:val="0"/>
          <w:bCs w:val="0"/>
          <w:color w:val="1F497D" w:themeColor="text2"/>
          <w:u w:val="single"/>
          <w14:textFill>
            <w14:solidFill>
              <w14:schemeClr w14:val="tx2"/>
            </w14:solidFill>
          </w14:textFill>
        </w:rPr>
      </w:pPr>
      <w:r>
        <w:rPr>
          <w:rFonts w:hint="eastAsia"/>
          <w:color w:val="auto"/>
          <w:u w:val="single"/>
          <w:lang w:val="en-US" w:eastAsia="zh-CN"/>
        </w:rPr>
        <w:t>(4) 综合维修工：</w:t>
      </w:r>
      <w:r>
        <w:rPr>
          <w:rFonts w:hint="eastAsia"/>
          <w:b w:val="0"/>
          <w:bCs w:val="0"/>
          <w:color w:val="auto"/>
          <w:u w:val="single"/>
          <w:lang w:val="en-US" w:eastAsia="zh-CN"/>
        </w:rPr>
        <w:t>低压电工证和特种作业证（制冷与空调作业证、压力容器操作证）。</w:t>
      </w:r>
      <w:r>
        <w:rPr>
          <w:rFonts w:hint="eastAsia"/>
          <w:b w:val="0"/>
          <w:bCs w:val="0"/>
          <w:color w:val="auto"/>
          <w:u w:val="single"/>
        </w:rPr>
        <w:t xml:space="preserve">        </w:t>
      </w:r>
      <w:r>
        <w:rPr>
          <w:rFonts w:hint="eastAsia"/>
          <w:b w:val="0"/>
          <w:bCs w:val="0"/>
          <w:color w:val="1F497D" w:themeColor="text2"/>
          <w:u w:val="single"/>
          <w14:textFill>
            <w14:solidFill>
              <w14:schemeClr w14:val="tx2"/>
            </w14:solidFill>
          </w14:textFill>
        </w:rPr>
        <w:t xml:space="preserve">         </w:t>
      </w:r>
    </w:p>
    <w:p w14:paraId="7C50F85F">
      <w:pPr>
        <w:spacing w:line="360" w:lineRule="auto"/>
        <w:ind w:firstLine="2730" w:firstLineChars="1300"/>
        <w:rPr>
          <w:rFonts w:hint="eastAsia"/>
          <w:b w:val="0"/>
          <w:bCs w:val="0"/>
          <w:color w:val="auto"/>
          <w:u w:val="single"/>
        </w:rPr>
      </w:pPr>
    </w:p>
    <w:p w14:paraId="1670D933">
      <w:pPr>
        <w:spacing w:line="360" w:lineRule="auto"/>
        <w:ind w:firstLine="420" w:firstLineChars="200"/>
        <w:rPr>
          <w:rFonts w:ascii="宋体" w:hAnsi="宋体"/>
          <w:color w:val="auto"/>
        </w:rPr>
      </w:pPr>
      <w:r>
        <w:rPr>
          <w:rFonts w:hint="eastAsia"/>
          <w:color w:val="auto"/>
          <w:lang w:val="en-US" w:eastAsia="zh-CN"/>
        </w:rPr>
        <w:t>6</w:t>
      </w:r>
      <w:r>
        <w:rPr>
          <w:rFonts w:hint="eastAsia"/>
          <w:color w:val="auto"/>
        </w:rPr>
        <w:t>.</w:t>
      </w:r>
      <w:r>
        <w:rPr>
          <w:rFonts w:hint="eastAsia" w:ascii="宋体" w:hAnsi="宋体"/>
          <w:color w:val="auto"/>
        </w:rPr>
        <w:t>物业管理人员共设置</w:t>
      </w:r>
      <w:r>
        <w:rPr>
          <w:rFonts w:ascii="宋体" w:hAnsi="宋体"/>
          <w:color w:val="auto"/>
          <w:u w:val="single"/>
        </w:rPr>
        <w:t xml:space="preserve"> </w:t>
      </w:r>
      <w:r>
        <w:rPr>
          <w:rFonts w:hint="eastAsia" w:ascii="宋体" w:hAnsi="宋体"/>
          <w:color w:val="auto"/>
          <w:u w:val="single"/>
          <w:lang w:val="en-US" w:eastAsia="zh-CN"/>
        </w:rPr>
        <w:t>18</w:t>
      </w:r>
      <w:r>
        <w:rPr>
          <w:rFonts w:hint="eastAsia" w:ascii="宋体" w:hAnsi="宋体"/>
          <w:color w:val="auto"/>
        </w:rPr>
        <w:t>个岗位数（</w:t>
      </w:r>
      <w:r>
        <w:rPr>
          <w:rFonts w:hint="eastAsia" w:ascii="宋体" w:hAnsi="宋体"/>
          <w:color w:val="auto"/>
          <w:lang w:val="en-US" w:eastAsia="zh-CN"/>
        </w:rPr>
        <w:t>每日上班人员配置不少于岗位数）</w:t>
      </w:r>
      <w:r>
        <w:rPr>
          <w:rFonts w:hint="eastAsia"/>
          <w:color w:val="auto"/>
        </w:rPr>
        <w:t>。</w:t>
      </w:r>
      <w:r>
        <w:rPr>
          <w:rFonts w:hint="eastAsia" w:ascii="宋体" w:hAnsi="宋体"/>
          <w:color w:val="auto"/>
        </w:rPr>
        <w:t xml:space="preserve"> </w:t>
      </w:r>
    </w:p>
    <w:tbl>
      <w:tblPr>
        <w:tblStyle w:val="9"/>
        <w:tblW w:w="1032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770"/>
        <w:gridCol w:w="975"/>
        <w:gridCol w:w="1605"/>
        <w:gridCol w:w="3624"/>
        <w:gridCol w:w="1542"/>
      </w:tblGrid>
      <w:tr w14:paraId="78F1A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trPr>
        <w:tc>
          <w:tcPr>
            <w:tcW w:w="810" w:type="dxa"/>
            <w:shd w:val="clear" w:color="auto" w:fill="auto"/>
            <w:noWrap/>
            <w:vAlign w:val="center"/>
          </w:tcPr>
          <w:p w14:paraId="1B36E6A9">
            <w:pPr>
              <w:spacing w:line="280" w:lineRule="exact"/>
              <w:jc w:val="center"/>
              <w:rPr>
                <w:rFonts w:asciiTheme="minorEastAsia" w:hAnsiTheme="minorEastAsia" w:eastAsiaTheme="minorEastAsia"/>
                <w:color w:val="auto"/>
                <w:szCs w:val="21"/>
              </w:rPr>
            </w:pPr>
            <w:r>
              <w:rPr>
                <w:rFonts w:asciiTheme="minorEastAsia" w:hAnsiTheme="minorEastAsia" w:eastAsiaTheme="minorEastAsia"/>
                <w:b/>
                <w:bCs/>
                <w:color w:val="auto"/>
                <w:szCs w:val="21"/>
              </w:rPr>
              <w:t>序号</w:t>
            </w:r>
          </w:p>
        </w:tc>
        <w:tc>
          <w:tcPr>
            <w:tcW w:w="1770" w:type="dxa"/>
            <w:shd w:val="clear" w:color="auto" w:fill="auto"/>
            <w:noWrap/>
            <w:vAlign w:val="center"/>
          </w:tcPr>
          <w:p w14:paraId="35F0CA81">
            <w:pPr>
              <w:spacing w:line="280" w:lineRule="exact"/>
              <w:jc w:val="center"/>
              <w:rPr>
                <w:rFonts w:asciiTheme="minorEastAsia" w:hAnsiTheme="minorEastAsia" w:eastAsiaTheme="minorEastAsia"/>
                <w:color w:val="auto"/>
                <w:szCs w:val="21"/>
              </w:rPr>
            </w:pPr>
            <w:r>
              <w:rPr>
                <w:rFonts w:asciiTheme="minorEastAsia" w:hAnsiTheme="minorEastAsia" w:eastAsiaTheme="minorEastAsia"/>
                <w:b/>
                <w:bCs/>
                <w:color w:val="auto"/>
                <w:szCs w:val="21"/>
              </w:rPr>
              <w:t>岗位</w:t>
            </w:r>
          </w:p>
        </w:tc>
        <w:tc>
          <w:tcPr>
            <w:tcW w:w="975" w:type="dxa"/>
            <w:shd w:val="clear" w:color="auto" w:fill="auto"/>
            <w:noWrap/>
            <w:vAlign w:val="center"/>
          </w:tcPr>
          <w:p w14:paraId="7918440C">
            <w:pPr>
              <w:spacing w:line="280" w:lineRule="exact"/>
              <w:jc w:val="center"/>
              <w:rPr>
                <w:rFonts w:asciiTheme="minorEastAsia" w:hAnsiTheme="minorEastAsia" w:eastAsiaTheme="minorEastAsia"/>
                <w:color w:val="auto"/>
                <w:szCs w:val="21"/>
              </w:rPr>
            </w:pPr>
            <w:r>
              <w:rPr>
                <w:rFonts w:asciiTheme="minorEastAsia" w:hAnsiTheme="minorEastAsia" w:eastAsiaTheme="minorEastAsia"/>
                <w:b/>
                <w:bCs/>
                <w:color w:val="auto"/>
                <w:szCs w:val="21"/>
              </w:rPr>
              <w:t>岗位数</w:t>
            </w:r>
          </w:p>
        </w:tc>
        <w:tc>
          <w:tcPr>
            <w:tcW w:w="1605" w:type="dxa"/>
            <w:vAlign w:val="center"/>
          </w:tcPr>
          <w:p w14:paraId="68A8BB64">
            <w:pPr>
              <w:spacing w:line="280" w:lineRule="exact"/>
              <w:jc w:val="center"/>
              <w:rPr>
                <w:rFonts w:asciiTheme="minorEastAsia" w:hAnsiTheme="minorEastAsia" w:eastAsiaTheme="minorEastAsia"/>
                <w:color w:val="auto"/>
                <w:szCs w:val="21"/>
              </w:rPr>
            </w:pPr>
            <w:r>
              <w:rPr>
                <w:rFonts w:asciiTheme="minorEastAsia" w:hAnsiTheme="minorEastAsia" w:eastAsiaTheme="minorEastAsia"/>
                <w:b/>
                <w:bCs/>
                <w:color w:val="auto"/>
                <w:szCs w:val="21"/>
              </w:rPr>
              <w:t>工作时间</w:t>
            </w:r>
          </w:p>
        </w:tc>
        <w:tc>
          <w:tcPr>
            <w:tcW w:w="3624" w:type="dxa"/>
            <w:shd w:val="clear" w:color="auto" w:fill="auto"/>
            <w:vAlign w:val="center"/>
          </w:tcPr>
          <w:p w14:paraId="0C82AF9E">
            <w:pPr>
              <w:spacing w:line="280" w:lineRule="exact"/>
              <w:jc w:val="center"/>
              <w:rPr>
                <w:rFonts w:hint="default" w:asciiTheme="minorEastAsia" w:hAnsiTheme="minorEastAsia" w:eastAsiaTheme="minorEastAsia"/>
                <w:b/>
                <w:color w:val="auto"/>
                <w:szCs w:val="21"/>
                <w:lang w:val="en-US" w:eastAsia="zh-CN"/>
              </w:rPr>
            </w:pPr>
            <w:r>
              <w:rPr>
                <w:rFonts w:hint="eastAsia" w:asciiTheme="minorEastAsia" w:hAnsiTheme="minorEastAsia" w:eastAsiaTheme="minorEastAsia"/>
                <w:b/>
                <w:bCs/>
                <w:color w:val="auto"/>
                <w:szCs w:val="21"/>
                <w:lang w:val="en-US" w:eastAsia="zh-CN"/>
              </w:rPr>
              <w:t>岗位要求</w:t>
            </w:r>
          </w:p>
        </w:tc>
        <w:tc>
          <w:tcPr>
            <w:tcW w:w="1542" w:type="dxa"/>
            <w:shd w:val="clear" w:color="auto" w:fill="auto"/>
            <w:vAlign w:val="center"/>
          </w:tcPr>
          <w:p w14:paraId="559EF805">
            <w:pPr>
              <w:spacing w:line="280" w:lineRule="exact"/>
              <w:jc w:val="center"/>
              <w:rPr>
                <w:rFonts w:hint="default" w:asciiTheme="minorEastAsia" w:hAnsiTheme="minorEastAsia" w:eastAsiaTheme="minorEastAsia"/>
                <w:b/>
                <w:bCs/>
                <w:color w:val="auto"/>
                <w:szCs w:val="21"/>
                <w:lang w:val="en-US" w:eastAsia="zh-CN"/>
              </w:rPr>
            </w:pPr>
            <w:r>
              <w:rPr>
                <w:rFonts w:hint="eastAsia" w:asciiTheme="minorEastAsia" w:hAnsiTheme="minorEastAsia" w:eastAsiaTheme="minorEastAsia"/>
                <w:b/>
                <w:bCs/>
                <w:color w:val="auto"/>
                <w:szCs w:val="21"/>
                <w:lang w:val="en-US" w:eastAsia="zh-CN"/>
              </w:rPr>
              <w:t>备 注</w:t>
            </w:r>
          </w:p>
        </w:tc>
      </w:tr>
      <w:tr w14:paraId="0D7B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trPr>
        <w:tc>
          <w:tcPr>
            <w:tcW w:w="810" w:type="dxa"/>
            <w:shd w:val="clear" w:color="auto" w:fill="auto"/>
            <w:noWrap/>
            <w:vAlign w:val="center"/>
          </w:tcPr>
          <w:p w14:paraId="37826F86">
            <w:pPr>
              <w:spacing w:line="280" w:lineRule="exact"/>
              <w:jc w:val="center"/>
              <w:rPr>
                <w:rFonts w:asciiTheme="minorEastAsia" w:hAnsiTheme="minorEastAsia" w:eastAsiaTheme="minorEastAsia"/>
                <w:color w:val="auto"/>
                <w:szCs w:val="21"/>
              </w:rPr>
            </w:pPr>
            <w:r>
              <w:rPr>
                <w:rFonts w:asciiTheme="minorEastAsia" w:hAnsiTheme="minorEastAsia" w:eastAsiaTheme="minorEastAsia"/>
                <w:bCs/>
                <w:color w:val="auto"/>
                <w:szCs w:val="21"/>
              </w:rPr>
              <w:t>1</w:t>
            </w:r>
          </w:p>
        </w:tc>
        <w:tc>
          <w:tcPr>
            <w:tcW w:w="1770" w:type="dxa"/>
            <w:shd w:val="clear" w:color="auto" w:fill="auto"/>
            <w:noWrap/>
            <w:vAlign w:val="center"/>
          </w:tcPr>
          <w:p w14:paraId="2B77C9DB">
            <w:pPr>
              <w:spacing w:line="280" w:lineRule="exact"/>
              <w:jc w:val="center"/>
              <w:rPr>
                <w:rFonts w:hint="eastAsia" w:asciiTheme="minorEastAsia" w:hAnsiTheme="minorEastAsia" w:eastAsiaTheme="minorEastAsia"/>
                <w:color w:val="auto"/>
                <w:szCs w:val="21"/>
              </w:rPr>
            </w:pPr>
            <w:r>
              <w:rPr>
                <w:rFonts w:hint="eastAsia" w:asciiTheme="minorEastAsia" w:hAnsiTheme="minorEastAsia" w:eastAsiaTheme="minorEastAsia"/>
                <w:color w:val="auto"/>
                <w:szCs w:val="21"/>
              </w:rPr>
              <w:t>项目经理</w:t>
            </w:r>
          </w:p>
          <w:p w14:paraId="6AAA7241">
            <w:pPr>
              <w:spacing w:line="28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w:t>
            </w:r>
            <w:r>
              <w:rPr>
                <w:rFonts w:asciiTheme="minorEastAsia" w:hAnsiTheme="minorEastAsia" w:eastAsiaTheme="minorEastAsia"/>
                <w:color w:val="auto"/>
                <w:szCs w:val="21"/>
              </w:rPr>
              <w:t>物业经理</w:t>
            </w:r>
            <w:r>
              <w:rPr>
                <w:rFonts w:hint="eastAsia" w:asciiTheme="minorEastAsia" w:hAnsiTheme="minorEastAsia" w:eastAsiaTheme="minorEastAsia"/>
                <w:color w:val="auto"/>
                <w:szCs w:val="21"/>
              </w:rPr>
              <w:t>）</w:t>
            </w:r>
          </w:p>
        </w:tc>
        <w:tc>
          <w:tcPr>
            <w:tcW w:w="975" w:type="dxa"/>
            <w:shd w:val="clear" w:color="auto" w:fill="auto"/>
            <w:noWrap/>
            <w:vAlign w:val="center"/>
          </w:tcPr>
          <w:p w14:paraId="0D47BF19">
            <w:pPr>
              <w:spacing w:line="280" w:lineRule="exact"/>
              <w:ind w:left="-443" w:leftChars="-211" w:firstLine="441" w:firstLineChars="210"/>
              <w:jc w:val="center"/>
              <w:rPr>
                <w:rFonts w:asciiTheme="minorEastAsia" w:hAnsiTheme="minorEastAsia" w:eastAsiaTheme="minorEastAsia"/>
                <w:color w:val="auto"/>
                <w:szCs w:val="21"/>
              </w:rPr>
            </w:pPr>
            <w:r>
              <w:rPr>
                <w:rFonts w:asciiTheme="minorEastAsia" w:hAnsiTheme="minorEastAsia" w:eastAsiaTheme="minorEastAsia"/>
                <w:color w:val="auto"/>
                <w:szCs w:val="21"/>
              </w:rPr>
              <w:t>1</w:t>
            </w:r>
          </w:p>
        </w:tc>
        <w:tc>
          <w:tcPr>
            <w:tcW w:w="1605" w:type="dxa"/>
            <w:vAlign w:val="center"/>
          </w:tcPr>
          <w:p w14:paraId="2A0D1DF2">
            <w:pPr>
              <w:spacing w:line="280" w:lineRule="exact"/>
              <w:jc w:val="center"/>
              <w:rPr>
                <w:rFonts w:asciiTheme="minorEastAsia" w:hAnsiTheme="minorEastAsia" w:eastAsiaTheme="minorEastAsia"/>
                <w:color w:val="auto"/>
                <w:szCs w:val="21"/>
              </w:rPr>
            </w:pPr>
            <w:r>
              <w:rPr>
                <w:rFonts w:asciiTheme="minorEastAsia" w:hAnsiTheme="minorEastAsia" w:eastAsiaTheme="minorEastAsia"/>
                <w:color w:val="auto"/>
                <w:szCs w:val="21"/>
              </w:rPr>
              <w:t>周一到周</w:t>
            </w:r>
            <w:r>
              <w:rPr>
                <w:rFonts w:hint="eastAsia" w:asciiTheme="minorEastAsia" w:hAnsiTheme="minorEastAsia" w:eastAsiaTheme="minorEastAsia"/>
                <w:color w:val="auto"/>
                <w:szCs w:val="21"/>
              </w:rPr>
              <w:t>日</w:t>
            </w:r>
            <w:r>
              <w:rPr>
                <w:rFonts w:hint="eastAsia" w:asciiTheme="minorEastAsia" w:hAnsiTheme="minorEastAsia" w:eastAsiaTheme="minorEastAsia"/>
                <w:color w:val="auto"/>
                <w:szCs w:val="21"/>
                <w:lang w:val="en-US" w:eastAsia="zh-CN"/>
              </w:rPr>
              <w:t>7</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00-11:30,13:30</w:t>
            </w:r>
            <w:r>
              <w:rPr>
                <w:rFonts w:asciiTheme="minorEastAsia" w:hAnsiTheme="minorEastAsia" w:eastAsiaTheme="minorEastAsia"/>
                <w:color w:val="auto"/>
                <w:szCs w:val="21"/>
              </w:rPr>
              <w:t>-17：</w:t>
            </w:r>
            <w:r>
              <w:rPr>
                <w:rFonts w:hint="eastAsia" w:asciiTheme="minorEastAsia" w:hAnsiTheme="minorEastAsia" w:eastAsiaTheme="minorEastAsia"/>
                <w:color w:val="auto"/>
                <w:szCs w:val="21"/>
                <w:lang w:val="en-US" w:eastAsia="zh-CN"/>
              </w:rPr>
              <w:t>00</w:t>
            </w:r>
            <w:r>
              <w:rPr>
                <w:rFonts w:hint="eastAsia" w:asciiTheme="minorEastAsia" w:hAnsiTheme="minorEastAsia" w:eastAsiaTheme="minorEastAsia"/>
                <w:color w:val="auto"/>
                <w:szCs w:val="21"/>
              </w:rPr>
              <w:t>，</w:t>
            </w:r>
            <w:r>
              <w:rPr>
                <w:rFonts w:asciiTheme="minorEastAsia" w:hAnsiTheme="minorEastAsia" w:eastAsiaTheme="minorEastAsia"/>
                <w:color w:val="auto"/>
                <w:szCs w:val="21"/>
              </w:rPr>
              <w:t>做五休二制</w:t>
            </w:r>
            <w:r>
              <w:rPr>
                <w:rFonts w:hint="eastAsia" w:asciiTheme="minorEastAsia" w:hAnsiTheme="minorEastAsia" w:eastAsiaTheme="minorEastAsia"/>
                <w:color w:val="auto"/>
                <w:szCs w:val="21"/>
              </w:rPr>
              <w:t>。</w:t>
            </w:r>
          </w:p>
          <w:p w14:paraId="2976926D">
            <w:pPr>
              <w:spacing w:line="280" w:lineRule="exact"/>
              <w:jc w:val="center"/>
              <w:rPr>
                <w:rFonts w:asciiTheme="minorEastAsia" w:hAnsiTheme="minorEastAsia" w:eastAsiaTheme="minorEastAsia"/>
                <w:color w:val="auto"/>
                <w:szCs w:val="21"/>
              </w:rPr>
            </w:pPr>
          </w:p>
        </w:tc>
        <w:tc>
          <w:tcPr>
            <w:tcW w:w="3624" w:type="dxa"/>
            <w:shd w:val="clear" w:color="auto" w:fill="auto"/>
            <w:vAlign w:val="center"/>
          </w:tcPr>
          <w:p w14:paraId="081D826E">
            <w:pPr>
              <w:numPr>
                <w:ilvl w:val="0"/>
                <w:numId w:val="2"/>
              </w:numPr>
              <w:spacing w:line="280" w:lineRule="exact"/>
              <w:jc w:val="both"/>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全面负责驻场物业队伍服务管理。</w:t>
            </w:r>
          </w:p>
          <w:p w14:paraId="2C937BED">
            <w:pPr>
              <w:numPr>
                <w:ilvl w:val="0"/>
                <w:numId w:val="2"/>
              </w:numPr>
              <w:spacing w:line="280" w:lineRule="exact"/>
              <w:jc w:val="both"/>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制定物业人员工作计划，人员培训。</w:t>
            </w:r>
          </w:p>
          <w:p w14:paraId="5B72F308">
            <w:pPr>
              <w:numPr>
                <w:ilvl w:val="0"/>
                <w:numId w:val="2"/>
              </w:numPr>
              <w:spacing w:line="280" w:lineRule="exact"/>
              <w:jc w:val="both"/>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制定物业服务工作标准与流程。</w:t>
            </w:r>
          </w:p>
          <w:p w14:paraId="165D32D8">
            <w:pPr>
              <w:numPr>
                <w:ilvl w:val="0"/>
                <w:numId w:val="2"/>
              </w:numPr>
              <w:spacing w:line="280" w:lineRule="exact"/>
              <w:jc w:val="both"/>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快速按照医院流程协调/处理突发事件。</w:t>
            </w:r>
          </w:p>
          <w:p w14:paraId="3B35CCBE">
            <w:pPr>
              <w:numPr>
                <w:ilvl w:val="0"/>
                <w:numId w:val="2"/>
              </w:numPr>
              <w:spacing w:line="280" w:lineRule="exact"/>
              <w:jc w:val="both"/>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做好物业人员考勤考核。</w:t>
            </w:r>
          </w:p>
        </w:tc>
        <w:tc>
          <w:tcPr>
            <w:tcW w:w="1542" w:type="dxa"/>
            <w:shd w:val="clear" w:color="auto" w:fill="auto"/>
            <w:vAlign w:val="center"/>
          </w:tcPr>
          <w:p w14:paraId="0C18E087">
            <w:pPr>
              <w:numPr>
                <w:ilvl w:val="0"/>
                <w:numId w:val="0"/>
              </w:numPr>
              <w:spacing w:line="280" w:lineRule="exact"/>
              <w:jc w:val="both"/>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项目经理</w:t>
            </w:r>
          </w:p>
        </w:tc>
      </w:tr>
      <w:tr w14:paraId="489BE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10" w:type="dxa"/>
            <w:shd w:val="clear" w:color="auto" w:fill="auto"/>
            <w:noWrap/>
            <w:vAlign w:val="center"/>
          </w:tcPr>
          <w:p w14:paraId="1AC09534">
            <w:pPr>
              <w:spacing w:line="28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2</w:t>
            </w:r>
          </w:p>
        </w:tc>
        <w:tc>
          <w:tcPr>
            <w:tcW w:w="1770" w:type="dxa"/>
            <w:shd w:val="clear" w:color="auto" w:fill="auto"/>
            <w:noWrap/>
            <w:vAlign w:val="center"/>
          </w:tcPr>
          <w:p w14:paraId="19925097">
            <w:pPr>
              <w:spacing w:line="280" w:lineRule="exact"/>
              <w:jc w:val="center"/>
              <w:rPr>
                <w:rFonts w:hint="eastAsia" w:cs="Times New Roman" w:asciiTheme="minorEastAsia" w:hAnsiTheme="minorEastAsia" w:eastAsiaTheme="minorEastAsia"/>
                <w:color w:val="auto"/>
                <w:szCs w:val="21"/>
              </w:rPr>
            </w:pPr>
            <w:r>
              <w:rPr>
                <w:rFonts w:hint="eastAsia" w:cs="Times New Roman" w:asciiTheme="minorEastAsia" w:hAnsiTheme="minorEastAsia" w:eastAsiaTheme="minorEastAsia"/>
                <w:color w:val="auto"/>
                <w:szCs w:val="21"/>
                <w:lang w:val="en-US" w:eastAsia="zh-CN"/>
              </w:rPr>
              <w:t>门卫</w:t>
            </w:r>
          </w:p>
        </w:tc>
        <w:tc>
          <w:tcPr>
            <w:tcW w:w="975" w:type="dxa"/>
            <w:shd w:val="clear" w:color="auto" w:fill="auto"/>
            <w:noWrap/>
            <w:vAlign w:val="center"/>
          </w:tcPr>
          <w:p w14:paraId="6622A4DE">
            <w:pPr>
              <w:spacing w:line="280" w:lineRule="exact"/>
              <w:jc w:val="center"/>
              <w:rPr>
                <w:rFonts w:hint="eastAsia" w:cs="Times New Roman" w:asciiTheme="minorEastAsia" w:hAnsiTheme="minorEastAsia" w:eastAsiaTheme="minorEastAsia"/>
                <w:color w:val="auto"/>
                <w:szCs w:val="21"/>
                <w:lang w:eastAsia="zh-CN"/>
              </w:rPr>
            </w:pPr>
            <w:r>
              <w:rPr>
                <w:rFonts w:hint="eastAsia" w:cs="Times New Roman" w:asciiTheme="minorEastAsia" w:hAnsiTheme="minorEastAsia" w:eastAsiaTheme="minorEastAsia"/>
                <w:color w:val="auto"/>
                <w:szCs w:val="21"/>
                <w:lang w:val="en-US" w:eastAsia="zh-CN"/>
              </w:rPr>
              <w:t>5</w:t>
            </w:r>
          </w:p>
        </w:tc>
        <w:tc>
          <w:tcPr>
            <w:tcW w:w="1605" w:type="dxa"/>
            <w:shd w:val="clear" w:color="auto" w:fill="auto"/>
            <w:vAlign w:val="center"/>
          </w:tcPr>
          <w:p w14:paraId="73F5E17E">
            <w:pPr>
              <w:spacing w:line="280" w:lineRule="exact"/>
              <w:jc w:val="center"/>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24小时</w:t>
            </w:r>
          </w:p>
          <w:p w14:paraId="0B60193E">
            <w:pPr>
              <w:spacing w:line="280" w:lineRule="exact"/>
              <w:jc w:val="center"/>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双人双岗</w:t>
            </w:r>
          </w:p>
          <w:p w14:paraId="67F3A923">
            <w:pPr>
              <w:spacing w:line="280" w:lineRule="exact"/>
              <w:jc w:val="center"/>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8:00-20:00,</w:t>
            </w:r>
          </w:p>
          <w:p w14:paraId="397ECAFE">
            <w:pPr>
              <w:spacing w:line="280" w:lineRule="exact"/>
              <w:jc w:val="center"/>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20:00-8:00，</w:t>
            </w:r>
          </w:p>
          <w:p w14:paraId="128F88F2">
            <w:pPr>
              <w:spacing w:line="280" w:lineRule="exact"/>
              <w:jc w:val="center"/>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（上一休一）</w:t>
            </w:r>
          </w:p>
        </w:tc>
        <w:tc>
          <w:tcPr>
            <w:tcW w:w="3624" w:type="dxa"/>
            <w:shd w:val="clear" w:color="auto" w:fill="auto"/>
            <w:vAlign w:val="center"/>
          </w:tcPr>
          <w:p w14:paraId="229B3C4D">
            <w:pPr>
              <w:numPr>
                <w:ilvl w:val="0"/>
                <w:numId w:val="3"/>
              </w:numPr>
              <w:spacing w:line="280" w:lineRule="exact"/>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 xml:space="preserve">大门人员、车辆出入管理。 </w:t>
            </w:r>
          </w:p>
          <w:p w14:paraId="495DEA13">
            <w:pPr>
              <w:numPr>
                <w:ilvl w:val="0"/>
                <w:numId w:val="3"/>
              </w:numPr>
              <w:spacing w:line="280" w:lineRule="exact"/>
              <w:jc w:val="left"/>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门口消控室值班。</w:t>
            </w:r>
          </w:p>
          <w:p w14:paraId="1307004F">
            <w:pPr>
              <w:numPr>
                <w:ilvl w:val="0"/>
                <w:numId w:val="3"/>
              </w:numPr>
              <w:spacing w:line="280" w:lineRule="exact"/>
              <w:jc w:val="left"/>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医院安全/设备巡检。</w:t>
            </w:r>
          </w:p>
          <w:p w14:paraId="3DD771EF">
            <w:pPr>
              <w:numPr>
                <w:ilvl w:val="0"/>
                <w:numId w:val="3"/>
              </w:numPr>
              <w:spacing w:line="280" w:lineRule="exact"/>
              <w:jc w:val="left"/>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公共区域秩序维护及车辆管理。</w:t>
            </w:r>
          </w:p>
          <w:p w14:paraId="0352B85D">
            <w:pPr>
              <w:numPr>
                <w:ilvl w:val="0"/>
                <w:numId w:val="3"/>
              </w:numPr>
              <w:spacing w:line="280" w:lineRule="exact"/>
              <w:jc w:val="left"/>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值班室及周围卫生维护等</w:t>
            </w:r>
          </w:p>
          <w:p w14:paraId="106D2259">
            <w:pPr>
              <w:numPr>
                <w:ilvl w:val="0"/>
                <w:numId w:val="3"/>
              </w:numPr>
              <w:spacing w:line="280" w:lineRule="exact"/>
              <w:jc w:val="left"/>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处理突发事件。</w:t>
            </w:r>
          </w:p>
        </w:tc>
        <w:tc>
          <w:tcPr>
            <w:tcW w:w="1542" w:type="dxa"/>
            <w:shd w:val="clear" w:color="auto" w:fill="auto"/>
            <w:vAlign w:val="center"/>
          </w:tcPr>
          <w:p w14:paraId="3E66CAE2">
            <w:pPr>
              <w:numPr>
                <w:ilvl w:val="0"/>
                <w:numId w:val="0"/>
              </w:numPr>
              <w:spacing w:line="280" w:lineRule="exact"/>
              <w:jc w:val="left"/>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保安员</w:t>
            </w:r>
          </w:p>
        </w:tc>
      </w:tr>
      <w:tr w14:paraId="1ADDE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810" w:type="dxa"/>
            <w:shd w:val="clear" w:color="auto" w:fill="auto"/>
            <w:noWrap/>
            <w:vAlign w:val="center"/>
          </w:tcPr>
          <w:p w14:paraId="224BE398">
            <w:pPr>
              <w:spacing w:line="280" w:lineRule="exact"/>
              <w:jc w:val="center"/>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3</w:t>
            </w:r>
          </w:p>
        </w:tc>
        <w:tc>
          <w:tcPr>
            <w:tcW w:w="1770" w:type="dxa"/>
            <w:shd w:val="clear" w:color="auto" w:fill="auto"/>
            <w:noWrap/>
            <w:vAlign w:val="center"/>
          </w:tcPr>
          <w:p w14:paraId="2FF8E153">
            <w:pPr>
              <w:spacing w:line="280" w:lineRule="exact"/>
              <w:jc w:val="center"/>
              <w:rPr>
                <w:rFonts w:hint="default" w:cs="Times New Roman" w:asciiTheme="minorEastAsia" w:hAnsiTheme="minorEastAsia" w:eastAsiaTheme="minorEastAsia"/>
                <w:color w:val="auto"/>
                <w:szCs w:val="21"/>
                <w:lang w:val="en-US"/>
              </w:rPr>
            </w:pPr>
            <w:r>
              <w:rPr>
                <w:rFonts w:hint="eastAsia" w:cs="Times New Roman" w:asciiTheme="minorEastAsia" w:hAnsiTheme="minorEastAsia" w:eastAsiaTheme="minorEastAsia"/>
                <w:color w:val="auto"/>
                <w:szCs w:val="21"/>
                <w:lang w:val="en-US" w:eastAsia="zh-CN"/>
              </w:rPr>
              <w:t>病房保洁</w:t>
            </w:r>
          </w:p>
        </w:tc>
        <w:tc>
          <w:tcPr>
            <w:tcW w:w="975" w:type="dxa"/>
            <w:shd w:val="clear" w:color="auto" w:fill="auto"/>
            <w:noWrap/>
            <w:vAlign w:val="center"/>
          </w:tcPr>
          <w:p w14:paraId="4004F008">
            <w:pPr>
              <w:spacing w:line="280" w:lineRule="exact"/>
              <w:jc w:val="center"/>
              <w:rPr>
                <w:rFonts w:hint="eastAsia" w:cs="Times New Roman" w:asciiTheme="minorEastAsia" w:hAnsiTheme="minorEastAsia" w:eastAsiaTheme="minorEastAsia"/>
                <w:color w:val="auto"/>
                <w:szCs w:val="21"/>
                <w:lang w:eastAsia="zh-CN"/>
              </w:rPr>
            </w:pPr>
            <w:r>
              <w:rPr>
                <w:rFonts w:hint="eastAsia" w:cs="Times New Roman" w:asciiTheme="minorEastAsia" w:hAnsiTheme="minorEastAsia" w:eastAsiaTheme="minorEastAsia"/>
                <w:color w:val="auto"/>
                <w:szCs w:val="21"/>
                <w:lang w:val="en-US" w:eastAsia="zh-CN"/>
              </w:rPr>
              <w:t>4</w:t>
            </w:r>
          </w:p>
        </w:tc>
        <w:tc>
          <w:tcPr>
            <w:tcW w:w="1605" w:type="dxa"/>
            <w:shd w:val="clear" w:color="auto" w:fill="auto"/>
            <w:vAlign w:val="center"/>
          </w:tcPr>
          <w:p w14:paraId="17219CD0">
            <w:pPr>
              <w:spacing w:line="280" w:lineRule="exact"/>
              <w:jc w:val="center"/>
              <w:rPr>
                <w:rFonts w:hint="eastAsia" w:cs="Times New Roman" w:asciiTheme="minorEastAsia" w:hAnsiTheme="minorEastAsia" w:eastAsiaTheme="minorEastAsia"/>
                <w:color w:val="auto"/>
                <w:szCs w:val="21"/>
              </w:rPr>
            </w:pPr>
            <w:r>
              <w:rPr>
                <w:rFonts w:hint="eastAsia" w:cs="Times New Roman" w:asciiTheme="minorEastAsia" w:hAnsiTheme="minorEastAsia" w:eastAsiaTheme="minorEastAsia"/>
                <w:color w:val="auto"/>
                <w:szCs w:val="21"/>
              </w:rPr>
              <w:t>周一到周日</w:t>
            </w:r>
          </w:p>
          <w:p w14:paraId="47484D7A">
            <w:pPr>
              <w:spacing w:line="280" w:lineRule="exact"/>
              <w:jc w:val="center"/>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5</w:t>
            </w:r>
            <w:r>
              <w:rPr>
                <w:rFonts w:hint="eastAsia" w:cs="Times New Roman" w:asciiTheme="minorEastAsia" w:hAnsiTheme="minorEastAsia" w:eastAsiaTheme="minorEastAsia"/>
                <w:color w:val="auto"/>
                <w:szCs w:val="21"/>
              </w:rPr>
              <w:t>：30-17：30，</w:t>
            </w:r>
            <w:r>
              <w:rPr>
                <w:rFonts w:hint="eastAsia" w:cs="Times New Roman" w:asciiTheme="minorEastAsia" w:hAnsiTheme="minorEastAsia" w:eastAsiaTheme="minorEastAsia"/>
                <w:color w:val="auto"/>
                <w:szCs w:val="21"/>
                <w:lang w:eastAsia="zh-CN"/>
              </w:rPr>
              <w:t>（</w:t>
            </w:r>
            <w:r>
              <w:rPr>
                <w:rFonts w:hint="eastAsia" w:cs="Times New Roman" w:asciiTheme="minorEastAsia" w:hAnsiTheme="minorEastAsia" w:eastAsiaTheme="minorEastAsia"/>
                <w:color w:val="auto"/>
                <w:szCs w:val="21"/>
                <w:lang w:val="en-US" w:eastAsia="zh-CN"/>
              </w:rPr>
              <w:t>上一休一）</w:t>
            </w:r>
          </w:p>
        </w:tc>
        <w:tc>
          <w:tcPr>
            <w:tcW w:w="3624" w:type="dxa"/>
            <w:shd w:val="clear" w:color="auto" w:fill="auto"/>
            <w:vAlign w:val="center"/>
          </w:tcPr>
          <w:p w14:paraId="08ED46CB">
            <w:pPr>
              <w:numPr>
                <w:ilvl w:val="0"/>
                <w:numId w:val="4"/>
              </w:numPr>
              <w:spacing w:line="280" w:lineRule="exact"/>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二楼，三楼整体病房室内外清洁。</w:t>
            </w:r>
          </w:p>
          <w:p w14:paraId="1785517C">
            <w:pPr>
              <w:numPr>
                <w:ilvl w:val="0"/>
                <w:numId w:val="4"/>
              </w:numPr>
              <w:spacing w:line="280" w:lineRule="exact"/>
              <w:ind w:left="0" w:leftChars="0" w:firstLine="0" w:firstLineChars="0"/>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病人餐食发放与监管。</w:t>
            </w:r>
          </w:p>
          <w:p w14:paraId="444C1307">
            <w:pPr>
              <w:numPr>
                <w:ilvl w:val="0"/>
                <w:numId w:val="4"/>
              </w:numPr>
              <w:spacing w:line="280" w:lineRule="exact"/>
              <w:ind w:left="0" w:leftChars="0" w:firstLine="0" w:firstLineChars="0"/>
              <w:jc w:val="left"/>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协助区域后勤保障工作。</w:t>
            </w:r>
          </w:p>
        </w:tc>
        <w:tc>
          <w:tcPr>
            <w:tcW w:w="1542" w:type="dxa"/>
            <w:shd w:val="clear" w:color="auto" w:fill="auto"/>
            <w:vAlign w:val="center"/>
          </w:tcPr>
          <w:p w14:paraId="275FEB91">
            <w:pPr>
              <w:numPr>
                <w:ilvl w:val="0"/>
                <w:numId w:val="0"/>
              </w:numPr>
              <w:spacing w:line="280" w:lineRule="exact"/>
              <w:ind w:leftChars="0"/>
              <w:jc w:val="left"/>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保洁员</w:t>
            </w:r>
          </w:p>
        </w:tc>
      </w:tr>
      <w:tr w14:paraId="7E8D1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810" w:type="dxa"/>
            <w:shd w:val="clear" w:color="auto" w:fill="auto"/>
            <w:noWrap/>
            <w:vAlign w:val="center"/>
          </w:tcPr>
          <w:p w14:paraId="50BAEABF">
            <w:pPr>
              <w:spacing w:line="280" w:lineRule="exact"/>
              <w:jc w:val="center"/>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4</w:t>
            </w:r>
          </w:p>
        </w:tc>
        <w:tc>
          <w:tcPr>
            <w:tcW w:w="1770" w:type="dxa"/>
            <w:shd w:val="clear" w:color="auto" w:fill="auto"/>
            <w:noWrap/>
            <w:vAlign w:val="center"/>
          </w:tcPr>
          <w:p w14:paraId="6C945F18">
            <w:pPr>
              <w:spacing w:line="280" w:lineRule="exact"/>
              <w:jc w:val="center"/>
              <w:rPr>
                <w:rFonts w:hint="eastAsia" w:cs="Times New Roman" w:asciiTheme="minorEastAsia" w:hAnsiTheme="minorEastAsia" w:eastAsiaTheme="minorEastAsia"/>
                <w:color w:val="auto"/>
                <w:szCs w:val="21"/>
              </w:rPr>
            </w:pPr>
            <w:r>
              <w:rPr>
                <w:rFonts w:hint="eastAsia" w:cs="Times New Roman" w:asciiTheme="minorEastAsia" w:hAnsiTheme="minorEastAsia" w:eastAsiaTheme="minorEastAsia"/>
                <w:color w:val="auto"/>
                <w:szCs w:val="21"/>
                <w:lang w:val="en-US" w:eastAsia="zh-CN"/>
              </w:rPr>
              <w:t>一楼门诊</w:t>
            </w:r>
          </w:p>
        </w:tc>
        <w:tc>
          <w:tcPr>
            <w:tcW w:w="975" w:type="dxa"/>
            <w:shd w:val="clear" w:color="auto" w:fill="auto"/>
            <w:noWrap/>
            <w:vAlign w:val="center"/>
          </w:tcPr>
          <w:p w14:paraId="787A9149">
            <w:pPr>
              <w:spacing w:line="280" w:lineRule="exact"/>
              <w:jc w:val="center"/>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1</w:t>
            </w:r>
          </w:p>
        </w:tc>
        <w:tc>
          <w:tcPr>
            <w:tcW w:w="1605" w:type="dxa"/>
            <w:vAlign w:val="center"/>
          </w:tcPr>
          <w:p w14:paraId="02717EBC">
            <w:pPr>
              <w:spacing w:line="280" w:lineRule="exact"/>
              <w:jc w:val="center"/>
              <w:rPr>
                <w:rFonts w:hint="eastAsia" w:asciiTheme="minorEastAsia" w:hAnsiTheme="minorEastAsia" w:eastAsiaTheme="minorEastAsia"/>
                <w:color w:val="auto"/>
                <w:szCs w:val="21"/>
              </w:rPr>
            </w:pPr>
            <w:r>
              <w:rPr>
                <w:rFonts w:asciiTheme="minorEastAsia" w:hAnsiTheme="minorEastAsia" w:eastAsiaTheme="minorEastAsia"/>
                <w:color w:val="auto"/>
                <w:szCs w:val="21"/>
              </w:rPr>
              <w:t>周一到周</w:t>
            </w:r>
            <w:r>
              <w:rPr>
                <w:rFonts w:hint="eastAsia" w:asciiTheme="minorEastAsia" w:hAnsiTheme="minorEastAsia" w:eastAsiaTheme="minorEastAsia"/>
                <w:color w:val="auto"/>
                <w:szCs w:val="21"/>
              </w:rPr>
              <w:t>日</w:t>
            </w:r>
          </w:p>
          <w:p w14:paraId="2C321099">
            <w:pPr>
              <w:spacing w:line="280" w:lineRule="exact"/>
              <w:jc w:val="center"/>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7：00-11:30,</w:t>
            </w:r>
          </w:p>
          <w:p w14:paraId="36FBCC4B">
            <w:pPr>
              <w:spacing w:line="28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13:30</w:t>
            </w:r>
            <w:r>
              <w:rPr>
                <w:rFonts w:asciiTheme="minorEastAsia" w:hAnsiTheme="minorEastAsia" w:eastAsiaTheme="minorEastAsia"/>
                <w:color w:val="auto"/>
                <w:szCs w:val="21"/>
              </w:rPr>
              <w:t>-17：</w:t>
            </w:r>
            <w:r>
              <w:rPr>
                <w:rFonts w:hint="eastAsia" w:asciiTheme="minorEastAsia" w:hAnsiTheme="minorEastAsia" w:eastAsiaTheme="minorEastAsia"/>
                <w:color w:val="auto"/>
                <w:szCs w:val="21"/>
                <w:lang w:val="en-US" w:eastAsia="zh-CN"/>
              </w:rPr>
              <w:t>00</w:t>
            </w:r>
            <w:r>
              <w:rPr>
                <w:rFonts w:hint="eastAsia" w:asciiTheme="minorEastAsia" w:hAnsiTheme="minorEastAsia" w:eastAsiaTheme="minorEastAsia"/>
                <w:color w:val="auto"/>
                <w:szCs w:val="21"/>
              </w:rPr>
              <w:t>，</w:t>
            </w:r>
            <w:r>
              <w:rPr>
                <w:rFonts w:asciiTheme="minorEastAsia" w:hAnsiTheme="minorEastAsia" w:eastAsiaTheme="minorEastAsia"/>
                <w:color w:val="auto"/>
                <w:szCs w:val="21"/>
              </w:rPr>
              <w:t>做五休二制</w:t>
            </w:r>
            <w:r>
              <w:rPr>
                <w:rFonts w:hint="eastAsia" w:asciiTheme="minorEastAsia" w:hAnsiTheme="minorEastAsia" w:eastAsiaTheme="minorEastAsia"/>
                <w:color w:val="auto"/>
                <w:szCs w:val="21"/>
              </w:rPr>
              <w:t>。</w:t>
            </w:r>
          </w:p>
          <w:p w14:paraId="0E0C02B6">
            <w:pPr>
              <w:spacing w:line="280" w:lineRule="exact"/>
              <w:jc w:val="both"/>
              <w:rPr>
                <w:rFonts w:hint="eastAsia" w:cs="Times New Roman" w:asciiTheme="minorEastAsia" w:hAnsiTheme="minorEastAsia" w:eastAsiaTheme="minorEastAsia"/>
                <w:color w:val="auto"/>
                <w:szCs w:val="21"/>
              </w:rPr>
            </w:pPr>
          </w:p>
        </w:tc>
        <w:tc>
          <w:tcPr>
            <w:tcW w:w="3624" w:type="dxa"/>
            <w:shd w:val="clear" w:color="auto" w:fill="auto"/>
            <w:vAlign w:val="center"/>
          </w:tcPr>
          <w:p w14:paraId="3C67FC92">
            <w:pPr>
              <w:numPr>
                <w:ilvl w:val="0"/>
                <w:numId w:val="5"/>
              </w:numPr>
              <w:spacing w:line="280" w:lineRule="exact"/>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一楼门诊大厅公共区域整体清洁。</w:t>
            </w:r>
          </w:p>
          <w:p w14:paraId="2E8675F9">
            <w:pPr>
              <w:numPr>
                <w:ilvl w:val="0"/>
                <w:numId w:val="5"/>
              </w:numPr>
              <w:spacing w:line="280" w:lineRule="exact"/>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协助区域后勤保障工作。</w:t>
            </w:r>
          </w:p>
          <w:p w14:paraId="68928B64">
            <w:pPr>
              <w:numPr>
                <w:ilvl w:val="0"/>
                <w:numId w:val="5"/>
              </w:numPr>
              <w:spacing w:line="280" w:lineRule="exact"/>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地毯、保洁工具按要求摆放。</w:t>
            </w:r>
          </w:p>
        </w:tc>
        <w:tc>
          <w:tcPr>
            <w:tcW w:w="1542" w:type="dxa"/>
            <w:shd w:val="clear" w:color="auto" w:fill="auto"/>
            <w:vAlign w:val="center"/>
          </w:tcPr>
          <w:p w14:paraId="4F6BC99D">
            <w:pPr>
              <w:numPr>
                <w:ilvl w:val="0"/>
                <w:numId w:val="0"/>
              </w:numPr>
              <w:spacing w:line="280" w:lineRule="exact"/>
              <w:jc w:val="left"/>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保洁员</w:t>
            </w:r>
          </w:p>
        </w:tc>
      </w:tr>
      <w:tr w14:paraId="43B20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810" w:type="dxa"/>
            <w:shd w:val="clear" w:color="auto" w:fill="auto"/>
            <w:noWrap/>
            <w:vAlign w:val="center"/>
          </w:tcPr>
          <w:p w14:paraId="29C6DE7B">
            <w:pPr>
              <w:spacing w:line="280" w:lineRule="exact"/>
              <w:jc w:val="center"/>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5</w:t>
            </w:r>
          </w:p>
        </w:tc>
        <w:tc>
          <w:tcPr>
            <w:tcW w:w="1770" w:type="dxa"/>
            <w:shd w:val="clear" w:color="auto" w:fill="auto"/>
            <w:noWrap/>
            <w:vAlign w:val="center"/>
          </w:tcPr>
          <w:p w14:paraId="2098A1F3">
            <w:pPr>
              <w:spacing w:line="280" w:lineRule="exact"/>
              <w:jc w:val="center"/>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二楼门诊</w:t>
            </w:r>
          </w:p>
        </w:tc>
        <w:tc>
          <w:tcPr>
            <w:tcW w:w="975" w:type="dxa"/>
            <w:shd w:val="clear" w:color="auto" w:fill="auto"/>
            <w:noWrap/>
            <w:vAlign w:val="center"/>
          </w:tcPr>
          <w:p w14:paraId="32AE68FA">
            <w:pPr>
              <w:spacing w:line="280" w:lineRule="exact"/>
              <w:jc w:val="center"/>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1</w:t>
            </w:r>
          </w:p>
        </w:tc>
        <w:tc>
          <w:tcPr>
            <w:tcW w:w="1605" w:type="dxa"/>
            <w:vAlign w:val="center"/>
          </w:tcPr>
          <w:p w14:paraId="21DA5B83">
            <w:pPr>
              <w:spacing w:line="280" w:lineRule="exact"/>
              <w:jc w:val="center"/>
              <w:rPr>
                <w:rFonts w:hint="eastAsia" w:asciiTheme="minorEastAsia" w:hAnsiTheme="minorEastAsia" w:eastAsiaTheme="minorEastAsia"/>
                <w:color w:val="auto"/>
                <w:szCs w:val="21"/>
              </w:rPr>
            </w:pPr>
            <w:r>
              <w:rPr>
                <w:rFonts w:asciiTheme="minorEastAsia" w:hAnsiTheme="minorEastAsia" w:eastAsiaTheme="minorEastAsia"/>
                <w:color w:val="auto"/>
                <w:szCs w:val="21"/>
              </w:rPr>
              <w:t>周一到周</w:t>
            </w:r>
            <w:r>
              <w:rPr>
                <w:rFonts w:hint="eastAsia" w:asciiTheme="minorEastAsia" w:hAnsiTheme="minorEastAsia" w:eastAsiaTheme="minorEastAsia"/>
                <w:color w:val="auto"/>
                <w:szCs w:val="21"/>
              </w:rPr>
              <w:t>日</w:t>
            </w:r>
          </w:p>
          <w:p w14:paraId="54D65F10">
            <w:pPr>
              <w:spacing w:line="280" w:lineRule="exact"/>
              <w:jc w:val="center"/>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7：00-11:30,</w:t>
            </w:r>
          </w:p>
          <w:p w14:paraId="6E43BA56">
            <w:pPr>
              <w:spacing w:line="28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13:30</w:t>
            </w:r>
            <w:r>
              <w:rPr>
                <w:rFonts w:asciiTheme="minorEastAsia" w:hAnsiTheme="minorEastAsia" w:eastAsiaTheme="minorEastAsia"/>
                <w:color w:val="auto"/>
                <w:szCs w:val="21"/>
              </w:rPr>
              <w:t>-17：</w:t>
            </w:r>
            <w:r>
              <w:rPr>
                <w:rFonts w:hint="eastAsia" w:asciiTheme="minorEastAsia" w:hAnsiTheme="minorEastAsia" w:eastAsiaTheme="minorEastAsia"/>
                <w:color w:val="auto"/>
                <w:szCs w:val="21"/>
                <w:lang w:val="en-US" w:eastAsia="zh-CN"/>
              </w:rPr>
              <w:t>00</w:t>
            </w:r>
            <w:r>
              <w:rPr>
                <w:rFonts w:hint="eastAsia" w:asciiTheme="minorEastAsia" w:hAnsiTheme="minorEastAsia" w:eastAsiaTheme="minorEastAsia"/>
                <w:color w:val="auto"/>
                <w:szCs w:val="21"/>
              </w:rPr>
              <w:t>，</w:t>
            </w:r>
            <w:r>
              <w:rPr>
                <w:rFonts w:asciiTheme="minorEastAsia" w:hAnsiTheme="minorEastAsia" w:eastAsiaTheme="minorEastAsia"/>
                <w:color w:val="auto"/>
                <w:szCs w:val="21"/>
              </w:rPr>
              <w:t>做五休二制</w:t>
            </w:r>
            <w:r>
              <w:rPr>
                <w:rFonts w:hint="eastAsia" w:asciiTheme="minorEastAsia" w:hAnsiTheme="minorEastAsia" w:eastAsiaTheme="minorEastAsia"/>
                <w:color w:val="auto"/>
                <w:szCs w:val="21"/>
              </w:rPr>
              <w:t>。</w:t>
            </w:r>
          </w:p>
          <w:p w14:paraId="232CF63E">
            <w:pPr>
              <w:spacing w:line="280" w:lineRule="exact"/>
              <w:jc w:val="both"/>
              <w:rPr>
                <w:rFonts w:hint="eastAsia" w:cs="Times New Roman" w:asciiTheme="minorEastAsia" w:hAnsiTheme="minorEastAsia" w:eastAsiaTheme="minorEastAsia"/>
                <w:color w:val="auto"/>
                <w:szCs w:val="21"/>
              </w:rPr>
            </w:pPr>
          </w:p>
        </w:tc>
        <w:tc>
          <w:tcPr>
            <w:tcW w:w="3624" w:type="dxa"/>
            <w:shd w:val="clear" w:color="auto" w:fill="auto"/>
            <w:vAlign w:val="center"/>
          </w:tcPr>
          <w:p w14:paraId="3D06005D">
            <w:pPr>
              <w:numPr>
                <w:ilvl w:val="0"/>
                <w:numId w:val="0"/>
              </w:numPr>
              <w:spacing w:line="280" w:lineRule="exact"/>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1、二楼门诊大厅公共区域整体清洁。</w:t>
            </w:r>
          </w:p>
          <w:p w14:paraId="3E521002">
            <w:pPr>
              <w:numPr>
                <w:ilvl w:val="0"/>
                <w:numId w:val="0"/>
              </w:numPr>
              <w:spacing w:line="280" w:lineRule="exact"/>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2、协助区域后勤保障工作。</w:t>
            </w:r>
          </w:p>
          <w:p w14:paraId="445CDE61">
            <w:pPr>
              <w:spacing w:line="280" w:lineRule="exact"/>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3、地毯、保洁工具按要求摆放。</w:t>
            </w:r>
          </w:p>
        </w:tc>
        <w:tc>
          <w:tcPr>
            <w:tcW w:w="1542" w:type="dxa"/>
            <w:shd w:val="clear" w:color="auto" w:fill="auto"/>
            <w:vAlign w:val="center"/>
          </w:tcPr>
          <w:p w14:paraId="24F6B0C6">
            <w:pPr>
              <w:spacing w:line="280" w:lineRule="exact"/>
              <w:jc w:val="left"/>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保洁员</w:t>
            </w:r>
          </w:p>
        </w:tc>
      </w:tr>
      <w:tr w14:paraId="61C08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810" w:type="dxa"/>
            <w:shd w:val="clear" w:color="auto" w:fill="auto"/>
            <w:noWrap/>
            <w:vAlign w:val="center"/>
          </w:tcPr>
          <w:p w14:paraId="5634528B">
            <w:pPr>
              <w:spacing w:line="280" w:lineRule="exact"/>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6</w:t>
            </w:r>
          </w:p>
        </w:tc>
        <w:tc>
          <w:tcPr>
            <w:tcW w:w="1770" w:type="dxa"/>
            <w:shd w:val="clear" w:color="auto" w:fill="auto"/>
            <w:noWrap/>
            <w:vAlign w:val="center"/>
          </w:tcPr>
          <w:p w14:paraId="69446AC6">
            <w:pPr>
              <w:spacing w:line="280" w:lineRule="exact"/>
              <w:jc w:val="center"/>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计免儿保</w:t>
            </w:r>
          </w:p>
        </w:tc>
        <w:tc>
          <w:tcPr>
            <w:tcW w:w="975" w:type="dxa"/>
            <w:shd w:val="clear" w:color="auto" w:fill="auto"/>
            <w:noWrap/>
            <w:vAlign w:val="center"/>
          </w:tcPr>
          <w:p w14:paraId="3D1E381E">
            <w:pPr>
              <w:spacing w:line="280" w:lineRule="exact"/>
              <w:jc w:val="center"/>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1</w:t>
            </w:r>
          </w:p>
        </w:tc>
        <w:tc>
          <w:tcPr>
            <w:tcW w:w="1605" w:type="dxa"/>
            <w:vAlign w:val="center"/>
          </w:tcPr>
          <w:p w14:paraId="5554AA56">
            <w:pPr>
              <w:spacing w:line="280" w:lineRule="exact"/>
              <w:jc w:val="center"/>
              <w:rPr>
                <w:rFonts w:hint="eastAsia" w:asciiTheme="minorEastAsia" w:hAnsiTheme="minorEastAsia" w:eastAsiaTheme="minorEastAsia"/>
                <w:color w:val="auto"/>
                <w:szCs w:val="21"/>
              </w:rPr>
            </w:pPr>
            <w:r>
              <w:rPr>
                <w:rFonts w:asciiTheme="minorEastAsia" w:hAnsiTheme="minorEastAsia" w:eastAsiaTheme="minorEastAsia"/>
                <w:color w:val="auto"/>
                <w:szCs w:val="21"/>
              </w:rPr>
              <w:t>周一到周</w:t>
            </w:r>
            <w:r>
              <w:rPr>
                <w:rFonts w:hint="eastAsia" w:asciiTheme="minorEastAsia" w:hAnsiTheme="minorEastAsia" w:eastAsiaTheme="minorEastAsia"/>
                <w:color w:val="auto"/>
                <w:szCs w:val="21"/>
              </w:rPr>
              <w:t>日</w:t>
            </w:r>
          </w:p>
          <w:p w14:paraId="50E3F4D8">
            <w:pPr>
              <w:spacing w:line="280" w:lineRule="exact"/>
              <w:jc w:val="center"/>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7：00-11:30,</w:t>
            </w:r>
          </w:p>
          <w:p w14:paraId="3BF8D3D3">
            <w:pPr>
              <w:spacing w:line="280" w:lineRule="exact"/>
              <w:jc w:val="center"/>
              <w:rPr>
                <w:rFonts w:hint="eastAsia" w:cs="Times New Roman"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13:30</w:t>
            </w:r>
            <w:r>
              <w:rPr>
                <w:rFonts w:asciiTheme="minorEastAsia" w:hAnsiTheme="minorEastAsia" w:eastAsiaTheme="minorEastAsia"/>
                <w:color w:val="auto"/>
                <w:szCs w:val="21"/>
              </w:rPr>
              <w:t>-17：</w:t>
            </w:r>
            <w:r>
              <w:rPr>
                <w:rFonts w:hint="eastAsia" w:asciiTheme="minorEastAsia" w:hAnsiTheme="minorEastAsia" w:eastAsiaTheme="minorEastAsia"/>
                <w:color w:val="auto"/>
                <w:szCs w:val="21"/>
                <w:lang w:val="en-US" w:eastAsia="zh-CN"/>
              </w:rPr>
              <w:t>00</w:t>
            </w:r>
            <w:r>
              <w:rPr>
                <w:rFonts w:hint="eastAsia" w:asciiTheme="minorEastAsia" w:hAnsiTheme="minorEastAsia" w:eastAsiaTheme="minorEastAsia"/>
                <w:color w:val="auto"/>
                <w:szCs w:val="21"/>
              </w:rPr>
              <w:t>，</w:t>
            </w:r>
            <w:r>
              <w:rPr>
                <w:rFonts w:asciiTheme="minorEastAsia" w:hAnsiTheme="minorEastAsia" w:eastAsiaTheme="minorEastAsia"/>
                <w:color w:val="auto"/>
                <w:szCs w:val="21"/>
              </w:rPr>
              <w:t>做五休二制</w:t>
            </w:r>
            <w:r>
              <w:rPr>
                <w:rFonts w:hint="eastAsia" w:asciiTheme="minorEastAsia" w:hAnsiTheme="minorEastAsia" w:eastAsiaTheme="minorEastAsia"/>
                <w:color w:val="auto"/>
                <w:szCs w:val="21"/>
              </w:rPr>
              <w:t>。</w:t>
            </w:r>
          </w:p>
        </w:tc>
        <w:tc>
          <w:tcPr>
            <w:tcW w:w="3624" w:type="dxa"/>
            <w:shd w:val="clear" w:color="auto" w:fill="auto"/>
            <w:vAlign w:val="center"/>
          </w:tcPr>
          <w:p w14:paraId="3E81DC44">
            <w:pPr>
              <w:numPr>
                <w:ilvl w:val="0"/>
                <w:numId w:val="6"/>
              </w:numPr>
              <w:spacing w:line="280" w:lineRule="exact"/>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计免儿保、社区部、发热哨点整体清洁</w:t>
            </w:r>
          </w:p>
          <w:p w14:paraId="5B847980">
            <w:pPr>
              <w:numPr>
                <w:ilvl w:val="0"/>
                <w:numId w:val="0"/>
              </w:numPr>
              <w:spacing w:line="280" w:lineRule="exact"/>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2、协助区域后勤保障工作。</w:t>
            </w:r>
          </w:p>
          <w:p w14:paraId="2EDFD549">
            <w:pPr>
              <w:numPr>
                <w:ilvl w:val="0"/>
                <w:numId w:val="0"/>
              </w:numPr>
              <w:spacing w:line="280" w:lineRule="exact"/>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3、地毯、保洁工具按要求摆放。</w:t>
            </w:r>
          </w:p>
        </w:tc>
        <w:tc>
          <w:tcPr>
            <w:tcW w:w="1542" w:type="dxa"/>
            <w:shd w:val="clear" w:color="auto" w:fill="auto"/>
            <w:vAlign w:val="center"/>
          </w:tcPr>
          <w:p w14:paraId="4EA4A9B0">
            <w:pPr>
              <w:numPr>
                <w:ilvl w:val="0"/>
                <w:numId w:val="0"/>
              </w:numPr>
              <w:spacing w:line="280" w:lineRule="exact"/>
              <w:jc w:val="left"/>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保洁员</w:t>
            </w:r>
          </w:p>
        </w:tc>
      </w:tr>
      <w:tr w14:paraId="03598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810" w:type="dxa"/>
            <w:shd w:val="clear" w:color="auto" w:fill="auto"/>
            <w:noWrap/>
            <w:vAlign w:val="center"/>
          </w:tcPr>
          <w:p w14:paraId="302CA529">
            <w:pPr>
              <w:spacing w:line="280" w:lineRule="exact"/>
              <w:jc w:val="center"/>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7</w:t>
            </w:r>
          </w:p>
        </w:tc>
        <w:tc>
          <w:tcPr>
            <w:tcW w:w="1770" w:type="dxa"/>
            <w:shd w:val="clear" w:color="auto" w:fill="auto"/>
            <w:noWrap/>
            <w:vAlign w:val="center"/>
          </w:tcPr>
          <w:p w14:paraId="38228AF2">
            <w:pPr>
              <w:spacing w:line="280" w:lineRule="exact"/>
              <w:jc w:val="center"/>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行政楼</w:t>
            </w:r>
          </w:p>
        </w:tc>
        <w:tc>
          <w:tcPr>
            <w:tcW w:w="975" w:type="dxa"/>
            <w:shd w:val="clear" w:color="auto" w:fill="auto"/>
            <w:noWrap/>
            <w:vAlign w:val="center"/>
          </w:tcPr>
          <w:p w14:paraId="15EF4A50">
            <w:pPr>
              <w:spacing w:line="280" w:lineRule="exact"/>
              <w:jc w:val="center"/>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1</w:t>
            </w:r>
          </w:p>
        </w:tc>
        <w:tc>
          <w:tcPr>
            <w:tcW w:w="1605" w:type="dxa"/>
            <w:vAlign w:val="center"/>
          </w:tcPr>
          <w:p w14:paraId="39D62F47">
            <w:pPr>
              <w:spacing w:line="280" w:lineRule="exact"/>
              <w:jc w:val="center"/>
              <w:rPr>
                <w:rFonts w:hint="eastAsia" w:asciiTheme="minorEastAsia" w:hAnsiTheme="minorEastAsia" w:eastAsiaTheme="minorEastAsia"/>
                <w:color w:val="auto"/>
                <w:szCs w:val="21"/>
              </w:rPr>
            </w:pPr>
            <w:r>
              <w:rPr>
                <w:rFonts w:asciiTheme="minorEastAsia" w:hAnsiTheme="minorEastAsia" w:eastAsiaTheme="minorEastAsia"/>
                <w:color w:val="auto"/>
                <w:szCs w:val="21"/>
              </w:rPr>
              <w:t>周一到周</w:t>
            </w:r>
            <w:r>
              <w:rPr>
                <w:rFonts w:hint="eastAsia" w:asciiTheme="minorEastAsia" w:hAnsiTheme="minorEastAsia" w:eastAsiaTheme="minorEastAsia"/>
                <w:color w:val="auto"/>
                <w:szCs w:val="21"/>
              </w:rPr>
              <w:t>日</w:t>
            </w:r>
          </w:p>
          <w:p w14:paraId="262823FF">
            <w:pPr>
              <w:spacing w:line="280" w:lineRule="exact"/>
              <w:jc w:val="center"/>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7：00-11:30,</w:t>
            </w:r>
          </w:p>
          <w:p w14:paraId="5462A983">
            <w:pPr>
              <w:spacing w:line="280" w:lineRule="exact"/>
              <w:jc w:val="center"/>
              <w:rPr>
                <w:rFonts w:hint="eastAsia" w:cs="Times New Roman"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13:30</w:t>
            </w:r>
            <w:r>
              <w:rPr>
                <w:rFonts w:asciiTheme="minorEastAsia" w:hAnsiTheme="minorEastAsia" w:eastAsiaTheme="minorEastAsia"/>
                <w:color w:val="auto"/>
                <w:szCs w:val="21"/>
              </w:rPr>
              <w:t>-17：</w:t>
            </w:r>
            <w:r>
              <w:rPr>
                <w:rFonts w:hint="eastAsia" w:asciiTheme="minorEastAsia" w:hAnsiTheme="minorEastAsia" w:eastAsiaTheme="minorEastAsia"/>
                <w:color w:val="auto"/>
                <w:szCs w:val="21"/>
                <w:lang w:val="en-US" w:eastAsia="zh-CN"/>
              </w:rPr>
              <w:t>00</w:t>
            </w:r>
            <w:r>
              <w:rPr>
                <w:rFonts w:hint="eastAsia" w:asciiTheme="minorEastAsia" w:hAnsiTheme="minorEastAsia" w:eastAsiaTheme="minorEastAsia"/>
                <w:color w:val="auto"/>
                <w:szCs w:val="21"/>
              </w:rPr>
              <w:t>，</w:t>
            </w:r>
            <w:r>
              <w:rPr>
                <w:rFonts w:asciiTheme="minorEastAsia" w:hAnsiTheme="minorEastAsia" w:eastAsiaTheme="minorEastAsia"/>
                <w:color w:val="auto"/>
                <w:szCs w:val="21"/>
              </w:rPr>
              <w:t>做五休二制</w:t>
            </w:r>
            <w:r>
              <w:rPr>
                <w:rFonts w:hint="eastAsia" w:asciiTheme="minorEastAsia" w:hAnsiTheme="minorEastAsia" w:eastAsiaTheme="minorEastAsia"/>
                <w:color w:val="auto"/>
                <w:szCs w:val="21"/>
              </w:rPr>
              <w:t>。</w:t>
            </w:r>
          </w:p>
        </w:tc>
        <w:tc>
          <w:tcPr>
            <w:tcW w:w="3624" w:type="dxa"/>
            <w:shd w:val="clear" w:color="auto" w:fill="auto"/>
            <w:vAlign w:val="center"/>
          </w:tcPr>
          <w:p w14:paraId="390FB555">
            <w:pPr>
              <w:numPr>
                <w:ilvl w:val="0"/>
                <w:numId w:val="7"/>
              </w:numPr>
              <w:spacing w:line="280" w:lineRule="exact"/>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行政楼、大会议室整体清洁。</w:t>
            </w:r>
          </w:p>
          <w:p w14:paraId="3299ACE7">
            <w:pPr>
              <w:numPr>
                <w:ilvl w:val="0"/>
                <w:numId w:val="0"/>
              </w:numPr>
              <w:spacing w:line="280" w:lineRule="exact"/>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2、协助区域后勤保障工作。</w:t>
            </w:r>
          </w:p>
          <w:p w14:paraId="308970DC">
            <w:pPr>
              <w:numPr>
                <w:ilvl w:val="0"/>
                <w:numId w:val="0"/>
              </w:numPr>
              <w:spacing w:line="280" w:lineRule="exact"/>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3、地毯、保洁工具按要求摆放。</w:t>
            </w:r>
          </w:p>
        </w:tc>
        <w:tc>
          <w:tcPr>
            <w:tcW w:w="1542" w:type="dxa"/>
            <w:shd w:val="clear" w:color="auto" w:fill="auto"/>
            <w:vAlign w:val="center"/>
          </w:tcPr>
          <w:p w14:paraId="3707F84F">
            <w:pPr>
              <w:numPr>
                <w:ilvl w:val="0"/>
                <w:numId w:val="0"/>
              </w:numPr>
              <w:spacing w:line="280" w:lineRule="exact"/>
              <w:jc w:val="left"/>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保洁员</w:t>
            </w:r>
          </w:p>
        </w:tc>
      </w:tr>
      <w:tr w14:paraId="6D5B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810" w:type="dxa"/>
            <w:shd w:val="clear" w:color="auto" w:fill="auto"/>
            <w:noWrap/>
            <w:vAlign w:val="center"/>
          </w:tcPr>
          <w:p w14:paraId="11764822">
            <w:pPr>
              <w:spacing w:line="280" w:lineRule="exact"/>
              <w:jc w:val="center"/>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8</w:t>
            </w:r>
          </w:p>
        </w:tc>
        <w:tc>
          <w:tcPr>
            <w:tcW w:w="1770" w:type="dxa"/>
            <w:shd w:val="clear" w:color="auto" w:fill="auto"/>
            <w:noWrap/>
            <w:vAlign w:val="center"/>
          </w:tcPr>
          <w:p w14:paraId="79456A0A">
            <w:pPr>
              <w:spacing w:line="280" w:lineRule="exact"/>
              <w:jc w:val="center"/>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广场</w:t>
            </w:r>
          </w:p>
        </w:tc>
        <w:tc>
          <w:tcPr>
            <w:tcW w:w="975" w:type="dxa"/>
            <w:shd w:val="clear" w:color="auto" w:fill="auto"/>
            <w:noWrap/>
            <w:vAlign w:val="center"/>
          </w:tcPr>
          <w:p w14:paraId="22A41747">
            <w:pPr>
              <w:spacing w:line="280" w:lineRule="exact"/>
              <w:jc w:val="center"/>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1</w:t>
            </w:r>
          </w:p>
        </w:tc>
        <w:tc>
          <w:tcPr>
            <w:tcW w:w="1605" w:type="dxa"/>
            <w:vAlign w:val="center"/>
          </w:tcPr>
          <w:p w14:paraId="594ED183">
            <w:pPr>
              <w:spacing w:line="280" w:lineRule="exact"/>
              <w:jc w:val="center"/>
              <w:rPr>
                <w:rFonts w:hint="eastAsia" w:asciiTheme="minorEastAsia" w:hAnsiTheme="minorEastAsia" w:eastAsiaTheme="minorEastAsia"/>
                <w:color w:val="auto"/>
                <w:szCs w:val="21"/>
              </w:rPr>
            </w:pPr>
            <w:r>
              <w:rPr>
                <w:rFonts w:asciiTheme="minorEastAsia" w:hAnsiTheme="minorEastAsia" w:eastAsiaTheme="minorEastAsia"/>
                <w:color w:val="auto"/>
                <w:szCs w:val="21"/>
              </w:rPr>
              <w:t>周一到周</w:t>
            </w:r>
            <w:r>
              <w:rPr>
                <w:rFonts w:hint="eastAsia" w:asciiTheme="minorEastAsia" w:hAnsiTheme="minorEastAsia" w:eastAsiaTheme="minorEastAsia"/>
                <w:color w:val="auto"/>
                <w:szCs w:val="21"/>
              </w:rPr>
              <w:t>日</w:t>
            </w:r>
          </w:p>
          <w:p w14:paraId="28FF430D">
            <w:pPr>
              <w:spacing w:line="280" w:lineRule="exact"/>
              <w:jc w:val="center"/>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7：00-11:30,</w:t>
            </w:r>
          </w:p>
          <w:p w14:paraId="6BB30BAC">
            <w:pPr>
              <w:spacing w:line="280" w:lineRule="exact"/>
              <w:jc w:val="center"/>
              <w:rPr>
                <w:rFonts w:hint="eastAsia"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13:30</w:t>
            </w:r>
            <w:r>
              <w:rPr>
                <w:rFonts w:asciiTheme="minorEastAsia" w:hAnsiTheme="minorEastAsia" w:eastAsiaTheme="minorEastAsia"/>
                <w:color w:val="auto"/>
                <w:szCs w:val="21"/>
              </w:rPr>
              <w:t>-17：</w:t>
            </w:r>
            <w:r>
              <w:rPr>
                <w:rFonts w:hint="eastAsia" w:asciiTheme="minorEastAsia" w:hAnsiTheme="minorEastAsia" w:eastAsiaTheme="minorEastAsia"/>
                <w:color w:val="auto"/>
                <w:szCs w:val="21"/>
                <w:lang w:val="en-US" w:eastAsia="zh-CN"/>
              </w:rPr>
              <w:t>00</w:t>
            </w:r>
            <w:r>
              <w:rPr>
                <w:rFonts w:hint="eastAsia" w:asciiTheme="minorEastAsia" w:hAnsiTheme="minorEastAsia" w:eastAsiaTheme="minorEastAsia"/>
                <w:color w:val="auto"/>
                <w:szCs w:val="21"/>
              </w:rPr>
              <w:t>，</w:t>
            </w:r>
          </w:p>
          <w:p w14:paraId="443FE82B">
            <w:pPr>
              <w:spacing w:line="280" w:lineRule="exact"/>
              <w:jc w:val="center"/>
              <w:rPr>
                <w:rFonts w:hint="eastAsia" w:cs="Times New Roman" w:asciiTheme="minorEastAsia" w:hAnsiTheme="minorEastAsia" w:eastAsiaTheme="minorEastAsia"/>
                <w:color w:val="auto"/>
                <w:szCs w:val="21"/>
              </w:rPr>
            </w:pPr>
            <w:r>
              <w:rPr>
                <w:rFonts w:asciiTheme="minorEastAsia" w:hAnsiTheme="minorEastAsia" w:eastAsiaTheme="minorEastAsia"/>
                <w:color w:val="auto"/>
                <w:szCs w:val="21"/>
              </w:rPr>
              <w:t>做五休二制</w:t>
            </w:r>
            <w:r>
              <w:rPr>
                <w:rFonts w:hint="eastAsia" w:asciiTheme="minorEastAsia" w:hAnsiTheme="minorEastAsia" w:eastAsiaTheme="minorEastAsia"/>
                <w:color w:val="auto"/>
                <w:szCs w:val="21"/>
              </w:rPr>
              <w:t>。</w:t>
            </w:r>
          </w:p>
        </w:tc>
        <w:tc>
          <w:tcPr>
            <w:tcW w:w="3624" w:type="dxa"/>
            <w:shd w:val="clear" w:color="auto" w:fill="auto"/>
            <w:vAlign w:val="center"/>
          </w:tcPr>
          <w:p w14:paraId="6A3F81E1">
            <w:pPr>
              <w:numPr>
                <w:ilvl w:val="0"/>
                <w:numId w:val="8"/>
              </w:numPr>
              <w:spacing w:line="280" w:lineRule="exact"/>
              <w:jc w:val="center"/>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门诊外围、收发病服、广场清扫、后通道清扫冲洗、电梯、口腔科、康复整体清洁</w:t>
            </w:r>
          </w:p>
          <w:p w14:paraId="077A0202">
            <w:pPr>
              <w:numPr>
                <w:ilvl w:val="0"/>
                <w:numId w:val="0"/>
              </w:numPr>
              <w:spacing w:line="280" w:lineRule="exact"/>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2、协助区域后勤保障工作。</w:t>
            </w:r>
          </w:p>
          <w:p w14:paraId="6540A4A7">
            <w:pPr>
              <w:numPr>
                <w:ilvl w:val="0"/>
                <w:numId w:val="0"/>
              </w:numPr>
              <w:spacing w:line="280" w:lineRule="exact"/>
              <w:jc w:val="both"/>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3、地毯、保洁工具按要求摆放。</w:t>
            </w:r>
          </w:p>
        </w:tc>
        <w:tc>
          <w:tcPr>
            <w:tcW w:w="1542" w:type="dxa"/>
            <w:shd w:val="clear" w:color="auto" w:fill="auto"/>
            <w:vAlign w:val="center"/>
          </w:tcPr>
          <w:p w14:paraId="5F1D00EA">
            <w:pPr>
              <w:numPr>
                <w:ilvl w:val="0"/>
                <w:numId w:val="0"/>
              </w:numPr>
              <w:spacing w:line="280" w:lineRule="exact"/>
              <w:jc w:val="both"/>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保洁员</w:t>
            </w:r>
          </w:p>
        </w:tc>
      </w:tr>
      <w:tr w14:paraId="28165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810" w:type="dxa"/>
            <w:shd w:val="clear" w:color="auto" w:fill="auto"/>
            <w:noWrap/>
            <w:vAlign w:val="center"/>
          </w:tcPr>
          <w:p w14:paraId="3F7B3FF0">
            <w:pPr>
              <w:spacing w:line="280" w:lineRule="exact"/>
              <w:jc w:val="center"/>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9</w:t>
            </w:r>
          </w:p>
        </w:tc>
        <w:tc>
          <w:tcPr>
            <w:tcW w:w="1770" w:type="dxa"/>
            <w:shd w:val="clear" w:color="auto" w:fill="auto"/>
            <w:noWrap/>
            <w:vAlign w:val="center"/>
          </w:tcPr>
          <w:p w14:paraId="032119BE">
            <w:pPr>
              <w:spacing w:line="280" w:lineRule="exact"/>
              <w:jc w:val="center"/>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收费输液</w:t>
            </w:r>
          </w:p>
        </w:tc>
        <w:tc>
          <w:tcPr>
            <w:tcW w:w="975" w:type="dxa"/>
            <w:shd w:val="clear" w:color="auto" w:fill="auto"/>
            <w:noWrap/>
            <w:vAlign w:val="center"/>
          </w:tcPr>
          <w:p w14:paraId="7DF0F7BF">
            <w:pPr>
              <w:spacing w:line="280" w:lineRule="exact"/>
              <w:jc w:val="center"/>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1</w:t>
            </w:r>
          </w:p>
        </w:tc>
        <w:tc>
          <w:tcPr>
            <w:tcW w:w="1605" w:type="dxa"/>
            <w:vAlign w:val="center"/>
          </w:tcPr>
          <w:p w14:paraId="71949DF7">
            <w:pPr>
              <w:spacing w:line="280" w:lineRule="exact"/>
              <w:jc w:val="center"/>
              <w:rPr>
                <w:rFonts w:hint="eastAsia" w:asciiTheme="minorEastAsia" w:hAnsiTheme="minorEastAsia" w:eastAsiaTheme="minorEastAsia"/>
                <w:color w:val="auto"/>
                <w:szCs w:val="21"/>
              </w:rPr>
            </w:pPr>
            <w:r>
              <w:rPr>
                <w:rFonts w:asciiTheme="minorEastAsia" w:hAnsiTheme="minorEastAsia" w:eastAsiaTheme="minorEastAsia"/>
                <w:color w:val="auto"/>
                <w:szCs w:val="21"/>
              </w:rPr>
              <w:t>周一到周</w:t>
            </w:r>
            <w:r>
              <w:rPr>
                <w:rFonts w:hint="eastAsia" w:asciiTheme="minorEastAsia" w:hAnsiTheme="minorEastAsia" w:eastAsiaTheme="minorEastAsia"/>
                <w:color w:val="auto"/>
                <w:szCs w:val="21"/>
              </w:rPr>
              <w:t>日</w:t>
            </w:r>
          </w:p>
          <w:p w14:paraId="3B09B77F">
            <w:pPr>
              <w:spacing w:line="280" w:lineRule="exact"/>
              <w:jc w:val="center"/>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7：00-11:30,</w:t>
            </w:r>
          </w:p>
          <w:p w14:paraId="5738C522">
            <w:pPr>
              <w:spacing w:line="280" w:lineRule="exact"/>
              <w:jc w:val="center"/>
              <w:rPr>
                <w:rFonts w:hint="eastAsia" w:cs="Times New Roman"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13:30</w:t>
            </w:r>
            <w:r>
              <w:rPr>
                <w:rFonts w:asciiTheme="minorEastAsia" w:hAnsiTheme="minorEastAsia" w:eastAsiaTheme="minorEastAsia"/>
                <w:color w:val="auto"/>
                <w:szCs w:val="21"/>
              </w:rPr>
              <w:t>-17：</w:t>
            </w:r>
            <w:r>
              <w:rPr>
                <w:rFonts w:hint="eastAsia" w:asciiTheme="minorEastAsia" w:hAnsiTheme="minorEastAsia" w:eastAsiaTheme="minorEastAsia"/>
                <w:color w:val="auto"/>
                <w:szCs w:val="21"/>
                <w:lang w:val="en-US" w:eastAsia="zh-CN"/>
              </w:rPr>
              <w:t>00</w:t>
            </w:r>
            <w:r>
              <w:rPr>
                <w:rFonts w:hint="eastAsia" w:asciiTheme="minorEastAsia" w:hAnsiTheme="minorEastAsia" w:eastAsiaTheme="minorEastAsia"/>
                <w:color w:val="auto"/>
                <w:szCs w:val="21"/>
              </w:rPr>
              <w:t>，</w:t>
            </w:r>
            <w:r>
              <w:rPr>
                <w:rFonts w:asciiTheme="minorEastAsia" w:hAnsiTheme="minorEastAsia" w:eastAsiaTheme="minorEastAsia"/>
                <w:color w:val="auto"/>
                <w:szCs w:val="21"/>
              </w:rPr>
              <w:t>做五休二制</w:t>
            </w:r>
            <w:r>
              <w:rPr>
                <w:rFonts w:hint="eastAsia" w:asciiTheme="minorEastAsia" w:hAnsiTheme="minorEastAsia" w:eastAsiaTheme="minorEastAsia"/>
                <w:color w:val="auto"/>
                <w:szCs w:val="21"/>
              </w:rPr>
              <w:t>。</w:t>
            </w:r>
          </w:p>
        </w:tc>
        <w:tc>
          <w:tcPr>
            <w:tcW w:w="3624" w:type="dxa"/>
            <w:shd w:val="clear" w:color="auto" w:fill="auto"/>
            <w:vAlign w:val="center"/>
          </w:tcPr>
          <w:p w14:paraId="2C5066E3">
            <w:pPr>
              <w:numPr>
                <w:ilvl w:val="0"/>
                <w:numId w:val="9"/>
              </w:numPr>
              <w:spacing w:line="280" w:lineRule="exact"/>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收费、输液室整体清洁。</w:t>
            </w:r>
          </w:p>
          <w:p w14:paraId="335DA31B">
            <w:pPr>
              <w:numPr>
                <w:ilvl w:val="0"/>
                <w:numId w:val="0"/>
              </w:numPr>
              <w:spacing w:line="280" w:lineRule="exact"/>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2、协助区域后勤保障工作。</w:t>
            </w:r>
          </w:p>
          <w:p w14:paraId="5CD30744">
            <w:pPr>
              <w:numPr>
                <w:ilvl w:val="0"/>
                <w:numId w:val="0"/>
              </w:numPr>
              <w:spacing w:line="280" w:lineRule="exact"/>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3、地毯、保洁工具按要求摆放。</w:t>
            </w:r>
          </w:p>
        </w:tc>
        <w:tc>
          <w:tcPr>
            <w:tcW w:w="1542" w:type="dxa"/>
            <w:shd w:val="clear" w:color="auto" w:fill="auto"/>
            <w:vAlign w:val="center"/>
          </w:tcPr>
          <w:p w14:paraId="7D2CAA0F">
            <w:pPr>
              <w:numPr>
                <w:ilvl w:val="0"/>
                <w:numId w:val="0"/>
              </w:numPr>
              <w:spacing w:line="280" w:lineRule="exact"/>
              <w:jc w:val="left"/>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保洁员</w:t>
            </w:r>
          </w:p>
        </w:tc>
      </w:tr>
      <w:tr w14:paraId="5EA67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trPr>
        <w:tc>
          <w:tcPr>
            <w:tcW w:w="810" w:type="dxa"/>
            <w:shd w:val="clear" w:color="auto" w:fill="auto"/>
            <w:noWrap/>
            <w:vAlign w:val="center"/>
          </w:tcPr>
          <w:p w14:paraId="342EBB82">
            <w:pPr>
              <w:spacing w:line="280" w:lineRule="exact"/>
              <w:jc w:val="center"/>
              <w:rPr>
                <w:rFonts w:hint="default" w:asciiTheme="minorEastAsia" w:hAnsiTheme="minorEastAsia" w:eastAsiaTheme="minorEastAsia"/>
                <w:bCs/>
                <w:color w:val="auto"/>
                <w:szCs w:val="21"/>
                <w:lang w:val="en-US" w:eastAsia="zh-CN"/>
              </w:rPr>
            </w:pPr>
            <w:r>
              <w:rPr>
                <w:rFonts w:hint="eastAsia" w:asciiTheme="minorEastAsia" w:hAnsiTheme="minorEastAsia" w:eastAsiaTheme="minorEastAsia"/>
                <w:color w:val="auto"/>
                <w:szCs w:val="21"/>
                <w:lang w:val="en-US" w:eastAsia="zh-CN"/>
              </w:rPr>
              <w:t>10</w:t>
            </w:r>
          </w:p>
        </w:tc>
        <w:tc>
          <w:tcPr>
            <w:tcW w:w="1770" w:type="dxa"/>
            <w:shd w:val="clear" w:color="auto" w:fill="auto"/>
            <w:noWrap/>
            <w:vAlign w:val="center"/>
          </w:tcPr>
          <w:p w14:paraId="76CE7A6D">
            <w:pPr>
              <w:spacing w:line="280" w:lineRule="exact"/>
              <w:jc w:val="center"/>
              <w:rPr>
                <w:rFonts w:hint="eastAsia" w:cs="Times New Roman" w:asciiTheme="minorEastAsia" w:hAnsiTheme="minorEastAsia" w:eastAsiaTheme="minorEastAsia"/>
                <w:color w:val="auto"/>
                <w:szCs w:val="21"/>
              </w:rPr>
            </w:pPr>
            <w:r>
              <w:rPr>
                <w:rFonts w:hint="eastAsia" w:cs="Times New Roman" w:asciiTheme="minorEastAsia" w:hAnsiTheme="minorEastAsia" w:eastAsiaTheme="minorEastAsia"/>
                <w:color w:val="auto"/>
                <w:szCs w:val="21"/>
                <w:lang w:val="en-US" w:eastAsia="zh-CN"/>
              </w:rPr>
              <w:t>综合维修兼外勤</w:t>
            </w:r>
          </w:p>
        </w:tc>
        <w:tc>
          <w:tcPr>
            <w:tcW w:w="975" w:type="dxa"/>
            <w:shd w:val="clear" w:color="auto" w:fill="auto"/>
            <w:noWrap/>
            <w:vAlign w:val="center"/>
          </w:tcPr>
          <w:p w14:paraId="4E0A0F0A">
            <w:pPr>
              <w:spacing w:line="280" w:lineRule="exact"/>
              <w:jc w:val="center"/>
              <w:rPr>
                <w:rFonts w:hint="eastAsia" w:cs="Times New Roman" w:asciiTheme="minorEastAsia" w:hAnsiTheme="minorEastAsia" w:eastAsiaTheme="minorEastAsia"/>
                <w:color w:val="auto"/>
                <w:szCs w:val="21"/>
              </w:rPr>
            </w:pPr>
            <w:r>
              <w:rPr>
                <w:rFonts w:hint="eastAsia" w:cs="Times New Roman" w:asciiTheme="minorEastAsia" w:hAnsiTheme="minorEastAsia" w:eastAsiaTheme="minorEastAsia"/>
                <w:color w:val="auto"/>
                <w:szCs w:val="21"/>
                <w:lang w:val="en-US" w:eastAsia="zh-CN"/>
              </w:rPr>
              <w:t>1</w:t>
            </w:r>
          </w:p>
        </w:tc>
        <w:tc>
          <w:tcPr>
            <w:tcW w:w="1605" w:type="dxa"/>
            <w:vAlign w:val="center"/>
          </w:tcPr>
          <w:p w14:paraId="23E83A01">
            <w:pPr>
              <w:spacing w:line="280" w:lineRule="exact"/>
              <w:jc w:val="center"/>
              <w:rPr>
                <w:rFonts w:hint="eastAsia" w:asciiTheme="minorEastAsia" w:hAnsiTheme="minorEastAsia" w:eastAsiaTheme="minorEastAsia"/>
                <w:color w:val="auto"/>
                <w:szCs w:val="21"/>
              </w:rPr>
            </w:pPr>
            <w:r>
              <w:rPr>
                <w:rFonts w:asciiTheme="minorEastAsia" w:hAnsiTheme="minorEastAsia" w:eastAsiaTheme="minorEastAsia"/>
                <w:color w:val="auto"/>
                <w:szCs w:val="21"/>
              </w:rPr>
              <w:t>周一到周</w:t>
            </w:r>
            <w:r>
              <w:rPr>
                <w:rFonts w:hint="eastAsia" w:asciiTheme="minorEastAsia" w:hAnsiTheme="minorEastAsia" w:eastAsiaTheme="minorEastAsia"/>
                <w:color w:val="auto"/>
                <w:szCs w:val="21"/>
              </w:rPr>
              <w:t>日</w:t>
            </w:r>
          </w:p>
          <w:p w14:paraId="7D16C03E">
            <w:pPr>
              <w:spacing w:line="280" w:lineRule="exact"/>
              <w:jc w:val="center"/>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7：00-11:30,</w:t>
            </w:r>
          </w:p>
          <w:p w14:paraId="0DCC7A52">
            <w:pPr>
              <w:spacing w:line="280" w:lineRule="exact"/>
              <w:jc w:val="center"/>
              <w:rPr>
                <w:rFonts w:hint="eastAsia" w:cs="Times New Roman"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13:30</w:t>
            </w:r>
            <w:r>
              <w:rPr>
                <w:rFonts w:asciiTheme="minorEastAsia" w:hAnsiTheme="minorEastAsia" w:eastAsiaTheme="minorEastAsia"/>
                <w:color w:val="auto"/>
                <w:szCs w:val="21"/>
              </w:rPr>
              <w:t>-17：</w:t>
            </w:r>
            <w:r>
              <w:rPr>
                <w:rFonts w:hint="eastAsia" w:asciiTheme="minorEastAsia" w:hAnsiTheme="minorEastAsia" w:eastAsiaTheme="minorEastAsia"/>
                <w:color w:val="auto"/>
                <w:szCs w:val="21"/>
                <w:lang w:val="en-US" w:eastAsia="zh-CN"/>
              </w:rPr>
              <w:t>00</w:t>
            </w:r>
            <w:r>
              <w:rPr>
                <w:rFonts w:hint="eastAsia" w:asciiTheme="minorEastAsia" w:hAnsiTheme="minorEastAsia" w:eastAsiaTheme="minorEastAsia"/>
                <w:color w:val="auto"/>
                <w:szCs w:val="21"/>
              </w:rPr>
              <w:t>，</w:t>
            </w:r>
            <w:r>
              <w:rPr>
                <w:rFonts w:asciiTheme="minorEastAsia" w:hAnsiTheme="minorEastAsia" w:eastAsiaTheme="minorEastAsia"/>
                <w:color w:val="auto"/>
                <w:szCs w:val="21"/>
              </w:rPr>
              <w:t>做五休二制</w:t>
            </w:r>
            <w:r>
              <w:rPr>
                <w:rFonts w:hint="eastAsia" w:asciiTheme="minorEastAsia" w:hAnsiTheme="minorEastAsia" w:eastAsiaTheme="minorEastAsia"/>
                <w:color w:val="auto"/>
                <w:szCs w:val="21"/>
              </w:rPr>
              <w:t>。</w:t>
            </w:r>
          </w:p>
        </w:tc>
        <w:tc>
          <w:tcPr>
            <w:tcW w:w="3624" w:type="dxa"/>
            <w:shd w:val="clear" w:color="auto" w:fill="auto"/>
            <w:vAlign w:val="center"/>
          </w:tcPr>
          <w:p w14:paraId="6721FFA1">
            <w:pPr>
              <w:numPr>
                <w:ilvl w:val="0"/>
                <w:numId w:val="10"/>
              </w:numPr>
              <w:spacing w:line="280" w:lineRule="exact"/>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基础维修，空调维修及清洗。</w:t>
            </w:r>
          </w:p>
          <w:p w14:paraId="667FEBB3">
            <w:pPr>
              <w:numPr>
                <w:ilvl w:val="0"/>
                <w:numId w:val="10"/>
              </w:numPr>
              <w:spacing w:line="280" w:lineRule="exact"/>
              <w:ind w:left="0" w:leftChars="0" w:firstLine="0" w:firstLineChars="0"/>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广场冲洗，屋顶清扫，垃圾清运。</w:t>
            </w:r>
          </w:p>
          <w:p w14:paraId="33CDE2DE">
            <w:pPr>
              <w:numPr>
                <w:ilvl w:val="0"/>
                <w:numId w:val="10"/>
              </w:numPr>
              <w:spacing w:line="280" w:lineRule="exact"/>
              <w:ind w:left="0" w:leftChars="0" w:firstLine="0" w:firstLineChars="0"/>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医废清运，下水道疏通。</w:t>
            </w:r>
          </w:p>
          <w:p w14:paraId="75187915">
            <w:pPr>
              <w:numPr>
                <w:ilvl w:val="0"/>
                <w:numId w:val="10"/>
              </w:numPr>
              <w:spacing w:line="280" w:lineRule="exact"/>
              <w:ind w:left="0" w:leftChars="0" w:firstLine="0" w:firstLineChars="0"/>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外勤服务</w:t>
            </w:r>
          </w:p>
          <w:p w14:paraId="166CD253">
            <w:pPr>
              <w:numPr>
                <w:ilvl w:val="0"/>
                <w:numId w:val="10"/>
              </w:numPr>
              <w:spacing w:line="280" w:lineRule="exact"/>
              <w:ind w:left="0" w:leftChars="0" w:firstLine="0" w:firstLineChars="0"/>
              <w:jc w:val="left"/>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电力日常巡检和全院科室日常维修</w:t>
            </w:r>
          </w:p>
        </w:tc>
        <w:tc>
          <w:tcPr>
            <w:tcW w:w="1542" w:type="dxa"/>
            <w:shd w:val="clear" w:color="auto" w:fill="auto"/>
            <w:vAlign w:val="center"/>
          </w:tcPr>
          <w:p w14:paraId="6EE791CE">
            <w:pPr>
              <w:numPr>
                <w:ilvl w:val="0"/>
                <w:numId w:val="0"/>
              </w:numPr>
              <w:spacing w:line="280" w:lineRule="exact"/>
              <w:ind w:leftChars="0"/>
              <w:jc w:val="left"/>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综合维修工</w:t>
            </w:r>
          </w:p>
        </w:tc>
      </w:tr>
      <w:tr w14:paraId="3DBA1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810" w:type="dxa"/>
            <w:shd w:val="clear" w:color="auto" w:fill="auto"/>
            <w:noWrap/>
            <w:vAlign w:val="center"/>
          </w:tcPr>
          <w:p w14:paraId="6C3F6ACB">
            <w:pPr>
              <w:spacing w:line="280" w:lineRule="exact"/>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11</w:t>
            </w:r>
          </w:p>
        </w:tc>
        <w:tc>
          <w:tcPr>
            <w:tcW w:w="1770" w:type="dxa"/>
            <w:shd w:val="clear" w:color="auto" w:fill="auto"/>
            <w:noWrap/>
            <w:vAlign w:val="center"/>
          </w:tcPr>
          <w:p w14:paraId="52950743">
            <w:pPr>
              <w:spacing w:line="280" w:lineRule="exact"/>
              <w:jc w:val="center"/>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后勤服务</w:t>
            </w:r>
          </w:p>
        </w:tc>
        <w:tc>
          <w:tcPr>
            <w:tcW w:w="975" w:type="dxa"/>
            <w:shd w:val="clear" w:color="auto" w:fill="auto"/>
            <w:noWrap/>
            <w:vAlign w:val="center"/>
          </w:tcPr>
          <w:p w14:paraId="56E1D8C8">
            <w:pPr>
              <w:spacing w:line="280" w:lineRule="exact"/>
              <w:jc w:val="center"/>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1</w:t>
            </w:r>
          </w:p>
        </w:tc>
        <w:tc>
          <w:tcPr>
            <w:tcW w:w="1605" w:type="dxa"/>
            <w:vAlign w:val="center"/>
          </w:tcPr>
          <w:p w14:paraId="6A0C7027">
            <w:pPr>
              <w:spacing w:line="280" w:lineRule="exact"/>
              <w:jc w:val="center"/>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7:50-11:30,</w:t>
            </w:r>
          </w:p>
          <w:p w14:paraId="5BAD1C16">
            <w:pPr>
              <w:spacing w:line="280" w:lineRule="exact"/>
              <w:jc w:val="center"/>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13:30-17:00</w:t>
            </w:r>
          </w:p>
          <w:p w14:paraId="09DB0CD4">
            <w:pPr>
              <w:spacing w:line="280" w:lineRule="exact"/>
              <w:jc w:val="center"/>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做五休二</w:t>
            </w:r>
          </w:p>
        </w:tc>
        <w:tc>
          <w:tcPr>
            <w:tcW w:w="3624" w:type="dxa"/>
            <w:shd w:val="clear" w:color="auto" w:fill="auto"/>
            <w:vAlign w:val="center"/>
          </w:tcPr>
          <w:p w14:paraId="0D58AFAB">
            <w:pPr>
              <w:numPr>
                <w:ilvl w:val="0"/>
                <w:numId w:val="11"/>
              </w:numPr>
              <w:spacing w:line="280" w:lineRule="exact"/>
              <w:ind w:leftChars="0"/>
              <w:jc w:val="left"/>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根据医院要求做好后勤办公室</w:t>
            </w:r>
          </w:p>
          <w:p w14:paraId="2A4DEBFA">
            <w:pPr>
              <w:numPr>
                <w:ilvl w:val="0"/>
                <w:numId w:val="0"/>
              </w:numPr>
              <w:spacing w:line="280" w:lineRule="exact"/>
              <w:ind w:firstLine="420" w:firstLineChars="200"/>
              <w:jc w:val="left"/>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服务保障。</w:t>
            </w:r>
          </w:p>
        </w:tc>
        <w:tc>
          <w:tcPr>
            <w:tcW w:w="1542" w:type="dxa"/>
            <w:shd w:val="clear" w:color="auto" w:fill="auto"/>
            <w:vAlign w:val="center"/>
          </w:tcPr>
          <w:p w14:paraId="41BDAF84">
            <w:pPr>
              <w:numPr>
                <w:ilvl w:val="0"/>
                <w:numId w:val="0"/>
              </w:numPr>
              <w:spacing w:line="280" w:lineRule="exact"/>
              <w:jc w:val="left"/>
              <w:rPr>
                <w:rFonts w:hint="default"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后勤办公室行政</w:t>
            </w:r>
          </w:p>
        </w:tc>
      </w:tr>
      <w:tr w14:paraId="2D3B2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580" w:type="dxa"/>
            <w:gridSpan w:val="2"/>
            <w:shd w:val="clear" w:color="auto" w:fill="auto"/>
            <w:noWrap/>
            <w:vAlign w:val="center"/>
          </w:tcPr>
          <w:p w14:paraId="34B5E6B6">
            <w:pPr>
              <w:spacing w:line="280" w:lineRule="exact"/>
              <w:jc w:val="center"/>
              <w:rPr>
                <w:rFonts w:asciiTheme="minorEastAsia" w:hAnsiTheme="minorEastAsia" w:eastAsiaTheme="minorEastAsia"/>
                <w:color w:val="auto"/>
                <w:szCs w:val="21"/>
              </w:rPr>
            </w:pPr>
            <w:r>
              <w:rPr>
                <w:rFonts w:asciiTheme="minorEastAsia" w:hAnsiTheme="minorEastAsia" w:eastAsiaTheme="minorEastAsia"/>
                <w:b/>
                <w:color w:val="auto"/>
                <w:szCs w:val="21"/>
              </w:rPr>
              <w:t>合计</w:t>
            </w:r>
          </w:p>
        </w:tc>
        <w:tc>
          <w:tcPr>
            <w:tcW w:w="975" w:type="dxa"/>
            <w:shd w:val="clear" w:color="auto" w:fill="auto"/>
            <w:noWrap/>
            <w:vAlign w:val="center"/>
          </w:tcPr>
          <w:p w14:paraId="0A5C47FC">
            <w:pPr>
              <w:spacing w:line="280" w:lineRule="exact"/>
              <w:ind w:left="-443" w:leftChars="-211" w:firstLine="443" w:firstLineChars="210"/>
              <w:jc w:val="center"/>
              <w:rPr>
                <w:rFonts w:hint="default" w:asciiTheme="minorEastAsia" w:hAnsiTheme="minorEastAsia" w:eastAsiaTheme="minorEastAsia"/>
                <w:b/>
                <w:color w:val="auto"/>
                <w:szCs w:val="21"/>
                <w:lang w:val="en-US" w:eastAsia="zh-CN"/>
              </w:rPr>
            </w:pPr>
            <w:r>
              <w:rPr>
                <w:rFonts w:hint="eastAsia" w:asciiTheme="minorEastAsia" w:hAnsiTheme="minorEastAsia" w:eastAsiaTheme="minorEastAsia"/>
                <w:b/>
                <w:color w:val="auto"/>
                <w:szCs w:val="21"/>
                <w:lang w:val="en-US" w:eastAsia="zh-CN"/>
              </w:rPr>
              <w:t>18</w:t>
            </w:r>
          </w:p>
        </w:tc>
        <w:tc>
          <w:tcPr>
            <w:tcW w:w="1605" w:type="dxa"/>
            <w:vAlign w:val="center"/>
          </w:tcPr>
          <w:p w14:paraId="15BDEFC6">
            <w:pPr>
              <w:spacing w:line="280" w:lineRule="exact"/>
              <w:jc w:val="center"/>
              <w:rPr>
                <w:rFonts w:asciiTheme="minorEastAsia" w:hAnsiTheme="minorEastAsia" w:eastAsiaTheme="minorEastAsia"/>
                <w:b/>
                <w:color w:val="auto"/>
                <w:szCs w:val="21"/>
              </w:rPr>
            </w:pPr>
          </w:p>
        </w:tc>
        <w:tc>
          <w:tcPr>
            <w:tcW w:w="3624" w:type="dxa"/>
            <w:shd w:val="clear" w:color="auto" w:fill="auto"/>
            <w:vAlign w:val="center"/>
          </w:tcPr>
          <w:p w14:paraId="2F5A24F5">
            <w:pPr>
              <w:spacing w:line="280" w:lineRule="exact"/>
              <w:jc w:val="center"/>
              <w:rPr>
                <w:rFonts w:asciiTheme="minorEastAsia" w:hAnsiTheme="minorEastAsia" w:eastAsiaTheme="minorEastAsia"/>
                <w:color w:val="auto"/>
                <w:szCs w:val="21"/>
              </w:rPr>
            </w:pPr>
          </w:p>
        </w:tc>
        <w:tc>
          <w:tcPr>
            <w:tcW w:w="1542" w:type="dxa"/>
            <w:shd w:val="clear" w:color="auto" w:fill="auto"/>
            <w:vAlign w:val="center"/>
          </w:tcPr>
          <w:p w14:paraId="6946C836">
            <w:pPr>
              <w:spacing w:line="280" w:lineRule="exact"/>
              <w:jc w:val="center"/>
              <w:rPr>
                <w:rFonts w:asciiTheme="minorEastAsia" w:hAnsiTheme="minorEastAsia" w:eastAsiaTheme="minorEastAsia"/>
                <w:color w:val="auto"/>
                <w:szCs w:val="21"/>
              </w:rPr>
            </w:pPr>
          </w:p>
        </w:tc>
      </w:tr>
    </w:tbl>
    <w:p w14:paraId="17B94954">
      <w:pPr>
        <w:spacing w:line="360" w:lineRule="auto"/>
        <w:rPr>
          <w:rFonts w:hint="eastAsia" w:ascii="宋体" w:hAnsi="宋体"/>
        </w:rPr>
      </w:pPr>
    </w:p>
    <w:p w14:paraId="40D0F307">
      <w:pPr>
        <w:spacing w:line="360" w:lineRule="auto"/>
        <w:ind w:left="-2" w:leftChars="-1" w:firstLine="420" w:firstLineChars="200"/>
        <w:rPr>
          <w:rFonts w:hint="eastAsia" w:ascii="宋体" w:hAnsi="宋体"/>
        </w:rPr>
      </w:pPr>
      <w:r>
        <w:rPr>
          <w:rFonts w:hint="eastAsia" w:ascii="宋体" w:hAnsi="宋体"/>
        </w:rPr>
        <w:t>注：1)投标人应合理配置团队服务人数，确保达到岗位配置要求，同时承诺所有服务人员劳动时间符合《劳动法》的规定。</w:t>
      </w:r>
    </w:p>
    <w:p w14:paraId="1A9A6285">
      <w:pPr>
        <w:spacing w:line="360" w:lineRule="auto"/>
        <w:ind w:left="-2" w:leftChars="-1" w:firstLine="420" w:firstLineChars="200"/>
        <w:rPr>
          <w:rFonts w:hint="eastAsia" w:ascii="宋体" w:hAnsi="宋体"/>
          <w:color w:val="auto"/>
        </w:rPr>
      </w:pPr>
      <w:r>
        <w:rPr>
          <w:rFonts w:hint="eastAsia" w:ascii="宋体" w:hAnsi="宋体"/>
          <w:color w:val="auto"/>
        </w:rPr>
        <w:t>2)投标人需承诺，若中标为项目所有团队服务人员投保足够份额的雇主责任险、公众责任险等。</w:t>
      </w:r>
    </w:p>
    <w:p w14:paraId="7FD4875A">
      <w:pPr>
        <w:spacing w:line="360" w:lineRule="auto"/>
        <w:ind w:left="-2" w:leftChars="-1" w:firstLine="420" w:firstLineChars="200"/>
      </w:pPr>
      <w:r>
        <w:rPr>
          <w:rFonts w:hint="eastAsia"/>
        </w:rPr>
        <w:t>6、本项目不得分包转让等。</w:t>
      </w:r>
    </w:p>
    <w:p w14:paraId="21C2F743">
      <w:pPr>
        <w:spacing w:line="360" w:lineRule="auto"/>
        <w:ind w:left="-2" w:leftChars="-1" w:firstLine="420" w:firstLineChars="200"/>
      </w:pPr>
      <w:r>
        <w:rPr>
          <w:rFonts w:hint="eastAsia"/>
        </w:rPr>
        <w:t>7、对业主方日常业务所需资源和相关设备设施、包括施工和服务安排专人巡视、检查，发现问题，及时处理，将一切可能发生的故障隐患消灭在萌芽中。</w:t>
      </w:r>
    </w:p>
    <w:p w14:paraId="1EEEEA7D">
      <w:pPr>
        <w:spacing w:line="360" w:lineRule="auto"/>
        <w:ind w:left="-2" w:leftChars="-1" w:firstLine="420" w:firstLineChars="200"/>
        <w:rPr>
          <w:rFonts w:hint="eastAsia"/>
        </w:rPr>
      </w:pPr>
      <w:r>
        <w:rPr>
          <w:rFonts w:hint="eastAsia"/>
        </w:rPr>
        <w:t>8、执行重大事项报告制度，遇到险情和重大事故，或对违规行为劝阻无效时，立即向上级和当地行政主管部门报告，并及时通知业主方。</w:t>
      </w:r>
    </w:p>
    <w:p w14:paraId="352EEE9D">
      <w:pPr>
        <w:pStyle w:val="4"/>
        <w:spacing w:line="360" w:lineRule="auto"/>
      </w:pPr>
      <w:r>
        <w:rPr>
          <w:rFonts w:hint="eastAsia"/>
        </w:rPr>
        <w:t>（</w:t>
      </w:r>
      <w:r>
        <w:rPr>
          <w:rFonts w:hint="eastAsia"/>
          <w:b/>
          <w:bCs/>
        </w:rPr>
        <w:t>三）建筑物及设施设备管理</w:t>
      </w:r>
      <w:r>
        <w:t xml:space="preserve">     </w:t>
      </w:r>
    </w:p>
    <w:p w14:paraId="215C678D">
      <w:pPr>
        <w:pStyle w:val="4"/>
        <w:spacing w:line="360" w:lineRule="auto"/>
      </w:pPr>
      <w:r>
        <w:t xml:space="preserve">   </w:t>
      </w:r>
      <w:r>
        <w:rPr>
          <w:rFonts w:hint="eastAsia"/>
        </w:rPr>
        <w:t xml:space="preserve"> </w:t>
      </w:r>
      <w:r>
        <w:rPr>
          <w:rFonts w:hint="eastAsia"/>
          <w:lang w:val="en-US" w:eastAsia="zh-CN"/>
        </w:rPr>
        <w:t>1</w:t>
      </w:r>
      <w:r>
        <w:rPr>
          <w:rFonts w:hint="eastAsia"/>
        </w:rPr>
        <w:t>、有专业或资质要求的工作岗位，其从业人员必须符合国家与上海市相关要求。</w:t>
      </w:r>
    </w:p>
    <w:p w14:paraId="5A4666BE">
      <w:pPr>
        <w:pStyle w:val="4"/>
        <w:spacing w:line="360" w:lineRule="auto"/>
        <w:ind w:firstLine="420" w:firstLineChars="200"/>
        <w:rPr>
          <w:rFonts w:hint="eastAsia" w:eastAsia="宋体"/>
          <w:lang w:eastAsia="zh-CN"/>
        </w:rPr>
      </w:pPr>
      <w:r>
        <w:rPr>
          <w:rFonts w:hint="eastAsia"/>
          <w:lang w:val="en-US" w:eastAsia="zh-CN"/>
        </w:rPr>
        <w:t>2</w:t>
      </w:r>
      <w:r>
        <w:rPr>
          <w:rFonts w:hint="eastAsia"/>
        </w:rPr>
        <w:t>、建立24小时运行维护值班制度，建筑物及设备设施发生故障时，</w:t>
      </w:r>
      <w:r>
        <w:rPr>
          <w:rFonts w:hint="eastAsia"/>
          <w:u w:val="single"/>
        </w:rPr>
        <w:t>维修人员在</w:t>
      </w:r>
      <w:r>
        <w:rPr>
          <w:rFonts w:hint="eastAsia" w:ascii="Calibri" w:hAnsi="Calibri"/>
          <w:szCs w:val="22"/>
          <w:u w:val="single"/>
          <w:lang w:val="en-US" w:eastAsia="zh-CN"/>
        </w:rPr>
        <w:t>15</w:t>
      </w:r>
      <w:r>
        <w:rPr>
          <w:rFonts w:hint="eastAsia" w:ascii="Calibri" w:hAnsi="Calibri"/>
          <w:szCs w:val="22"/>
          <w:u w:val="single"/>
        </w:rPr>
        <w:t xml:space="preserve"> </w:t>
      </w:r>
      <w:r>
        <w:rPr>
          <w:rFonts w:hint="eastAsia"/>
          <w:u w:val="single"/>
        </w:rPr>
        <w:t>分钟内到达现场抢修，及时发现并解决故障，一般故障排除时间不超过</w:t>
      </w:r>
      <w:r>
        <w:rPr>
          <w:rFonts w:hint="eastAsia"/>
          <w:u w:val="single"/>
          <w:lang w:val="en-US" w:eastAsia="zh-CN"/>
        </w:rPr>
        <w:t>1</w:t>
      </w:r>
      <w:r>
        <w:rPr>
          <w:rFonts w:hint="eastAsia"/>
          <w:u w:val="single"/>
        </w:rPr>
        <w:t>小时，维修合格率达到</w:t>
      </w:r>
      <w:r>
        <w:rPr>
          <w:rFonts w:hint="eastAsia"/>
          <w:u w:val="single"/>
          <w:lang w:val="en-US" w:eastAsia="zh-CN"/>
        </w:rPr>
        <w:t>100</w:t>
      </w:r>
      <w:r>
        <w:rPr>
          <w:rFonts w:hint="eastAsia"/>
          <w:u w:val="single"/>
        </w:rPr>
        <w:t xml:space="preserve"> %。修复率不低于</w:t>
      </w:r>
      <w:r>
        <w:rPr>
          <w:rFonts w:hint="eastAsia"/>
          <w:u w:val="single"/>
          <w:lang w:val="en-US" w:eastAsia="zh-CN"/>
        </w:rPr>
        <w:t>90</w:t>
      </w:r>
      <w:r>
        <w:rPr>
          <w:u w:val="single"/>
        </w:rPr>
        <w:t>%</w:t>
      </w:r>
      <w:r>
        <w:rPr>
          <w:rFonts w:hint="eastAsia"/>
          <w:u w:val="single"/>
        </w:rPr>
        <w:t>，设备完好率达到</w:t>
      </w:r>
      <w:r>
        <w:rPr>
          <w:rFonts w:hint="eastAsia"/>
          <w:u w:val="single"/>
          <w:lang w:val="en-US" w:eastAsia="zh-CN"/>
        </w:rPr>
        <w:t>100</w:t>
      </w:r>
      <w:r>
        <w:rPr>
          <w:rFonts w:hint="eastAsia"/>
          <w:u w:val="single"/>
        </w:rPr>
        <w:t>%以上</w:t>
      </w:r>
      <w:r>
        <w:rPr>
          <w:rFonts w:hint="eastAsia"/>
          <w:u w:val="single"/>
          <w:lang w:eastAsia="zh-CN"/>
        </w:rPr>
        <w:t>。</w:t>
      </w:r>
    </w:p>
    <w:p w14:paraId="6C207D3D">
      <w:pPr>
        <w:pStyle w:val="4"/>
        <w:spacing w:line="360" w:lineRule="auto"/>
      </w:pPr>
      <w:r>
        <w:t xml:space="preserve"> </w:t>
      </w:r>
      <w:r>
        <w:rPr>
          <w:rFonts w:hint="eastAsia"/>
          <w:lang w:val="en-US" w:eastAsia="zh-CN"/>
        </w:rPr>
        <w:t xml:space="preserve">  3</w:t>
      </w:r>
      <w:r>
        <w:rPr>
          <w:rFonts w:hint="eastAsia"/>
        </w:rPr>
        <w:t>、服务标准及要求：</w:t>
      </w:r>
    </w:p>
    <w:p w14:paraId="4325F06E">
      <w:pPr>
        <w:spacing w:line="360" w:lineRule="auto"/>
        <w:ind w:firstLine="315" w:firstLineChars="150"/>
        <w:contextualSpacing/>
        <w:rPr>
          <w:rFonts w:ascii="宋体" w:hAnsi="Courier New"/>
          <w:szCs w:val="20"/>
        </w:rPr>
      </w:pPr>
      <w:r>
        <w:rPr>
          <w:rFonts w:hint="eastAsia" w:ascii="宋体" w:hAnsi="Courier New"/>
          <w:szCs w:val="20"/>
        </w:rPr>
        <w:t>(1)员工要求：</w:t>
      </w:r>
      <w:r>
        <w:rPr>
          <w:rFonts w:hint="eastAsia" w:ascii="宋体" w:hAnsi="Courier New"/>
          <w:szCs w:val="20"/>
          <w:lang w:val="en-US" w:eastAsia="zh-CN"/>
        </w:rPr>
        <w:t>人证合一，</w:t>
      </w:r>
      <w:r>
        <w:rPr>
          <w:rFonts w:hint="eastAsia" w:ascii="宋体" w:hAnsi="Courier New"/>
          <w:szCs w:val="20"/>
        </w:rPr>
        <w:t>岗位持证上岗率</w:t>
      </w:r>
      <w:r>
        <w:rPr>
          <w:rFonts w:ascii="宋体" w:hAnsi="Courier New"/>
          <w:szCs w:val="20"/>
        </w:rPr>
        <w:t>100%</w:t>
      </w:r>
      <w:r>
        <w:rPr>
          <w:rFonts w:hint="eastAsia" w:ascii="宋体" w:hAnsi="Courier New"/>
          <w:szCs w:val="20"/>
        </w:rPr>
        <w:t>；设备台账：建立健全设施设备管理台账。保持管理范围内设施设备台账、台卡及现场标识相符，建档、记录清晰规范、无缺失；</w:t>
      </w:r>
    </w:p>
    <w:p w14:paraId="250777D7">
      <w:pPr>
        <w:spacing w:line="360" w:lineRule="auto"/>
        <w:ind w:firstLine="315" w:firstLineChars="150"/>
        <w:contextualSpacing/>
        <w:rPr>
          <w:rFonts w:ascii="宋体" w:hAnsi="Courier New"/>
          <w:szCs w:val="20"/>
        </w:rPr>
      </w:pPr>
      <w:r>
        <w:rPr>
          <w:rFonts w:hint="eastAsia" w:ascii="宋体" w:hAnsi="Courier New"/>
          <w:szCs w:val="20"/>
        </w:rPr>
        <w:t>(2)计划管理：建立计划管理体系，编制本项目设施设备运行、维护、检测、中大修计划，并按时实施；</w:t>
      </w:r>
      <w:r>
        <w:rPr>
          <w:rFonts w:ascii="宋体" w:hAnsi="Courier New"/>
          <w:szCs w:val="20"/>
        </w:rPr>
        <w:t xml:space="preserve"> </w:t>
      </w:r>
    </w:p>
    <w:p w14:paraId="5D05A1E2">
      <w:pPr>
        <w:spacing w:line="360" w:lineRule="auto"/>
        <w:ind w:firstLine="210" w:firstLineChars="100"/>
        <w:contextualSpacing/>
        <w:rPr>
          <w:rFonts w:ascii="宋体" w:hAnsi="Courier New"/>
          <w:szCs w:val="20"/>
        </w:rPr>
      </w:pPr>
      <w:r>
        <w:rPr>
          <w:rFonts w:hint="eastAsia" w:ascii="宋体" w:hAnsi="Courier New"/>
          <w:szCs w:val="20"/>
        </w:rPr>
        <w:t>（3）档案管理：运行、维护、维修、检测记录建档规范、无缺失；图纸、技术手册归档及时；</w:t>
      </w:r>
    </w:p>
    <w:p w14:paraId="00317ECF">
      <w:pPr>
        <w:spacing w:line="360" w:lineRule="auto"/>
        <w:ind w:firstLine="210" w:firstLineChars="100"/>
        <w:contextualSpacing/>
        <w:rPr>
          <w:rFonts w:ascii="宋体" w:hAnsi="Courier New"/>
          <w:szCs w:val="20"/>
        </w:rPr>
      </w:pPr>
      <w:r>
        <w:rPr>
          <w:rFonts w:hint="eastAsia" w:ascii="宋体" w:hAnsi="Courier New"/>
          <w:szCs w:val="20"/>
        </w:rPr>
        <w:t>（4）机房管理：有管理制度，“四防一通”良好，标识、标志规范清晰、整洁无堆物；</w:t>
      </w:r>
    </w:p>
    <w:p w14:paraId="5417E8B4">
      <w:pPr>
        <w:spacing w:line="360" w:lineRule="auto"/>
        <w:contextualSpacing/>
        <w:rPr>
          <w:rFonts w:ascii="宋体" w:hAnsi="Courier New"/>
          <w:szCs w:val="20"/>
        </w:rPr>
      </w:pPr>
      <w:r>
        <w:rPr>
          <w:rFonts w:hint="eastAsia" w:ascii="宋体" w:hAnsi="Courier New"/>
          <w:szCs w:val="20"/>
        </w:rPr>
        <w:t>应急管理：预案充分，措施有效、处置及时。</w:t>
      </w:r>
    </w:p>
    <w:p w14:paraId="6D846614">
      <w:pPr>
        <w:spacing w:line="360" w:lineRule="auto"/>
        <w:ind w:firstLine="210" w:firstLineChars="100"/>
        <w:contextualSpacing/>
        <w:rPr>
          <w:rFonts w:ascii="宋体" w:hAnsi="Courier New"/>
          <w:szCs w:val="20"/>
        </w:rPr>
      </w:pPr>
      <w:r>
        <w:rPr>
          <w:rFonts w:hint="eastAsia" w:ascii="宋体" w:hAnsi="Courier New"/>
          <w:szCs w:val="20"/>
        </w:rPr>
        <w:t>（5）接报修管理，有严密的接报修管理制度，特殊维修必须及时跟进（维保单位维修）并每天将维修情况反馈至智能化管理系统中、处置过程有记录、有回访；</w:t>
      </w:r>
    </w:p>
    <w:p w14:paraId="52C78877">
      <w:pPr>
        <w:spacing w:line="360" w:lineRule="auto"/>
        <w:ind w:firstLine="210" w:firstLineChars="100"/>
        <w:contextualSpacing/>
        <w:rPr>
          <w:rFonts w:ascii="宋体" w:hAnsi="Courier New"/>
          <w:szCs w:val="20"/>
        </w:rPr>
      </w:pPr>
      <w:r>
        <w:rPr>
          <w:rFonts w:hint="eastAsia" w:ascii="宋体" w:hAnsi="Courier New"/>
          <w:szCs w:val="20"/>
        </w:rPr>
        <w:t>（6）设施设备运行管理：根据各系统设备编制设施设备运行管理方案，重要机房专岗值守操作，建立各设备设施相应的运行标准文件，做到运行操作有依据、有规范，各系统设备设施有合理的运行巡视频次，确保及时发现隐患与问题。相关记录清晰、归档及时；</w:t>
      </w:r>
      <w:r>
        <w:rPr>
          <w:rFonts w:ascii="宋体" w:hAnsi="Courier New"/>
          <w:szCs w:val="20"/>
        </w:rPr>
        <w:t xml:space="preserve"> </w:t>
      </w:r>
    </w:p>
    <w:p w14:paraId="21DC8146">
      <w:pPr>
        <w:spacing w:line="360" w:lineRule="auto"/>
        <w:ind w:firstLine="315" w:firstLineChars="150"/>
        <w:contextualSpacing/>
        <w:rPr>
          <w:rFonts w:ascii="宋体" w:hAnsi="Courier New"/>
          <w:szCs w:val="20"/>
        </w:rPr>
      </w:pPr>
      <w:r>
        <w:rPr>
          <w:rFonts w:hint="eastAsia" w:ascii="宋体" w:hAnsi="Courier New"/>
          <w:szCs w:val="20"/>
        </w:rPr>
        <w:t>（7）维护维修管理：依据设施设备维护、检测计划，建立健全各项建筑物、构建物及设施设备日常维护制度及保养规程相关记录清晰、归档及时；</w:t>
      </w:r>
      <w:r>
        <w:rPr>
          <w:rFonts w:ascii="宋体" w:hAnsi="Courier New"/>
          <w:szCs w:val="20"/>
        </w:rPr>
        <w:t xml:space="preserve"> </w:t>
      </w:r>
    </w:p>
    <w:p w14:paraId="0F53F95D">
      <w:pPr>
        <w:spacing w:line="360" w:lineRule="auto"/>
        <w:ind w:firstLine="420" w:firstLineChars="200"/>
        <w:contextualSpacing/>
        <w:rPr>
          <w:rFonts w:ascii="宋体" w:hAnsi="Courier New"/>
          <w:szCs w:val="20"/>
        </w:rPr>
      </w:pPr>
      <w:r>
        <w:rPr>
          <w:rFonts w:hint="eastAsia" w:ascii="宋体" w:hAnsi="Courier New"/>
          <w:szCs w:val="20"/>
        </w:rPr>
        <w:t>（8）法定检测的系统和计量器具的检测：及时上报业主安排专业机构对所有需法定检测的系统实施检测；</w:t>
      </w:r>
    </w:p>
    <w:p w14:paraId="55A71439">
      <w:pPr>
        <w:spacing w:line="360" w:lineRule="auto"/>
        <w:ind w:firstLine="420" w:firstLineChars="200"/>
        <w:contextualSpacing/>
        <w:rPr>
          <w:rFonts w:ascii="宋体" w:hAnsi="Courier New"/>
          <w:szCs w:val="20"/>
        </w:rPr>
      </w:pPr>
      <w:r>
        <w:rPr>
          <w:rFonts w:hint="eastAsia" w:ascii="宋体" w:hAnsi="Courier New"/>
          <w:szCs w:val="20"/>
        </w:rPr>
        <w:t>（9）能源管理和控制：有完善的节能降耗措施和制度；根据本项目能源实际使用情况及时、准确地统计及分析，在满足运营的前提下，达到持续节能降耗的目的；</w:t>
      </w:r>
    </w:p>
    <w:p w14:paraId="0455CAC6">
      <w:pPr>
        <w:spacing w:line="360" w:lineRule="auto"/>
        <w:ind w:firstLine="420" w:firstLineChars="200"/>
        <w:contextualSpacing/>
        <w:rPr>
          <w:rFonts w:ascii="宋体" w:hAnsi="Courier New"/>
          <w:szCs w:val="20"/>
        </w:rPr>
      </w:pPr>
      <w:r>
        <w:rPr>
          <w:rFonts w:hint="eastAsia" w:ascii="宋体" w:hAnsi="Courier New"/>
          <w:szCs w:val="20"/>
        </w:rPr>
        <w:t>(10)物耗备件管理：物耗存量控制合理，有完善的物耗备品使用制度。</w:t>
      </w:r>
    </w:p>
    <w:p w14:paraId="3E395CFE">
      <w:pPr>
        <w:pStyle w:val="4"/>
        <w:spacing w:line="360" w:lineRule="auto"/>
        <w:rPr>
          <w:b/>
          <w:bCs/>
        </w:rPr>
      </w:pPr>
      <w:r>
        <w:t xml:space="preserve">   </w:t>
      </w:r>
      <w:r>
        <w:rPr>
          <w:rFonts w:hint="eastAsia"/>
          <w:b/>
        </w:rPr>
        <w:t>（四）</w:t>
      </w:r>
      <w:bookmarkStart w:id="1" w:name="OLE_LINK6"/>
      <w:bookmarkStart w:id="2" w:name="OLE_LINK5"/>
      <w:r>
        <w:rPr>
          <w:rFonts w:hint="eastAsia"/>
          <w:b/>
        </w:rPr>
        <w:t>保洁</w:t>
      </w:r>
      <w:r>
        <w:rPr>
          <w:rFonts w:hint="eastAsia"/>
          <w:b/>
          <w:lang w:val="en-US" w:eastAsia="zh-CN"/>
        </w:rPr>
        <w:t>清洁</w:t>
      </w:r>
      <w:r>
        <w:rPr>
          <w:rFonts w:hint="eastAsia"/>
          <w:b/>
          <w:bCs/>
        </w:rPr>
        <w:t>管理</w:t>
      </w:r>
      <w:bookmarkEnd w:id="1"/>
      <w:bookmarkEnd w:id="2"/>
    </w:p>
    <w:p w14:paraId="3A037AB6">
      <w:pPr>
        <w:pStyle w:val="4"/>
        <w:spacing w:line="360" w:lineRule="auto"/>
        <w:ind w:firstLine="420" w:firstLineChars="200"/>
        <w:rPr>
          <w:rFonts w:hint="eastAsia"/>
        </w:rPr>
      </w:pPr>
      <w:r>
        <w:rPr>
          <w:rFonts w:hint="eastAsia"/>
          <w:bCs/>
        </w:rPr>
        <w:t>1、范围：</w:t>
      </w:r>
      <w:r>
        <w:rPr>
          <w:rFonts w:hint="eastAsia"/>
          <w:bCs/>
          <w:u w:val="single"/>
        </w:rPr>
        <w:t>包括</w:t>
      </w:r>
      <w:r>
        <w:rPr>
          <w:rFonts w:hint="eastAsia"/>
          <w:bCs/>
          <w:u w:val="single"/>
          <w:lang w:val="en-US" w:eastAsia="zh-CN"/>
        </w:rPr>
        <w:t>门诊大厅</w:t>
      </w:r>
      <w:r>
        <w:rPr>
          <w:rFonts w:hint="eastAsia"/>
          <w:bCs/>
          <w:u w:val="single"/>
        </w:rPr>
        <w:t>及楼层公共区域、</w:t>
      </w:r>
      <w:r>
        <w:rPr>
          <w:rFonts w:hint="eastAsia"/>
          <w:bCs/>
          <w:u w:val="single"/>
          <w:lang w:val="en-US" w:eastAsia="zh-CN"/>
        </w:rPr>
        <w:t>病房区域、</w:t>
      </w:r>
      <w:r>
        <w:rPr>
          <w:rFonts w:hint="eastAsia"/>
          <w:bCs/>
          <w:u w:val="single"/>
        </w:rPr>
        <w:t>电梯、消防梯及公共通道、外围、垃圾房、</w:t>
      </w:r>
      <w:r>
        <w:rPr>
          <w:rFonts w:hint="eastAsia"/>
          <w:bCs/>
          <w:u w:val="single"/>
          <w:lang w:eastAsia="zh-CN"/>
        </w:rPr>
        <w:t>（</w:t>
      </w:r>
      <w:r>
        <w:rPr>
          <w:rFonts w:hint="eastAsia"/>
          <w:bCs/>
          <w:u w:val="single"/>
          <w:lang w:val="en-US" w:eastAsia="zh-CN"/>
        </w:rPr>
        <w:t>氧气房、消防泵房、电梯房、强电间纳入清洁范围）屋顶</w:t>
      </w:r>
      <w:r>
        <w:rPr>
          <w:rFonts w:hint="eastAsia"/>
          <w:bCs/>
          <w:u w:val="single"/>
        </w:rPr>
        <w:t>平台、卫生间、广场、地面停车场、台阶、（</w:t>
      </w:r>
      <w:r>
        <w:rPr>
          <w:rFonts w:hint="eastAsia"/>
          <w:u w:val="single"/>
        </w:rPr>
        <w:t>根据实际情况增减），</w:t>
      </w:r>
      <w:r>
        <w:rPr>
          <w:rFonts w:hint="eastAsia"/>
        </w:rPr>
        <w:t>保洁面积</w:t>
      </w:r>
      <w:r>
        <w:rPr>
          <w:rFonts w:hint="eastAsia"/>
          <w:u w:val="single"/>
          <w:lang w:val="en-US" w:eastAsia="zh-CN"/>
        </w:rPr>
        <w:t>4777</w:t>
      </w:r>
      <w:r>
        <w:rPr>
          <w:rFonts w:hint="eastAsia"/>
          <w:u w:val="single"/>
        </w:rPr>
        <w:t xml:space="preserve"> </w:t>
      </w:r>
      <w:r>
        <w:rPr>
          <w:rFonts w:hint="eastAsia"/>
        </w:rPr>
        <w:t>平方米（详见附图）。</w:t>
      </w:r>
    </w:p>
    <w:p w14:paraId="27404B9B">
      <w:pPr>
        <w:pStyle w:val="4"/>
        <w:spacing w:line="360" w:lineRule="auto"/>
        <w:ind w:firstLine="420" w:firstLineChars="200"/>
        <w:rPr>
          <w:rFonts w:hint="default" w:eastAsia="宋体"/>
          <w:color w:val="auto"/>
          <w:lang w:val="en-US" w:eastAsia="zh-CN"/>
        </w:rPr>
      </w:pPr>
      <w:r>
        <w:rPr>
          <w:rFonts w:hint="eastAsia"/>
          <w:color w:val="auto"/>
          <w:lang w:val="en-US" w:eastAsia="zh-CN"/>
        </w:rPr>
        <w:t>2、保洁应统一着装。</w:t>
      </w:r>
    </w:p>
    <w:p w14:paraId="0A3D7ECD">
      <w:pPr>
        <w:pStyle w:val="4"/>
        <w:spacing w:line="360" w:lineRule="auto"/>
        <w:ind w:firstLine="420" w:firstLineChars="200"/>
        <w:rPr>
          <w:color w:val="auto"/>
        </w:rPr>
      </w:pPr>
      <w:r>
        <w:rPr>
          <w:rFonts w:hint="eastAsia"/>
          <w:color w:val="auto"/>
          <w:lang w:val="en-US" w:eastAsia="zh-CN"/>
        </w:rPr>
        <w:t>3</w:t>
      </w:r>
      <w:r>
        <w:rPr>
          <w:rFonts w:hint="eastAsia"/>
          <w:color w:val="auto"/>
        </w:rPr>
        <w:t>、费用结算：</w:t>
      </w:r>
      <w:r>
        <w:rPr>
          <w:rFonts w:hint="eastAsia"/>
          <w:color w:val="auto"/>
          <w:u w:val="single"/>
          <w:lang w:val="en-US" w:eastAsia="zh-CN"/>
        </w:rPr>
        <w:t>保洁及所需耗材</w:t>
      </w:r>
      <w:r>
        <w:rPr>
          <w:rFonts w:hint="eastAsia"/>
          <w:color w:val="auto"/>
          <w:u w:val="single"/>
        </w:rPr>
        <w:t>计入投标报价</w:t>
      </w:r>
      <w:r>
        <w:rPr>
          <w:rFonts w:hint="eastAsia"/>
          <w:color w:val="auto"/>
        </w:rPr>
        <w:t>。</w:t>
      </w:r>
    </w:p>
    <w:p w14:paraId="2351A5D0">
      <w:pPr>
        <w:pStyle w:val="4"/>
        <w:spacing w:line="360" w:lineRule="auto"/>
        <w:ind w:firstLine="420" w:firstLineChars="200"/>
        <w:rPr>
          <w:color w:val="auto"/>
        </w:rPr>
      </w:pPr>
      <w:r>
        <w:rPr>
          <w:rFonts w:hint="eastAsia"/>
          <w:color w:val="auto"/>
          <w:lang w:val="en-US" w:eastAsia="zh-CN"/>
        </w:rPr>
        <w:t>4</w:t>
      </w:r>
      <w:r>
        <w:rPr>
          <w:rFonts w:hint="eastAsia"/>
          <w:color w:val="auto"/>
        </w:rPr>
        <w:t>、服务标准：</w:t>
      </w:r>
    </w:p>
    <w:p w14:paraId="3DBE82EA">
      <w:pPr>
        <w:spacing w:line="360" w:lineRule="auto"/>
        <w:ind w:firstLine="420" w:firstLineChars="200"/>
      </w:pPr>
      <w:r>
        <w:rPr>
          <w:rFonts w:hint="eastAsia"/>
        </w:rPr>
        <w:t>建立办公楼（区域）环境管理制度并认真落实，环卫设施齐备，实行标准化清扫保洁，由专人负责检查监督，清洁率</w:t>
      </w:r>
      <w:r>
        <w:t>100%</w:t>
      </w:r>
      <w:r>
        <w:rPr>
          <w:rFonts w:hint="eastAsia"/>
        </w:rPr>
        <w:t>。具体区域标准要求如下：</w:t>
      </w:r>
    </w:p>
    <w:p w14:paraId="1E596AF2">
      <w:pPr>
        <w:spacing w:line="360" w:lineRule="auto"/>
      </w:pPr>
      <w:r>
        <w:t xml:space="preserve">    </w:t>
      </w:r>
      <w:r>
        <w:rPr>
          <w:rFonts w:hint="eastAsia"/>
        </w:rPr>
        <w:t>外围及周边道路地面干净无杂物、无积水，无明显污迹、油渍；明沟、窨井内无杂物、无异味；各种标示标牌表面干净无积尘、无水印；路灯表面干净无污渍。</w:t>
      </w:r>
    </w:p>
    <w:p w14:paraId="6C4D68E8">
      <w:pPr>
        <w:spacing w:line="360" w:lineRule="auto"/>
      </w:pPr>
      <w:r>
        <w:t xml:space="preserve">    </w:t>
      </w:r>
      <w:r>
        <w:rPr>
          <w:rFonts w:hint="eastAsia"/>
        </w:rPr>
        <w:t>绿化带及水池绿地内无杂物，花台表面干净无污渍，水池内水质清澈，池内无漂浮物，池壁无青苔等污垢，水池无异味。</w:t>
      </w:r>
    </w:p>
    <w:p w14:paraId="710484ED">
      <w:pPr>
        <w:spacing w:line="360" w:lineRule="auto"/>
      </w:pPr>
      <w:r>
        <w:t xml:space="preserve">    </w:t>
      </w:r>
      <w:r>
        <w:rPr>
          <w:rFonts w:hint="eastAsia"/>
        </w:rPr>
        <w:t>大厅、楼内，公共通道地面干净、无污渍，有光泽，保持地面材质原貌；门框、窗框、窗台、金属件表面光亮、无灰尘、无污渍；门窗玻璃干净无尘，透光性好，无明显印迹；各</w:t>
      </w:r>
    </w:p>
    <w:p w14:paraId="62946BA8">
      <w:pPr>
        <w:spacing w:line="360" w:lineRule="auto"/>
      </w:pPr>
      <w:r>
        <w:rPr>
          <w:rFonts w:hint="eastAsia"/>
        </w:rPr>
        <w:t>种金属件表面干净，无污渍，有金属光泽；门把手干净、无印迹、定时消毒；天花板干净，</w:t>
      </w:r>
    </w:p>
    <w:p w14:paraId="6322DAE1">
      <w:pPr>
        <w:spacing w:line="360" w:lineRule="auto"/>
      </w:pPr>
      <w:r>
        <w:rPr>
          <w:rFonts w:hint="eastAsia"/>
        </w:rPr>
        <w:t>无污渍、无蛛网；灯具干净无积尘，中央空调风口干净，无污迹，进出口地垫摆放整齐，表</w:t>
      </w:r>
    </w:p>
    <w:p w14:paraId="7498F720">
      <w:pPr>
        <w:spacing w:line="360" w:lineRule="auto"/>
      </w:pPr>
      <w:r>
        <w:rPr>
          <w:rFonts w:hint="eastAsia"/>
        </w:rPr>
        <w:t>面干净无杂物，盆栽植物无积尘。</w:t>
      </w:r>
    </w:p>
    <w:p w14:paraId="1D0D431C">
      <w:pPr>
        <w:spacing w:line="360" w:lineRule="auto"/>
      </w:pPr>
      <w:r>
        <w:t xml:space="preserve">    </w:t>
      </w:r>
      <w:r>
        <w:rPr>
          <w:rFonts w:hint="eastAsia"/>
        </w:rPr>
        <w:t>会议室、接待室地面、墙面、干净，无灰尘、污渍；天花板、风口目视无灰尘、污渍；</w:t>
      </w:r>
    </w:p>
    <w:p w14:paraId="7972AC78">
      <w:pPr>
        <w:spacing w:line="360" w:lineRule="auto"/>
      </w:pPr>
      <w:r>
        <w:rPr>
          <w:rFonts w:hint="eastAsia"/>
        </w:rPr>
        <w:t>桌椅干净，物品摆放整齐、有序。</w:t>
      </w:r>
    </w:p>
    <w:p w14:paraId="39DD56CF">
      <w:pPr>
        <w:spacing w:line="360" w:lineRule="auto"/>
      </w:pPr>
      <w:r>
        <w:t xml:space="preserve">    </w:t>
      </w:r>
      <w:r>
        <w:rPr>
          <w:rFonts w:hint="eastAsia"/>
        </w:rPr>
        <w:t>楼梯及楼梯间表面干净无污渍，防滑条</w:t>
      </w:r>
      <w:r>
        <w:t>(</w:t>
      </w:r>
      <w:r>
        <w:rPr>
          <w:rFonts w:hint="eastAsia"/>
        </w:rPr>
        <w:t>缝</w:t>
      </w:r>
      <w:r>
        <w:t>)</w:t>
      </w:r>
      <w:r>
        <w:rPr>
          <w:rFonts w:hint="eastAsia"/>
        </w:rPr>
        <w:t>干净，扶手栏杆表面干净无灰尘，防火门及闭门器表面干净无污渍，墙面、天花板无积尘、蛛网。</w:t>
      </w:r>
    </w:p>
    <w:p w14:paraId="79A4E8D2">
      <w:pPr>
        <w:spacing w:line="360" w:lineRule="auto"/>
      </w:pPr>
      <w:r>
        <w:t xml:space="preserve">    </w:t>
      </w:r>
      <w:r>
        <w:rPr>
          <w:rFonts w:hint="eastAsia"/>
        </w:rPr>
        <w:t>公共卫生间地面干净，无污渍、无积水，大小便器表面干净，无污渍，有光泽；各种隔断表面干净，无乱写乱画，金属饰件表面干净，无污迹，有金属光泽；墙壁表面干净，天停车场地面干净，无杂物，无明显油渍、污渍；顶部各种管网、灯具表面干净无积尘、蛛网；墙面干净无积尘，各种指示牌表面干净有光泽；消防器材表面干净，摆放整齐；减速</w:t>
      </w:r>
    </w:p>
    <w:p w14:paraId="3A4B4056">
      <w:pPr>
        <w:spacing w:line="360" w:lineRule="auto"/>
      </w:pPr>
      <w:r>
        <w:rPr>
          <w:rFonts w:hint="eastAsia"/>
        </w:rPr>
        <w:t>带表面干净无明显污迹，各种道闸表面无灰尘。</w:t>
      </w:r>
    </w:p>
    <w:p w14:paraId="44A4B342">
      <w:pPr>
        <w:spacing w:line="360" w:lineRule="auto"/>
      </w:pPr>
      <w:r>
        <w:t xml:space="preserve">    </w:t>
      </w:r>
      <w:r>
        <w:rPr>
          <w:rFonts w:hint="eastAsia"/>
        </w:rPr>
        <w:t>开水间及清洁间地面干净，无杂物、无积水，地垫摆放整齐干净，天花板干净无蛛网，</w:t>
      </w:r>
    </w:p>
    <w:p w14:paraId="5D90FEDC">
      <w:pPr>
        <w:spacing w:line="360" w:lineRule="auto"/>
      </w:pPr>
      <w:r>
        <w:rPr>
          <w:rFonts w:hint="eastAsia"/>
        </w:rPr>
        <w:t>灯罩表面无积尘、蛛网，墙面干净无污渍，各种物品表面干净无渍，清洁工具摆放整齐有序，</w:t>
      </w:r>
    </w:p>
    <w:p w14:paraId="145E5524">
      <w:pPr>
        <w:spacing w:line="360" w:lineRule="auto"/>
      </w:pPr>
      <w:r>
        <w:rPr>
          <w:rFonts w:hint="eastAsia"/>
        </w:rPr>
        <w:t>室内无明显异味。</w:t>
      </w:r>
    </w:p>
    <w:p w14:paraId="5788CD77">
      <w:pPr>
        <w:spacing w:line="360" w:lineRule="auto"/>
      </w:pPr>
      <w:r>
        <w:t xml:space="preserve">    </w:t>
      </w:r>
      <w:r>
        <w:rPr>
          <w:rFonts w:hint="eastAsia"/>
        </w:rPr>
        <w:t>电梯及电梯厅、电梯轿厢四壁光洁明亮，操作面板无污迹、无灰尘、无印迹，地面干净，空气清新、无异味；电梯凹槽内无垃圾无杂物，按钮表面干净无印迹；扶梯踏步表面干净，扶手表面干净无灰尘、污渍，玻璃表面干净透光性好，不锈钢光亮无尘；梳齿板内无杂物污渍；厅内地面干净有光泽。</w:t>
      </w:r>
    </w:p>
    <w:p w14:paraId="7E0F72FD">
      <w:pPr>
        <w:spacing w:line="360" w:lineRule="auto"/>
      </w:pPr>
      <w:r>
        <w:t xml:space="preserve">    </w:t>
      </w:r>
      <w:r>
        <w:rPr>
          <w:rFonts w:hint="eastAsia"/>
        </w:rPr>
        <w:t>电器设施</w:t>
      </w:r>
      <w:r>
        <w:t xml:space="preserve"> </w:t>
      </w:r>
      <w:r>
        <w:rPr>
          <w:rFonts w:hint="eastAsia"/>
        </w:rPr>
        <w:t>灯泡、灯管、灯罩无积尘、无污迹。装饰件无积尘、无污迹；开关、插座、配电箱无积尘、无明显污迹。</w:t>
      </w:r>
    </w:p>
    <w:p w14:paraId="31766439">
      <w:pPr>
        <w:spacing w:line="360" w:lineRule="auto"/>
      </w:pPr>
      <w:r>
        <w:t xml:space="preserve">    </w:t>
      </w:r>
      <w:r>
        <w:rPr>
          <w:rFonts w:hint="eastAsia"/>
        </w:rPr>
        <w:t>垃圾桶及果皮桶、箱按指定位置摆放，桶身表面干净无污渍无痰迹；内胆应定期清洁、消毒。</w:t>
      </w:r>
    </w:p>
    <w:p w14:paraId="71EF99E3">
      <w:pPr>
        <w:spacing w:line="360" w:lineRule="auto"/>
      </w:pPr>
      <w:r>
        <w:t xml:space="preserve">    </w:t>
      </w:r>
      <w:r>
        <w:rPr>
          <w:rFonts w:hint="eastAsia"/>
        </w:rPr>
        <w:t>消防栓、消防箱，公共设施</w:t>
      </w:r>
      <w:r>
        <w:t xml:space="preserve"> </w:t>
      </w:r>
      <w:r>
        <w:rPr>
          <w:rFonts w:hint="eastAsia"/>
        </w:rPr>
        <w:t>保持表面干净，无灰尘、无污渍。报警器、火警通讯电话</w:t>
      </w:r>
    </w:p>
    <w:p w14:paraId="36D719DE">
      <w:pPr>
        <w:spacing w:line="360" w:lineRule="auto"/>
      </w:pPr>
      <w:r>
        <w:rPr>
          <w:rFonts w:hint="eastAsia"/>
        </w:rPr>
        <w:t>插座、灭火器表面光亮、无积尘、无污迹；喷淋盖、烟感器、扬声器无积尘、无污渍。监控</w:t>
      </w:r>
    </w:p>
    <w:p w14:paraId="589A3921">
      <w:pPr>
        <w:spacing w:line="360" w:lineRule="auto"/>
      </w:pPr>
      <w:r>
        <w:rPr>
          <w:rFonts w:hint="eastAsia"/>
        </w:rPr>
        <w:t>摄像头、门警器表面光亮、无积尘、无斑点；消防栓外表面光亮、无印迹、无积尘，内侧无</w:t>
      </w:r>
    </w:p>
    <w:p w14:paraId="7A38C1E3">
      <w:pPr>
        <w:spacing w:line="360" w:lineRule="auto"/>
      </w:pPr>
      <w:r>
        <w:rPr>
          <w:rFonts w:hint="eastAsia"/>
        </w:rPr>
        <w:t>积尘、无污迹。</w:t>
      </w:r>
      <w:r>
        <w:t xml:space="preserve">   </w:t>
      </w:r>
    </w:p>
    <w:p w14:paraId="08C69AD8">
      <w:pPr>
        <w:spacing w:line="360" w:lineRule="auto"/>
        <w:rPr>
          <w:color w:val="auto"/>
        </w:rPr>
      </w:pPr>
      <w:r>
        <w:rPr>
          <w:color w:val="auto"/>
        </w:rPr>
        <w:t xml:space="preserve">    </w:t>
      </w:r>
      <w:r>
        <w:rPr>
          <w:rFonts w:hint="eastAsia"/>
          <w:color w:val="auto"/>
        </w:rPr>
        <w:t>垃圾中转房</w:t>
      </w:r>
      <w:r>
        <w:rPr>
          <w:color w:val="auto"/>
        </w:rPr>
        <w:t xml:space="preserve"> </w:t>
      </w:r>
      <w:r>
        <w:rPr>
          <w:rFonts w:hint="eastAsia"/>
          <w:color w:val="auto"/>
        </w:rPr>
        <w:t>中转房应专人管理定时开放，袋装垃圾摆放整齐，地面无明显垃圾，无污水外溢，房内应无明显异味，</w:t>
      </w:r>
      <w:r>
        <w:rPr>
          <w:rFonts w:hint="eastAsia"/>
          <w:color w:val="auto"/>
          <w:lang w:val="en-US" w:eastAsia="zh-CN"/>
        </w:rPr>
        <w:t>做好垃圾分类，垃圾房消毒，</w:t>
      </w:r>
      <w:r>
        <w:rPr>
          <w:rFonts w:hint="eastAsia"/>
          <w:color w:val="auto"/>
        </w:rPr>
        <w:t>垃圾日产日清。</w:t>
      </w:r>
    </w:p>
    <w:p w14:paraId="770C7FFF">
      <w:pPr>
        <w:spacing w:line="360" w:lineRule="auto"/>
      </w:pPr>
      <w:r>
        <w:t xml:space="preserve">    </w:t>
      </w:r>
      <w:r>
        <w:rPr>
          <w:rFonts w:hint="eastAsia"/>
        </w:rPr>
        <w:t>设备机房、管道，指示牌无卫生死角、无垃圾堆积，无积尘、目视无蜘蛛网、无明显</w:t>
      </w:r>
    </w:p>
    <w:p w14:paraId="18785758">
      <w:pPr>
        <w:spacing w:line="360" w:lineRule="auto"/>
      </w:pPr>
      <w:r>
        <w:rPr>
          <w:rFonts w:hint="eastAsia"/>
        </w:rPr>
        <w:t>无污渍、无水渍；指示牌、广告牌无灰尘、无污迹，金属件表面光亮，无痕迹。</w:t>
      </w:r>
    </w:p>
    <w:p w14:paraId="5F4F14AB">
      <w:pPr>
        <w:pStyle w:val="4"/>
        <w:spacing w:line="360" w:lineRule="auto"/>
        <w:ind w:firstLine="480"/>
        <w:rPr>
          <w:b/>
          <w:bCs/>
        </w:rPr>
      </w:pPr>
      <w:r>
        <w:rPr>
          <w:rFonts w:hint="eastAsia"/>
        </w:rPr>
        <w:t>（</w:t>
      </w:r>
      <w:r>
        <w:rPr>
          <w:rFonts w:hint="eastAsia"/>
          <w:b/>
          <w:bCs/>
        </w:rPr>
        <w:t>五）公共秩序维护</w:t>
      </w:r>
    </w:p>
    <w:p w14:paraId="3A5DA0DB">
      <w:pPr>
        <w:pStyle w:val="4"/>
        <w:spacing w:line="360" w:lineRule="auto"/>
        <w:ind w:firstLine="480"/>
        <w:rPr>
          <w:color w:val="auto"/>
        </w:rPr>
      </w:pPr>
      <w:r>
        <w:rPr>
          <w:rFonts w:hint="eastAsia"/>
          <w:color w:val="auto"/>
        </w:rPr>
        <w:t>1、公共秩序维护范围包括：</w:t>
      </w:r>
      <w:r>
        <w:rPr>
          <w:rFonts w:hint="eastAsia"/>
          <w:color w:val="auto"/>
          <w:u w:val="single"/>
        </w:rPr>
        <w:t>门卫、信访接待、安保巡逻、监控、</w:t>
      </w:r>
      <w:r>
        <w:rPr>
          <w:rFonts w:hint="eastAsia"/>
          <w:color w:val="auto"/>
          <w:u w:val="single"/>
          <w:lang w:val="en-US" w:eastAsia="zh-CN"/>
        </w:rPr>
        <w:t>大厅秩序维护、</w:t>
      </w:r>
      <w:r>
        <w:rPr>
          <w:rFonts w:hint="eastAsia"/>
          <w:color w:val="auto"/>
          <w:u w:val="single"/>
        </w:rPr>
        <w:t>车辆管理、外来闯入管理、重大任务安保、突发公共事件处置、</w:t>
      </w:r>
      <w:r>
        <w:rPr>
          <w:rFonts w:hint="eastAsia"/>
          <w:color w:val="auto"/>
          <w:u w:val="single"/>
          <w:lang w:val="en-US" w:eastAsia="zh-CN"/>
        </w:rPr>
        <w:t>每年组织不少于</w:t>
      </w:r>
      <w:r>
        <w:rPr>
          <w:rFonts w:hint="eastAsia"/>
          <w:color w:val="auto"/>
          <w:u w:val="single"/>
        </w:rPr>
        <w:t>消防</w:t>
      </w:r>
      <w:r>
        <w:rPr>
          <w:rFonts w:hint="eastAsia"/>
          <w:color w:val="auto"/>
          <w:u w:val="single"/>
          <w:lang w:val="en-US" w:eastAsia="zh-CN"/>
        </w:rPr>
        <w:t>2次</w:t>
      </w:r>
      <w:r>
        <w:rPr>
          <w:rFonts w:hint="eastAsia"/>
          <w:color w:val="auto"/>
          <w:u w:val="single"/>
          <w:lang w:eastAsia="zh-CN"/>
        </w:rPr>
        <w:t>、</w:t>
      </w:r>
      <w:r>
        <w:rPr>
          <w:rFonts w:hint="eastAsia"/>
          <w:color w:val="auto"/>
          <w:u w:val="single"/>
          <w:lang w:val="en-US" w:eastAsia="zh-CN"/>
        </w:rPr>
        <w:t>反恐1次、防台防汛1次演习</w:t>
      </w:r>
      <w:r>
        <w:rPr>
          <w:rFonts w:hint="eastAsia"/>
          <w:color w:val="auto"/>
          <w:u w:val="single"/>
        </w:rPr>
        <w:t>等</w:t>
      </w:r>
      <w:r>
        <w:rPr>
          <w:rFonts w:hint="eastAsia"/>
          <w:b/>
          <w:bCs/>
          <w:color w:val="auto"/>
          <w:u w:val="single"/>
        </w:rPr>
        <w:t>（</w:t>
      </w:r>
      <w:r>
        <w:rPr>
          <w:rFonts w:hint="eastAsia"/>
          <w:color w:val="auto"/>
          <w:u w:val="single"/>
        </w:rPr>
        <w:t>根据实际情况增减）</w:t>
      </w:r>
    </w:p>
    <w:p w14:paraId="64073B4C">
      <w:pPr>
        <w:pStyle w:val="4"/>
        <w:spacing w:line="360" w:lineRule="auto"/>
        <w:ind w:firstLine="480"/>
      </w:pPr>
      <w:r>
        <w:rPr>
          <w:rFonts w:hint="eastAsia"/>
        </w:rPr>
        <w:t>2、提供公共秩序维护的的单位和从业人员必须符合《保安服务管理条例》相关要求，</w:t>
      </w:r>
    </w:p>
    <w:p w14:paraId="2658FA50">
      <w:pPr>
        <w:spacing w:line="560" w:lineRule="exact"/>
        <w:ind w:left="560"/>
      </w:pPr>
      <w:r>
        <w:rPr>
          <w:rFonts w:hint="eastAsia"/>
        </w:rPr>
        <w:t>全天候负责区域内</w:t>
      </w:r>
      <w:r>
        <w:rPr>
          <w:rFonts w:hint="eastAsia"/>
          <w:u w:val="single"/>
        </w:rPr>
        <w:t xml:space="preserve"> </w:t>
      </w:r>
      <w:r>
        <w:rPr>
          <w:rFonts w:hint="eastAsia" w:eastAsia="宋体" w:cs="Times New Roman"/>
          <w:u w:val="single"/>
        </w:rPr>
        <w:t>安保人员持有相关消防证及安保证等实行24小时双人双岗持证上岗，做好消防安全、监控巡查，夜间巡查等24小时全天候公共秩序管理服务</w:t>
      </w:r>
      <w:r>
        <w:rPr>
          <w:rFonts w:hint="eastAsia"/>
        </w:rPr>
        <w:t>及</w:t>
      </w:r>
      <w:r>
        <w:t>24</w:t>
      </w:r>
      <w:r>
        <w:rPr>
          <w:rFonts w:hint="eastAsia"/>
        </w:rPr>
        <w:t>小时保安、巡逻、值勤。</w:t>
      </w:r>
    </w:p>
    <w:p w14:paraId="5A997322">
      <w:pPr>
        <w:pStyle w:val="4"/>
        <w:spacing w:line="360" w:lineRule="auto"/>
        <w:ind w:firstLine="525" w:firstLineChars="250"/>
        <w:rPr>
          <w:color w:val="auto"/>
        </w:rPr>
      </w:pPr>
      <w:r>
        <w:rPr>
          <w:rFonts w:hint="eastAsia"/>
          <w:color w:val="auto"/>
        </w:rPr>
        <w:t>3、</w:t>
      </w:r>
      <w:r>
        <w:rPr>
          <w:rFonts w:hint="eastAsia"/>
          <w:color w:val="auto"/>
          <w:lang w:val="en-US" w:eastAsia="zh-CN"/>
        </w:rPr>
        <w:t>保安</w:t>
      </w:r>
      <w:r>
        <w:rPr>
          <w:rFonts w:hint="eastAsia"/>
          <w:color w:val="auto"/>
        </w:rPr>
        <w:t>员应统一着装，常用设备、易耗品应包含在投标报价中。</w:t>
      </w:r>
    </w:p>
    <w:p w14:paraId="5F2791E9">
      <w:pPr>
        <w:pStyle w:val="4"/>
        <w:spacing w:line="360" w:lineRule="auto"/>
        <w:ind w:firstLine="480"/>
      </w:pPr>
      <w:r>
        <w:rPr>
          <w:rFonts w:hint="eastAsia"/>
        </w:rPr>
        <w:t>4、服务标准：按工作内容和要求建立 管理制度并认真落实，确保办公楼（区域）安全和正常的工作环境，严格证件登记，杜绝闲杂人员进入办公楼（区域）。环境秩序良好，维护和保证防盗、防火报警、监控设备的正常运行。对办公区域安全状况进行</w:t>
      </w:r>
      <w:r>
        <w:t>24</w:t>
      </w:r>
      <w:r>
        <w:rPr>
          <w:rFonts w:hint="eastAsia"/>
        </w:rPr>
        <w:t>小时监控，监控记录保持完整，监控中心收到火情、险情及其他异常情况报警信号后应及时报警，并通知相关人员及时赶到现场进行处理；做好安全防范日常巡视工作，及时发现和处理各种安全事故隐患，迅速有效处置突发事件。重点、要害部位每小时至少巡逻</w:t>
      </w:r>
      <w:r>
        <w:t>1</w:t>
      </w:r>
      <w:r>
        <w:rPr>
          <w:rFonts w:hint="eastAsia"/>
        </w:rPr>
        <w:t>次，发现违法违章行为应及时制止。</w:t>
      </w:r>
    </w:p>
    <w:p w14:paraId="39124EF1">
      <w:pPr>
        <w:pStyle w:val="4"/>
        <w:spacing w:line="360" w:lineRule="auto"/>
        <w:rPr>
          <w:b/>
          <w:bCs/>
        </w:rPr>
      </w:pPr>
      <w:r>
        <w:t xml:space="preserve">  </w:t>
      </w:r>
      <w:r>
        <w:rPr>
          <w:sz w:val="24"/>
          <w:szCs w:val="24"/>
        </w:rPr>
        <w:t xml:space="preserve">  </w:t>
      </w:r>
      <w:r>
        <w:t xml:space="preserve">   </w:t>
      </w:r>
      <w:r>
        <w:rPr>
          <w:rFonts w:hint="eastAsia"/>
        </w:rPr>
        <w:t>（</w:t>
      </w:r>
      <w:r>
        <w:rPr>
          <w:rFonts w:hint="eastAsia"/>
          <w:b/>
          <w:bCs/>
          <w:lang w:val="en-US" w:eastAsia="zh-CN"/>
        </w:rPr>
        <w:t>六</w:t>
      </w:r>
      <w:r>
        <w:rPr>
          <w:rFonts w:hint="eastAsia"/>
          <w:b/>
          <w:bCs/>
        </w:rPr>
        <w:t>）、接待、会议服务</w:t>
      </w:r>
      <w:r>
        <w:rPr>
          <w:b/>
          <w:bCs/>
        </w:rPr>
        <w:t xml:space="preserve"> </w:t>
      </w:r>
    </w:p>
    <w:p w14:paraId="0A6727E3">
      <w:pPr>
        <w:pStyle w:val="4"/>
        <w:spacing w:line="360" w:lineRule="auto"/>
        <w:ind w:firstLine="420"/>
        <w:rPr>
          <w:rFonts w:hint="eastAsia"/>
        </w:rPr>
      </w:pPr>
      <w:r>
        <w:t>l</w:t>
      </w:r>
      <w:r>
        <w:rPr>
          <w:rFonts w:hint="eastAsia"/>
        </w:rPr>
        <w:t>、服务范围：</w:t>
      </w:r>
      <w:r>
        <w:rPr>
          <w:rFonts w:hint="eastAsia"/>
          <w:u w:val="single"/>
        </w:rPr>
        <w:t>为办公楼（区域）内举办的各类会议、活动提供服务，包括接待信息接收、接待资源准备、引位服务</w:t>
      </w:r>
      <w:r>
        <w:rPr>
          <w:rFonts w:hint="eastAsia"/>
        </w:rPr>
        <w:t>，本物业共计会议室</w:t>
      </w:r>
      <w:r>
        <w:rPr>
          <w:rFonts w:hint="eastAsia"/>
          <w:u w:val="single"/>
        </w:rPr>
        <w:t xml:space="preserve"> </w:t>
      </w:r>
      <w:r>
        <w:rPr>
          <w:rFonts w:hint="eastAsia"/>
          <w:u w:val="single"/>
          <w:lang w:val="en-US" w:eastAsia="zh-CN"/>
        </w:rPr>
        <w:t>2</w:t>
      </w:r>
      <w:r>
        <w:rPr>
          <w:rFonts w:hint="eastAsia"/>
        </w:rPr>
        <w:t>个</w:t>
      </w:r>
      <w:r>
        <w:rPr>
          <w:rFonts w:hint="eastAsia"/>
          <w:lang w:eastAsia="zh-CN"/>
        </w:rPr>
        <w:t>，</w:t>
      </w:r>
      <w:r>
        <w:rPr>
          <w:rFonts w:hint="eastAsia"/>
          <w:lang w:val="en-US" w:eastAsia="zh-CN"/>
        </w:rPr>
        <w:t>根据业主方要求提供会务服务，</w:t>
      </w:r>
      <w:r>
        <w:rPr>
          <w:rFonts w:hint="eastAsia"/>
        </w:rPr>
        <w:t>具体分布如下表：</w:t>
      </w:r>
    </w:p>
    <w:p w14:paraId="2EE43F13">
      <w:pPr>
        <w:pStyle w:val="4"/>
        <w:spacing w:line="360" w:lineRule="auto"/>
        <w:rPr>
          <w:rFonts w:hint="eastAsia"/>
        </w:rPr>
      </w:pP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94"/>
        <w:gridCol w:w="1323"/>
        <w:gridCol w:w="1722"/>
        <w:gridCol w:w="2556"/>
      </w:tblGrid>
      <w:tr w14:paraId="34BACD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94" w:type="dxa"/>
          </w:tcPr>
          <w:p w14:paraId="598D487C">
            <w:pPr>
              <w:pStyle w:val="4"/>
              <w:spacing w:line="360" w:lineRule="auto"/>
              <w:jc w:val="center"/>
            </w:pPr>
            <w:r>
              <w:rPr>
                <w:rFonts w:hint="eastAsia"/>
              </w:rPr>
              <w:t>会议室名称</w:t>
            </w:r>
          </w:p>
        </w:tc>
        <w:tc>
          <w:tcPr>
            <w:tcW w:w="1323" w:type="dxa"/>
          </w:tcPr>
          <w:p w14:paraId="036E54D5">
            <w:pPr>
              <w:pStyle w:val="4"/>
              <w:spacing w:line="360" w:lineRule="auto"/>
              <w:jc w:val="center"/>
            </w:pPr>
            <w:r>
              <w:rPr>
                <w:rFonts w:hint="eastAsia"/>
              </w:rPr>
              <w:t>面积</w:t>
            </w:r>
          </w:p>
        </w:tc>
        <w:tc>
          <w:tcPr>
            <w:tcW w:w="1722" w:type="dxa"/>
          </w:tcPr>
          <w:p w14:paraId="25C3CA68">
            <w:pPr>
              <w:pStyle w:val="4"/>
              <w:spacing w:line="360" w:lineRule="auto"/>
              <w:jc w:val="center"/>
            </w:pPr>
            <w:r>
              <w:rPr>
                <w:rFonts w:hint="eastAsia"/>
              </w:rPr>
              <w:t>服务频次</w:t>
            </w:r>
          </w:p>
        </w:tc>
        <w:tc>
          <w:tcPr>
            <w:tcW w:w="2556" w:type="dxa"/>
          </w:tcPr>
          <w:p w14:paraId="5717349F">
            <w:pPr>
              <w:pStyle w:val="4"/>
              <w:spacing w:line="360" w:lineRule="auto"/>
              <w:jc w:val="center"/>
            </w:pPr>
            <w:r>
              <w:rPr>
                <w:rFonts w:hint="eastAsia"/>
              </w:rPr>
              <w:t>设施情况</w:t>
            </w:r>
          </w:p>
        </w:tc>
      </w:tr>
      <w:tr w14:paraId="4F606E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94" w:type="dxa"/>
          </w:tcPr>
          <w:p w14:paraId="308B746D">
            <w:pPr>
              <w:pStyle w:val="4"/>
              <w:spacing w:line="360" w:lineRule="auto"/>
              <w:rPr>
                <w:rFonts w:hint="eastAsia" w:eastAsia="宋体"/>
                <w:lang w:val="en-US" w:eastAsia="zh-CN"/>
              </w:rPr>
            </w:pPr>
            <w:r>
              <w:rPr>
                <w:rFonts w:hint="eastAsia"/>
                <w:lang w:val="en-US" w:eastAsia="zh-CN"/>
              </w:rPr>
              <w:t>大会议室</w:t>
            </w:r>
          </w:p>
        </w:tc>
        <w:tc>
          <w:tcPr>
            <w:tcW w:w="1323" w:type="dxa"/>
          </w:tcPr>
          <w:p w14:paraId="76AEE6E9">
            <w:pPr>
              <w:pStyle w:val="4"/>
              <w:spacing w:line="360" w:lineRule="auto"/>
              <w:rPr>
                <w:rFonts w:hint="default" w:eastAsia="宋体"/>
                <w:lang w:val="en-US" w:eastAsia="zh-CN"/>
              </w:rPr>
            </w:pPr>
            <w:r>
              <w:rPr>
                <w:rFonts w:hint="eastAsia"/>
                <w:lang w:val="en-US" w:eastAsia="zh-CN"/>
              </w:rPr>
              <w:t>80平方</w:t>
            </w:r>
          </w:p>
        </w:tc>
        <w:tc>
          <w:tcPr>
            <w:tcW w:w="1722" w:type="dxa"/>
          </w:tcPr>
          <w:p w14:paraId="6AB5EC8A">
            <w:pPr>
              <w:pStyle w:val="4"/>
              <w:spacing w:line="360" w:lineRule="auto"/>
              <w:rPr>
                <w:rFonts w:hint="default" w:eastAsia="宋体"/>
                <w:lang w:val="en-US" w:eastAsia="zh-CN"/>
              </w:rPr>
            </w:pPr>
            <w:r>
              <w:rPr>
                <w:rFonts w:hint="eastAsia"/>
                <w:lang w:val="en-US" w:eastAsia="zh-CN"/>
              </w:rPr>
              <w:t>根据会议需要</w:t>
            </w:r>
          </w:p>
        </w:tc>
        <w:tc>
          <w:tcPr>
            <w:tcW w:w="2556" w:type="dxa"/>
          </w:tcPr>
          <w:p w14:paraId="078ED089">
            <w:pPr>
              <w:pStyle w:val="4"/>
              <w:spacing w:line="360" w:lineRule="auto"/>
              <w:rPr>
                <w:rFonts w:hint="default" w:eastAsia="宋体"/>
                <w:lang w:val="en-US" w:eastAsia="zh-CN"/>
              </w:rPr>
            </w:pPr>
            <w:r>
              <w:rPr>
                <w:rFonts w:hint="eastAsia"/>
                <w:lang w:val="en-US" w:eastAsia="zh-CN"/>
              </w:rPr>
              <w:t>大会议桌，椅</w:t>
            </w:r>
          </w:p>
        </w:tc>
      </w:tr>
      <w:tr w14:paraId="55923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94" w:type="dxa"/>
          </w:tcPr>
          <w:p w14:paraId="6C167FD9">
            <w:pPr>
              <w:pStyle w:val="4"/>
              <w:spacing w:line="360" w:lineRule="auto"/>
              <w:rPr>
                <w:rFonts w:hint="default" w:eastAsia="宋体"/>
                <w:lang w:val="en-US" w:eastAsia="zh-CN"/>
              </w:rPr>
            </w:pPr>
            <w:r>
              <w:rPr>
                <w:rFonts w:hint="eastAsia"/>
                <w:lang w:val="en-US" w:eastAsia="zh-CN"/>
              </w:rPr>
              <w:t>小会议室</w:t>
            </w:r>
          </w:p>
        </w:tc>
        <w:tc>
          <w:tcPr>
            <w:tcW w:w="1323" w:type="dxa"/>
          </w:tcPr>
          <w:p w14:paraId="1625A992">
            <w:pPr>
              <w:pStyle w:val="4"/>
              <w:spacing w:line="360" w:lineRule="auto"/>
              <w:rPr>
                <w:rFonts w:hint="default" w:eastAsia="宋体"/>
                <w:lang w:val="en-US" w:eastAsia="zh-CN"/>
              </w:rPr>
            </w:pPr>
            <w:r>
              <w:rPr>
                <w:rFonts w:hint="eastAsia"/>
                <w:lang w:val="en-US" w:eastAsia="zh-CN"/>
              </w:rPr>
              <w:t>70平方</w:t>
            </w:r>
          </w:p>
        </w:tc>
        <w:tc>
          <w:tcPr>
            <w:tcW w:w="1722" w:type="dxa"/>
          </w:tcPr>
          <w:p w14:paraId="7153667F">
            <w:pPr>
              <w:pStyle w:val="4"/>
              <w:spacing w:line="360" w:lineRule="auto"/>
            </w:pPr>
            <w:r>
              <w:rPr>
                <w:rFonts w:hint="eastAsia"/>
                <w:lang w:val="en-US" w:eastAsia="zh-CN"/>
              </w:rPr>
              <w:t>根据会议需要</w:t>
            </w:r>
          </w:p>
        </w:tc>
        <w:tc>
          <w:tcPr>
            <w:tcW w:w="2556" w:type="dxa"/>
          </w:tcPr>
          <w:p w14:paraId="1EA6A5A2">
            <w:pPr>
              <w:pStyle w:val="4"/>
              <w:spacing w:line="360" w:lineRule="auto"/>
            </w:pPr>
            <w:r>
              <w:rPr>
                <w:rFonts w:hint="eastAsia"/>
                <w:lang w:val="en-US" w:eastAsia="zh-CN"/>
              </w:rPr>
              <w:t>小会议桌，椅</w:t>
            </w:r>
          </w:p>
        </w:tc>
      </w:tr>
    </w:tbl>
    <w:p w14:paraId="67BAC9D9">
      <w:pPr>
        <w:pStyle w:val="4"/>
        <w:numPr>
          <w:ilvl w:val="0"/>
          <w:numId w:val="11"/>
        </w:numPr>
        <w:spacing w:line="360" w:lineRule="auto"/>
        <w:ind w:left="0" w:leftChars="0" w:firstLine="0" w:firstLineChars="0"/>
        <w:rPr>
          <w:rFonts w:hint="eastAsia"/>
        </w:rPr>
      </w:pPr>
      <w:r>
        <w:rPr>
          <w:rFonts w:hint="eastAsia"/>
        </w:rPr>
        <w:t>服务内容：</w:t>
      </w:r>
    </w:p>
    <w:p w14:paraId="4A3AAACC">
      <w:pPr>
        <w:pStyle w:val="4"/>
        <w:numPr>
          <w:ilvl w:val="0"/>
          <w:numId w:val="11"/>
        </w:numPr>
        <w:spacing w:line="360" w:lineRule="auto"/>
        <w:ind w:left="0" w:leftChars="0" w:firstLine="0" w:firstLineChars="0"/>
      </w:pPr>
      <w:r>
        <w:t xml:space="preserve">(1) </w:t>
      </w:r>
      <w:r>
        <w:rPr>
          <w:rFonts w:hint="eastAsia"/>
        </w:rPr>
        <w:t>会场布置、会议材料复印、发放，席卡与会场标识布置、主席台布置、会务资发放、与会人员登记、会议礼仪接待、引导服务等。</w:t>
      </w:r>
    </w:p>
    <w:p w14:paraId="74A2E14F">
      <w:pPr>
        <w:pStyle w:val="4"/>
        <w:spacing w:line="360" w:lineRule="auto"/>
      </w:pPr>
      <w:r>
        <w:t xml:space="preserve">   (2) </w:t>
      </w:r>
      <w:r>
        <w:rPr>
          <w:rFonts w:hint="eastAsia"/>
        </w:rPr>
        <w:t>视频、音响保障。</w:t>
      </w:r>
    </w:p>
    <w:p w14:paraId="1B889AB7">
      <w:pPr>
        <w:pStyle w:val="4"/>
        <w:spacing w:line="360" w:lineRule="auto"/>
      </w:pPr>
      <w:r>
        <w:t xml:space="preserve">   (3) </w:t>
      </w:r>
      <w:r>
        <w:rPr>
          <w:rFonts w:hint="eastAsia"/>
        </w:rPr>
        <w:t>会议期间开水供应及相关服务</w:t>
      </w:r>
    </w:p>
    <w:p w14:paraId="52C5C0F6">
      <w:pPr>
        <w:pStyle w:val="4"/>
        <w:spacing w:line="360" w:lineRule="auto"/>
      </w:pPr>
      <w:r>
        <w:t xml:space="preserve">  </w:t>
      </w:r>
      <w:r>
        <w:rPr>
          <w:rFonts w:hint="eastAsia"/>
        </w:rPr>
        <w:t>（</w:t>
      </w:r>
      <w:r>
        <w:t>4</w:t>
      </w:r>
      <w:r>
        <w:rPr>
          <w:rFonts w:hint="eastAsia"/>
        </w:rPr>
        <w:t>）、会议后会场整理、保洁服务</w:t>
      </w:r>
    </w:p>
    <w:p w14:paraId="05F999E0">
      <w:pPr>
        <w:spacing w:line="360" w:lineRule="auto"/>
        <w:rPr>
          <w:sz w:val="24"/>
          <w:szCs w:val="24"/>
        </w:rPr>
      </w:pPr>
      <w:r>
        <w:t xml:space="preserve">   </w:t>
      </w:r>
      <w:r>
        <w:rPr>
          <w:rFonts w:hint="eastAsia"/>
        </w:rPr>
        <w:t>3、服务标准：建立会议室管理制度，制订会议服务规程并认真落实，做好会议室的音响服务，礼仪接待周到、规范。保证会议期间茶水供应并定时续水，会前会后打扫室内卫生，保持室内整洁，会场布置及时。</w:t>
      </w:r>
    </w:p>
    <w:p w14:paraId="3C4D78F7">
      <w:pPr>
        <w:pStyle w:val="4"/>
        <w:spacing w:line="360" w:lineRule="auto"/>
        <w:rPr>
          <w:b/>
          <w:bCs/>
        </w:rPr>
      </w:pPr>
      <w:r>
        <w:rPr>
          <w:sz w:val="24"/>
          <w:szCs w:val="24"/>
        </w:rPr>
        <w:t xml:space="preserve">    </w:t>
      </w:r>
      <w:r>
        <w:rPr>
          <w:rFonts w:hint="eastAsia"/>
        </w:rPr>
        <w:t>（</w:t>
      </w:r>
      <w:r>
        <w:rPr>
          <w:rFonts w:hint="eastAsia"/>
          <w:b/>
          <w:bCs/>
          <w:lang w:val="en-US" w:eastAsia="zh-CN"/>
        </w:rPr>
        <w:t>七</w:t>
      </w:r>
      <w:r>
        <w:rPr>
          <w:rFonts w:hint="eastAsia"/>
          <w:b/>
          <w:bCs/>
        </w:rPr>
        <w:t>）档案管理</w:t>
      </w:r>
    </w:p>
    <w:p w14:paraId="3B9D8893">
      <w:pPr>
        <w:pStyle w:val="4"/>
        <w:spacing w:line="360" w:lineRule="auto"/>
        <w:rPr>
          <w:bCs/>
        </w:rPr>
      </w:pPr>
      <w:r>
        <w:rPr>
          <w:rFonts w:hint="eastAsia"/>
          <w:bCs/>
        </w:rPr>
        <w:t>服务范围包括以下内容（按实际需要自行增减）：</w:t>
      </w:r>
    </w:p>
    <w:p w14:paraId="16F992A8">
      <w:pPr>
        <w:pStyle w:val="4"/>
        <w:spacing w:line="360" w:lineRule="auto"/>
        <w:ind w:firstLine="420" w:firstLineChars="200"/>
        <w:rPr>
          <w:rFonts w:hint="eastAsia" w:ascii="Times New Roman" w:hAnsi="Times New Roman"/>
          <w:szCs w:val="21"/>
        </w:rPr>
      </w:pPr>
      <w:r>
        <w:rPr>
          <w:rFonts w:ascii="Times New Roman" w:hAnsi="Times New Roman"/>
          <w:szCs w:val="21"/>
        </w:rPr>
        <w:t>l</w:t>
      </w:r>
      <w:r>
        <w:rPr>
          <w:rFonts w:hint="eastAsia" w:ascii="Times New Roman" w:hAnsi="Times New Roman"/>
          <w:szCs w:val="21"/>
        </w:rPr>
        <w:t>、建立管理人员人事档案、用户档案和各类行政文件、合同的存档工作。</w:t>
      </w:r>
    </w:p>
    <w:p w14:paraId="296857D4">
      <w:pPr>
        <w:pStyle w:val="4"/>
        <w:spacing w:line="360" w:lineRule="auto"/>
        <w:ind w:firstLine="420" w:firstLineChars="200"/>
        <w:rPr>
          <w:rFonts w:hint="eastAsia" w:ascii="Times New Roman" w:hAnsi="Times New Roman"/>
          <w:szCs w:val="21"/>
          <w:lang w:val="en-US" w:eastAsia="zh-CN"/>
        </w:rPr>
      </w:pPr>
      <w:r>
        <w:rPr>
          <w:rFonts w:hint="eastAsia" w:ascii="Times New Roman" w:hAnsi="Times New Roman"/>
          <w:szCs w:val="21"/>
          <w:lang w:val="en-US" w:eastAsia="zh-CN"/>
        </w:rPr>
        <w:t>2、建立巡检、培训、应急处置、投诉、车辆出入登记、消毒、维修、月度工作报告等台账制度。</w:t>
      </w:r>
    </w:p>
    <w:p w14:paraId="1581F237">
      <w:pPr>
        <w:pStyle w:val="4"/>
        <w:spacing w:line="360" w:lineRule="auto"/>
        <w:ind w:firstLine="422" w:firstLineChars="200"/>
        <w:rPr>
          <w:b/>
          <w:bCs/>
        </w:rPr>
      </w:pPr>
      <w:r>
        <w:rPr>
          <w:rFonts w:hint="eastAsia"/>
          <w:b/>
          <w:bCs/>
        </w:rPr>
        <w:t>（</w:t>
      </w:r>
      <w:r>
        <w:rPr>
          <w:rFonts w:hint="eastAsia"/>
          <w:b/>
          <w:bCs/>
          <w:lang w:val="en-US" w:eastAsia="zh-CN"/>
        </w:rPr>
        <w:t>八</w:t>
      </w:r>
      <w:r>
        <w:rPr>
          <w:rFonts w:hint="eastAsia"/>
          <w:b/>
          <w:bCs/>
        </w:rPr>
        <w:t>）其他服务</w:t>
      </w:r>
    </w:p>
    <w:p w14:paraId="7027FB37">
      <w:pPr>
        <w:pStyle w:val="4"/>
        <w:spacing w:line="360" w:lineRule="auto"/>
        <w:ind w:firstLine="315" w:firstLineChars="150"/>
        <w:rPr>
          <w:rFonts w:hint="eastAsia"/>
          <w:bCs/>
          <w:color w:val="auto"/>
          <w:u w:val="none"/>
        </w:rPr>
      </w:pPr>
      <w:r>
        <w:rPr>
          <w:rFonts w:hint="eastAsia"/>
          <w:bCs/>
          <w:color w:val="auto"/>
          <w:u w:val="none"/>
        </w:rPr>
        <w:t>1、其他服务范围包括：</w:t>
      </w:r>
      <w:r>
        <w:rPr>
          <w:rFonts w:hint="eastAsia"/>
          <w:bCs/>
          <w:color w:val="auto"/>
          <w:u w:val="none"/>
          <w:lang w:val="en-US" w:eastAsia="zh-CN"/>
        </w:rPr>
        <w:t>公区上下班照明管理</w:t>
      </w:r>
      <w:r>
        <w:rPr>
          <w:rFonts w:hint="eastAsia"/>
          <w:bCs/>
          <w:color w:val="auto"/>
          <w:u w:val="none"/>
        </w:rPr>
        <w:t>、安检服务、</w:t>
      </w:r>
      <w:r>
        <w:rPr>
          <w:rFonts w:hint="eastAsia"/>
          <w:bCs/>
          <w:color w:val="auto"/>
          <w:u w:val="none"/>
          <w:lang w:val="en-US" w:eastAsia="zh-CN"/>
        </w:rPr>
        <w:t>餐费收取、科室服务保障</w:t>
      </w:r>
      <w:r>
        <w:rPr>
          <w:rFonts w:hint="eastAsia"/>
          <w:bCs/>
          <w:color w:val="auto"/>
          <w:u w:val="none"/>
        </w:rPr>
        <w:t>等（按实际需要自行增减）</w:t>
      </w:r>
    </w:p>
    <w:p w14:paraId="3EE73262">
      <w:pPr>
        <w:pStyle w:val="4"/>
        <w:spacing w:line="360" w:lineRule="auto"/>
        <w:ind w:firstLine="316" w:firstLineChars="150"/>
        <w:rPr>
          <w:rFonts w:hint="eastAsia"/>
          <w:b/>
          <w:bCs w:val="0"/>
          <w:u w:val="single"/>
          <w:lang w:val="en-US" w:eastAsia="zh-CN"/>
        </w:rPr>
      </w:pPr>
      <w:r>
        <w:rPr>
          <w:rFonts w:hint="eastAsia"/>
          <w:b/>
          <w:bCs w:val="0"/>
          <w:u w:val="single"/>
          <w:lang w:eastAsia="zh-CN"/>
        </w:rPr>
        <w:t>（</w:t>
      </w:r>
      <w:r>
        <w:rPr>
          <w:rFonts w:hint="eastAsia"/>
          <w:b/>
          <w:bCs w:val="0"/>
          <w:u w:val="single"/>
          <w:lang w:val="en-US" w:eastAsia="zh-CN"/>
        </w:rPr>
        <w:t>九</w:t>
      </w:r>
      <w:r>
        <w:rPr>
          <w:rFonts w:hint="eastAsia"/>
          <w:b/>
          <w:bCs w:val="0"/>
          <w:u w:val="single"/>
          <w:lang w:eastAsia="zh-CN"/>
        </w:rPr>
        <w:t>）</w:t>
      </w:r>
      <w:r>
        <w:rPr>
          <w:rFonts w:hint="eastAsia"/>
          <w:b/>
          <w:bCs w:val="0"/>
          <w:u w:val="single"/>
          <w:lang w:val="en-US" w:eastAsia="zh-CN"/>
        </w:rPr>
        <w:t>费用结算</w:t>
      </w:r>
    </w:p>
    <w:p w14:paraId="4C51DCB7">
      <w:pPr>
        <w:spacing w:line="360" w:lineRule="auto"/>
        <w:ind w:left="-2" w:leftChars="-1" w:firstLine="420" w:firstLineChars="200"/>
        <w:rPr>
          <w:rFonts w:hint="eastAsia"/>
          <w:color w:val="auto"/>
          <w:lang w:val="en-US" w:eastAsia="zh-CN"/>
        </w:rPr>
      </w:pPr>
      <w:r>
        <w:rPr>
          <w:rFonts w:hint="eastAsia"/>
          <w:color w:val="auto"/>
          <w:lang w:val="en-US" w:eastAsia="zh-CN"/>
        </w:rPr>
        <w:t xml:space="preserve">  每季度考核结算（次季度第一个月5号前收到发票，收到发票后7个工作日内支付）。</w:t>
      </w:r>
    </w:p>
    <w:p w14:paraId="7C69967E">
      <w:pPr>
        <w:pStyle w:val="4"/>
        <w:numPr>
          <w:ilvl w:val="0"/>
          <w:numId w:val="12"/>
        </w:numPr>
        <w:spacing w:line="360" w:lineRule="auto"/>
        <w:ind w:firstLine="315" w:firstLineChars="150"/>
        <w:rPr>
          <w:rFonts w:hint="eastAsia"/>
          <w:bCs/>
          <w:color w:val="auto"/>
          <w:u w:val="none"/>
          <w:lang w:val="en-US" w:eastAsia="zh-CN"/>
        </w:rPr>
      </w:pPr>
      <w:r>
        <w:rPr>
          <w:rFonts w:hint="eastAsia"/>
          <w:bCs/>
          <w:color w:val="auto"/>
          <w:u w:val="none"/>
          <w:lang w:val="en-US" w:eastAsia="zh-CN"/>
        </w:rPr>
        <w:t>其它要求：</w:t>
      </w:r>
    </w:p>
    <w:p w14:paraId="30B0D930">
      <w:pPr>
        <w:pStyle w:val="4"/>
        <w:numPr>
          <w:numId w:val="0"/>
        </w:numPr>
        <w:spacing w:line="360" w:lineRule="auto"/>
        <w:ind w:firstLine="420" w:firstLineChars="200"/>
        <w:rPr>
          <w:rFonts w:hint="eastAsia"/>
          <w:bCs/>
          <w:color w:val="auto"/>
          <w:u w:val="none"/>
          <w:lang w:val="en-US" w:eastAsia="zh-CN"/>
        </w:rPr>
      </w:pPr>
      <w:r>
        <w:rPr>
          <w:rFonts w:hint="eastAsia"/>
          <w:bCs/>
          <w:color w:val="auto"/>
          <w:u w:val="none"/>
          <w:lang w:val="en-US" w:eastAsia="zh-CN"/>
        </w:rPr>
        <w:t>1、投标人需提供近三年内类似业绩。</w:t>
      </w:r>
    </w:p>
    <w:p w14:paraId="740E6909">
      <w:pPr>
        <w:pStyle w:val="4"/>
        <w:spacing w:line="360" w:lineRule="auto"/>
        <w:ind w:firstLine="420" w:firstLineChars="200"/>
        <w:rPr>
          <w:rFonts w:hint="eastAsia"/>
          <w:bCs/>
          <w:color w:val="auto"/>
          <w:u w:val="none"/>
          <w:lang w:val="en-US" w:eastAsia="zh-CN"/>
        </w:rPr>
      </w:pPr>
      <w:r>
        <w:rPr>
          <w:rFonts w:hint="eastAsia"/>
          <w:bCs/>
          <w:color w:val="auto"/>
          <w:u w:val="none"/>
          <w:lang w:val="en-US" w:eastAsia="zh-CN"/>
        </w:rPr>
        <w:t>2、投标人提供最近1个季度任1个月公司人员社保证明。</w:t>
      </w:r>
    </w:p>
    <w:p w14:paraId="2F66A444">
      <w:pPr>
        <w:pStyle w:val="4"/>
        <w:spacing w:line="360" w:lineRule="auto"/>
        <w:ind w:firstLine="420" w:firstLineChars="200"/>
        <w:rPr>
          <w:rFonts w:hint="eastAsia"/>
          <w:bCs/>
          <w:color w:val="auto"/>
          <w:u w:val="none"/>
          <w:lang w:val="en-US" w:eastAsia="zh-CN"/>
        </w:rPr>
      </w:pPr>
      <w:r>
        <w:rPr>
          <w:rFonts w:hint="eastAsia"/>
          <w:bCs/>
          <w:color w:val="auto"/>
          <w:u w:val="none"/>
          <w:lang w:val="en-US" w:eastAsia="zh-CN"/>
        </w:rPr>
        <w:t>3、投标人提供业主对物业管理的满意度考评。</w:t>
      </w:r>
    </w:p>
    <w:p w14:paraId="27F893F6">
      <w:pPr>
        <w:pStyle w:val="4"/>
        <w:spacing w:line="360" w:lineRule="auto"/>
        <w:ind w:firstLine="420" w:firstLineChars="200"/>
        <w:rPr>
          <w:rFonts w:hint="eastAsia"/>
          <w:b/>
          <w:bCs/>
          <w:color w:val="auto"/>
          <w:lang w:val="en-US" w:eastAsia="zh-CN"/>
        </w:rPr>
      </w:pPr>
      <w:r>
        <w:rPr>
          <w:rFonts w:hint="eastAsia"/>
          <w:bCs/>
          <w:color w:val="auto"/>
          <w:u w:val="none"/>
          <w:lang w:val="en-US" w:eastAsia="zh-CN"/>
        </w:rPr>
        <w:t>4、投标人需持有IS09001质量管理体系认证；IS014001环境管理体系认证；ISO45001职业健康安全体系认证。</w:t>
      </w:r>
      <w:r>
        <w:rPr>
          <w:rFonts w:hint="eastAsia"/>
          <w:b/>
          <w:bCs/>
          <w:color w:val="auto"/>
          <w:lang w:val="en-US" w:eastAsia="zh-CN"/>
        </w:rPr>
        <w:t xml:space="preserve"> </w:t>
      </w:r>
    </w:p>
    <w:p w14:paraId="7AFAADF8">
      <w:pPr>
        <w:pStyle w:val="4"/>
        <w:spacing w:line="360" w:lineRule="auto"/>
        <w:ind w:firstLine="420" w:firstLineChars="200"/>
        <w:rPr>
          <w:rFonts w:hint="eastAsia"/>
          <w:bCs/>
          <w:color w:val="auto"/>
          <w:u w:val="none"/>
          <w:lang w:val="en-US" w:eastAsia="zh-CN"/>
        </w:rPr>
      </w:pPr>
      <w:r>
        <w:rPr>
          <w:rFonts w:hint="eastAsia"/>
          <w:bCs/>
          <w:color w:val="auto"/>
          <w:u w:val="none"/>
          <w:lang w:val="en-US" w:eastAsia="zh-CN"/>
        </w:rPr>
        <w:t>5、投标人需提供针对本项目的管理组织架构及管理制度。</w:t>
      </w:r>
    </w:p>
    <w:p w14:paraId="1865D191">
      <w:pPr>
        <w:pStyle w:val="4"/>
        <w:spacing w:line="360" w:lineRule="auto"/>
        <w:ind w:firstLine="420" w:firstLineChars="200"/>
        <w:rPr>
          <w:rFonts w:hint="eastAsia" w:ascii="宋体" w:eastAsia="宋体" w:cs="Times New Roman"/>
          <w:bCs/>
          <w:color w:val="auto"/>
          <w:u w:val="none"/>
          <w:lang w:val="en-US" w:eastAsia="zh-CN"/>
        </w:rPr>
      </w:pPr>
      <w:r>
        <w:rPr>
          <w:rFonts w:hint="eastAsia" w:ascii="宋体" w:eastAsia="宋体" w:cs="Times New Roman"/>
          <w:bCs/>
          <w:color w:val="auto"/>
          <w:u w:val="none"/>
          <w:lang w:val="en-US" w:eastAsia="zh-CN"/>
        </w:rPr>
        <w:t>6、</w:t>
      </w:r>
      <w:r>
        <w:rPr>
          <w:rFonts w:hint="default" w:ascii="宋体" w:eastAsia="宋体" w:cs="Times New Roman"/>
          <w:bCs/>
          <w:color w:val="auto"/>
          <w:u w:val="none"/>
          <w:lang w:val="en-US" w:eastAsia="zh-CN"/>
        </w:rPr>
        <w:t>投标人</w:t>
      </w:r>
      <w:r>
        <w:rPr>
          <w:rFonts w:hint="eastAsia" w:ascii="宋体" w:eastAsia="宋体" w:cs="Times New Roman"/>
          <w:bCs/>
          <w:color w:val="auto"/>
          <w:u w:val="none"/>
          <w:lang w:val="en-US" w:eastAsia="zh-CN"/>
        </w:rPr>
        <w:t>需提供</w:t>
      </w:r>
      <w:r>
        <w:rPr>
          <w:rFonts w:hint="default" w:ascii="宋体" w:eastAsia="宋体" w:cs="Times New Roman"/>
          <w:bCs/>
          <w:color w:val="auto"/>
          <w:u w:val="none"/>
          <w:lang w:val="en-US" w:eastAsia="zh-CN"/>
        </w:rPr>
        <w:t>针对本项目提供防台、防汛、防火</w:t>
      </w:r>
      <w:r>
        <w:rPr>
          <w:rFonts w:hint="eastAsia" w:ascii="宋体" w:eastAsia="宋体" w:cs="Times New Roman"/>
          <w:bCs/>
          <w:color w:val="auto"/>
          <w:u w:val="none"/>
          <w:lang w:val="en-US" w:eastAsia="zh-CN"/>
        </w:rPr>
        <w:t>、防震、流行病防控、突发事件</w:t>
      </w:r>
      <w:r>
        <w:rPr>
          <w:rFonts w:hint="default" w:ascii="宋体" w:eastAsia="宋体" w:cs="Times New Roman"/>
          <w:bCs/>
          <w:color w:val="auto"/>
          <w:u w:val="none"/>
          <w:lang w:val="en-US" w:eastAsia="zh-CN"/>
        </w:rPr>
        <w:t>等相关应急方案</w:t>
      </w:r>
      <w:r>
        <w:rPr>
          <w:rFonts w:hint="eastAsia" w:ascii="宋体" w:eastAsia="宋体" w:cs="Times New Roman"/>
          <w:bCs/>
          <w:color w:val="auto"/>
          <w:u w:val="none"/>
          <w:lang w:val="en-US" w:eastAsia="zh-CN"/>
        </w:rPr>
        <w:t>。</w:t>
      </w:r>
    </w:p>
    <w:p w14:paraId="1514AECB">
      <w:pPr>
        <w:pStyle w:val="4"/>
        <w:spacing w:line="360" w:lineRule="auto"/>
        <w:ind w:firstLine="420" w:firstLineChars="200"/>
        <w:rPr>
          <w:rFonts w:hint="eastAsia" w:ascii="宋体" w:hAnsi="宋体"/>
        </w:rPr>
      </w:pPr>
      <w:r>
        <w:rPr>
          <w:rFonts w:hint="eastAsia" w:ascii="宋体" w:eastAsia="宋体" w:cs="Times New Roman"/>
          <w:bCs/>
          <w:color w:val="auto"/>
          <w:u w:val="none"/>
          <w:lang w:val="en-US" w:eastAsia="zh-CN"/>
        </w:rPr>
        <w:t>7、</w:t>
      </w:r>
      <w:r>
        <w:rPr>
          <w:rFonts w:hint="eastAsia" w:ascii="宋体" w:hAnsi="宋体"/>
        </w:rPr>
        <w:t>投标人</w:t>
      </w:r>
      <w:r>
        <w:rPr>
          <w:rFonts w:hint="eastAsia" w:ascii="宋体" w:hAnsi="宋体"/>
          <w:lang w:eastAsia="zh-CN"/>
        </w:rPr>
        <w:t>需提供</w:t>
      </w:r>
      <w:r>
        <w:rPr>
          <w:rFonts w:hint="eastAsia" w:ascii="宋体" w:hAnsi="宋体"/>
        </w:rPr>
        <w:t>针对本项目</w:t>
      </w:r>
      <w:r>
        <w:rPr>
          <w:rFonts w:hint="eastAsia" w:ascii="宋体" w:hAnsi="宋体"/>
          <w:lang w:eastAsia="zh-CN"/>
        </w:rPr>
        <w:t>垃圾分类管理和回收、危废管理等方案</w:t>
      </w:r>
      <w:r>
        <w:rPr>
          <w:rFonts w:hint="eastAsia" w:ascii="宋体" w:hAnsi="宋体"/>
        </w:rPr>
        <w:t>。</w:t>
      </w:r>
    </w:p>
    <w:p w14:paraId="33AF0616">
      <w:pPr>
        <w:pStyle w:val="4"/>
        <w:spacing w:line="360" w:lineRule="auto"/>
        <w:ind w:firstLine="420" w:firstLineChars="200"/>
        <w:rPr>
          <w:rFonts w:hint="eastAsia" w:ascii="宋体" w:hAnsi="宋体"/>
          <w:lang w:eastAsia="zh-CN"/>
        </w:rPr>
      </w:pPr>
      <w:r>
        <w:rPr>
          <w:rFonts w:hint="eastAsia" w:ascii="宋体" w:hAnsi="宋体"/>
          <w:lang w:val="en-US" w:eastAsia="zh-CN"/>
        </w:rPr>
        <w:t>8、</w:t>
      </w:r>
      <w:r>
        <w:rPr>
          <w:rFonts w:hint="eastAsia" w:ascii="宋体" w:hAnsi="宋体"/>
        </w:rPr>
        <w:t>投标人</w:t>
      </w:r>
      <w:r>
        <w:rPr>
          <w:rFonts w:hint="eastAsia" w:ascii="宋体" w:hAnsi="宋体"/>
          <w:lang w:eastAsia="zh-CN"/>
        </w:rPr>
        <w:t>需提供</w:t>
      </w:r>
      <w:r>
        <w:rPr>
          <w:rFonts w:hint="eastAsia" w:ascii="宋体" w:hAnsi="宋体"/>
        </w:rPr>
        <w:t>针对本项目</w:t>
      </w:r>
      <w:r>
        <w:rPr>
          <w:rFonts w:hint="eastAsia" w:ascii="宋体" w:hAnsi="宋体"/>
          <w:lang w:eastAsia="zh-CN"/>
        </w:rPr>
        <w:t>节能降耗工作计划举措和对员工职业健康的管理思路、举措。</w:t>
      </w:r>
    </w:p>
    <w:p w14:paraId="728F8F66">
      <w:pPr>
        <w:pStyle w:val="4"/>
        <w:spacing w:line="360" w:lineRule="auto"/>
        <w:ind w:firstLine="420" w:firstLineChars="200"/>
        <w:rPr>
          <w:rFonts w:hint="default" w:ascii="宋体" w:hAnsi="宋体"/>
          <w:color w:val="auto"/>
          <w:lang w:val="en-US" w:eastAsia="zh-CN"/>
        </w:rPr>
      </w:pPr>
      <w:bookmarkStart w:id="3" w:name="_GoBack"/>
      <w:r>
        <w:rPr>
          <w:rFonts w:hint="eastAsia" w:ascii="宋体" w:hAnsi="宋体"/>
          <w:color w:val="auto"/>
          <w:lang w:val="en-US" w:eastAsia="zh-CN"/>
        </w:rPr>
        <w:t>9、投标人需</w:t>
      </w:r>
      <w:r>
        <w:rPr>
          <w:rFonts w:hint="eastAsia" w:ascii="宋体" w:hAnsi="宋体" w:eastAsia="宋体" w:cs="宋体"/>
          <w:color w:val="auto"/>
          <w:sz w:val="21"/>
          <w:szCs w:val="21"/>
        </w:rPr>
        <w:t>具备</w:t>
      </w:r>
      <w:r>
        <w:rPr>
          <w:rFonts w:hint="eastAsia" w:ascii="宋体" w:hAnsi="宋体" w:eastAsia="宋体" w:cs="宋体"/>
          <w:color w:val="auto"/>
          <w:sz w:val="21"/>
          <w:szCs w:val="21"/>
          <w:lang w:eastAsia="zh-CN"/>
        </w:rPr>
        <w:t>保安服务许可证或</w:t>
      </w:r>
      <w:r>
        <w:rPr>
          <w:rFonts w:hint="eastAsia" w:ascii="宋体" w:hAnsi="宋体" w:eastAsia="宋体" w:cs="宋体"/>
          <w:color w:val="auto"/>
          <w:sz w:val="21"/>
          <w:szCs w:val="21"/>
        </w:rPr>
        <w:t>自用保安备案证明或承诺在中标后取得本市公安部门颁发的《自行招用保安员单位备案证明》</w:t>
      </w:r>
      <w:r>
        <w:rPr>
          <w:rFonts w:hint="eastAsia" w:ascii="宋体" w:hAnsi="宋体" w:eastAsia="宋体" w:cs="宋体"/>
          <w:color w:val="auto"/>
          <w:sz w:val="21"/>
          <w:szCs w:val="21"/>
          <w:lang w:val="en-US" w:eastAsia="zh-CN"/>
        </w:rPr>
        <w:t>。</w:t>
      </w:r>
    </w:p>
    <w:bookmarkEnd w:id="3"/>
    <w:p w14:paraId="4C60BDA1">
      <w:pPr>
        <w:pStyle w:val="4"/>
        <w:spacing w:line="360" w:lineRule="auto"/>
        <w:ind w:firstLine="422" w:firstLineChars="200"/>
        <w:rPr>
          <w:rFonts w:hint="default"/>
          <w:b/>
          <w:bCs/>
          <w:color w:val="auto"/>
          <w:lang w:val="en-US" w:eastAsia="zh-CN"/>
        </w:rPr>
      </w:pPr>
    </w:p>
    <w:p w14:paraId="32925C7F">
      <w:pPr>
        <w:rPr>
          <w:rFonts w:ascii="宋体" w:hAnsi="宋体"/>
          <w:b/>
          <w:sz w:val="28"/>
          <w:szCs w:val="28"/>
        </w:rPr>
      </w:pPr>
      <w:r>
        <w:rPr>
          <w:rFonts w:hint="eastAsia" w:ascii="宋体" w:hAnsi="宋体" w:cs="楷体"/>
          <w:b/>
          <w:color w:val="000000"/>
          <w:sz w:val="28"/>
          <w:szCs w:val="28"/>
        </w:rPr>
        <w:t>三、建筑功能区域平面图图纸/踏勘安排</w:t>
      </w:r>
    </w:p>
    <w:p w14:paraId="0FF53A5C">
      <w:pPr>
        <w:rPr>
          <w:rFonts w:ascii="宋体" w:hAnsi="宋体" w:cs="楷体"/>
          <w:b/>
          <w:color w:val="000000"/>
          <w:sz w:val="28"/>
          <w:szCs w:val="28"/>
        </w:rPr>
      </w:pPr>
      <w:r>
        <w:drawing>
          <wp:inline distT="0" distB="0" distL="114300" distR="114300">
            <wp:extent cx="6170295" cy="5250180"/>
            <wp:effectExtent l="0" t="0" r="1905" b="7620"/>
            <wp:docPr id="1" name="图片 1" descr="微信截图_20240407103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截图_20240407103959"/>
                    <pic:cNvPicPr>
                      <a:picLocks noChangeAspect="1"/>
                    </pic:cNvPicPr>
                  </pic:nvPicPr>
                  <pic:blipFill>
                    <a:blip r:embed="rId6"/>
                    <a:stretch>
                      <a:fillRect/>
                    </a:stretch>
                  </pic:blipFill>
                  <pic:spPr>
                    <a:xfrm>
                      <a:off x="0" y="0"/>
                      <a:ext cx="6170295" cy="5250180"/>
                    </a:xfrm>
                    <a:prstGeom prst="rect">
                      <a:avLst/>
                    </a:prstGeom>
                  </pic:spPr>
                </pic:pic>
              </a:graphicData>
            </a:graphic>
          </wp:inline>
        </w:drawing>
      </w:r>
      <w:r>
        <w:br w:type="page"/>
      </w:r>
      <w:r>
        <w:rPr>
          <w:rFonts w:hint="eastAsia" w:ascii="宋体" w:hAnsi="宋体" w:cs="楷体"/>
          <w:b/>
          <w:color w:val="000000"/>
          <w:sz w:val="28"/>
          <w:szCs w:val="28"/>
        </w:rPr>
        <w:t>四、主要设备系统清单</w:t>
      </w:r>
    </w:p>
    <w:tbl>
      <w:tblPr>
        <w:tblStyle w:val="9"/>
        <w:tblW w:w="10380" w:type="dxa"/>
        <w:tblInd w:w="-59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05"/>
        <w:gridCol w:w="1800"/>
        <w:gridCol w:w="3075"/>
        <w:gridCol w:w="1170"/>
        <w:gridCol w:w="2730"/>
      </w:tblGrid>
      <w:tr w14:paraId="6FC811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605" w:type="dxa"/>
            <w:tcBorders>
              <w:top w:val="single" w:color="000000" w:sz="4" w:space="0"/>
              <w:left w:val="single" w:color="000000" w:sz="4" w:space="0"/>
              <w:bottom w:val="single" w:color="000000" w:sz="4" w:space="0"/>
              <w:right w:val="single" w:color="000000" w:sz="4" w:space="0"/>
            </w:tcBorders>
            <w:shd w:val="clear" w:color="auto" w:fill="auto"/>
          </w:tcPr>
          <w:p w14:paraId="73EF0A5E">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14:textFill>
                  <w14:solidFill>
                    <w14:schemeClr w14:val="tx2"/>
                  </w14:solidFill>
                </w14:textFill>
              </w:rPr>
              <w:t>类别</w:t>
            </w:r>
          </w:p>
        </w:tc>
        <w:tc>
          <w:tcPr>
            <w:tcW w:w="1800" w:type="dxa"/>
            <w:tcBorders>
              <w:top w:val="single" w:color="000000" w:sz="4" w:space="0"/>
              <w:left w:val="single" w:color="000000" w:sz="4" w:space="0"/>
              <w:bottom w:val="single" w:color="000000" w:sz="4" w:space="0"/>
              <w:right w:val="single" w:color="000000" w:sz="4" w:space="0"/>
            </w:tcBorders>
            <w:shd w:val="clear" w:color="auto" w:fill="auto"/>
          </w:tcPr>
          <w:p w14:paraId="251CAD58">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14:textFill>
                  <w14:solidFill>
                    <w14:schemeClr w14:val="tx2"/>
                  </w14:solidFill>
                </w14:textFill>
              </w:rPr>
              <w:t>品牌规格型号</w:t>
            </w:r>
          </w:p>
        </w:tc>
        <w:tc>
          <w:tcPr>
            <w:tcW w:w="3075" w:type="dxa"/>
            <w:tcBorders>
              <w:top w:val="single" w:color="000000" w:sz="4" w:space="0"/>
              <w:left w:val="single" w:color="000000" w:sz="4" w:space="0"/>
              <w:bottom w:val="single" w:color="000000" w:sz="4" w:space="0"/>
              <w:right w:val="single" w:color="000000" w:sz="4" w:space="0"/>
            </w:tcBorders>
            <w:shd w:val="clear" w:color="auto" w:fill="auto"/>
          </w:tcPr>
          <w:p w14:paraId="6FA6AD00">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14:textFill>
                  <w14:solidFill>
                    <w14:schemeClr w14:val="tx2"/>
                  </w14:solidFill>
                </w14:textFill>
              </w:rPr>
              <w:t>性能描述</w:t>
            </w:r>
          </w:p>
        </w:tc>
        <w:tc>
          <w:tcPr>
            <w:tcW w:w="1170" w:type="dxa"/>
            <w:tcBorders>
              <w:top w:val="single" w:color="000000" w:sz="4" w:space="0"/>
              <w:left w:val="single" w:color="000000" w:sz="4" w:space="0"/>
              <w:bottom w:val="single" w:color="000000" w:sz="4" w:space="0"/>
              <w:right w:val="single" w:color="000000" w:sz="4" w:space="0"/>
            </w:tcBorders>
            <w:shd w:val="clear" w:color="auto" w:fill="auto"/>
          </w:tcPr>
          <w:p w14:paraId="10276186">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14:textFill>
                  <w14:solidFill>
                    <w14:schemeClr w14:val="tx2"/>
                  </w14:solidFill>
                </w14:textFill>
              </w:rPr>
              <w:t>数量</w:t>
            </w:r>
          </w:p>
        </w:tc>
        <w:tc>
          <w:tcPr>
            <w:tcW w:w="2730" w:type="dxa"/>
            <w:tcBorders>
              <w:top w:val="single" w:color="000000" w:sz="4" w:space="0"/>
              <w:left w:val="single" w:color="000000" w:sz="4" w:space="0"/>
              <w:bottom w:val="single" w:color="000000" w:sz="4" w:space="0"/>
              <w:right w:val="single" w:color="000000" w:sz="4" w:space="0"/>
            </w:tcBorders>
            <w:shd w:val="clear" w:color="auto" w:fill="auto"/>
          </w:tcPr>
          <w:p w14:paraId="0583F0A9">
            <w:pPr>
              <w:spacing w:line="360" w:lineRule="auto"/>
              <w:ind w:left="27"/>
              <w:jc w:val="center"/>
              <w:rPr>
                <w:rFonts w:hint="default" w:ascii="宋体" w:eastAsia="宋体"/>
                <w:color w:val="1F497D" w:themeColor="text2"/>
                <w:spacing w:val="20"/>
                <w:szCs w:val="21"/>
                <w:lang w:val="en-US" w:eastAsia="zh-CN"/>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服务范围</w:t>
            </w:r>
          </w:p>
        </w:tc>
      </w:tr>
      <w:tr w14:paraId="2A27B9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0" w:hRule="exact"/>
        </w:trPr>
        <w:tc>
          <w:tcPr>
            <w:tcW w:w="1605" w:type="dxa"/>
            <w:tcBorders>
              <w:top w:val="single" w:color="000000" w:sz="4" w:space="0"/>
              <w:left w:val="single" w:color="000000" w:sz="4" w:space="0"/>
              <w:bottom w:val="single" w:color="000000" w:sz="4" w:space="0"/>
              <w:right w:val="single" w:color="000000" w:sz="4" w:space="0"/>
            </w:tcBorders>
            <w:shd w:val="clear" w:color="auto" w:fill="auto"/>
          </w:tcPr>
          <w:p w14:paraId="5BA1FB17">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14:textFill>
                  <w14:solidFill>
                    <w14:schemeClr w14:val="tx2"/>
                  </w14:solidFill>
                </w14:textFill>
              </w:rPr>
              <w:t>电梯系统</w:t>
            </w:r>
          </w:p>
        </w:tc>
        <w:tc>
          <w:tcPr>
            <w:tcW w:w="1800" w:type="dxa"/>
            <w:tcBorders>
              <w:top w:val="single" w:color="000000" w:sz="4" w:space="0"/>
              <w:left w:val="single" w:color="000000" w:sz="4" w:space="0"/>
              <w:bottom w:val="single" w:color="000000" w:sz="4" w:space="0"/>
              <w:right w:val="single" w:color="000000" w:sz="4" w:space="0"/>
            </w:tcBorders>
            <w:shd w:val="clear" w:color="auto" w:fill="auto"/>
          </w:tcPr>
          <w:p w14:paraId="671CE593">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14:textFill>
                  <w14:solidFill>
                    <w14:schemeClr w14:val="tx2"/>
                  </w14:solidFill>
                </w14:textFill>
              </w:rPr>
              <w:t>设备1</w:t>
            </w:r>
          </w:p>
        </w:tc>
        <w:tc>
          <w:tcPr>
            <w:tcW w:w="3075" w:type="dxa"/>
            <w:tcBorders>
              <w:top w:val="single" w:color="000000" w:sz="4" w:space="0"/>
              <w:left w:val="single" w:color="000000" w:sz="4" w:space="0"/>
              <w:bottom w:val="single" w:color="000000" w:sz="4" w:space="0"/>
              <w:right w:val="single" w:color="000000" w:sz="4" w:space="0"/>
            </w:tcBorders>
            <w:shd w:val="clear" w:color="auto" w:fill="auto"/>
          </w:tcPr>
          <w:p w14:paraId="44EFCD0E">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三菱电梯</w:t>
            </w:r>
            <w:r>
              <w:rPr>
                <w:rFonts w:hint="eastAsia" w:ascii="宋体"/>
                <w:color w:val="1F497D" w:themeColor="text2"/>
                <w:spacing w:val="20"/>
                <w:szCs w:val="21"/>
                <w14:textFill>
                  <w14:solidFill>
                    <w14:schemeClr w14:val="tx2"/>
                  </w14:solidFill>
                </w14:textFill>
              </w:rPr>
              <w:t>　</w:t>
            </w:r>
          </w:p>
        </w:tc>
        <w:tc>
          <w:tcPr>
            <w:tcW w:w="1170" w:type="dxa"/>
            <w:tcBorders>
              <w:top w:val="single" w:color="000000" w:sz="4" w:space="0"/>
              <w:left w:val="single" w:color="000000" w:sz="4" w:space="0"/>
              <w:bottom w:val="single" w:color="000000" w:sz="4" w:space="0"/>
              <w:right w:val="single" w:color="000000" w:sz="4" w:space="0"/>
            </w:tcBorders>
            <w:shd w:val="clear" w:color="auto" w:fill="auto"/>
          </w:tcPr>
          <w:p w14:paraId="4DEA90B0">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1台</w:t>
            </w:r>
            <w:r>
              <w:rPr>
                <w:rFonts w:hint="eastAsia" w:ascii="宋体"/>
                <w:color w:val="1F497D" w:themeColor="text2"/>
                <w:spacing w:val="20"/>
                <w:szCs w:val="21"/>
                <w14:textFill>
                  <w14:solidFill>
                    <w14:schemeClr w14:val="tx2"/>
                  </w14:solidFill>
                </w14:textFill>
              </w:rPr>
              <w:t>　</w:t>
            </w:r>
          </w:p>
        </w:tc>
        <w:tc>
          <w:tcPr>
            <w:tcW w:w="2730" w:type="dxa"/>
            <w:tcBorders>
              <w:top w:val="single" w:color="000000" w:sz="4" w:space="0"/>
              <w:left w:val="single" w:color="000000" w:sz="4" w:space="0"/>
              <w:bottom w:val="single" w:color="000000" w:sz="4" w:space="0"/>
              <w:right w:val="single" w:color="000000" w:sz="4" w:space="0"/>
            </w:tcBorders>
            <w:shd w:val="clear" w:color="auto" w:fill="auto"/>
          </w:tcPr>
          <w:p w14:paraId="45B8C24E">
            <w:pPr>
              <w:spacing w:line="360" w:lineRule="auto"/>
              <w:ind w:firstLine="250" w:firstLineChars="100"/>
              <w:jc w:val="both"/>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轿厢清洁、消毒服务</w:t>
            </w:r>
            <w:r>
              <w:rPr>
                <w:rFonts w:hint="eastAsia" w:ascii="宋体"/>
                <w:color w:val="1F497D" w:themeColor="text2"/>
                <w:spacing w:val="20"/>
                <w:szCs w:val="21"/>
                <w14:textFill>
                  <w14:solidFill>
                    <w14:schemeClr w14:val="tx2"/>
                  </w14:solidFill>
                </w14:textFill>
              </w:rPr>
              <w:t>　</w:t>
            </w:r>
          </w:p>
        </w:tc>
      </w:tr>
      <w:tr w14:paraId="75FCA6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605" w:type="dxa"/>
            <w:tcBorders>
              <w:top w:val="single" w:color="000000" w:sz="4" w:space="0"/>
              <w:left w:val="single" w:color="000000" w:sz="4" w:space="0"/>
              <w:bottom w:val="single" w:color="000000" w:sz="4" w:space="0"/>
              <w:right w:val="single" w:color="000000" w:sz="4" w:space="0"/>
            </w:tcBorders>
            <w:shd w:val="clear" w:color="auto" w:fill="auto"/>
          </w:tcPr>
          <w:p w14:paraId="45E6C71A">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14:textFill>
                  <w14:solidFill>
                    <w14:schemeClr w14:val="tx2"/>
                  </w14:solidFill>
                </w14:textFill>
              </w:rPr>
              <w:t>配电系统</w:t>
            </w:r>
          </w:p>
        </w:tc>
        <w:tc>
          <w:tcPr>
            <w:tcW w:w="1800" w:type="dxa"/>
            <w:tcBorders>
              <w:top w:val="single" w:color="000000" w:sz="4" w:space="0"/>
              <w:left w:val="single" w:color="000000" w:sz="4" w:space="0"/>
              <w:bottom w:val="single" w:color="000000" w:sz="4" w:space="0"/>
              <w:right w:val="single" w:color="000000" w:sz="4" w:space="0"/>
            </w:tcBorders>
            <w:shd w:val="clear" w:color="auto" w:fill="auto"/>
          </w:tcPr>
          <w:p w14:paraId="117D06D6">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14:textFill>
                  <w14:solidFill>
                    <w14:schemeClr w14:val="tx2"/>
                  </w14:solidFill>
                </w14:textFill>
              </w:rPr>
              <w:t>设备1</w:t>
            </w:r>
          </w:p>
        </w:tc>
        <w:tc>
          <w:tcPr>
            <w:tcW w:w="3075" w:type="dxa"/>
            <w:tcBorders>
              <w:top w:val="single" w:color="000000" w:sz="4" w:space="0"/>
              <w:left w:val="single" w:color="000000" w:sz="4" w:space="0"/>
              <w:bottom w:val="single" w:color="000000" w:sz="4" w:space="0"/>
              <w:right w:val="single" w:color="000000" w:sz="4" w:space="0"/>
            </w:tcBorders>
            <w:shd w:val="clear" w:color="auto" w:fill="auto"/>
          </w:tcPr>
          <w:p w14:paraId="7C397AE3">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低压配电房</w:t>
            </w:r>
            <w:r>
              <w:rPr>
                <w:rFonts w:hint="eastAsia" w:ascii="宋体"/>
                <w:color w:val="1F497D" w:themeColor="text2"/>
                <w:spacing w:val="20"/>
                <w:szCs w:val="21"/>
                <w14:textFill>
                  <w14:solidFill>
                    <w14:schemeClr w14:val="tx2"/>
                  </w14:solidFill>
                </w14:textFill>
              </w:rPr>
              <w:t>　</w:t>
            </w:r>
          </w:p>
        </w:tc>
        <w:tc>
          <w:tcPr>
            <w:tcW w:w="1170" w:type="dxa"/>
            <w:tcBorders>
              <w:top w:val="single" w:color="000000" w:sz="4" w:space="0"/>
              <w:left w:val="single" w:color="000000" w:sz="4" w:space="0"/>
              <w:bottom w:val="single" w:color="000000" w:sz="4" w:space="0"/>
              <w:right w:val="single" w:color="000000" w:sz="4" w:space="0"/>
            </w:tcBorders>
            <w:shd w:val="clear" w:color="auto" w:fill="auto"/>
          </w:tcPr>
          <w:p w14:paraId="650FB6A7">
            <w:pPr>
              <w:spacing w:line="360" w:lineRule="auto"/>
              <w:ind w:left="27" w:firstLine="250" w:firstLineChars="100"/>
              <w:jc w:val="both"/>
              <w:rPr>
                <w:rFonts w:hint="default" w:ascii="宋体" w:eastAsia="宋体"/>
                <w:color w:val="1F497D" w:themeColor="text2"/>
                <w:spacing w:val="20"/>
                <w:szCs w:val="21"/>
                <w:lang w:val="en-US" w:eastAsia="zh-CN"/>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1间</w:t>
            </w:r>
          </w:p>
        </w:tc>
        <w:tc>
          <w:tcPr>
            <w:tcW w:w="2730" w:type="dxa"/>
            <w:tcBorders>
              <w:top w:val="single" w:color="000000" w:sz="4" w:space="0"/>
              <w:left w:val="single" w:color="000000" w:sz="4" w:space="0"/>
              <w:bottom w:val="single" w:color="000000" w:sz="4" w:space="0"/>
              <w:right w:val="single" w:color="000000" w:sz="4" w:space="0"/>
            </w:tcBorders>
            <w:shd w:val="clear" w:color="auto" w:fill="auto"/>
          </w:tcPr>
          <w:p w14:paraId="2707FE86">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安全巡检服务</w:t>
            </w:r>
            <w:r>
              <w:rPr>
                <w:rFonts w:hint="eastAsia" w:ascii="宋体"/>
                <w:color w:val="1F497D" w:themeColor="text2"/>
                <w:spacing w:val="20"/>
                <w:szCs w:val="21"/>
                <w14:textFill>
                  <w14:solidFill>
                    <w14:schemeClr w14:val="tx2"/>
                  </w14:solidFill>
                </w14:textFill>
              </w:rPr>
              <w:t>　</w:t>
            </w:r>
          </w:p>
        </w:tc>
      </w:tr>
      <w:tr w14:paraId="7F0ED7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605" w:type="dxa"/>
            <w:tcBorders>
              <w:top w:val="single" w:color="000000" w:sz="4" w:space="0"/>
              <w:left w:val="single" w:color="000000" w:sz="4" w:space="0"/>
              <w:bottom w:val="single" w:color="000000" w:sz="4" w:space="0"/>
              <w:right w:val="single" w:color="000000" w:sz="4" w:space="0"/>
            </w:tcBorders>
            <w:shd w:val="clear" w:color="auto" w:fill="auto"/>
          </w:tcPr>
          <w:p w14:paraId="2A05060C">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14:textFill>
                  <w14:solidFill>
                    <w14:schemeClr w14:val="tx2"/>
                  </w14:solidFill>
                </w14:textFill>
              </w:rPr>
              <w:t>给排水系统</w:t>
            </w:r>
          </w:p>
        </w:tc>
        <w:tc>
          <w:tcPr>
            <w:tcW w:w="1800" w:type="dxa"/>
            <w:tcBorders>
              <w:top w:val="single" w:color="000000" w:sz="4" w:space="0"/>
              <w:left w:val="single" w:color="000000" w:sz="4" w:space="0"/>
              <w:bottom w:val="single" w:color="000000" w:sz="4" w:space="0"/>
              <w:right w:val="single" w:color="000000" w:sz="4" w:space="0"/>
            </w:tcBorders>
            <w:shd w:val="clear" w:color="auto" w:fill="auto"/>
          </w:tcPr>
          <w:p w14:paraId="25158898">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14:textFill>
                  <w14:solidFill>
                    <w14:schemeClr w14:val="tx2"/>
                  </w14:solidFill>
                </w14:textFill>
              </w:rPr>
              <w:t>设备1</w:t>
            </w:r>
          </w:p>
        </w:tc>
        <w:tc>
          <w:tcPr>
            <w:tcW w:w="3075" w:type="dxa"/>
            <w:tcBorders>
              <w:top w:val="single" w:color="000000" w:sz="4" w:space="0"/>
              <w:left w:val="single" w:color="000000" w:sz="4" w:space="0"/>
              <w:bottom w:val="single" w:color="000000" w:sz="4" w:space="0"/>
              <w:right w:val="single" w:color="000000" w:sz="4" w:space="0"/>
            </w:tcBorders>
            <w:shd w:val="clear" w:color="auto" w:fill="auto"/>
          </w:tcPr>
          <w:p w14:paraId="2590300F">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市政供水</w:t>
            </w:r>
            <w:r>
              <w:rPr>
                <w:rFonts w:hint="eastAsia" w:ascii="宋体"/>
                <w:color w:val="1F497D" w:themeColor="text2"/>
                <w:spacing w:val="20"/>
                <w:szCs w:val="21"/>
                <w14:textFill>
                  <w14:solidFill>
                    <w14:schemeClr w14:val="tx2"/>
                  </w14:solidFill>
                </w14:textFill>
              </w:rPr>
              <w:t>　</w:t>
            </w:r>
          </w:p>
        </w:tc>
        <w:tc>
          <w:tcPr>
            <w:tcW w:w="1170" w:type="dxa"/>
            <w:tcBorders>
              <w:top w:val="single" w:color="000000" w:sz="4" w:space="0"/>
              <w:left w:val="single" w:color="000000" w:sz="4" w:space="0"/>
              <w:bottom w:val="single" w:color="000000" w:sz="4" w:space="0"/>
              <w:right w:val="single" w:color="000000" w:sz="4" w:space="0"/>
            </w:tcBorders>
            <w:shd w:val="clear" w:color="auto" w:fill="auto"/>
          </w:tcPr>
          <w:p w14:paraId="33AD7B1A">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14:textFill>
                  <w14:solidFill>
                    <w14:schemeClr w14:val="tx2"/>
                  </w14:solidFill>
                </w14:textFill>
              </w:rPr>
              <w:t>　</w:t>
            </w:r>
          </w:p>
        </w:tc>
        <w:tc>
          <w:tcPr>
            <w:tcW w:w="2730" w:type="dxa"/>
            <w:tcBorders>
              <w:top w:val="single" w:color="000000" w:sz="4" w:space="0"/>
              <w:left w:val="single" w:color="000000" w:sz="4" w:space="0"/>
              <w:bottom w:val="single" w:color="000000" w:sz="4" w:space="0"/>
              <w:right w:val="single" w:color="000000" w:sz="4" w:space="0"/>
            </w:tcBorders>
            <w:shd w:val="clear" w:color="auto" w:fill="auto"/>
          </w:tcPr>
          <w:p w14:paraId="26C39DCC">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中心日常维修服务</w:t>
            </w:r>
            <w:r>
              <w:rPr>
                <w:rFonts w:hint="eastAsia" w:ascii="宋体"/>
                <w:color w:val="1F497D" w:themeColor="text2"/>
                <w:spacing w:val="20"/>
                <w:szCs w:val="21"/>
                <w14:textFill>
                  <w14:solidFill>
                    <w14:schemeClr w14:val="tx2"/>
                  </w14:solidFill>
                </w14:textFill>
              </w:rPr>
              <w:t>　</w:t>
            </w:r>
          </w:p>
        </w:tc>
      </w:tr>
      <w:tr w14:paraId="70188C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605" w:type="dxa"/>
            <w:tcBorders>
              <w:top w:val="single" w:color="000000" w:sz="4" w:space="0"/>
              <w:left w:val="single" w:color="000000" w:sz="4" w:space="0"/>
              <w:bottom w:val="single" w:color="000000" w:sz="4" w:space="0"/>
              <w:right w:val="single" w:color="000000" w:sz="4" w:space="0"/>
            </w:tcBorders>
            <w:shd w:val="clear" w:color="auto" w:fill="auto"/>
          </w:tcPr>
          <w:p w14:paraId="03F60B4F">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14:textFill>
                  <w14:solidFill>
                    <w14:schemeClr w14:val="tx2"/>
                  </w14:solidFill>
                </w14:textFill>
              </w:rPr>
              <w:t>消防设施</w:t>
            </w:r>
          </w:p>
        </w:tc>
        <w:tc>
          <w:tcPr>
            <w:tcW w:w="1800" w:type="dxa"/>
            <w:tcBorders>
              <w:top w:val="single" w:color="000000" w:sz="4" w:space="0"/>
              <w:left w:val="single" w:color="000000" w:sz="4" w:space="0"/>
              <w:bottom w:val="single" w:color="000000" w:sz="4" w:space="0"/>
              <w:right w:val="single" w:color="000000" w:sz="4" w:space="0"/>
            </w:tcBorders>
            <w:shd w:val="clear" w:color="auto" w:fill="auto"/>
          </w:tcPr>
          <w:p w14:paraId="2A6674FD">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14:textFill>
                  <w14:solidFill>
                    <w14:schemeClr w14:val="tx2"/>
                  </w14:solidFill>
                </w14:textFill>
              </w:rPr>
              <w:t>设备1</w:t>
            </w:r>
          </w:p>
        </w:tc>
        <w:tc>
          <w:tcPr>
            <w:tcW w:w="3075" w:type="dxa"/>
            <w:tcBorders>
              <w:top w:val="single" w:color="000000" w:sz="4" w:space="0"/>
              <w:left w:val="single" w:color="000000" w:sz="4" w:space="0"/>
              <w:bottom w:val="single" w:color="000000" w:sz="4" w:space="0"/>
              <w:right w:val="single" w:color="000000" w:sz="4" w:space="0"/>
            </w:tcBorders>
            <w:shd w:val="clear" w:color="auto" w:fill="auto"/>
          </w:tcPr>
          <w:p w14:paraId="6422F532">
            <w:pPr>
              <w:spacing w:line="360" w:lineRule="auto"/>
              <w:ind w:left="27"/>
              <w:jc w:val="both"/>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消防报警系统及喷淋系统</w:t>
            </w:r>
            <w:r>
              <w:rPr>
                <w:rFonts w:hint="eastAsia" w:ascii="宋体"/>
                <w:color w:val="1F497D" w:themeColor="text2"/>
                <w:spacing w:val="20"/>
                <w:szCs w:val="21"/>
                <w14:textFill>
                  <w14:solidFill>
                    <w14:schemeClr w14:val="tx2"/>
                  </w14:solidFill>
                </w14:textFill>
              </w:rPr>
              <w:t>　</w:t>
            </w:r>
          </w:p>
        </w:tc>
        <w:tc>
          <w:tcPr>
            <w:tcW w:w="1170" w:type="dxa"/>
            <w:tcBorders>
              <w:top w:val="single" w:color="000000" w:sz="4" w:space="0"/>
              <w:left w:val="single" w:color="000000" w:sz="4" w:space="0"/>
              <w:bottom w:val="single" w:color="000000" w:sz="4" w:space="0"/>
              <w:right w:val="single" w:color="000000" w:sz="4" w:space="0"/>
            </w:tcBorders>
            <w:shd w:val="clear" w:color="auto" w:fill="auto"/>
          </w:tcPr>
          <w:p w14:paraId="035B07BA">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1套</w:t>
            </w:r>
            <w:r>
              <w:rPr>
                <w:rFonts w:hint="eastAsia" w:ascii="宋体"/>
                <w:color w:val="1F497D" w:themeColor="text2"/>
                <w:spacing w:val="20"/>
                <w:szCs w:val="21"/>
                <w14:textFill>
                  <w14:solidFill>
                    <w14:schemeClr w14:val="tx2"/>
                  </w14:solidFill>
                </w14:textFill>
              </w:rPr>
              <w:t>　</w:t>
            </w:r>
          </w:p>
        </w:tc>
        <w:tc>
          <w:tcPr>
            <w:tcW w:w="2730" w:type="dxa"/>
            <w:tcBorders>
              <w:top w:val="single" w:color="000000" w:sz="4" w:space="0"/>
              <w:left w:val="single" w:color="000000" w:sz="4" w:space="0"/>
              <w:bottom w:val="single" w:color="000000" w:sz="4" w:space="0"/>
              <w:right w:val="single" w:color="000000" w:sz="4" w:space="0"/>
            </w:tcBorders>
            <w:shd w:val="clear" w:color="auto" w:fill="auto"/>
          </w:tcPr>
          <w:p w14:paraId="62CFF6EA">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监控室值守服务</w:t>
            </w:r>
            <w:r>
              <w:rPr>
                <w:rFonts w:hint="eastAsia" w:ascii="宋体"/>
                <w:color w:val="1F497D" w:themeColor="text2"/>
                <w:spacing w:val="20"/>
                <w:szCs w:val="21"/>
                <w14:textFill>
                  <w14:solidFill>
                    <w14:schemeClr w14:val="tx2"/>
                  </w14:solidFill>
                </w14:textFill>
              </w:rPr>
              <w:t>　</w:t>
            </w:r>
          </w:p>
        </w:tc>
      </w:tr>
      <w:tr w14:paraId="4BC7EE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605" w:type="dxa"/>
            <w:tcBorders>
              <w:top w:val="single" w:color="000000" w:sz="4" w:space="0"/>
              <w:left w:val="single" w:color="000000" w:sz="4" w:space="0"/>
              <w:bottom w:val="single" w:color="000000" w:sz="4" w:space="0"/>
              <w:right w:val="single" w:color="000000" w:sz="4" w:space="0"/>
            </w:tcBorders>
          </w:tcPr>
          <w:p w14:paraId="2536E2C5">
            <w:pPr>
              <w:spacing w:line="360" w:lineRule="auto"/>
              <w:ind w:left="27"/>
              <w:jc w:val="center"/>
              <w:rPr>
                <w:rFonts w:hint="default" w:ascii="宋体" w:eastAsia="宋体"/>
                <w:color w:val="1F497D" w:themeColor="text2"/>
                <w:spacing w:val="20"/>
                <w:szCs w:val="21"/>
                <w:lang w:val="en-US" w:eastAsia="zh-CN"/>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消防设备</w:t>
            </w:r>
          </w:p>
        </w:tc>
        <w:tc>
          <w:tcPr>
            <w:tcW w:w="1800" w:type="dxa"/>
            <w:tcBorders>
              <w:top w:val="single" w:color="000000" w:sz="4" w:space="0"/>
              <w:left w:val="single" w:color="000000" w:sz="4" w:space="0"/>
              <w:bottom w:val="single" w:color="000000" w:sz="4" w:space="0"/>
              <w:right w:val="single" w:color="000000" w:sz="4" w:space="0"/>
            </w:tcBorders>
            <w:shd w:val="clear" w:color="auto" w:fill="auto"/>
          </w:tcPr>
          <w:p w14:paraId="10D7F161">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14:textFill>
                  <w14:solidFill>
                    <w14:schemeClr w14:val="tx2"/>
                  </w14:solidFill>
                </w14:textFill>
              </w:rPr>
              <w:t>设备2</w:t>
            </w:r>
          </w:p>
        </w:tc>
        <w:tc>
          <w:tcPr>
            <w:tcW w:w="3075" w:type="dxa"/>
            <w:tcBorders>
              <w:top w:val="single" w:color="000000" w:sz="4" w:space="0"/>
              <w:left w:val="single" w:color="000000" w:sz="4" w:space="0"/>
              <w:bottom w:val="single" w:color="000000" w:sz="4" w:space="0"/>
              <w:right w:val="single" w:color="000000" w:sz="4" w:space="0"/>
            </w:tcBorders>
            <w:shd w:val="clear" w:color="auto" w:fill="auto"/>
          </w:tcPr>
          <w:p w14:paraId="284D006B">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灭火器</w:t>
            </w:r>
            <w:r>
              <w:rPr>
                <w:rFonts w:hint="eastAsia" w:ascii="宋体"/>
                <w:color w:val="1F497D" w:themeColor="text2"/>
                <w:spacing w:val="20"/>
                <w:szCs w:val="21"/>
                <w14:textFill>
                  <w14:solidFill>
                    <w14:schemeClr w14:val="tx2"/>
                  </w14:solidFill>
                </w14:textFill>
              </w:rPr>
              <w:t>　</w:t>
            </w:r>
          </w:p>
        </w:tc>
        <w:tc>
          <w:tcPr>
            <w:tcW w:w="1170" w:type="dxa"/>
            <w:tcBorders>
              <w:top w:val="single" w:color="000000" w:sz="4" w:space="0"/>
              <w:left w:val="single" w:color="000000" w:sz="4" w:space="0"/>
              <w:bottom w:val="single" w:color="000000" w:sz="4" w:space="0"/>
              <w:right w:val="single" w:color="000000" w:sz="4" w:space="0"/>
            </w:tcBorders>
            <w:shd w:val="clear" w:color="auto" w:fill="auto"/>
          </w:tcPr>
          <w:p w14:paraId="6257672C">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140个</w:t>
            </w:r>
            <w:r>
              <w:rPr>
                <w:rFonts w:hint="eastAsia" w:ascii="宋体"/>
                <w:color w:val="1F497D" w:themeColor="text2"/>
                <w:spacing w:val="20"/>
                <w:szCs w:val="21"/>
                <w14:textFill>
                  <w14:solidFill>
                    <w14:schemeClr w14:val="tx2"/>
                  </w14:solidFill>
                </w14:textFill>
              </w:rPr>
              <w:t>　</w:t>
            </w:r>
          </w:p>
        </w:tc>
        <w:tc>
          <w:tcPr>
            <w:tcW w:w="2730" w:type="dxa"/>
            <w:tcBorders>
              <w:top w:val="single" w:color="000000" w:sz="4" w:space="0"/>
              <w:left w:val="single" w:color="000000" w:sz="4" w:space="0"/>
              <w:bottom w:val="single" w:color="000000" w:sz="4" w:space="0"/>
              <w:right w:val="single" w:color="000000" w:sz="4" w:space="0"/>
            </w:tcBorders>
            <w:shd w:val="clear" w:color="auto" w:fill="auto"/>
          </w:tcPr>
          <w:p w14:paraId="0A18EE46">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安全巡检服务</w:t>
            </w:r>
            <w:r>
              <w:rPr>
                <w:rFonts w:hint="eastAsia" w:ascii="宋体"/>
                <w:color w:val="1F497D" w:themeColor="text2"/>
                <w:spacing w:val="20"/>
                <w:szCs w:val="21"/>
                <w14:textFill>
                  <w14:solidFill>
                    <w14:schemeClr w14:val="tx2"/>
                  </w14:solidFill>
                </w14:textFill>
              </w:rPr>
              <w:t>　</w:t>
            </w:r>
          </w:p>
        </w:tc>
      </w:tr>
      <w:tr w14:paraId="25B13D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605" w:type="dxa"/>
            <w:tcBorders>
              <w:top w:val="single" w:color="000000" w:sz="4" w:space="0"/>
              <w:left w:val="single" w:color="000000" w:sz="4" w:space="0"/>
              <w:bottom w:val="single" w:color="000000" w:sz="4" w:space="0"/>
              <w:right w:val="single" w:color="000000" w:sz="4" w:space="0"/>
            </w:tcBorders>
            <w:shd w:val="clear" w:color="auto" w:fill="auto"/>
          </w:tcPr>
          <w:p w14:paraId="05F1C614">
            <w:pPr>
              <w:spacing w:line="360" w:lineRule="auto"/>
              <w:ind w:left="27"/>
              <w:jc w:val="center"/>
              <w:rPr>
                <w:rFonts w:hint="default" w:ascii="宋体" w:eastAsia="宋体"/>
                <w:color w:val="1F497D" w:themeColor="text2"/>
                <w:spacing w:val="20"/>
                <w:szCs w:val="21"/>
                <w:lang w:val="en-US" w:eastAsia="zh-CN"/>
                <w14:textFill>
                  <w14:solidFill>
                    <w14:schemeClr w14:val="tx2"/>
                  </w14:solidFill>
                </w14:textFill>
              </w:rPr>
            </w:pPr>
            <w:r>
              <w:rPr>
                <w:rFonts w:hint="eastAsia" w:ascii="宋体"/>
                <w:color w:val="1F497D" w:themeColor="text2"/>
                <w:spacing w:val="20"/>
                <w:szCs w:val="21"/>
                <w14:textFill>
                  <w14:solidFill>
                    <w14:schemeClr w14:val="tx2"/>
                  </w14:solidFill>
                </w14:textFill>
              </w:rPr>
              <w:t>　</w:t>
            </w:r>
            <w:r>
              <w:rPr>
                <w:rFonts w:hint="eastAsia" w:ascii="宋体"/>
                <w:color w:val="1F497D" w:themeColor="text2"/>
                <w:spacing w:val="20"/>
                <w:szCs w:val="21"/>
                <w:lang w:val="en-US" w:eastAsia="zh-CN"/>
                <w14:textFill>
                  <w14:solidFill>
                    <w14:schemeClr w14:val="tx2"/>
                  </w14:solidFill>
                </w14:textFill>
              </w:rPr>
              <w:t>消防设备</w:t>
            </w:r>
          </w:p>
        </w:tc>
        <w:tc>
          <w:tcPr>
            <w:tcW w:w="1800" w:type="dxa"/>
            <w:tcBorders>
              <w:top w:val="single" w:color="000000" w:sz="4" w:space="0"/>
              <w:left w:val="single" w:color="000000" w:sz="4" w:space="0"/>
              <w:bottom w:val="single" w:color="000000" w:sz="4" w:space="0"/>
              <w:right w:val="single" w:color="000000" w:sz="4" w:space="0"/>
            </w:tcBorders>
            <w:shd w:val="clear" w:color="auto" w:fill="auto"/>
          </w:tcPr>
          <w:p w14:paraId="663DE255">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14:textFill>
                  <w14:solidFill>
                    <w14:schemeClr w14:val="tx2"/>
                  </w14:solidFill>
                </w14:textFill>
              </w:rPr>
              <w:t>设备</w:t>
            </w:r>
            <w:r>
              <w:rPr>
                <w:rFonts w:hint="eastAsia" w:ascii="宋体"/>
                <w:color w:val="1F497D" w:themeColor="text2"/>
                <w:spacing w:val="20"/>
                <w:szCs w:val="21"/>
                <w:lang w:val="en-US" w:eastAsia="zh-CN"/>
                <w14:textFill>
                  <w14:solidFill>
                    <w14:schemeClr w14:val="tx2"/>
                  </w14:solidFill>
                </w14:textFill>
              </w:rPr>
              <w:t>3</w:t>
            </w:r>
            <w:r>
              <w:rPr>
                <w:rFonts w:hint="eastAsia" w:ascii="宋体"/>
                <w:color w:val="1F497D" w:themeColor="text2"/>
                <w:spacing w:val="20"/>
                <w:szCs w:val="21"/>
                <w14:textFill>
                  <w14:solidFill>
                    <w14:schemeClr w14:val="tx2"/>
                  </w14:solidFill>
                </w14:textFill>
              </w:rPr>
              <w:t>　</w:t>
            </w:r>
          </w:p>
        </w:tc>
        <w:tc>
          <w:tcPr>
            <w:tcW w:w="3075" w:type="dxa"/>
            <w:tcBorders>
              <w:top w:val="single" w:color="000000" w:sz="4" w:space="0"/>
              <w:left w:val="single" w:color="000000" w:sz="4" w:space="0"/>
              <w:bottom w:val="single" w:color="000000" w:sz="4" w:space="0"/>
              <w:right w:val="single" w:color="000000" w:sz="4" w:space="0"/>
            </w:tcBorders>
            <w:shd w:val="clear" w:color="auto" w:fill="auto"/>
          </w:tcPr>
          <w:p w14:paraId="4AF0D44A">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室内消火栓</w:t>
            </w:r>
            <w:r>
              <w:rPr>
                <w:rFonts w:hint="eastAsia" w:ascii="宋体"/>
                <w:color w:val="1F497D" w:themeColor="text2"/>
                <w:spacing w:val="20"/>
                <w:szCs w:val="21"/>
                <w14:textFill>
                  <w14:solidFill>
                    <w14:schemeClr w14:val="tx2"/>
                  </w14:solidFill>
                </w14:textFill>
              </w:rPr>
              <w:t>　</w:t>
            </w:r>
          </w:p>
        </w:tc>
        <w:tc>
          <w:tcPr>
            <w:tcW w:w="1170" w:type="dxa"/>
            <w:tcBorders>
              <w:top w:val="single" w:color="000000" w:sz="4" w:space="0"/>
              <w:left w:val="single" w:color="000000" w:sz="4" w:space="0"/>
              <w:bottom w:val="single" w:color="000000" w:sz="4" w:space="0"/>
              <w:right w:val="single" w:color="000000" w:sz="4" w:space="0"/>
            </w:tcBorders>
            <w:shd w:val="clear" w:color="auto" w:fill="auto"/>
          </w:tcPr>
          <w:p w14:paraId="33D1FE49">
            <w:pPr>
              <w:spacing w:line="360" w:lineRule="auto"/>
              <w:ind w:left="27"/>
              <w:jc w:val="center"/>
              <w:rPr>
                <w:rFonts w:hint="default" w:ascii="宋体" w:eastAsia="宋体"/>
                <w:color w:val="1F497D" w:themeColor="text2"/>
                <w:spacing w:val="20"/>
                <w:szCs w:val="21"/>
                <w:lang w:val="en-US" w:eastAsia="zh-CN"/>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9个</w:t>
            </w:r>
          </w:p>
        </w:tc>
        <w:tc>
          <w:tcPr>
            <w:tcW w:w="2730" w:type="dxa"/>
            <w:tcBorders>
              <w:top w:val="single" w:color="000000" w:sz="4" w:space="0"/>
              <w:left w:val="single" w:color="000000" w:sz="4" w:space="0"/>
              <w:bottom w:val="single" w:color="000000" w:sz="4" w:space="0"/>
              <w:right w:val="single" w:color="000000" w:sz="4" w:space="0"/>
            </w:tcBorders>
            <w:shd w:val="clear" w:color="auto" w:fill="auto"/>
          </w:tcPr>
          <w:p w14:paraId="51055C83">
            <w:pPr>
              <w:spacing w:line="360" w:lineRule="auto"/>
              <w:ind w:left="27"/>
              <w:jc w:val="center"/>
              <w:rPr>
                <w:rFonts w:ascii="宋体"/>
                <w:color w:val="1F497D" w:themeColor="text2"/>
                <w:spacing w:val="20"/>
                <w:szCs w:val="21"/>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安全巡检服务</w:t>
            </w:r>
            <w:r>
              <w:rPr>
                <w:rFonts w:hint="eastAsia" w:ascii="宋体"/>
                <w:color w:val="1F497D" w:themeColor="text2"/>
                <w:spacing w:val="20"/>
                <w:szCs w:val="21"/>
                <w14:textFill>
                  <w14:solidFill>
                    <w14:schemeClr w14:val="tx2"/>
                  </w14:solidFill>
                </w14:textFill>
              </w:rPr>
              <w:t>　</w:t>
            </w:r>
          </w:p>
        </w:tc>
      </w:tr>
      <w:tr w14:paraId="1DC1A8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605" w:type="dxa"/>
            <w:tcBorders>
              <w:top w:val="single" w:color="000000" w:sz="4" w:space="0"/>
              <w:left w:val="single" w:color="000000" w:sz="4" w:space="0"/>
              <w:bottom w:val="single" w:color="000000" w:sz="4" w:space="0"/>
              <w:right w:val="single" w:color="000000" w:sz="4" w:space="0"/>
            </w:tcBorders>
            <w:shd w:val="clear" w:color="auto" w:fill="auto"/>
          </w:tcPr>
          <w:p w14:paraId="4E404DC4">
            <w:pPr>
              <w:spacing w:line="360" w:lineRule="auto"/>
              <w:ind w:left="27"/>
              <w:jc w:val="center"/>
              <w:rPr>
                <w:rFonts w:hint="default" w:ascii="宋体" w:eastAsia="宋体"/>
                <w:color w:val="1F497D" w:themeColor="text2"/>
                <w:spacing w:val="20"/>
                <w:szCs w:val="21"/>
                <w:lang w:val="en-US" w:eastAsia="zh-CN"/>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空调设备</w:t>
            </w:r>
          </w:p>
        </w:tc>
        <w:tc>
          <w:tcPr>
            <w:tcW w:w="1800" w:type="dxa"/>
            <w:tcBorders>
              <w:top w:val="single" w:color="000000" w:sz="4" w:space="0"/>
              <w:left w:val="single" w:color="000000" w:sz="4" w:space="0"/>
              <w:bottom w:val="single" w:color="000000" w:sz="4" w:space="0"/>
              <w:right w:val="single" w:color="000000" w:sz="4" w:space="0"/>
            </w:tcBorders>
            <w:shd w:val="clear" w:color="auto" w:fill="auto"/>
          </w:tcPr>
          <w:p w14:paraId="1B57CCCF">
            <w:pPr>
              <w:spacing w:line="360" w:lineRule="auto"/>
              <w:ind w:left="27"/>
              <w:jc w:val="center"/>
              <w:rPr>
                <w:rFonts w:hint="default" w:ascii="宋体" w:eastAsia="宋体"/>
                <w:color w:val="1F497D" w:themeColor="text2"/>
                <w:spacing w:val="20"/>
                <w:szCs w:val="21"/>
                <w:lang w:val="en-US" w:eastAsia="zh-CN"/>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设备1</w:t>
            </w:r>
          </w:p>
        </w:tc>
        <w:tc>
          <w:tcPr>
            <w:tcW w:w="3075" w:type="dxa"/>
            <w:tcBorders>
              <w:top w:val="single" w:color="000000" w:sz="4" w:space="0"/>
              <w:left w:val="single" w:color="000000" w:sz="4" w:space="0"/>
              <w:bottom w:val="single" w:color="000000" w:sz="4" w:space="0"/>
              <w:right w:val="single" w:color="000000" w:sz="4" w:space="0"/>
            </w:tcBorders>
            <w:shd w:val="clear" w:color="auto" w:fill="auto"/>
          </w:tcPr>
          <w:p w14:paraId="50BA1886">
            <w:pPr>
              <w:spacing w:line="360" w:lineRule="auto"/>
              <w:ind w:left="27"/>
              <w:jc w:val="center"/>
              <w:rPr>
                <w:rFonts w:hint="default" w:ascii="宋体"/>
                <w:color w:val="1F497D" w:themeColor="text2"/>
                <w:spacing w:val="20"/>
                <w:szCs w:val="21"/>
                <w:lang w:val="en-US" w:eastAsia="zh-CN"/>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空调设备</w:t>
            </w:r>
          </w:p>
        </w:tc>
        <w:tc>
          <w:tcPr>
            <w:tcW w:w="1170" w:type="dxa"/>
            <w:tcBorders>
              <w:top w:val="single" w:color="000000" w:sz="4" w:space="0"/>
              <w:left w:val="single" w:color="000000" w:sz="4" w:space="0"/>
              <w:bottom w:val="single" w:color="000000" w:sz="4" w:space="0"/>
              <w:right w:val="single" w:color="000000" w:sz="4" w:space="0"/>
            </w:tcBorders>
            <w:shd w:val="clear" w:color="auto" w:fill="auto"/>
          </w:tcPr>
          <w:p w14:paraId="3F6B711D">
            <w:pPr>
              <w:spacing w:line="360" w:lineRule="auto"/>
              <w:ind w:left="27"/>
              <w:jc w:val="center"/>
              <w:rPr>
                <w:rFonts w:hint="default" w:ascii="宋体"/>
                <w:color w:val="1F497D" w:themeColor="text2"/>
                <w:spacing w:val="20"/>
                <w:szCs w:val="21"/>
                <w:lang w:val="en-US" w:eastAsia="zh-CN"/>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170台</w:t>
            </w:r>
          </w:p>
        </w:tc>
        <w:tc>
          <w:tcPr>
            <w:tcW w:w="2730" w:type="dxa"/>
            <w:tcBorders>
              <w:top w:val="single" w:color="000000" w:sz="4" w:space="0"/>
              <w:left w:val="single" w:color="000000" w:sz="4" w:space="0"/>
              <w:bottom w:val="single" w:color="000000" w:sz="4" w:space="0"/>
              <w:right w:val="single" w:color="000000" w:sz="4" w:space="0"/>
            </w:tcBorders>
            <w:shd w:val="clear" w:color="auto" w:fill="auto"/>
          </w:tcPr>
          <w:p w14:paraId="05FDF5B4">
            <w:pPr>
              <w:spacing w:line="360" w:lineRule="auto"/>
              <w:ind w:left="27"/>
              <w:jc w:val="center"/>
              <w:rPr>
                <w:rFonts w:hint="default" w:ascii="宋体"/>
                <w:color w:val="1F497D" w:themeColor="text2"/>
                <w:spacing w:val="20"/>
                <w:szCs w:val="21"/>
                <w:lang w:val="en-US" w:eastAsia="zh-CN"/>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消毒清洗维修等服务</w:t>
            </w:r>
          </w:p>
        </w:tc>
      </w:tr>
      <w:tr w14:paraId="4D841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605" w:type="dxa"/>
            <w:tcBorders>
              <w:top w:val="single" w:color="000000" w:sz="4" w:space="0"/>
              <w:left w:val="single" w:color="000000" w:sz="4" w:space="0"/>
              <w:bottom w:val="single" w:color="000000" w:sz="4" w:space="0"/>
              <w:right w:val="single" w:color="000000" w:sz="4" w:space="0"/>
            </w:tcBorders>
            <w:shd w:val="clear" w:color="auto" w:fill="auto"/>
          </w:tcPr>
          <w:p w14:paraId="4A53C7F3">
            <w:pPr>
              <w:spacing w:line="360" w:lineRule="auto"/>
              <w:ind w:left="27"/>
              <w:jc w:val="center"/>
              <w:rPr>
                <w:rFonts w:hint="default" w:ascii="宋体"/>
                <w:color w:val="1F497D" w:themeColor="text2"/>
                <w:spacing w:val="20"/>
                <w:szCs w:val="21"/>
                <w:lang w:val="en-US" w:eastAsia="zh-CN"/>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供氧系统</w:t>
            </w:r>
          </w:p>
        </w:tc>
        <w:tc>
          <w:tcPr>
            <w:tcW w:w="1800" w:type="dxa"/>
            <w:tcBorders>
              <w:top w:val="single" w:color="000000" w:sz="4" w:space="0"/>
              <w:left w:val="single" w:color="000000" w:sz="4" w:space="0"/>
              <w:bottom w:val="single" w:color="000000" w:sz="4" w:space="0"/>
              <w:right w:val="single" w:color="000000" w:sz="4" w:space="0"/>
            </w:tcBorders>
            <w:shd w:val="clear" w:color="auto" w:fill="auto"/>
          </w:tcPr>
          <w:p w14:paraId="2581A25F">
            <w:pPr>
              <w:spacing w:line="360" w:lineRule="auto"/>
              <w:ind w:left="27"/>
              <w:jc w:val="center"/>
              <w:rPr>
                <w:rFonts w:hint="default" w:ascii="宋体"/>
                <w:color w:val="1F497D" w:themeColor="text2"/>
                <w:spacing w:val="20"/>
                <w:szCs w:val="21"/>
                <w:lang w:val="en-US" w:eastAsia="zh-CN"/>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设备1</w:t>
            </w:r>
          </w:p>
        </w:tc>
        <w:tc>
          <w:tcPr>
            <w:tcW w:w="3075" w:type="dxa"/>
            <w:tcBorders>
              <w:top w:val="single" w:color="000000" w:sz="4" w:space="0"/>
              <w:left w:val="single" w:color="000000" w:sz="4" w:space="0"/>
              <w:bottom w:val="single" w:color="000000" w:sz="4" w:space="0"/>
              <w:right w:val="single" w:color="000000" w:sz="4" w:space="0"/>
            </w:tcBorders>
            <w:shd w:val="clear" w:color="auto" w:fill="auto"/>
          </w:tcPr>
          <w:p w14:paraId="4FFD4449">
            <w:pPr>
              <w:spacing w:line="360" w:lineRule="auto"/>
              <w:ind w:left="27"/>
              <w:jc w:val="center"/>
              <w:rPr>
                <w:rFonts w:hint="default" w:ascii="宋体"/>
                <w:color w:val="1F497D" w:themeColor="text2"/>
                <w:spacing w:val="20"/>
                <w:szCs w:val="21"/>
                <w:lang w:val="en-US" w:eastAsia="zh-CN"/>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氧气瓶</w:t>
            </w:r>
          </w:p>
        </w:tc>
        <w:tc>
          <w:tcPr>
            <w:tcW w:w="1170" w:type="dxa"/>
            <w:tcBorders>
              <w:top w:val="single" w:color="000000" w:sz="4" w:space="0"/>
              <w:left w:val="single" w:color="000000" w:sz="4" w:space="0"/>
              <w:bottom w:val="single" w:color="000000" w:sz="4" w:space="0"/>
              <w:right w:val="single" w:color="000000" w:sz="4" w:space="0"/>
            </w:tcBorders>
            <w:shd w:val="clear" w:color="auto" w:fill="auto"/>
          </w:tcPr>
          <w:p w14:paraId="4EB5940E">
            <w:pPr>
              <w:spacing w:line="360" w:lineRule="auto"/>
              <w:ind w:left="27"/>
              <w:jc w:val="center"/>
              <w:rPr>
                <w:rFonts w:hint="default" w:ascii="宋体"/>
                <w:color w:val="1F497D" w:themeColor="text2"/>
                <w:spacing w:val="20"/>
                <w:szCs w:val="21"/>
                <w:lang w:val="en-US" w:eastAsia="zh-CN"/>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8瓶</w:t>
            </w:r>
          </w:p>
        </w:tc>
        <w:tc>
          <w:tcPr>
            <w:tcW w:w="2730" w:type="dxa"/>
            <w:tcBorders>
              <w:top w:val="single" w:color="000000" w:sz="4" w:space="0"/>
              <w:left w:val="single" w:color="000000" w:sz="4" w:space="0"/>
              <w:bottom w:val="single" w:color="000000" w:sz="4" w:space="0"/>
              <w:right w:val="single" w:color="000000" w:sz="4" w:space="0"/>
            </w:tcBorders>
            <w:shd w:val="clear" w:color="auto" w:fill="auto"/>
          </w:tcPr>
          <w:p w14:paraId="37809592">
            <w:pPr>
              <w:spacing w:line="360" w:lineRule="auto"/>
              <w:ind w:left="27"/>
              <w:jc w:val="center"/>
              <w:rPr>
                <w:rFonts w:hint="default" w:ascii="宋体"/>
                <w:color w:val="1F497D" w:themeColor="text2"/>
                <w:spacing w:val="20"/>
                <w:szCs w:val="21"/>
                <w:lang w:val="en-US" w:eastAsia="zh-CN"/>
                <w14:textFill>
                  <w14:solidFill>
                    <w14:schemeClr w14:val="tx2"/>
                  </w14:solidFill>
                </w14:textFill>
              </w:rPr>
            </w:pPr>
            <w:r>
              <w:rPr>
                <w:rFonts w:hint="eastAsia" w:ascii="宋体"/>
                <w:color w:val="1F497D" w:themeColor="text2"/>
                <w:spacing w:val="20"/>
                <w:szCs w:val="21"/>
                <w:lang w:val="en-US" w:eastAsia="zh-CN"/>
                <w14:textFill>
                  <w14:solidFill>
                    <w14:schemeClr w14:val="tx2"/>
                  </w14:solidFill>
                </w14:textFill>
              </w:rPr>
              <w:t>氧气瓶更换</w:t>
            </w:r>
          </w:p>
        </w:tc>
      </w:tr>
    </w:tbl>
    <w:p w14:paraId="2514FCF0"/>
    <w:p w14:paraId="74922399">
      <w:pPr>
        <w:spacing w:line="360" w:lineRule="auto"/>
        <w:rPr>
          <w:rFonts w:ascii="宋体" w:hAnsi="Courier New"/>
          <w:b/>
          <w:sz w:val="28"/>
          <w:szCs w:val="28"/>
        </w:rPr>
      </w:pPr>
      <w:r>
        <w:rPr>
          <w:rFonts w:hint="eastAsia" w:ascii="宋体" w:hAnsi="Courier New"/>
          <w:b/>
          <w:sz w:val="28"/>
          <w:szCs w:val="28"/>
        </w:rPr>
        <w:t>五、考核办法（各单位自行考量）</w:t>
      </w:r>
    </w:p>
    <w:p w14:paraId="5DCF9CF0">
      <w:pPr>
        <w:snapToGrid w:val="0"/>
        <w:spacing w:line="360" w:lineRule="auto"/>
        <w:jc w:val="center"/>
        <w:rPr>
          <w:rFonts w:ascii="宋体" w:hAnsi="宋体" w:cs="宋体"/>
          <w:b/>
          <w:sz w:val="24"/>
          <w:szCs w:val="24"/>
        </w:rPr>
      </w:pPr>
      <w:r>
        <w:rPr>
          <w:rFonts w:ascii="宋体" w:hAnsi="宋体" w:cs="宋体"/>
          <w:b/>
          <w:sz w:val="24"/>
          <w:szCs w:val="24"/>
        </w:rPr>
        <w:t>《物业管理工作考核办法》</w:t>
      </w:r>
      <w:r>
        <w:rPr>
          <w:rFonts w:hint="eastAsia" w:ascii="宋体" w:hAnsi="宋体" w:cs="宋体"/>
          <w:b/>
          <w:sz w:val="24"/>
          <w:szCs w:val="24"/>
        </w:rPr>
        <w:t>（参考格式）</w:t>
      </w:r>
    </w:p>
    <w:p w14:paraId="39712091">
      <w:pPr>
        <w:snapToGrid w:val="0"/>
        <w:spacing w:line="360" w:lineRule="auto"/>
        <w:jc w:val="center"/>
        <w:rPr>
          <w:rFonts w:ascii="宋体" w:hAnsi="宋体" w:cs="宋体"/>
          <w:b/>
          <w:sz w:val="24"/>
          <w:szCs w:val="24"/>
        </w:rPr>
      </w:pPr>
    </w:p>
    <w:p w14:paraId="6F5B09E9">
      <w:pPr>
        <w:pStyle w:val="17"/>
        <w:widowControl/>
        <w:numPr>
          <w:ilvl w:val="0"/>
          <w:numId w:val="13"/>
        </w:numPr>
        <w:spacing w:line="360" w:lineRule="auto"/>
        <w:ind w:firstLineChars="0"/>
        <w:jc w:val="left"/>
        <w:rPr>
          <w:rFonts w:ascii="宋体" w:hAnsi="宋体"/>
          <w:b/>
        </w:rPr>
      </w:pPr>
      <w:r>
        <w:rPr>
          <w:rFonts w:ascii="宋体" w:hAnsi="宋体"/>
          <w:b/>
        </w:rPr>
        <w:t>接受业主方考核</w:t>
      </w:r>
    </w:p>
    <w:p w14:paraId="4F0C6490">
      <w:pPr>
        <w:pStyle w:val="2"/>
        <w:snapToGrid w:val="0"/>
        <w:spacing w:line="360" w:lineRule="auto"/>
        <w:ind w:left="426" w:firstLine="0"/>
        <w:rPr>
          <w:rFonts w:cs="宋体"/>
          <w:sz w:val="21"/>
          <w:szCs w:val="21"/>
        </w:rPr>
      </w:pPr>
      <w:r>
        <w:rPr>
          <w:sz w:val="21"/>
          <w:szCs w:val="21"/>
        </w:rPr>
        <w:t>业主（以下简称甲方）将对中标单位（以下简称乙方）的物业管理工作质量进行监督和考核，具体考核办法如下：</w:t>
      </w:r>
    </w:p>
    <w:p w14:paraId="6B233EEF">
      <w:pPr>
        <w:pStyle w:val="17"/>
        <w:widowControl/>
        <w:numPr>
          <w:ilvl w:val="0"/>
          <w:numId w:val="13"/>
        </w:numPr>
        <w:spacing w:line="360" w:lineRule="auto"/>
        <w:ind w:firstLineChars="0"/>
        <w:jc w:val="left"/>
        <w:rPr>
          <w:rFonts w:ascii="宋体" w:hAnsi="宋体"/>
          <w:b/>
        </w:rPr>
      </w:pPr>
      <w:r>
        <w:rPr>
          <w:rFonts w:ascii="宋体" w:hAnsi="宋体"/>
          <w:b/>
        </w:rPr>
        <w:t>组织形式</w:t>
      </w:r>
    </w:p>
    <w:p w14:paraId="486B3F09">
      <w:pPr>
        <w:pStyle w:val="17"/>
        <w:widowControl/>
        <w:snapToGrid w:val="0"/>
        <w:spacing w:line="360" w:lineRule="auto"/>
        <w:ind w:firstLineChars="0"/>
        <w:jc w:val="left"/>
        <w:rPr>
          <w:rFonts w:ascii="宋体" w:hAnsi="宋体" w:cs="宋体"/>
        </w:rPr>
      </w:pPr>
      <w:r>
        <w:rPr>
          <w:rFonts w:ascii="宋体" w:hAnsi="宋体"/>
          <w:szCs w:val="21"/>
        </w:rPr>
        <w:t>由甲方相关的单位组成考评小组，负责对乙方进行考核。</w:t>
      </w:r>
    </w:p>
    <w:p w14:paraId="632E4603">
      <w:pPr>
        <w:pStyle w:val="17"/>
        <w:widowControl/>
        <w:snapToGrid w:val="0"/>
        <w:spacing w:line="360" w:lineRule="auto"/>
        <w:ind w:firstLineChars="0"/>
        <w:jc w:val="left"/>
        <w:rPr>
          <w:rFonts w:ascii="宋体" w:hAnsi="宋体" w:cs="宋体"/>
          <w:szCs w:val="21"/>
        </w:rPr>
      </w:pPr>
      <w:r>
        <w:rPr>
          <w:rFonts w:ascii="宋体" w:hAnsi="宋体"/>
          <w:szCs w:val="21"/>
        </w:rPr>
        <w:t>考评小组组长由甲方分管领导担任，负责考核的总体管理，督查以及考评结果的审核</w:t>
      </w:r>
      <w:r>
        <w:rPr>
          <w:rFonts w:ascii="宋体" w:hAnsi="宋体" w:cs="宋体"/>
        </w:rPr>
        <w:t>。</w:t>
      </w:r>
    </w:p>
    <w:p w14:paraId="2A39845E">
      <w:pPr>
        <w:pStyle w:val="17"/>
        <w:widowControl/>
        <w:numPr>
          <w:ilvl w:val="0"/>
          <w:numId w:val="13"/>
        </w:numPr>
        <w:spacing w:line="360" w:lineRule="auto"/>
        <w:ind w:firstLineChars="0"/>
        <w:jc w:val="left"/>
        <w:rPr>
          <w:rFonts w:ascii="宋体" w:hAnsi="宋体"/>
          <w:b/>
        </w:rPr>
      </w:pPr>
      <w:r>
        <w:rPr>
          <w:rFonts w:ascii="宋体" w:hAnsi="宋体"/>
          <w:b/>
        </w:rPr>
        <w:t>考评依据</w:t>
      </w:r>
    </w:p>
    <w:p w14:paraId="215B2ED5">
      <w:pPr>
        <w:pStyle w:val="17"/>
        <w:widowControl/>
        <w:snapToGrid w:val="0"/>
        <w:spacing w:line="360" w:lineRule="auto"/>
        <w:ind w:firstLineChars="0"/>
        <w:jc w:val="left"/>
        <w:rPr>
          <w:rFonts w:ascii="宋体" w:hAnsi="宋体" w:cs="宋体"/>
        </w:rPr>
      </w:pPr>
      <w:r>
        <w:rPr>
          <w:rFonts w:ascii="宋体" w:hAnsi="宋体" w:cs="宋体"/>
        </w:rPr>
        <w:t>物业管理委托合同要求。</w:t>
      </w:r>
    </w:p>
    <w:p w14:paraId="03949341">
      <w:pPr>
        <w:pStyle w:val="17"/>
        <w:widowControl/>
        <w:snapToGrid w:val="0"/>
        <w:spacing w:line="360" w:lineRule="auto"/>
        <w:ind w:firstLineChars="0"/>
        <w:jc w:val="left"/>
        <w:rPr>
          <w:rFonts w:ascii="宋体" w:hAnsi="宋体" w:cs="宋体"/>
        </w:rPr>
      </w:pPr>
      <w:r>
        <w:rPr>
          <w:rFonts w:ascii="宋体" w:hAnsi="宋体" w:cs="宋体"/>
        </w:rPr>
        <w:t>行业法律法规要求。</w:t>
      </w:r>
    </w:p>
    <w:p w14:paraId="1F74B250">
      <w:pPr>
        <w:pStyle w:val="17"/>
        <w:widowControl/>
        <w:numPr>
          <w:ilvl w:val="0"/>
          <w:numId w:val="13"/>
        </w:numPr>
        <w:spacing w:line="360" w:lineRule="auto"/>
        <w:ind w:firstLineChars="0"/>
        <w:jc w:val="left"/>
        <w:rPr>
          <w:rFonts w:ascii="宋体" w:hAnsi="宋体"/>
          <w:b/>
        </w:rPr>
      </w:pPr>
      <w:r>
        <w:rPr>
          <w:rFonts w:ascii="宋体" w:hAnsi="宋体"/>
          <w:b/>
        </w:rPr>
        <w:t>考评形式</w:t>
      </w:r>
    </w:p>
    <w:p w14:paraId="2DA017E6">
      <w:pPr>
        <w:snapToGrid w:val="0"/>
        <w:spacing w:line="360" w:lineRule="auto"/>
        <w:ind w:firstLine="420"/>
        <w:rPr>
          <w:rFonts w:ascii="宋体" w:hAnsi="宋体"/>
          <w:szCs w:val="21"/>
        </w:rPr>
      </w:pPr>
      <w:r>
        <w:rPr>
          <w:rFonts w:ascii="宋体" w:hAnsi="宋体"/>
          <w:szCs w:val="21"/>
        </w:rPr>
        <w:t>考核分为季度考核（不定期）及年度考评两种。</w:t>
      </w:r>
    </w:p>
    <w:p w14:paraId="68594293">
      <w:pPr>
        <w:pStyle w:val="17"/>
        <w:widowControl/>
        <w:numPr>
          <w:ilvl w:val="0"/>
          <w:numId w:val="13"/>
        </w:numPr>
        <w:spacing w:line="360" w:lineRule="auto"/>
        <w:ind w:firstLineChars="0"/>
        <w:jc w:val="left"/>
        <w:rPr>
          <w:rFonts w:ascii="宋体" w:hAnsi="宋体"/>
          <w:b/>
        </w:rPr>
      </w:pPr>
      <w:r>
        <w:rPr>
          <w:rFonts w:ascii="宋体" w:hAnsi="宋体"/>
          <w:b/>
        </w:rPr>
        <w:t>季度</w:t>
      </w:r>
      <w:r>
        <w:rPr>
          <w:rFonts w:hint="eastAsia" w:ascii="宋体" w:hAnsi="宋体"/>
          <w:b/>
          <w:lang w:eastAsia="zh-CN"/>
        </w:rPr>
        <w:t>（</w:t>
      </w:r>
      <w:r>
        <w:rPr>
          <w:rFonts w:hint="eastAsia" w:ascii="宋体" w:hAnsi="宋体"/>
          <w:b/>
          <w:lang w:val="en-US" w:eastAsia="zh-CN"/>
        </w:rPr>
        <w:t>不定期</w:t>
      </w:r>
      <w:r>
        <w:rPr>
          <w:rFonts w:hint="eastAsia" w:ascii="宋体" w:hAnsi="宋体"/>
          <w:b/>
          <w:lang w:eastAsia="zh-CN"/>
        </w:rPr>
        <w:t>）</w:t>
      </w:r>
      <w:r>
        <w:rPr>
          <w:rFonts w:ascii="宋体" w:hAnsi="宋体"/>
          <w:b/>
        </w:rPr>
        <w:t>考核</w:t>
      </w:r>
    </w:p>
    <w:p w14:paraId="2799A581">
      <w:pPr>
        <w:tabs>
          <w:tab w:val="center" w:pos="4156"/>
        </w:tabs>
        <w:snapToGrid w:val="0"/>
        <w:spacing w:line="360" w:lineRule="auto"/>
        <w:ind w:left="420"/>
        <w:rPr>
          <w:rFonts w:ascii="宋体" w:hAnsi="宋体" w:cs="宋体"/>
        </w:rPr>
      </w:pPr>
      <w:r>
        <w:rPr>
          <w:rFonts w:ascii="宋体" w:hAnsi="宋体"/>
          <w:szCs w:val="21"/>
        </w:rPr>
        <w:t>季度考核实行扣分制，具体分为指标考核及日常工作质量考核</w:t>
      </w:r>
      <w:r>
        <w:rPr>
          <w:rFonts w:ascii="宋体" w:hAnsi="宋体" w:cs="宋体"/>
        </w:rPr>
        <w:t>。</w:t>
      </w:r>
    </w:p>
    <w:p w14:paraId="4A57E9FF">
      <w:pPr>
        <w:pStyle w:val="17"/>
        <w:widowControl/>
        <w:snapToGrid w:val="0"/>
        <w:spacing w:line="360" w:lineRule="auto"/>
        <w:ind w:firstLineChars="0"/>
        <w:jc w:val="left"/>
        <w:rPr>
          <w:rFonts w:ascii="宋体" w:hAnsi="宋体" w:cs="宋体"/>
        </w:rPr>
      </w:pPr>
      <w:r>
        <w:rPr>
          <w:rFonts w:ascii="宋体" w:hAnsi="宋体"/>
          <w:szCs w:val="21"/>
        </w:rPr>
        <w:t>季度考核由甲方与物业管理工作相关的部门负责考核</w:t>
      </w:r>
      <w:r>
        <w:rPr>
          <w:rFonts w:ascii="宋体" w:hAnsi="宋体" w:cs="宋体"/>
        </w:rPr>
        <w:t>。</w:t>
      </w:r>
    </w:p>
    <w:p w14:paraId="19872084">
      <w:pPr>
        <w:pStyle w:val="17"/>
        <w:widowControl/>
        <w:snapToGrid w:val="0"/>
        <w:spacing w:line="360" w:lineRule="auto"/>
        <w:ind w:firstLineChars="0"/>
        <w:jc w:val="left"/>
        <w:rPr>
          <w:rFonts w:hint="default" w:ascii="宋体" w:hAnsi="宋体"/>
          <w:szCs w:val="21"/>
          <w:lang w:val="en-US" w:eastAsia="zh-CN"/>
        </w:rPr>
      </w:pPr>
      <w:r>
        <w:rPr>
          <w:rFonts w:ascii="宋体" w:hAnsi="宋体"/>
          <w:szCs w:val="21"/>
        </w:rPr>
        <w:t>季度考核以不少于一次的检查方式对物业管理工作进行考核。</w:t>
      </w:r>
      <w:r>
        <w:rPr>
          <w:rFonts w:hint="eastAsia" w:ascii="宋体" w:hAnsi="宋体"/>
          <w:szCs w:val="21"/>
          <w:lang w:val="en-US" w:eastAsia="zh-CN"/>
        </w:rPr>
        <w:t xml:space="preserve">    </w:t>
      </w:r>
    </w:p>
    <w:p w14:paraId="26DEA5FE">
      <w:pPr>
        <w:pStyle w:val="17"/>
        <w:widowControl/>
        <w:snapToGrid w:val="0"/>
        <w:spacing w:line="360" w:lineRule="auto"/>
        <w:ind w:firstLineChars="0"/>
        <w:jc w:val="left"/>
        <w:rPr>
          <w:rFonts w:ascii="宋体" w:hAnsi="宋体" w:cs="宋体"/>
        </w:rPr>
      </w:pPr>
      <w:r>
        <w:rPr>
          <w:rFonts w:ascii="宋体" w:hAnsi="宋体"/>
          <w:szCs w:val="21"/>
        </w:rPr>
        <w:t>物业管理服务人员的考勤检查：主要岗位人员名单交业主方备案， 乙方物业管理服务人员的考勤系统向甲方开放，甲方根据需要随时抽查。</w:t>
      </w:r>
    </w:p>
    <w:p w14:paraId="2B4BCDF1">
      <w:pPr>
        <w:pStyle w:val="17"/>
        <w:widowControl/>
        <w:snapToGrid w:val="0"/>
        <w:spacing w:line="360" w:lineRule="auto"/>
        <w:ind w:firstLineChars="0"/>
        <w:jc w:val="left"/>
        <w:rPr>
          <w:rFonts w:ascii="宋体" w:hAnsi="宋体" w:cs="宋体"/>
        </w:rPr>
      </w:pPr>
      <w:r>
        <w:rPr>
          <w:rFonts w:ascii="宋体" w:hAnsi="宋体"/>
          <w:szCs w:val="21"/>
        </w:rPr>
        <w:t>人员流动性及在岗位考核：主要岗位、重要岗位人员的离职或辞退须交业主方备案，季度考核时须对人员稳定性是否实现控制目标进行考核。</w:t>
      </w:r>
    </w:p>
    <w:p w14:paraId="0A486D1E">
      <w:pPr>
        <w:pStyle w:val="17"/>
        <w:widowControl/>
        <w:snapToGrid w:val="0"/>
        <w:spacing w:line="360" w:lineRule="auto"/>
        <w:ind w:firstLineChars="0"/>
        <w:jc w:val="left"/>
        <w:rPr>
          <w:rFonts w:ascii="宋体" w:hAnsi="宋体" w:cs="宋体"/>
        </w:rPr>
      </w:pPr>
      <w:r>
        <w:rPr>
          <w:rFonts w:ascii="宋体" w:hAnsi="宋体"/>
          <w:szCs w:val="21"/>
        </w:rPr>
        <w:t>考评小组以外的工作人员在工作中发现乙方的不符合项可报告考评小组，由考评小组进行调查经确认后纳入考核依据；季度考核以不少于一次的检查方式对物业管理工作进行考核。</w:t>
      </w:r>
    </w:p>
    <w:p w14:paraId="52CFC9BB">
      <w:pPr>
        <w:pStyle w:val="17"/>
        <w:widowControl/>
        <w:snapToGrid w:val="0"/>
        <w:spacing w:line="360" w:lineRule="auto"/>
        <w:ind w:firstLineChars="0"/>
        <w:jc w:val="left"/>
        <w:rPr>
          <w:rFonts w:ascii="宋体" w:hAnsi="宋体" w:cs="宋体"/>
        </w:rPr>
      </w:pPr>
      <w:r>
        <w:rPr>
          <w:rFonts w:ascii="宋体" w:hAnsi="宋体"/>
          <w:szCs w:val="21"/>
        </w:rPr>
        <w:t>物业管理服务人员的考勤检查：主要岗位人员名单交业主方备案， 乙方物业管理服务人员的考勤系统向甲方开放，甲方根据需要随时抽查。</w:t>
      </w:r>
    </w:p>
    <w:p w14:paraId="5FA54FE6">
      <w:pPr>
        <w:pStyle w:val="17"/>
        <w:widowControl/>
        <w:snapToGrid w:val="0"/>
        <w:spacing w:line="360" w:lineRule="auto"/>
        <w:ind w:firstLineChars="0"/>
        <w:jc w:val="left"/>
        <w:rPr>
          <w:rFonts w:ascii="宋体" w:hAnsi="宋体" w:cs="宋体"/>
        </w:rPr>
      </w:pPr>
      <w:r>
        <w:rPr>
          <w:rFonts w:ascii="宋体" w:hAnsi="宋体"/>
          <w:szCs w:val="21"/>
        </w:rPr>
        <w:t>人员流动性及在岗率考核：主要岗位、重要岗位人员的离职或辞退须交业主方备案。</w:t>
      </w:r>
    </w:p>
    <w:p w14:paraId="5B594DBD">
      <w:pPr>
        <w:pStyle w:val="17"/>
        <w:widowControl/>
        <w:snapToGrid w:val="0"/>
        <w:spacing w:line="360" w:lineRule="auto"/>
        <w:ind w:firstLineChars="0"/>
        <w:jc w:val="left"/>
        <w:rPr>
          <w:rFonts w:ascii="宋体" w:hAnsi="宋体" w:cs="宋体"/>
        </w:rPr>
      </w:pPr>
      <w:r>
        <w:rPr>
          <w:rFonts w:ascii="宋体" w:hAnsi="宋体"/>
          <w:szCs w:val="21"/>
        </w:rPr>
        <w:t>季度考核时须对人员稳定性是否实现控制目标进行考核。</w:t>
      </w:r>
    </w:p>
    <w:p w14:paraId="44B22032">
      <w:pPr>
        <w:pStyle w:val="17"/>
        <w:widowControl/>
        <w:snapToGrid w:val="0"/>
        <w:spacing w:line="360" w:lineRule="auto"/>
        <w:ind w:firstLineChars="0"/>
        <w:jc w:val="left"/>
        <w:rPr>
          <w:rFonts w:ascii="宋体" w:hAnsi="宋体" w:cs="宋体"/>
        </w:rPr>
      </w:pPr>
      <w:r>
        <w:rPr>
          <w:rFonts w:ascii="宋体" w:hAnsi="宋体"/>
          <w:szCs w:val="21"/>
        </w:rPr>
        <w:t>考评小组以外的工作人员在工作中发现乙方的不符合项可报告考评小组，由考评小组进行调查经确认后纳入考核依据。</w:t>
      </w:r>
    </w:p>
    <w:p w14:paraId="421A95CE">
      <w:pPr>
        <w:pStyle w:val="17"/>
        <w:snapToGrid w:val="0"/>
        <w:spacing w:line="360" w:lineRule="auto"/>
        <w:ind w:left="840"/>
        <w:rPr>
          <w:rFonts w:ascii="宋体" w:hAnsi="宋体" w:cs="宋体"/>
        </w:rPr>
      </w:pPr>
    </w:p>
    <w:p w14:paraId="3975EA89">
      <w:pPr>
        <w:pStyle w:val="17"/>
        <w:widowControl/>
        <w:numPr>
          <w:ilvl w:val="0"/>
          <w:numId w:val="13"/>
        </w:numPr>
        <w:spacing w:line="360" w:lineRule="auto"/>
        <w:ind w:firstLineChars="0"/>
        <w:jc w:val="left"/>
        <w:rPr>
          <w:rFonts w:ascii="宋体" w:hAnsi="宋体"/>
          <w:b/>
        </w:rPr>
      </w:pPr>
      <w:r>
        <w:rPr>
          <w:rFonts w:ascii="宋体" w:hAnsi="宋体"/>
          <w:b/>
        </w:rPr>
        <w:t>年度考评</w:t>
      </w:r>
    </w:p>
    <w:p w14:paraId="2FD5ABD1">
      <w:pPr>
        <w:pStyle w:val="17"/>
        <w:widowControl/>
        <w:snapToGrid w:val="0"/>
        <w:spacing w:line="360" w:lineRule="auto"/>
        <w:ind w:firstLineChars="0"/>
        <w:jc w:val="left"/>
        <w:rPr>
          <w:rFonts w:ascii="宋体" w:hAnsi="宋体" w:cs="宋体"/>
        </w:rPr>
      </w:pPr>
      <w:r>
        <w:rPr>
          <w:rFonts w:ascii="宋体" w:hAnsi="宋体" w:cs="宋体"/>
        </w:rPr>
        <w:t>年度考评以月度指标考核平均值及满意值（业主与用户的平均值）为主要考评指标，由考评小组、相关部门和乙方组织满意度调查。</w:t>
      </w:r>
    </w:p>
    <w:p w14:paraId="678EC8FD">
      <w:pPr>
        <w:pStyle w:val="17"/>
        <w:widowControl/>
        <w:snapToGrid w:val="0"/>
        <w:spacing w:line="360" w:lineRule="auto"/>
        <w:ind w:firstLineChars="0"/>
        <w:jc w:val="left"/>
        <w:rPr>
          <w:rFonts w:ascii="宋体" w:hAnsi="宋体" w:cs="宋体"/>
        </w:rPr>
      </w:pPr>
      <w:r>
        <w:rPr>
          <w:rFonts w:ascii="宋体" w:hAnsi="宋体" w:cs="宋体"/>
        </w:rPr>
        <w:t>公式：</w:t>
      </w:r>
      <w:r>
        <w:rPr>
          <w:rFonts w:ascii="宋体" w:hAnsi="宋体" w:cs="宋体"/>
          <w:u w:val="single"/>
        </w:rPr>
        <w:t>年度考评总分=（∑每季考核分数÷∑考核次数）×70%＋[（平均用户满意值＋平均业主满意值）÷2]×30%</w:t>
      </w:r>
    </w:p>
    <w:p w14:paraId="08EBBC68">
      <w:pPr>
        <w:pStyle w:val="17"/>
        <w:widowControl/>
        <w:snapToGrid w:val="0"/>
        <w:spacing w:line="360" w:lineRule="auto"/>
        <w:ind w:firstLineChars="0"/>
        <w:jc w:val="left"/>
        <w:rPr>
          <w:rFonts w:ascii="宋体" w:hAnsi="宋体" w:cs="宋体"/>
        </w:rPr>
      </w:pPr>
      <w:r>
        <w:rPr>
          <w:rFonts w:ascii="宋体" w:hAnsi="宋体" w:cs="宋体"/>
        </w:rPr>
        <w:t>业主满意度调查：向相关</w:t>
      </w:r>
      <w:r>
        <w:rPr>
          <w:rFonts w:hint="eastAsia" w:ascii="宋体" w:hAnsi="宋体" w:cs="宋体"/>
        </w:rPr>
        <w:t>业主</w:t>
      </w:r>
      <w:r>
        <w:rPr>
          <w:rFonts w:ascii="宋体" w:hAnsi="宋体" w:cs="宋体"/>
        </w:rPr>
        <w:t>工作人员抽样调查，抽样比例为20%；</w:t>
      </w:r>
    </w:p>
    <w:p w14:paraId="04172BBC">
      <w:pPr>
        <w:pStyle w:val="17"/>
        <w:widowControl/>
        <w:snapToGrid w:val="0"/>
        <w:spacing w:line="360" w:lineRule="auto"/>
        <w:ind w:firstLineChars="0"/>
        <w:jc w:val="left"/>
        <w:rPr>
          <w:rFonts w:ascii="宋体" w:hAnsi="宋体" w:cs="宋体"/>
        </w:rPr>
      </w:pPr>
      <w:r>
        <w:rPr>
          <w:rFonts w:ascii="宋体" w:hAnsi="宋体" w:cs="宋体"/>
        </w:rPr>
        <w:t>用户满意度调查，获得考核所需的满意值：</w:t>
      </w:r>
    </w:p>
    <w:p w14:paraId="3F391FEA">
      <w:pPr>
        <w:pStyle w:val="20"/>
        <w:snapToGrid w:val="0"/>
        <w:spacing w:line="360" w:lineRule="auto"/>
        <w:rPr>
          <w:rFonts w:ascii="宋体" w:hAnsi="宋体" w:cs="宋体"/>
          <w:szCs w:val="21"/>
        </w:rPr>
      </w:pPr>
      <w:r>
        <w:rPr>
          <w:rFonts w:ascii="宋体" w:hAnsi="宋体" w:cs="宋体"/>
          <w:szCs w:val="21"/>
        </w:rPr>
        <w:t>每季度，职能部门组织至现场进行用户满意度调查；</w:t>
      </w:r>
    </w:p>
    <w:p w14:paraId="67876F73">
      <w:pPr>
        <w:pStyle w:val="20"/>
        <w:snapToGrid w:val="0"/>
        <w:spacing w:line="360" w:lineRule="auto"/>
        <w:rPr>
          <w:rFonts w:hint="eastAsia" w:ascii="宋体" w:hAnsi="宋体" w:eastAsia="宋体" w:cs="宋体"/>
          <w:b/>
          <w:bCs/>
          <w:sz w:val="21"/>
          <w:szCs w:val="21"/>
          <w:lang w:val="en-US" w:eastAsia="zh-CN"/>
        </w:rPr>
      </w:pPr>
      <w:r>
        <w:rPr>
          <w:rFonts w:ascii="宋体" w:hAnsi="宋体" w:cs="宋体"/>
          <w:szCs w:val="21"/>
        </w:rPr>
        <w:t>物业管理协会或质量协会等行业协会或机构至现场进行用户满意度调查，抽样数100份。</w:t>
      </w:r>
    </w:p>
    <w:p w14:paraId="79C92420">
      <w:pPr>
        <w:pStyle w:val="20"/>
        <w:snapToGrid w:val="0"/>
        <w:spacing w:line="360" w:lineRule="auto"/>
        <w:ind w:left="1724" w:firstLine="0"/>
        <w:rPr>
          <w:rFonts w:ascii="宋体" w:hAnsi="宋体" w:cs="宋体"/>
          <w:szCs w:val="21"/>
        </w:rPr>
      </w:pPr>
    </w:p>
    <w:p w14:paraId="70E9A3D6">
      <w:pPr>
        <w:pStyle w:val="17"/>
        <w:widowControl/>
        <w:numPr>
          <w:ilvl w:val="0"/>
          <w:numId w:val="13"/>
        </w:numPr>
        <w:spacing w:line="360" w:lineRule="auto"/>
        <w:ind w:firstLineChars="0"/>
        <w:jc w:val="left"/>
        <w:rPr>
          <w:rFonts w:ascii="宋体" w:hAnsi="宋体"/>
          <w:b/>
        </w:rPr>
      </w:pPr>
      <w:r>
        <w:rPr>
          <w:rFonts w:hint="eastAsia" w:ascii="宋体" w:hAnsi="宋体"/>
          <w:b/>
          <w:lang w:val="en-US" w:eastAsia="zh-CN"/>
        </w:rPr>
        <w:t>考核</w:t>
      </w:r>
      <w:r>
        <w:rPr>
          <w:rFonts w:ascii="宋体" w:hAnsi="宋体"/>
          <w:b/>
        </w:rPr>
        <w:t>方法</w:t>
      </w:r>
    </w:p>
    <w:p w14:paraId="550EE1F3">
      <w:pPr>
        <w:pStyle w:val="17"/>
        <w:widowControl/>
        <w:snapToGrid w:val="0"/>
        <w:spacing w:line="360" w:lineRule="auto"/>
        <w:ind w:firstLineChars="0"/>
        <w:jc w:val="left"/>
        <w:rPr>
          <w:rFonts w:ascii="宋体" w:hAnsi="宋体" w:cs="宋体"/>
        </w:rPr>
      </w:pPr>
      <w:r>
        <w:rPr>
          <w:rFonts w:ascii="宋体" w:hAnsi="宋体" w:cs="宋体"/>
        </w:rPr>
        <w:t>季度考核总分≥95分，为“优秀”</w:t>
      </w:r>
    </w:p>
    <w:p w14:paraId="52C87787">
      <w:pPr>
        <w:pStyle w:val="17"/>
        <w:widowControl/>
        <w:snapToGrid w:val="0"/>
        <w:spacing w:line="360" w:lineRule="auto"/>
        <w:ind w:firstLineChars="0"/>
        <w:jc w:val="left"/>
        <w:rPr>
          <w:rFonts w:ascii="宋体" w:hAnsi="宋体" w:cs="宋体"/>
        </w:rPr>
      </w:pPr>
      <w:r>
        <w:rPr>
          <w:rFonts w:ascii="宋体" w:hAnsi="宋体" w:cs="宋体"/>
        </w:rPr>
        <w:t>季度考核总分≥90分，为“达标”</w:t>
      </w:r>
    </w:p>
    <w:p w14:paraId="78CE3BB8">
      <w:pPr>
        <w:pStyle w:val="17"/>
        <w:widowControl/>
        <w:snapToGrid w:val="0"/>
        <w:spacing w:line="360" w:lineRule="auto"/>
        <w:ind w:firstLineChars="0"/>
        <w:jc w:val="left"/>
        <w:rPr>
          <w:rFonts w:ascii="宋体" w:hAnsi="宋体" w:cs="宋体"/>
        </w:rPr>
      </w:pPr>
      <w:r>
        <w:rPr>
          <w:rFonts w:ascii="宋体" w:hAnsi="宋体" w:cs="宋体"/>
        </w:rPr>
        <w:t>季度考核总分＜90分，为“不达标”</w:t>
      </w:r>
    </w:p>
    <w:p w14:paraId="651E1444">
      <w:pPr>
        <w:pStyle w:val="17"/>
        <w:widowControl/>
        <w:snapToGrid w:val="0"/>
        <w:spacing w:line="360" w:lineRule="auto"/>
        <w:ind w:firstLineChars="0"/>
        <w:jc w:val="left"/>
        <w:rPr>
          <w:rFonts w:ascii="宋体" w:hAnsi="宋体" w:cs="宋体"/>
        </w:rPr>
      </w:pPr>
      <w:r>
        <w:rPr>
          <w:rFonts w:ascii="宋体" w:hAnsi="宋体" w:cs="宋体"/>
        </w:rPr>
        <w:t>在合同</w:t>
      </w:r>
      <w:r>
        <w:rPr>
          <w:rFonts w:hint="eastAsia" w:ascii="宋体" w:hAnsi="宋体" w:cs="宋体"/>
          <w:lang w:val="en-US" w:eastAsia="zh-CN"/>
        </w:rPr>
        <w:t>服务</w:t>
      </w:r>
      <w:r>
        <w:rPr>
          <w:rFonts w:ascii="宋体" w:hAnsi="宋体" w:cs="宋体"/>
        </w:rPr>
        <w:t>的责任范围内，在考核期内发生以下任何一种情况考核为不合格</w:t>
      </w:r>
    </w:p>
    <w:p w14:paraId="6E02BAA7">
      <w:pPr>
        <w:pStyle w:val="20"/>
        <w:snapToGrid w:val="0"/>
        <w:spacing w:line="360" w:lineRule="auto"/>
        <w:rPr>
          <w:rFonts w:ascii="宋体" w:hAnsi="宋体" w:cs="宋体"/>
          <w:szCs w:val="21"/>
        </w:rPr>
      </w:pPr>
      <w:r>
        <w:rPr>
          <w:rFonts w:ascii="宋体" w:hAnsi="宋体" w:cs="宋体"/>
          <w:szCs w:val="21"/>
        </w:rPr>
        <w:t>发生人身伤亡事故；</w:t>
      </w:r>
    </w:p>
    <w:p w14:paraId="0B2EA077">
      <w:pPr>
        <w:pStyle w:val="20"/>
        <w:snapToGrid w:val="0"/>
        <w:spacing w:line="360" w:lineRule="auto"/>
        <w:rPr>
          <w:rFonts w:hint="default" w:ascii="宋体" w:hAnsi="宋体" w:eastAsia="宋体" w:cs="宋体"/>
          <w:szCs w:val="21"/>
          <w:lang w:val="en-US" w:eastAsia="zh-CN"/>
        </w:rPr>
      </w:pPr>
      <w:r>
        <w:rPr>
          <w:rFonts w:hint="eastAsia" w:ascii="宋体" w:hAnsi="宋体" w:cs="宋体"/>
          <w:szCs w:val="21"/>
          <w:lang w:val="en-US" w:eastAsia="zh-CN"/>
        </w:rPr>
        <w:t>发生因工作失责造成安全事故的发生；</w:t>
      </w:r>
    </w:p>
    <w:p w14:paraId="0ABAF614">
      <w:pPr>
        <w:pStyle w:val="20"/>
        <w:snapToGrid w:val="0"/>
        <w:spacing w:line="360" w:lineRule="auto"/>
        <w:rPr>
          <w:rFonts w:ascii="宋体" w:hAnsi="宋体" w:cs="宋体"/>
          <w:szCs w:val="21"/>
        </w:rPr>
      </w:pPr>
      <w:r>
        <w:rPr>
          <w:rFonts w:ascii="宋体" w:hAnsi="宋体" w:cs="宋体"/>
          <w:szCs w:val="21"/>
        </w:rPr>
        <w:t>发生较大责任事故（影响正常对外开放及重要接待活动）；</w:t>
      </w:r>
    </w:p>
    <w:p w14:paraId="16CB9D3D">
      <w:pPr>
        <w:pStyle w:val="20"/>
        <w:snapToGrid w:val="0"/>
        <w:spacing w:line="360" w:lineRule="auto"/>
        <w:rPr>
          <w:rFonts w:ascii="宋体" w:hAnsi="宋体" w:cs="宋体"/>
          <w:szCs w:val="21"/>
        </w:rPr>
      </w:pPr>
      <w:r>
        <w:rPr>
          <w:rFonts w:ascii="宋体" w:hAnsi="宋体" w:cs="宋体"/>
          <w:szCs w:val="21"/>
        </w:rPr>
        <w:t>影响和对外形象及利益（以不正当行为占有客户和业主的财产、泄露有关保密信息等导致业主形象或利益受损）。</w:t>
      </w:r>
    </w:p>
    <w:p w14:paraId="64E37176">
      <w:pPr>
        <w:pStyle w:val="20"/>
        <w:snapToGrid w:val="0"/>
        <w:spacing w:line="360" w:lineRule="auto"/>
        <w:rPr>
          <w:rFonts w:ascii="宋体" w:hAnsi="宋体" w:cs="宋体"/>
          <w:szCs w:val="21"/>
        </w:rPr>
      </w:pPr>
    </w:p>
    <w:p w14:paraId="25A843F1">
      <w:pPr>
        <w:pStyle w:val="20"/>
        <w:snapToGrid w:val="0"/>
        <w:spacing w:line="360" w:lineRule="auto"/>
        <w:rPr>
          <w:rFonts w:ascii="宋体" w:hAnsi="宋体" w:cs="宋体"/>
          <w:szCs w:val="21"/>
        </w:rPr>
      </w:pPr>
    </w:p>
    <w:p w14:paraId="1B5B0CCC">
      <w:pPr>
        <w:pStyle w:val="20"/>
        <w:snapToGrid w:val="0"/>
        <w:spacing w:line="360" w:lineRule="auto"/>
        <w:rPr>
          <w:rFonts w:ascii="宋体" w:hAnsi="宋体" w:cs="宋体"/>
          <w:szCs w:val="21"/>
        </w:rPr>
      </w:pPr>
    </w:p>
    <w:p w14:paraId="54518130">
      <w:pPr>
        <w:pStyle w:val="20"/>
        <w:snapToGrid w:val="0"/>
        <w:spacing w:line="360" w:lineRule="auto"/>
        <w:rPr>
          <w:rFonts w:ascii="宋体" w:hAnsi="宋体" w:cs="宋体"/>
          <w:szCs w:val="21"/>
        </w:rPr>
      </w:pPr>
    </w:p>
    <w:p w14:paraId="62A6BC41">
      <w:pPr>
        <w:pStyle w:val="20"/>
        <w:snapToGrid w:val="0"/>
        <w:spacing w:line="360" w:lineRule="auto"/>
        <w:ind w:left="0" w:leftChars="0" w:firstLine="0" w:firstLineChars="0"/>
        <w:rPr>
          <w:rFonts w:ascii="宋体" w:hAnsi="宋体" w:cs="宋体"/>
          <w:b/>
          <w:bCs/>
          <w:szCs w:val="21"/>
        </w:rPr>
      </w:pPr>
    </w:p>
    <w:p w14:paraId="2B4EB43F">
      <w:pPr>
        <w:pStyle w:val="20"/>
        <w:numPr>
          <w:ilvl w:val="0"/>
          <w:numId w:val="0"/>
        </w:numPr>
        <w:snapToGrid w:val="0"/>
        <w:spacing w:line="360" w:lineRule="auto"/>
        <w:ind w:leftChars="0"/>
        <w:rPr>
          <w:rFonts w:asciiTheme="minorEastAsia" w:hAnsiTheme="minorEastAsia" w:eastAsiaTheme="minorEastAsia" w:cstheme="minorBidi"/>
          <w:b/>
          <w:bCs/>
          <w:sz w:val="21"/>
          <w:szCs w:val="21"/>
        </w:rPr>
      </w:pPr>
      <w:r>
        <w:rPr>
          <w:rFonts w:hint="eastAsia" w:asciiTheme="minorEastAsia" w:hAnsiTheme="minorEastAsia" w:eastAsiaTheme="minorEastAsia" w:cstheme="minorBidi"/>
          <w:b/>
          <w:bCs/>
          <w:sz w:val="21"/>
          <w:szCs w:val="21"/>
          <w:lang w:val="en-US" w:eastAsia="zh-CN"/>
        </w:rPr>
        <w:t>8.物业日常</w:t>
      </w:r>
      <w:r>
        <w:rPr>
          <w:rFonts w:hint="eastAsia" w:asciiTheme="minorEastAsia" w:hAnsiTheme="minorEastAsia" w:eastAsiaTheme="minorEastAsia" w:cstheme="minorBidi"/>
          <w:b/>
          <w:bCs/>
          <w:sz w:val="21"/>
          <w:szCs w:val="21"/>
        </w:rPr>
        <w:t>服务考核</w:t>
      </w:r>
    </w:p>
    <w:tbl>
      <w:tblPr>
        <w:tblStyle w:val="10"/>
        <w:tblW w:w="99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8555"/>
      </w:tblGrid>
      <w:tr w14:paraId="1A14D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39C03062">
            <w:pPr>
              <w:snapToGrid w:val="0"/>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序号</w:t>
            </w:r>
          </w:p>
        </w:tc>
        <w:tc>
          <w:tcPr>
            <w:tcW w:w="8555" w:type="dxa"/>
            <w:vAlign w:val="center"/>
          </w:tcPr>
          <w:p w14:paraId="79F88563">
            <w:pPr>
              <w:snapToGrid w:val="0"/>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招标方具体考核内容</w:t>
            </w:r>
          </w:p>
        </w:tc>
      </w:tr>
      <w:tr w14:paraId="4EE3F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0FA39682">
            <w:pPr>
              <w:snapToGrid w:val="0"/>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1</w:t>
            </w:r>
          </w:p>
        </w:tc>
        <w:tc>
          <w:tcPr>
            <w:tcW w:w="8555" w:type="dxa"/>
            <w:vAlign w:val="center"/>
          </w:tcPr>
          <w:p w14:paraId="70C4CBAA">
            <w:pPr>
              <w:snapToGrid w:val="0"/>
              <w:spacing w:line="360" w:lineRule="auto"/>
              <w:jc w:val="left"/>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投标方总部领导对现场</w:t>
            </w:r>
            <w:r>
              <w:rPr>
                <w:rFonts w:hint="eastAsia" w:asciiTheme="minorEastAsia" w:hAnsiTheme="minorEastAsia" w:eastAsiaTheme="minorEastAsia" w:cstheme="minorBidi"/>
                <w:bCs/>
                <w:sz w:val="21"/>
                <w:szCs w:val="21"/>
                <w:lang w:val="en-US" w:eastAsia="zh-CN"/>
              </w:rPr>
              <w:t>物业</w:t>
            </w:r>
            <w:r>
              <w:rPr>
                <w:rFonts w:hint="eastAsia" w:asciiTheme="minorEastAsia" w:hAnsiTheme="minorEastAsia" w:eastAsiaTheme="minorEastAsia" w:cstheme="minorBidi"/>
                <w:bCs/>
                <w:sz w:val="21"/>
                <w:szCs w:val="21"/>
              </w:rPr>
              <w:t>服务品质的内部巡查与督导、暗访（每个季度不少于一次，每次时间不少于</w:t>
            </w:r>
            <w:r>
              <w:rPr>
                <w:rFonts w:hint="eastAsia" w:asciiTheme="minorEastAsia" w:hAnsiTheme="minorEastAsia" w:eastAsiaTheme="minorEastAsia" w:cstheme="minorBidi"/>
                <w:bCs/>
                <w:sz w:val="21"/>
                <w:szCs w:val="21"/>
                <w:lang w:val="en-US" w:eastAsia="zh-CN"/>
              </w:rPr>
              <w:t>30分钟</w:t>
            </w:r>
            <w:r>
              <w:rPr>
                <w:rFonts w:hint="eastAsia" w:asciiTheme="minorEastAsia" w:hAnsiTheme="minorEastAsia" w:eastAsiaTheme="minorEastAsia" w:cstheme="minorBidi"/>
                <w:bCs/>
                <w:sz w:val="21"/>
                <w:szCs w:val="21"/>
              </w:rPr>
              <w:t>）</w:t>
            </w:r>
          </w:p>
        </w:tc>
      </w:tr>
      <w:tr w14:paraId="10D2D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30E47B67">
            <w:pPr>
              <w:snapToGrid w:val="0"/>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2</w:t>
            </w:r>
          </w:p>
        </w:tc>
        <w:tc>
          <w:tcPr>
            <w:tcW w:w="8555" w:type="dxa"/>
            <w:vAlign w:val="center"/>
          </w:tcPr>
          <w:p w14:paraId="508C2102">
            <w:pPr>
              <w:snapToGrid w:val="0"/>
              <w:spacing w:line="360" w:lineRule="auto"/>
              <w:jc w:val="left"/>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投标方现场经理对现场保安服务品质的检查（每周不少于一次，每次时间不少于</w:t>
            </w:r>
            <w:r>
              <w:rPr>
                <w:rFonts w:hint="eastAsia" w:asciiTheme="minorEastAsia" w:hAnsiTheme="minorEastAsia" w:eastAsiaTheme="minorEastAsia" w:cstheme="minorBidi"/>
                <w:bCs/>
                <w:sz w:val="21"/>
                <w:szCs w:val="21"/>
                <w:lang w:val="en-US" w:eastAsia="zh-CN"/>
              </w:rPr>
              <w:t>30分钟</w:t>
            </w:r>
            <w:r>
              <w:rPr>
                <w:rFonts w:hint="eastAsia" w:asciiTheme="minorEastAsia" w:hAnsiTheme="minorEastAsia" w:eastAsiaTheme="minorEastAsia" w:cstheme="minorBidi"/>
                <w:bCs/>
                <w:sz w:val="21"/>
                <w:szCs w:val="21"/>
              </w:rPr>
              <w:t>，每月至少安排一次夜间检查）</w:t>
            </w:r>
          </w:p>
        </w:tc>
      </w:tr>
      <w:tr w14:paraId="61FE3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79933810">
            <w:pPr>
              <w:snapToGrid w:val="0"/>
              <w:spacing w:line="360" w:lineRule="auto"/>
              <w:jc w:val="center"/>
              <w:rPr>
                <w:rFonts w:hint="eastAsia" w:asciiTheme="minorEastAsia" w:hAnsiTheme="minorEastAsia" w:eastAsiaTheme="minorEastAsia" w:cstheme="minorBidi"/>
                <w:bCs/>
                <w:sz w:val="21"/>
                <w:szCs w:val="21"/>
                <w:lang w:val="en-US" w:eastAsia="zh-CN"/>
              </w:rPr>
            </w:pPr>
            <w:r>
              <w:rPr>
                <w:rFonts w:hint="eastAsia" w:asciiTheme="minorEastAsia" w:hAnsiTheme="minorEastAsia" w:eastAsiaTheme="minorEastAsia" w:cstheme="minorBidi"/>
                <w:bCs/>
                <w:sz w:val="21"/>
                <w:szCs w:val="21"/>
                <w:lang w:val="en-US" w:eastAsia="zh-CN"/>
              </w:rPr>
              <w:t>3</w:t>
            </w:r>
          </w:p>
        </w:tc>
        <w:tc>
          <w:tcPr>
            <w:tcW w:w="8555" w:type="dxa"/>
            <w:vAlign w:val="center"/>
          </w:tcPr>
          <w:p w14:paraId="6B92D069">
            <w:pPr>
              <w:snapToGrid w:val="0"/>
              <w:spacing w:line="360" w:lineRule="auto"/>
              <w:jc w:val="left"/>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现场</w:t>
            </w:r>
            <w:r>
              <w:rPr>
                <w:rFonts w:hint="eastAsia" w:asciiTheme="minorEastAsia" w:hAnsiTheme="minorEastAsia" w:eastAsiaTheme="minorEastAsia" w:cstheme="minorBidi"/>
                <w:bCs/>
                <w:sz w:val="21"/>
                <w:szCs w:val="21"/>
                <w:lang w:val="en-US" w:eastAsia="zh-CN"/>
              </w:rPr>
              <w:t>物业</w:t>
            </w:r>
            <w:r>
              <w:rPr>
                <w:rFonts w:hint="eastAsia" w:asciiTheme="minorEastAsia" w:hAnsiTheme="minorEastAsia" w:eastAsiaTheme="minorEastAsia" w:cstheme="minorBidi"/>
                <w:bCs/>
                <w:sz w:val="21"/>
                <w:szCs w:val="21"/>
              </w:rPr>
              <w:t>经理必须在每月初制定本月的工作目标和工作计划</w:t>
            </w:r>
          </w:p>
        </w:tc>
      </w:tr>
      <w:tr w14:paraId="4C07E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3E4C5AD4">
            <w:pPr>
              <w:snapToGrid w:val="0"/>
              <w:spacing w:line="360" w:lineRule="auto"/>
              <w:jc w:val="center"/>
              <w:rPr>
                <w:rFonts w:hint="eastAsia" w:asciiTheme="minorEastAsia" w:hAnsiTheme="minorEastAsia" w:eastAsiaTheme="minorEastAsia" w:cstheme="minorBidi"/>
                <w:bCs/>
                <w:sz w:val="21"/>
                <w:szCs w:val="21"/>
                <w:lang w:val="en-US" w:eastAsia="zh-CN"/>
              </w:rPr>
            </w:pPr>
            <w:r>
              <w:rPr>
                <w:rFonts w:hint="eastAsia" w:asciiTheme="minorEastAsia" w:hAnsiTheme="minorEastAsia" w:eastAsiaTheme="minorEastAsia" w:cstheme="minorBidi"/>
                <w:bCs/>
                <w:sz w:val="21"/>
                <w:szCs w:val="21"/>
                <w:lang w:val="en-US" w:eastAsia="zh-CN"/>
              </w:rPr>
              <w:t>4</w:t>
            </w:r>
          </w:p>
        </w:tc>
        <w:tc>
          <w:tcPr>
            <w:tcW w:w="8555" w:type="dxa"/>
            <w:vAlign w:val="center"/>
          </w:tcPr>
          <w:p w14:paraId="071E70C8">
            <w:pPr>
              <w:snapToGrid w:val="0"/>
              <w:spacing w:line="360" w:lineRule="auto"/>
              <w:jc w:val="left"/>
              <w:rPr>
                <w:rFonts w:hint="default" w:asciiTheme="minorEastAsia" w:hAnsiTheme="minorEastAsia" w:eastAsiaTheme="minorEastAsia" w:cstheme="minorBidi"/>
                <w:bCs/>
                <w:sz w:val="21"/>
                <w:szCs w:val="21"/>
                <w:lang w:val="en-US" w:eastAsia="zh-CN"/>
              </w:rPr>
            </w:pPr>
            <w:r>
              <w:rPr>
                <w:rFonts w:hint="eastAsia" w:asciiTheme="minorEastAsia" w:hAnsiTheme="minorEastAsia" w:eastAsiaTheme="minorEastAsia" w:cstheme="minorBidi"/>
                <w:bCs/>
                <w:sz w:val="21"/>
                <w:szCs w:val="21"/>
              </w:rPr>
              <w:t>现场经理</w:t>
            </w:r>
            <w:r>
              <w:rPr>
                <w:rFonts w:hint="eastAsia" w:asciiTheme="minorEastAsia" w:hAnsiTheme="minorEastAsia" w:eastAsiaTheme="minorEastAsia" w:cstheme="minorBidi"/>
                <w:bCs/>
                <w:sz w:val="21"/>
                <w:szCs w:val="21"/>
                <w:lang w:val="en-US" w:eastAsia="zh-CN"/>
              </w:rPr>
              <w:t>每日组织班前班后会，对一天物业服务等情况进行讲评</w:t>
            </w:r>
          </w:p>
        </w:tc>
      </w:tr>
      <w:tr w14:paraId="094C2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0ACA598F">
            <w:pPr>
              <w:snapToGrid w:val="0"/>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5</w:t>
            </w:r>
          </w:p>
        </w:tc>
        <w:tc>
          <w:tcPr>
            <w:tcW w:w="8555" w:type="dxa"/>
            <w:vAlign w:val="center"/>
          </w:tcPr>
          <w:p w14:paraId="0B9DACB0">
            <w:pPr>
              <w:snapToGrid w:val="0"/>
              <w:spacing w:line="360" w:lineRule="auto"/>
              <w:jc w:val="left"/>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根据甲方要求，按规定着装，制服统一，符合仪容仪表要求</w:t>
            </w:r>
          </w:p>
        </w:tc>
      </w:tr>
      <w:tr w14:paraId="4CC30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19073579">
            <w:pPr>
              <w:snapToGrid w:val="0"/>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6</w:t>
            </w:r>
          </w:p>
        </w:tc>
        <w:tc>
          <w:tcPr>
            <w:tcW w:w="8555" w:type="dxa"/>
            <w:vAlign w:val="center"/>
          </w:tcPr>
          <w:p w14:paraId="34146013">
            <w:pPr>
              <w:snapToGrid w:val="0"/>
              <w:spacing w:line="360" w:lineRule="auto"/>
              <w:jc w:val="left"/>
              <w:rPr>
                <w:rFonts w:hint="default" w:asciiTheme="minorEastAsia" w:hAnsiTheme="minorEastAsia" w:eastAsiaTheme="minorEastAsia" w:cstheme="minorBidi"/>
                <w:bCs/>
                <w:sz w:val="21"/>
                <w:szCs w:val="21"/>
                <w:lang w:val="en-US" w:eastAsia="zh-CN"/>
              </w:rPr>
            </w:pPr>
            <w:r>
              <w:rPr>
                <w:rFonts w:hint="eastAsia" w:asciiTheme="minorEastAsia" w:hAnsiTheme="minorEastAsia" w:eastAsiaTheme="minorEastAsia" w:cstheme="minorBidi"/>
                <w:bCs/>
                <w:sz w:val="21"/>
                <w:szCs w:val="21"/>
              </w:rPr>
              <w:t>保安人员在岗位上不留长发、胡须，</w:t>
            </w:r>
            <w:r>
              <w:rPr>
                <w:rFonts w:hint="eastAsia" w:asciiTheme="minorEastAsia" w:hAnsiTheme="minorEastAsia" w:eastAsiaTheme="minorEastAsia" w:cstheme="minorBidi"/>
                <w:bCs/>
                <w:sz w:val="21"/>
                <w:szCs w:val="21"/>
                <w:lang w:val="en-US" w:eastAsia="zh-CN"/>
              </w:rPr>
              <w:t>不能在岗玩手机</w:t>
            </w:r>
          </w:p>
        </w:tc>
      </w:tr>
      <w:tr w14:paraId="0EB16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25E829B4">
            <w:pPr>
              <w:snapToGrid w:val="0"/>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7</w:t>
            </w:r>
          </w:p>
        </w:tc>
        <w:tc>
          <w:tcPr>
            <w:tcW w:w="8555" w:type="dxa"/>
            <w:vAlign w:val="center"/>
          </w:tcPr>
          <w:p w14:paraId="0AC4DCAA">
            <w:pPr>
              <w:widowControl/>
              <w:spacing w:line="360" w:lineRule="auto"/>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lang w:val="en-US" w:eastAsia="zh-CN"/>
              </w:rPr>
              <w:t>物业</w:t>
            </w:r>
            <w:r>
              <w:rPr>
                <w:rFonts w:hint="eastAsia" w:asciiTheme="minorEastAsia" w:hAnsiTheme="minorEastAsia" w:eastAsiaTheme="minorEastAsia" w:cstheme="minorBidi"/>
                <w:bCs/>
                <w:sz w:val="21"/>
                <w:szCs w:val="21"/>
              </w:rPr>
              <w:t>人员</w:t>
            </w:r>
            <w:r>
              <w:rPr>
                <w:rFonts w:hint="eastAsia" w:asciiTheme="minorEastAsia" w:hAnsiTheme="minorEastAsia" w:eastAsiaTheme="minorEastAsia" w:cstheme="minorBidi"/>
                <w:bCs/>
                <w:sz w:val="21"/>
                <w:szCs w:val="21"/>
                <w:lang w:val="en-US" w:eastAsia="zh-CN"/>
              </w:rPr>
              <w:t>不得</w:t>
            </w:r>
            <w:r>
              <w:rPr>
                <w:rFonts w:hint="eastAsia" w:asciiTheme="minorEastAsia" w:hAnsiTheme="minorEastAsia" w:eastAsiaTheme="minorEastAsia" w:cstheme="minorBidi"/>
                <w:bCs/>
                <w:sz w:val="21"/>
                <w:szCs w:val="21"/>
              </w:rPr>
              <w:t>迟到、早退、脱岗</w:t>
            </w:r>
            <w:r>
              <w:rPr>
                <w:rFonts w:hint="eastAsia" w:asciiTheme="minorEastAsia" w:hAnsiTheme="minorEastAsia" w:eastAsiaTheme="minorEastAsia" w:cstheme="minorBidi"/>
                <w:bCs/>
                <w:sz w:val="21"/>
                <w:szCs w:val="21"/>
                <w:lang w:eastAsia="zh-CN"/>
              </w:rPr>
              <w:t>、</w:t>
            </w:r>
            <w:r>
              <w:rPr>
                <w:rFonts w:hint="eastAsia" w:asciiTheme="minorEastAsia" w:hAnsiTheme="minorEastAsia" w:eastAsiaTheme="minorEastAsia" w:cstheme="minorBidi"/>
                <w:bCs/>
                <w:sz w:val="21"/>
                <w:szCs w:val="21"/>
                <w:lang w:val="en-US" w:eastAsia="zh-CN"/>
              </w:rPr>
              <w:t>睡岗等</w:t>
            </w:r>
            <w:r>
              <w:rPr>
                <w:rFonts w:hint="eastAsia" w:asciiTheme="minorEastAsia" w:hAnsiTheme="minorEastAsia" w:eastAsiaTheme="minorEastAsia" w:cstheme="minorBidi"/>
                <w:bCs/>
                <w:sz w:val="21"/>
                <w:szCs w:val="21"/>
              </w:rPr>
              <w:t>现象。</w:t>
            </w:r>
          </w:p>
        </w:tc>
      </w:tr>
      <w:tr w14:paraId="2D5DA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0D003032">
            <w:pPr>
              <w:snapToGrid w:val="0"/>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8</w:t>
            </w:r>
          </w:p>
        </w:tc>
        <w:tc>
          <w:tcPr>
            <w:tcW w:w="8555" w:type="dxa"/>
            <w:vAlign w:val="center"/>
          </w:tcPr>
          <w:p w14:paraId="278C56A1">
            <w:pPr>
              <w:widowControl/>
              <w:spacing w:line="360" w:lineRule="auto"/>
              <w:rPr>
                <w:rFonts w:hint="default" w:asciiTheme="minorEastAsia" w:hAnsiTheme="minorEastAsia" w:eastAsiaTheme="minorEastAsia" w:cstheme="minorBidi"/>
                <w:bCs/>
                <w:sz w:val="21"/>
                <w:szCs w:val="21"/>
                <w:lang w:val="en-US" w:eastAsia="zh-CN"/>
              </w:rPr>
            </w:pPr>
            <w:r>
              <w:rPr>
                <w:rFonts w:hint="eastAsia" w:asciiTheme="minorEastAsia" w:hAnsiTheme="minorEastAsia" w:eastAsiaTheme="minorEastAsia" w:cstheme="minorBidi"/>
                <w:bCs/>
                <w:sz w:val="21"/>
                <w:szCs w:val="21"/>
                <w:lang w:val="en-US" w:eastAsia="zh-CN"/>
              </w:rPr>
              <w:t>物业人员按甲方要求打卡考勤</w:t>
            </w:r>
          </w:p>
        </w:tc>
      </w:tr>
      <w:tr w14:paraId="74F1D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0DF77638">
            <w:pPr>
              <w:snapToGrid w:val="0"/>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9</w:t>
            </w:r>
          </w:p>
        </w:tc>
        <w:tc>
          <w:tcPr>
            <w:tcW w:w="8555" w:type="dxa"/>
            <w:vAlign w:val="center"/>
          </w:tcPr>
          <w:p w14:paraId="05925E79">
            <w:pPr>
              <w:snapToGrid w:val="0"/>
              <w:spacing w:line="360" w:lineRule="auto"/>
              <w:jc w:val="left"/>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lang w:val="en-US" w:eastAsia="zh-CN"/>
              </w:rPr>
              <w:t>物业服务</w:t>
            </w:r>
            <w:r>
              <w:rPr>
                <w:rFonts w:hint="eastAsia" w:asciiTheme="minorEastAsia" w:hAnsiTheme="minorEastAsia" w:eastAsiaTheme="minorEastAsia" w:cstheme="minorBidi"/>
                <w:bCs/>
                <w:sz w:val="21"/>
                <w:szCs w:val="21"/>
              </w:rPr>
              <w:t>人员必须熟悉</w:t>
            </w:r>
            <w:r>
              <w:rPr>
                <w:rFonts w:hint="eastAsia" w:asciiTheme="minorEastAsia" w:hAnsiTheme="minorEastAsia" w:eastAsiaTheme="minorEastAsia" w:cstheme="minorBidi"/>
                <w:bCs/>
                <w:sz w:val="21"/>
                <w:szCs w:val="21"/>
                <w:lang w:val="en-US" w:eastAsia="zh-CN"/>
              </w:rPr>
              <w:t>医院各科室</w:t>
            </w:r>
            <w:r>
              <w:rPr>
                <w:rFonts w:hint="eastAsia" w:asciiTheme="minorEastAsia" w:hAnsiTheme="minorEastAsia" w:eastAsiaTheme="minorEastAsia" w:cstheme="minorBidi"/>
                <w:bCs/>
                <w:sz w:val="21"/>
                <w:szCs w:val="21"/>
              </w:rPr>
              <w:t>名称和所在的位置。</w:t>
            </w:r>
          </w:p>
        </w:tc>
      </w:tr>
      <w:tr w14:paraId="08739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68327DF4">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10</w:t>
            </w:r>
          </w:p>
        </w:tc>
        <w:tc>
          <w:tcPr>
            <w:tcW w:w="8555" w:type="dxa"/>
            <w:vAlign w:val="center"/>
          </w:tcPr>
          <w:p w14:paraId="1DB82D82">
            <w:pPr>
              <w:widowControl/>
              <w:spacing w:line="360" w:lineRule="auto"/>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主动服务，禁止直接回复不知道。</w:t>
            </w:r>
          </w:p>
        </w:tc>
      </w:tr>
      <w:tr w14:paraId="3A405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0F5F48CC">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11</w:t>
            </w:r>
          </w:p>
        </w:tc>
        <w:tc>
          <w:tcPr>
            <w:tcW w:w="8555" w:type="dxa"/>
            <w:vAlign w:val="center"/>
          </w:tcPr>
          <w:p w14:paraId="2B1F7A74">
            <w:pPr>
              <w:widowControl/>
              <w:spacing w:line="360" w:lineRule="auto"/>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门岗执勤人员精神饱满，服务动作规范标准。</w:t>
            </w:r>
          </w:p>
        </w:tc>
      </w:tr>
      <w:tr w14:paraId="3C8CA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1F101D7E">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12</w:t>
            </w:r>
          </w:p>
        </w:tc>
        <w:tc>
          <w:tcPr>
            <w:tcW w:w="8555" w:type="dxa"/>
            <w:vAlign w:val="center"/>
          </w:tcPr>
          <w:p w14:paraId="4CB20686">
            <w:pPr>
              <w:widowControl/>
              <w:spacing w:line="360" w:lineRule="auto"/>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保安人员到岗无迟到、早退、脱岗现象。</w:t>
            </w:r>
          </w:p>
        </w:tc>
      </w:tr>
      <w:tr w14:paraId="443F4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14B0D26C">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13</w:t>
            </w:r>
          </w:p>
        </w:tc>
        <w:tc>
          <w:tcPr>
            <w:tcW w:w="8555" w:type="dxa"/>
            <w:vAlign w:val="center"/>
          </w:tcPr>
          <w:p w14:paraId="67199254">
            <w:pPr>
              <w:widowControl/>
              <w:spacing w:line="360" w:lineRule="auto"/>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保安在值勤时做到打不还手、骂不还口，文明执勤。</w:t>
            </w:r>
          </w:p>
        </w:tc>
      </w:tr>
      <w:tr w14:paraId="2FC4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3F7AB658">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14</w:t>
            </w:r>
          </w:p>
        </w:tc>
        <w:tc>
          <w:tcPr>
            <w:tcW w:w="8555" w:type="dxa"/>
            <w:vAlign w:val="center"/>
          </w:tcPr>
          <w:p w14:paraId="1999318B">
            <w:pPr>
              <w:snapToGrid w:val="0"/>
              <w:spacing w:line="360" w:lineRule="auto"/>
              <w:jc w:val="left"/>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加强对施工人员的有效管理，对明显违反规定的事情，不能视而不见</w:t>
            </w:r>
            <w:r>
              <w:rPr>
                <w:rFonts w:hint="eastAsia" w:asciiTheme="minorEastAsia" w:hAnsiTheme="minorEastAsia" w:eastAsiaTheme="minorEastAsia" w:cstheme="minorBidi"/>
                <w:bCs/>
                <w:sz w:val="21"/>
                <w:szCs w:val="21"/>
                <w:lang w:eastAsia="zh-CN"/>
              </w:rPr>
              <w:t>，</w:t>
            </w:r>
            <w:r>
              <w:rPr>
                <w:rFonts w:hint="eastAsia" w:asciiTheme="minorEastAsia" w:hAnsiTheme="minorEastAsia" w:eastAsiaTheme="minorEastAsia" w:cstheme="minorBidi"/>
                <w:bCs/>
                <w:sz w:val="21"/>
                <w:szCs w:val="21"/>
              </w:rPr>
              <w:t>杜绝出现违规现象。</w:t>
            </w:r>
          </w:p>
        </w:tc>
      </w:tr>
      <w:tr w14:paraId="6AD73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61D6C356">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15</w:t>
            </w:r>
          </w:p>
        </w:tc>
        <w:tc>
          <w:tcPr>
            <w:tcW w:w="8555" w:type="dxa"/>
            <w:vAlign w:val="center"/>
          </w:tcPr>
          <w:p w14:paraId="72E96747">
            <w:pPr>
              <w:widowControl/>
              <w:spacing w:line="360" w:lineRule="auto"/>
              <w:rPr>
                <w:rFonts w:hint="default" w:asciiTheme="minorEastAsia" w:hAnsiTheme="minorEastAsia" w:eastAsiaTheme="minorEastAsia" w:cstheme="minorBidi"/>
                <w:bCs/>
                <w:sz w:val="21"/>
                <w:szCs w:val="21"/>
                <w:lang w:val="en-US" w:eastAsia="zh-CN"/>
              </w:rPr>
            </w:pPr>
            <w:r>
              <w:rPr>
                <w:rFonts w:hint="eastAsia" w:asciiTheme="minorEastAsia" w:hAnsiTheme="minorEastAsia" w:eastAsiaTheme="minorEastAsia" w:cstheme="minorBidi"/>
                <w:bCs/>
                <w:sz w:val="21"/>
                <w:szCs w:val="21"/>
                <w:lang w:val="en-US" w:eastAsia="zh-CN"/>
              </w:rPr>
              <w:t>对进出车辆禁止管控，禁止无关车辆进入。</w:t>
            </w:r>
          </w:p>
        </w:tc>
      </w:tr>
      <w:tr w14:paraId="78CFE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4DE76778">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16</w:t>
            </w:r>
          </w:p>
        </w:tc>
        <w:tc>
          <w:tcPr>
            <w:tcW w:w="8555" w:type="dxa"/>
            <w:vAlign w:val="center"/>
          </w:tcPr>
          <w:p w14:paraId="624F6EB2">
            <w:pPr>
              <w:widowControl/>
              <w:spacing w:line="360" w:lineRule="auto"/>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lang w:val="en-US" w:eastAsia="zh-CN"/>
              </w:rPr>
              <w:t>对携带</w:t>
            </w:r>
            <w:r>
              <w:rPr>
                <w:rFonts w:hint="eastAsia" w:asciiTheme="minorEastAsia" w:hAnsiTheme="minorEastAsia" w:eastAsiaTheme="minorEastAsia" w:cstheme="minorBidi"/>
                <w:bCs/>
                <w:sz w:val="21"/>
                <w:szCs w:val="21"/>
              </w:rPr>
              <w:t>危险品、衣冠不整、携带宠物者进入公共区域</w:t>
            </w:r>
          </w:p>
        </w:tc>
      </w:tr>
      <w:tr w14:paraId="535A9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628E6E95">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17</w:t>
            </w:r>
          </w:p>
        </w:tc>
        <w:tc>
          <w:tcPr>
            <w:tcW w:w="8555" w:type="dxa"/>
            <w:vAlign w:val="center"/>
          </w:tcPr>
          <w:p w14:paraId="5A4425B5">
            <w:pPr>
              <w:widowControl/>
              <w:spacing w:line="360" w:lineRule="auto"/>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对</w:t>
            </w:r>
            <w:r>
              <w:rPr>
                <w:rFonts w:hint="eastAsia" w:asciiTheme="minorEastAsia" w:hAnsiTheme="minorEastAsia" w:eastAsiaTheme="minorEastAsia" w:cstheme="minorBidi"/>
                <w:bCs/>
                <w:sz w:val="21"/>
                <w:szCs w:val="21"/>
                <w:lang w:val="en-US" w:eastAsia="zh-CN"/>
              </w:rPr>
              <w:t>患者等</w:t>
            </w:r>
            <w:r>
              <w:rPr>
                <w:rFonts w:hint="eastAsia" w:asciiTheme="minorEastAsia" w:hAnsiTheme="minorEastAsia" w:eastAsiaTheme="minorEastAsia" w:cstheme="minorBidi"/>
                <w:bCs/>
                <w:sz w:val="21"/>
                <w:szCs w:val="21"/>
              </w:rPr>
              <w:t>有效投诉，认真查找原因，及时整改，对违纪</w:t>
            </w:r>
            <w:r>
              <w:rPr>
                <w:rFonts w:hint="eastAsia" w:asciiTheme="minorEastAsia" w:hAnsiTheme="minorEastAsia" w:eastAsiaTheme="minorEastAsia" w:cstheme="minorBidi"/>
                <w:bCs/>
                <w:sz w:val="21"/>
                <w:szCs w:val="21"/>
                <w:lang w:val="en-US" w:eastAsia="zh-CN"/>
              </w:rPr>
              <w:t>人员</w:t>
            </w:r>
            <w:r>
              <w:rPr>
                <w:rFonts w:hint="eastAsia" w:asciiTheme="minorEastAsia" w:hAnsiTheme="minorEastAsia" w:eastAsiaTheme="minorEastAsia" w:cstheme="minorBidi"/>
                <w:bCs/>
                <w:sz w:val="21"/>
                <w:szCs w:val="21"/>
              </w:rPr>
              <w:t>作出处理</w:t>
            </w:r>
          </w:p>
        </w:tc>
      </w:tr>
      <w:tr w14:paraId="42E66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39F6BBB0">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18</w:t>
            </w:r>
          </w:p>
        </w:tc>
        <w:tc>
          <w:tcPr>
            <w:tcW w:w="8555" w:type="dxa"/>
            <w:vAlign w:val="center"/>
          </w:tcPr>
          <w:p w14:paraId="090A1A94">
            <w:pPr>
              <w:widowControl/>
              <w:spacing w:line="360" w:lineRule="auto"/>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严格执行</w:t>
            </w:r>
            <w:r>
              <w:rPr>
                <w:rFonts w:hint="eastAsia" w:asciiTheme="minorEastAsia" w:hAnsiTheme="minorEastAsia" w:eastAsiaTheme="minorEastAsia" w:cstheme="minorBidi"/>
                <w:bCs/>
                <w:sz w:val="21"/>
                <w:szCs w:val="21"/>
                <w:lang w:val="en-US" w:eastAsia="zh-CN"/>
              </w:rPr>
              <w:t>医院</w:t>
            </w:r>
            <w:r>
              <w:rPr>
                <w:rFonts w:hint="eastAsia" w:asciiTheme="minorEastAsia" w:hAnsiTheme="minorEastAsia" w:eastAsiaTheme="minorEastAsia" w:cstheme="minorBidi"/>
                <w:bCs/>
                <w:sz w:val="21"/>
                <w:szCs w:val="21"/>
              </w:rPr>
              <w:t>禁烟管理规范，</w:t>
            </w:r>
            <w:r>
              <w:rPr>
                <w:rFonts w:hint="eastAsia" w:asciiTheme="minorEastAsia" w:hAnsiTheme="minorEastAsia" w:eastAsiaTheme="minorEastAsia" w:cstheme="minorBidi"/>
                <w:bCs/>
                <w:sz w:val="21"/>
                <w:szCs w:val="21"/>
                <w:lang w:val="en-US" w:eastAsia="zh-CN"/>
              </w:rPr>
              <w:t>医院区域</w:t>
            </w:r>
            <w:r>
              <w:rPr>
                <w:rFonts w:hint="eastAsia" w:asciiTheme="minorEastAsia" w:hAnsiTheme="minorEastAsia" w:eastAsiaTheme="minorEastAsia" w:cstheme="minorBidi"/>
                <w:bCs/>
                <w:sz w:val="21"/>
                <w:szCs w:val="21"/>
              </w:rPr>
              <w:t>不准吸烟。</w:t>
            </w:r>
          </w:p>
        </w:tc>
      </w:tr>
      <w:tr w14:paraId="5DE4D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433E9739">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19</w:t>
            </w:r>
          </w:p>
        </w:tc>
        <w:tc>
          <w:tcPr>
            <w:tcW w:w="8555" w:type="dxa"/>
            <w:vAlign w:val="center"/>
          </w:tcPr>
          <w:p w14:paraId="777BC2BD">
            <w:pPr>
              <w:widowControl/>
              <w:spacing w:line="360" w:lineRule="auto"/>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岗位职责规范明确，无脱岗、窜岗等做岗位工作以外无关事件。</w:t>
            </w:r>
          </w:p>
        </w:tc>
      </w:tr>
      <w:tr w14:paraId="31E19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4BB1F49F">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20</w:t>
            </w:r>
          </w:p>
        </w:tc>
        <w:tc>
          <w:tcPr>
            <w:tcW w:w="8555" w:type="dxa"/>
            <w:vAlign w:val="center"/>
          </w:tcPr>
          <w:p w14:paraId="5CF93BF2">
            <w:pPr>
              <w:widowControl/>
              <w:spacing w:line="360" w:lineRule="auto"/>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lang w:val="en-US" w:eastAsia="zh-CN"/>
              </w:rPr>
              <w:t>严重落实上下班制度</w:t>
            </w:r>
            <w:r>
              <w:rPr>
                <w:rFonts w:hint="eastAsia" w:asciiTheme="minorEastAsia" w:hAnsiTheme="minorEastAsia" w:eastAsiaTheme="minorEastAsia" w:cstheme="minorBidi"/>
                <w:bCs/>
                <w:sz w:val="21"/>
                <w:szCs w:val="21"/>
              </w:rPr>
              <w:t>，工作指令完成落实及时性，无拖拉、无推辞。</w:t>
            </w:r>
          </w:p>
        </w:tc>
      </w:tr>
      <w:tr w14:paraId="5826F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02698F05">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21</w:t>
            </w:r>
          </w:p>
        </w:tc>
        <w:tc>
          <w:tcPr>
            <w:tcW w:w="8555" w:type="dxa"/>
            <w:vAlign w:val="center"/>
          </w:tcPr>
          <w:p w14:paraId="37F85BBD">
            <w:pPr>
              <w:widowControl/>
              <w:spacing w:line="360" w:lineRule="auto"/>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消防工作按规定检查，及时发现消防隐患，做到消防安全无事故。</w:t>
            </w:r>
          </w:p>
        </w:tc>
      </w:tr>
      <w:tr w14:paraId="3EF9C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7F124F3D">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22</w:t>
            </w:r>
          </w:p>
        </w:tc>
        <w:tc>
          <w:tcPr>
            <w:tcW w:w="8555" w:type="dxa"/>
            <w:vAlign w:val="center"/>
          </w:tcPr>
          <w:p w14:paraId="52D7DB63">
            <w:pPr>
              <w:widowControl/>
              <w:spacing w:line="360" w:lineRule="auto"/>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做好接待工作，按要求做好引导和秩序维护工作。</w:t>
            </w:r>
          </w:p>
        </w:tc>
      </w:tr>
      <w:tr w14:paraId="43B2C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7CA3B860">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23</w:t>
            </w:r>
          </w:p>
        </w:tc>
        <w:tc>
          <w:tcPr>
            <w:tcW w:w="8555" w:type="dxa"/>
            <w:vAlign w:val="center"/>
          </w:tcPr>
          <w:p w14:paraId="5F0EE54F">
            <w:pPr>
              <w:widowControl/>
              <w:spacing w:line="360" w:lineRule="auto"/>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防范</w:t>
            </w:r>
            <w:r>
              <w:rPr>
                <w:rFonts w:hint="eastAsia" w:asciiTheme="minorEastAsia" w:hAnsiTheme="minorEastAsia" w:eastAsiaTheme="minorEastAsia" w:cstheme="minorBidi"/>
                <w:bCs/>
                <w:sz w:val="21"/>
                <w:szCs w:val="21"/>
                <w:lang w:val="en-US" w:eastAsia="zh-CN"/>
              </w:rPr>
              <w:t>医院</w:t>
            </w:r>
            <w:r>
              <w:rPr>
                <w:rFonts w:hint="eastAsia" w:asciiTheme="minorEastAsia" w:hAnsiTheme="minorEastAsia" w:eastAsiaTheme="minorEastAsia" w:cstheme="minorBidi"/>
                <w:bCs/>
                <w:sz w:val="21"/>
                <w:szCs w:val="21"/>
              </w:rPr>
              <w:t>设施设备有无损坏，发现情况及时处理，做到无漏洞。如因工作失职，导致甲方经济损失，将有偿追责。</w:t>
            </w:r>
          </w:p>
        </w:tc>
      </w:tr>
      <w:tr w14:paraId="192DE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6DBD303C">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24</w:t>
            </w:r>
          </w:p>
        </w:tc>
        <w:tc>
          <w:tcPr>
            <w:tcW w:w="8555" w:type="dxa"/>
            <w:vAlign w:val="center"/>
          </w:tcPr>
          <w:p w14:paraId="0CD31DCF">
            <w:pPr>
              <w:widowControl/>
              <w:spacing w:line="360" w:lineRule="auto"/>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巡更系统覆盖全面无盲区，巡更点没有漏打情况发生。</w:t>
            </w:r>
          </w:p>
        </w:tc>
      </w:tr>
      <w:tr w14:paraId="395C2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7FA5CD12">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25</w:t>
            </w:r>
          </w:p>
        </w:tc>
        <w:tc>
          <w:tcPr>
            <w:tcW w:w="8555" w:type="dxa"/>
            <w:vAlign w:val="center"/>
          </w:tcPr>
          <w:p w14:paraId="2A576A4A">
            <w:pPr>
              <w:widowControl/>
              <w:spacing w:line="360" w:lineRule="auto"/>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按日常巡查计划执行巡逻</w:t>
            </w:r>
            <w:r>
              <w:rPr>
                <w:rFonts w:hint="eastAsia" w:asciiTheme="minorEastAsia" w:hAnsiTheme="minorEastAsia" w:eastAsiaTheme="minorEastAsia" w:cstheme="minorBidi"/>
                <w:bCs/>
                <w:sz w:val="21"/>
                <w:szCs w:val="21"/>
                <w:lang w:eastAsia="zh-CN"/>
              </w:rPr>
              <w:t>、</w:t>
            </w:r>
            <w:r>
              <w:rPr>
                <w:rFonts w:hint="eastAsia" w:asciiTheme="minorEastAsia" w:hAnsiTheme="minorEastAsia" w:eastAsiaTheme="minorEastAsia" w:cstheme="minorBidi"/>
                <w:bCs/>
                <w:sz w:val="21"/>
                <w:szCs w:val="21"/>
                <w:lang w:val="en-US" w:eastAsia="zh-CN"/>
              </w:rPr>
              <w:t>清扫</w:t>
            </w:r>
            <w:r>
              <w:rPr>
                <w:rFonts w:hint="eastAsia" w:asciiTheme="minorEastAsia" w:hAnsiTheme="minorEastAsia" w:eastAsiaTheme="minorEastAsia" w:cstheme="minorBidi"/>
                <w:bCs/>
                <w:sz w:val="21"/>
                <w:szCs w:val="21"/>
              </w:rPr>
              <w:t>，巡查工作无遗漏，后勤通道无垃圾、堆物、保持整洁</w:t>
            </w:r>
          </w:p>
        </w:tc>
      </w:tr>
      <w:tr w14:paraId="421BD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009A150C">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26</w:t>
            </w:r>
          </w:p>
        </w:tc>
        <w:tc>
          <w:tcPr>
            <w:tcW w:w="8555" w:type="dxa"/>
            <w:vAlign w:val="center"/>
          </w:tcPr>
          <w:p w14:paraId="64FB48DB">
            <w:pPr>
              <w:widowControl/>
              <w:spacing w:line="360" w:lineRule="auto"/>
              <w:rPr>
                <w:rFonts w:hint="eastAsia" w:asciiTheme="minorEastAsia" w:hAnsiTheme="minorEastAsia" w:eastAsiaTheme="minorEastAsia" w:cstheme="minorBidi"/>
                <w:bCs/>
                <w:sz w:val="21"/>
                <w:szCs w:val="21"/>
                <w:lang w:eastAsia="zh-CN"/>
              </w:rPr>
            </w:pPr>
            <w:r>
              <w:rPr>
                <w:rFonts w:hint="eastAsia" w:asciiTheme="minorEastAsia" w:hAnsiTheme="minorEastAsia" w:eastAsiaTheme="minorEastAsia" w:cstheme="minorBidi"/>
                <w:bCs/>
                <w:sz w:val="21"/>
                <w:szCs w:val="21"/>
              </w:rPr>
              <w:t>消防设施定期检查</w:t>
            </w:r>
            <w:r>
              <w:rPr>
                <w:rFonts w:hint="eastAsia" w:asciiTheme="minorEastAsia" w:hAnsiTheme="minorEastAsia" w:eastAsiaTheme="minorEastAsia" w:cstheme="minorBidi"/>
                <w:bCs/>
                <w:sz w:val="21"/>
                <w:szCs w:val="21"/>
                <w:lang w:eastAsia="zh-CN"/>
              </w:rPr>
              <w:t>、</w:t>
            </w:r>
            <w:r>
              <w:rPr>
                <w:rFonts w:hint="eastAsia" w:asciiTheme="minorEastAsia" w:hAnsiTheme="minorEastAsia" w:eastAsiaTheme="minorEastAsia" w:cstheme="minorBidi"/>
                <w:bCs/>
                <w:sz w:val="21"/>
                <w:szCs w:val="21"/>
              </w:rPr>
              <w:t>防火巡查记录完整清晰可追溯。</w:t>
            </w:r>
          </w:p>
        </w:tc>
      </w:tr>
      <w:tr w14:paraId="06BC0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4CEE5D5C">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27</w:t>
            </w:r>
          </w:p>
        </w:tc>
        <w:tc>
          <w:tcPr>
            <w:tcW w:w="8555" w:type="dxa"/>
            <w:vAlign w:val="center"/>
          </w:tcPr>
          <w:p w14:paraId="6593E507">
            <w:pPr>
              <w:widowControl/>
              <w:spacing w:line="360" w:lineRule="auto"/>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按规范对义务消防队进行培训，做到每次培训有记录。</w:t>
            </w:r>
          </w:p>
        </w:tc>
      </w:tr>
      <w:tr w14:paraId="00532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0E510768">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28</w:t>
            </w:r>
          </w:p>
        </w:tc>
        <w:tc>
          <w:tcPr>
            <w:tcW w:w="8555" w:type="dxa"/>
            <w:vAlign w:val="center"/>
          </w:tcPr>
          <w:p w14:paraId="237255E4">
            <w:pPr>
              <w:widowControl/>
              <w:spacing w:line="360" w:lineRule="auto"/>
              <w:rPr>
                <w:rFonts w:hint="eastAsia" w:asciiTheme="minorEastAsia" w:hAnsiTheme="minorEastAsia" w:eastAsiaTheme="minorEastAsia" w:cstheme="minorBidi"/>
                <w:bCs/>
                <w:sz w:val="21"/>
                <w:szCs w:val="21"/>
                <w:lang w:eastAsia="zh-CN"/>
              </w:rPr>
            </w:pPr>
            <w:r>
              <w:rPr>
                <w:rFonts w:hint="eastAsia" w:asciiTheme="minorEastAsia" w:hAnsiTheme="minorEastAsia" w:eastAsiaTheme="minorEastAsia" w:cstheme="minorBidi"/>
                <w:bCs/>
                <w:sz w:val="21"/>
                <w:szCs w:val="21"/>
              </w:rPr>
              <w:t>使用装备定期检查清点，装备物品要爱护</w:t>
            </w:r>
            <w:r>
              <w:rPr>
                <w:rFonts w:hint="eastAsia" w:asciiTheme="minorEastAsia" w:hAnsiTheme="minorEastAsia" w:eastAsiaTheme="minorEastAsia" w:cstheme="minorBidi"/>
                <w:bCs/>
                <w:sz w:val="21"/>
                <w:szCs w:val="21"/>
                <w:lang w:eastAsia="zh-CN"/>
              </w:rPr>
              <w:t>。</w:t>
            </w:r>
          </w:p>
        </w:tc>
      </w:tr>
      <w:tr w14:paraId="54B9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5DD798FA">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29</w:t>
            </w:r>
          </w:p>
        </w:tc>
        <w:tc>
          <w:tcPr>
            <w:tcW w:w="8555" w:type="dxa"/>
            <w:vAlign w:val="center"/>
          </w:tcPr>
          <w:p w14:paraId="217A8AD1">
            <w:pPr>
              <w:widowControl/>
              <w:spacing w:line="360" w:lineRule="auto"/>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月度突发事件应急处理培训有计划有落实。</w:t>
            </w:r>
          </w:p>
        </w:tc>
      </w:tr>
      <w:tr w14:paraId="41231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7E7FD415">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30</w:t>
            </w:r>
          </w:p>
        </w:tc>
        <w:tc>
          <w:tcPr>
            <w:tcW w:w="8555" w:type="dxa"/>
            <w:vAlign w:val="center"/>
          </w:tcPr>
          <w:p w14:paraId="36131FD1">
            <w:pPr>
              <w:widowControl/>
              <w:spacing w:line="360" w:lineRule="auto"/>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特别突发事件处理要及时，相关记录清晰可追溯。</w:t>
            </w:r>
          </w:p>
        </w:tc>
      </w:tr>
      <w:tr w14:paraId="4D554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30AD5019">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31</w:t>
            </w:r>
          </w:p>
        </w:tc>
        <w:tc>
          <w:tcPr>
            <w:tcW w:w="8555" w:type="dxa"/>
            <w:vAlign w:val="center"/>
          </w:tcPr>
          <w:p w14:paraId="5B1C4F90">
            <w:pPr>
              <w:widowControl/>
              <w:spacing w:line="360" w:lineRule="auto"/>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每月月报总结内容准确、详细，按照计划进行。</w:t>
            </w:r>
          </w:p>
        </w:tc>
      </w:tr>
      <w:tr w14:paraId="5017B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51D82408">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32</w:t>
            </w:r>
          </w:p>
        </w:tc>
        <w:tc>
          <w:tcPr>
            <w:tcW w:w="8555" w:type="dxa"/>
            <w:vAlign w:val="center"/>
          </w:tcPr>
          <w:p w14:paraId="65517CAB">
            <w:pPr>
              <w:widowControl/>
              <w:spacing w:line="360" w:lineRule="auto"/>
              <w:rPr>
                <w:rFonts w:hint="default" w:asciiTheme="minorEastAsia" w:hAnsiTheme="minorEastAsia" w:eastAsiaTheme="minorEastAsia" w:cstheme="minorBidi"/>
                <w:bCs/>
                <w:sz w:val="21"/>
                <w:szCs w:val="21"/>
                <w:lang w:val="en-US" w:eastAsia="zh-CN"/>
              </w:rPr>
            </w:pPr>
            <w:r>
              <w:rPr>
                <w:rFonts w:hint="eastAsia" w:asciiTheme="minorEastAsia" w:hAnsiTheme="minorEastAsia" w:eastAsiaTheme="minorEastAsia" w:cstheme="minorBidi"/>
                <w:bCs/>
                <w:sz w:val="21"/>
                <w:szCs w:val="21"/>
                <w:lang w:val="en-US" w:eastAsia="zh-CN"/>
              </w:rPr>
              <w:t>雨天做好地毯铺设及安全提示牌放置，及时清理水泽以免造成摔伤事故。</w:t>
            </w:r>
          </w:p>
        </w:tc>
      </w:tr>
      <w:tr w14:paraId="4CBAD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75D3185F">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33</w:t>
            </w:r>
          </w:p>
        </w:tc>
        <w:tc>
          <w:tcPr>
            <w:tcW w:w="8555" w:type="dxa"/>
            <w:vAlign w:val="center"/>
          </w:tcPr>
          <w:p w14:paraId="5D82F3BB">
            <w:pPr>
              <w:widowControl/>
              <w:spacing w:line="360" w:lineRule="auto"/>
              <w:rPr>
                <w:rFonts w:hint="default" w:asciiTheme="minorEastAsia" w:hAnsiTheme="minorEastAsia" w:eastAsiaTheme="minorEastAsia" w:cstheme="minorBidi"/>
                <w:bCs/>
                <w:sz w:val="21"/>
                <w:szCs w:val="21"/>
                <w:lang w:val="en-US" w:eastAsia="zh-CN"/>
              </w:rPr>
            </w:pPr>
            <w:r>
              <w:rPr>
                <w:rFonts w:hint="eastAsia" w:asciiTheme="minorEastAsia" w:hAnsiTheme="minorEastAsia" w:eastAsiaTheme="minorEastAsia" w:cstheme="minorBidi"/>
                <w:bCs/>
                <w:sz w:val="21"/>
                <w:szCs w:val="21"/>
                <w:lang w:val="en-US" w:eastAsia="zh-CN"/>
              </w:rPr>
              <w:t>保洁工具按要求规范摆放。’</w:t>
            </w:r>
          </w:p>
        </w:tc>
      </w:tr>
      <w:tr w14:paraId="56DA5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1F6B5CD0">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34</w:t>
            </w:r>
          </w:p>
        </w:tc>
        <w:tc>
          <w:tcPr>
            <w:tcW w:w="8555" w:type="dxa"/>
            <w:vAlign w:val="center"/>
          </w:tcPr>
          <w:p w14:paraId="09D217C8">
            <w:pPr>
              <w:widowControl/>
              <w:spacing w:line="360" w:lineRule="auto"/>
              <w:rPr>
                <w:rFonts w:hint="default" w:asciiTheme="minorEastAsia" w:hAnsiTheme="minorEastAsia" w:eastAsiaTheme="minorEastAsia" w:cstheme="minorBidi"/>
                <w:bCs/>
                <w:sz w:val="21"/>
                <w:szCs w:val="21"/>
                <w:lang w:val="en-US" w:eastAsia="zh-CN"/>
              </w:rPr>
            </w:pPr>
            <w:r>
              <w:rPr>
                <w:rFonts w:hint="eastAsia" w:asciiTheme="minorEastAsia" w:hAnsiTheme="minorEastAsia" w:eastAsiaTheme="minorEastAsia" w:cstheme="minorBidi"/>
                <w:bCs/>
                <w:sz w:val="21"/>
                <w:szCs w:val="21"/>
                <w:lang w:val="en-US" w:eastAsia="zh-CN"/>
              </w:rPr>
              <w:t>卫生间及公区保持干净无异味，垃圾桶及时清理。</w:t>
            </w:r>
          </w:p>
        </w:tc>
      </w:tr>
      <w:tr w14:paraId="7C076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21A82586">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35</w:t>
            </w:r>
          </w:p>
        </w:tc>
        <w:tc>
          <w:tcPr>
            <w:tcW w:w="8555" w:type="dxa"/>
            <w:vAlign w:val="center"/>
          </w:tcPr>
          <w:p w14:paraId="354856D6">
            <w:pPr>
              <w:widowControl/>
              <w:spacing w:line="360" w:lineRule="auto"/>
              <w:rPr>
                <w:rFonts w:hint="default" w:asciiTheme="minorEastAsia" w:hAnsiTheme="minorEastAsia" w:eastAsiaTheme="minorEastAsia" w:cstheme="minorBidi"/>
                <w:bCs/>
                <w:sz w:val="21"/>
                <w:szCs w:val="21"/>
                <w:lang w:val="en-US" w:eastAsia="zh-CN"/>
              </w:rPr>
            </w:pPr>
            <w:r>
              <w:rPr>
                <w:rFonts w:hint="eastAsia" w:asciiTheme="minorEastAsia" w:hAnsiTheme="minorEastAsia" w:eastAsiaTheme="minorEastAsia" w:cstheme="minorBidi"/>
                <w:bCs/>
                <w:sz w:val="21"/>
                <w:szCs w:val="21"/>
                <w:lang w:val="en-US" w:eastAsia="zh-CN"/>
              </w:rPr>
              <w:t>按要求对电梯、卫生间、垃圾房等区域消毒并进行登记</w:t>
            </w:r>
          </w:p>
        </w:tc>
      </w:tr>
      <w:tr w14:paraId="78774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31C6D071">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36</w:t>
            </w:r>
          </w:p>
        </w:tc>
        <w:tc>
          <w:tcPr>
            <w:tcW w:w="8555" w:type="dxa"/>
            <w:vAlign w:val="center"/>
          </w:tcPr>
          <w:p w14:paraId="02F54682">
            <w:pPr>
              <w:widowControl/>
              <w:spacing w:line="360" w:lineRule="auto"/>
              <w:rPr>
                <w:rFonts w:hint="default" w:asciiTheme="minorEastAsia" w:hAnsiTheme="minorEastAsia" w:eastAsiaTheme="minorEastAsia" w:cstheme="minorBidi"/>
                <w:bCs/>
                <w:sz w:val="21"/>
                <w:szCs w:val="21"/>
                <w:lang w:val="en-US" w:eastAsia="zh-CN"/>
              </w:rPr>
            </w:pPr>
            <w:r>
              <w:rPr>
                <w:rFonts w:hint="eastAsia" w:asciiTheme="minorEastAsia" w:hAnsiTheme="minorEastAsia" w:eastAsiaTheme="minorEastAsia" w:cstheme="minorBidi"/>
                <w:bCs/>
                <w:sz w:val="21"/>
                <w:szCs w:val="21"/>
                <w:lang w:val="en-US" w:eastAsia="zh-CN"/>
              </w:rPr>
              <w:t>按合同要求配置保洁工具、物料及消毒用品</w:t>
            </w:r>
          </w:p>
        </w:tc>
      </w:tr>
      <w:tr w14:paraId="2F2FF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3C96AF1B">
            <w:pPr>
              <w:widowControl/>
              <w:spacing w:line="360" w:lineRule="auto"/>
              <w:jc w:val="center"/>
              <w:rPr>
                <w:rFonts w:asciiTheme="minorEastAsia" w:hAnsiTheme="minorEastAsia" w:eastAsiaTheme="minorEastAsia" w:cstheme="minorBidi"/>
                <w:bCs/>
                <w:sz w:val="21"/>
                <w:szCs w:val="21"/>
              </w:rPr>
            </w:pPr>
            <w:r>
              <w:rPr>
                <w:rFonts w:hint="eastAsia" w:asciiTheme="minorEastAsia" w:hAnsiTheme="minorEastAsia" w:eastAsiaTheme="minorEastAsia" w:cstheme="minorBidi"/>
                <w:bCs/>
                <w:sz w:val="21"/>
                <w:szCs w:val="21"/>
              </w:rPr>
              <w:t>37</w:t>
            </w:r>
          </w:p>
        </w:tc>
        <w:tc>
          <w:tcPr>
            <w:tcW w:w="8555" w:type="dxa"/>
            <w:vAlign w:val="center"/>
          </w:tcPr>
          <w:p w14:paraId="3DF9323C">
            <w:pPr>
              <w:widowControl/>
              <w:spacing w:line="360" w:lineRule="auto"/>
              <w:rPr>
                <w:rFonts w:hint="default" w:asciiTheme="minorEastAsia" w:hAnsiTheme="minorEastAsia" w:eastAsiaTheme="minorEastAsia" w:cstheme="minorBidi"/>
                <w:bCs/>
                <w:sz w:val="21"/>
                <w:szCs w:val="21"/>
                <w:lang w:val="en-US" w:eastAsia="zh-CN"/>
              </w:rPr>
            </w:pPr>
            <w:r>
              <w:rPr>
                <w:rFonts w:hint="eastAsia" w:asciiTheme="minorEastAsia" w:hAnsiTheme="minorEastAsia" w:eastAsiaTheme="minorEastAsia" w:cstheme="minorBidi"/>
                <w:bCs/>
                <w:sz w:val="21"/>
                <w:szCs w:val="21"/>
                <w:lang w:val="en-US" w:eastAsia="zh-CN"/>
              </w:rPr>
              <w:t>物业存放工具及物资区域干净有序</w:t>
            </w:r>
          </w:p>
        </w:tc>
      </w:tr>
      <w:tr w14:paraId="7467A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4" w:type="dxa"/>
            <w:gridSpan w:val="2"/>
            <w:vAlign w:val="center"/>
          </w:tcPr>
          <w:p w14:paraId="1BF93455">
            <w:pPr>
              <w:widowControl/>
              <w:spacing w:line="360" w:lineRule="auto"/>
              <w:rPr>
                <w:rFonts w:hint="default" w:asciiTheme="minorEastAsia" w:hAnsiTheme="minorEastAsia" w:eastAsiaTheme="minorEastAsia" w:cstheme="minorBidi"/>
                <w:bCs/>
                <w:sz w:val="21"/>
                <w:szCs w:val="21"/>
                <w:lang w:val="en-US" w:eastAsia="zh-CN"/>
              </w:rPr>
            </w:pPr>
            <w:r>
              <w:rPr>
                <w:rFonts w:hint="eastAsia" w:asciiTheme="minorEastAsia" w:hAnsiTheme="minorEastAsia" w:eastAsiaTheme="minorEastAsia" w:cstheme="minorBidi"/>
                <w:bCs/>
                <w:sz w:val="21"/>
                <w:szCs w:val="21"/>
                <w:lang w:val="en-US" w:eastAsia="zh-CN"/>
              </w:rPr>
              <w:t xml:space="preserve">            严重落实上诉物业服务考核内容，如有违反将进行奖惩。</w:t>
            </w:r>
          </w:p>
        </w:tc>
      </w:tr>
    </w:tbl>
    <w:p w14:paraId="45D432BA">
      <w:pPr>
        <w:jc w:val="center"/>
        <w:rPr>
          <w:rFonts w:ascii="宋体" w:hAnsi="宋体" w:cs="宋体"/>
          <w:b/>
          <w:bCs/>
          <w:sz w:val="21"/>
          <w:szCs w:val="21"/>
        </w:rPr>
      </w:pPr>
    </w:p>
    <w:p w14:paraId="208F2A64">
      <w:pPr>
        <w:jc w:val="both"/>
        <w:rPr>
          <w:rFonts w:ascii="宋体" w:hAnsi="宋体" w:cs="黑体"/>
          <w:b/>
          <w:sz w:val="24"/>
          <w:szCs w:val="24"/>
        </w:rPr>
      </w:pPr>
    </w:p>
    <w:p w14:paraId="3E5EE5AC">
      <w:pPr>
        <w:jc w:val="both"/>
        <w:rPr>
          <w:rFonts w:ascii="宋体" w:hAnsi="宋体" w:cs="黑体"/>
          <w:b/>
          <w:sz w:val="24"/>
          <w:szCs w:val="24"/>
        </w:rPr>
      </w:pPr>
      <w:r>
        <w:rPr>
          <w:rFonts w:ascii="宋体" w:hAnsi="宋体" w:cs="黑体"/>
          <w:b/>
          <w:sz w:val="24"/>
          <w:szCs w:val="24"/>
        </w:rPr>
        <w:t>物业管理工作质量评价表</w:t>
      </w:r>
    </w:p>
    <w:tbl>
      <w:tblPr>
        <w:tblStyle w:val="9"/>
        <w:tblpPr w:leftFromText="180" w:rightFromText="180" w:vertAnchor="text" w:horzAnchor="margin" w:tblpY="230"/>
        <w:tblW w:w="0" w:type="auto"/>
        <w:tblInd w:w="0" w:type="dxa"/>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Layout w:type="fixed"/>
        <w:tblCellMar>
          <w:top w:w="0" w:type="dxa"/>
          <w:left w:w="93" w:type="dxa"/>
          <w:bottom w:w="0" w:type="dxa"/>
          <w:right w:w="108" w:type="dxa"/>
        </w:tblCellMar>
      </w:tblPr>
      <w:tblGrid>
        <w:gridCol w:w="694"/>
        <w:gridCol w:w="3303"/>
        <w:gridCol w:w="836"/>
        <w:gridCol w:w="831"/>
        <w:gridCol w:w="975"/>
        <w:gridCol w:w="832"/>
        <w:gridCol w:w="1786"/>
      </w:tblGrid>
      <w:tr w14:paraId="63437DFA">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12" w:space="0"/>
              <w:left w:val="single" w:color="00000A" w:sz="12" w:space="0"/>
              <w:bottom w:val="single" w:color="00000A" w:sz="6" w:space="0"/>
              <w:right w:val="single" w:color="00000A" w:sz="6" w:space="0"/>
            </w:tcBorders>
            <w:tcMar>
              <w:left w:w="93" w:type="dxa"/>
            </w:tcMar>
            <w:vAlign w:val="center"/>
          </w:tcPr>
          <w:p w14:paraId="4E0E0E4E">
            <w:pPr>
              <w:spacing w:line="276" w:lineRule="auto"/>
              <w:jc w:val="center"/>
              <w:rPr>
                <w:rFonts w:ascii="宋体" w:hAnsi="宋体"/>
                <w:b/>
                <w:bCs/>
                <w:sz w:val="18"/>
                <w:szCs w:val="18"/>
              </w:rPr>
            </w:pPr>
            <w:r>
              <w:rPr>
                <w:rFonts w:hint="eastAsia" w:ascii="宋体" w:hAnsi="宋体"/>
                <w:b/>
                <w:bCs/>
                <w:sz w:val="18"/>
                <w:szCs w:val="18"/>
              </w:rPr>
              <w:t>序号</w:t>
            </w:r>
          </w:p>
        </w:tc>
        <w:tc>
          <w:tcPr>
            <w:tcW w:w="3303" w:type="dxa"/>
            <w:tcBorders>
              <w:top w:val="single" w:color="00000A" w:sz="12" w:space="0"/>
              <w:left w:val="single" w:color="00000A" w:sz="6" w:space="0"/>
              <w:bottom w:val="single" w:color="00000A" w:sz="6" w:space="0"/>
              <w:right w:val="single" w:color="00000A" w:sz="6" w:space="0"/>
            </w:tcBorders>
            <w:tcMar>
              <w:left w:w="100" w:type="dxa"/>
            </w:tcMar>
            <w:vAlign w:val="center"/>
          </w:tcPr>
          <w:p w14:paraId="56603736">
            <w:pPr>
              <w:spacing w:line="276" w:lineRule="auto"/>
              <w:jc w:val="center"/>
              <w:rPr>
                <w:rFonts w:ascii="宋体" w:hAnsi="宋体"/>
                <w:b/>
                <w:bCs/>
                <w:sz w:val="18"/>
                <w:szCs w:val="18"/>
              </w:rPr>
            </w:pPr>
            <w:r>
              <w:rPr>
                <w:rFonts w:ascii="宋体" w:hAnsi="宋体"/>
                <w:b/>
                <w:bCs/>
                <w:sz w:val="18"/>
                <w:szCs w:val="18"/>
              </w:rPr>
              <w:t>质量目标</w:t>
            </w:r>
          </w:p>
        </w:tc>
        <w:tc>
          <w:tcPr>
            <w:tcW w:w="836" w:type="dxa"/>
            <w:tcBorders>
              <w:top w:val="single" w:color="00000A" w:sz="12" w:space="0"/>
              <w:left w:val="single" w:color="00000A" w:sz="6" w:space="0"/>
              <w:bottom w:val="single" w:color="00000A" w:sz="6" w:space="0"/>
              <w:right w:val="single" w:color="00000A" w:sz="6" w:space="0"/>
            </w:tcBorders>
            <w:tcMar>
              <w:left w:w="93" w:type="dxa"/>
            </w:tcMar>
            <w:vAlign w:val="center"/>
          </w:tcPr>
          <w:p w14:paraId="35709897">
            <w:pPr>
              <w:spacing w:line="276" w:lineRule="auto"/>
              <w:jc w:val="center"/>
              <w:rPr>
                <w:rFonts w:ascii="宋体" w:hAnsi="宋体"/>
                <w:b/>
                <w:bCs/>
                <w:sz w:val="18"/>
                <w:szCs w:val="18"/>
              </w:rPr>
            </w:pPr>
            <w:r>
              <w:rPr>
                <w:rFonts w:ascii="宋体" w:hAnsi="宋体"/>
                <w:b/>
                <w:bCs/>
                <w:sz w:val="18"/>
                <w:szCs w:val="18"/>
              </w:rPr>
              <w:t>目标值</w:t>
            </w:r>
          </w:p>
        </w:tc>
        <w:tc>
          <w:tcPr>
            <w:tcW w:w="831" w:type="dxa"/>
            <w:tcBorders>
              <w:top w:val="single" w:color="00000A" w:sz="12" w:space="0"/>
              <w:left w:val="single" w:color="00000A" w:sz="6" w:space="0"/>
              <w:bottom w:val="single" w:color="00000A" w:sz="6" w:space="0"/>
              <w:right w:val="single" w:color="00000A" w:sz="6" w:space="0"/>
            </w:tcBorders>
            <w:tcMar>
              <w:left w:w="93" w:type="dxa"/>
            </w:tcMar>
            <w:vAlign w:val="center"/>
          </w:tcPr>
          <w:p w14:paraId="5D2B0435">
            <w:pPr>
              <w:spacing w:line="276" w:lineRule="auto"/>
              <w:jc w:val="center"/>
              <w:rPr>
                <w:rFonts w:ascii="宋体" w:hAnsi="宋体"/>
                <w:b/>
                <w:bCs/>
                <w:sz w:val="18"/>
                <w:szCs w:val="18"/>
              </w:rPr>
            </w:pPr>
            <w:r>
              <w:rPr>
                <w:rFonts w:ascii="宋体" w:hAnsi="宋体"/>
                <w:b/>
                <w:bCs/>
                <w:sz w:val="18"/>
                <w:szCs w:val="18"/>
              </w:rPr>
              <w:t>基本分</w:t>
            </w:r>
          </w:p>
        </w:tc>
        <w:tc>
          <w:tcPr>
            <w:tcW w:w="975" w:type="dxa"/>
            <w:tcBorders>
              <w:top w:val="single" w:color="00000A" w:sz="12" w:space="0"/>
              <w:left w:val="single" w:color="00000A" w:sz="6" w:space="0"/>
              <w:bottom w:val="single" w:color="00000A" w:sz="6" w:space="0"/>
              <w:right w:val="single" w:color="00000A" w:sz="6" w:space="0"/>
            </w:tcBorders>
            <w:tcMar>
              <w:left w:w="93" w:type="dxa"/>
            </w:tcMar>
            <w:vAlign w:val="center"/>
          </w:tcPr>
          <w:p w14:paraId="1348F2E9">
            <w:pPr>
              <w:spacing w:line="276" w:lineRule="auto"/>
              <w:jc w:val="center"/>
              <w:rPr>
                <w:rFonts w:ascii="宋体" w:hAnsi="宋体"/>
                <w:b/>
                <w:bCs/>
                <w:sz w:val="18"/>
                <w:szCs w:val="18"/>
              </w:rPr>
            </w:pPr>
            <w:r>
              <w:rPr>
                <w:rFonts w:ascii="宋体" w:hAnsi="宋体"/>
                <w:b/>
                <w:bCs/>
                <w:sz w:val="18"/>
                <w:szCs w:val="18"/>
              </w:rPr>
              <w:t>完成情况</w:t>
            </w:r>
          </w:p>
        </w:tc>
        <w:tc>
          <w:tcPr>
            <w:tcW w:w="832" w:type="dxa"/>
            <w:tcBorders>
              <w:top w:val="single" w:color="00000A" w:sz="12" w:space="0"/>
              <w:left w:val="single" w:color="00000A" w:sz="6" w:space="0"/>
              <w:bottom w:val="single" w:color="00000A" w:sz="6" w:space="0"/>
              <w:right w:val="single" w:color="00000A" w:sz="6" w:space="0"/>
            </w:tcBorders>
            <w:tcMar>
              <w:left w:w="93" w:type="dxa"/>
            </w:tcMar>
            <w:vAlign w:val="center"/>
          </w:tcPr>
          <w:p w14:paraId="5C2AE51B">
            <w:pPr>
              <w:spacing w:line="276" w:lineRule="auto"/>
              <w:jc w:val="center"/>
              <w:rPr>
                <w:rFonts w:ascii="宋体" w:hAnsi="宋体"/>
                <w:b/>
                <w:bCs/>
                <w:sz w:val="18"/>
                <w:szCs w:val="18"/>
              </w:rPr>
            </w:pPr>
            <w:r>
              <w:rPr>
                <w:rFonts w:ascii="宋体" w:hAnsi="宋体"/>
                <w:b/>
                <w:bCs/>
                <w:sz w:val="18"/>
                <w:szCs w:val="18"/>
              </w:rPr>
              <w:t>考评值</w:t>
            </w:r>
          </w:p>
        </w:tc>
        <w:tc>
          <w:tcPr>
            <w:tcW w:w="1786" w:type="dxa"/>
            <w:tcBorders>
              <w:top w:val="single" w:color="00000A" w:sz="12" w:space="0"/>
              <w:left w:val="single" w:color="00000A" w:sz="6" w:space="0"/>
              <w:bottom w:val="single" w:color="00000A" w:sz="6" w:space="0"/>
              <w:right w:val="single" w:color="00000A" w:sz="12" w:space="0"/>
            </w:tcBorders>
            <w:tcMar>
              <w:left w:w="93" w:type="dxa"/>
            </w:tcMar>
            <w:vAlign w:val="center"/>
          </w:tcPr>
          <w:p w14:paraId="23CC6866">
            <w:pPr>
              <w:spacing w:line="276" w:lineRule="auto"/>
              <w:jc w:val="center"/>
              <w:rPr>
                <w:rFonts w:ascii="宋体" w:hAnsi="宋体"/>
                <w:b/>
                <w:bCs/>
                <w:sz w:val="18"/>
                <w:szCs w:val="18"/>
              </w:rPr>
            </w:pPr>
            <w:r>
              <w:rPr>
                <w:rFonts w:ascii="宋体" w:hAnsi="宋体"/>
                <w:b/>
                <w:bCs/>
                <w:sz w:val="18"/>
                <w:szCs w:val="18"/>
              </w:rPr>
              <w:t>备注</w:t>
            </w:r>
          </w:p>
        </w:tc>
      </w:tr>
      <w:tr w14:paraId="7EC316F5">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6" w:space="0"/>
              <w:left w:val="single" w:color="00000A" w:sz="12" w:space="0"/>
              <w:bottom w:val="single" w:color="00000A" w:sz="6" w:space="0"/>
              <w:right w:val="single" w:color="00000A" w:sz="6" w:space="0"/>
            </w:tcBorders>
            <w:tcMar>
              <w:left w:w="93" w:type="dxa"/>
            </w:tcMar>
            <w:vAlign w:val="center"/>
          </w:tcPr>
          <w:p w14:paraId="22A4B679">
            <w:pPr>
              <w:spacing w:line="276" w:lineRule="auto"/>
              <w:jc w:val="center"/>
              <w:rPr>
                <w:rFonts w:ascii="宋体" w:hAnsi="宋体" w:cs="仿宋"/>
                <w:sz w:val="18"/>
                <w:szCs w:val="18"/>
              </w:rPr>
            </w:pPr>
            <w:r>
              <w:rPr>
                <w:rFonts w:ascii="宋体" w:hAnsi="宋体" w:cs="仿宋"/>
                <w:sz w:val="18"/>
                <w:szCs w:val="18"/>
              </w:rPr>
              <w:t>1</w:t>
            </w:r>
          </w:p>
        </w:tc>
        <w:tc>
          <w:tcPr>
            <w:tcW w:w="3303" w:type="dxa"/>
            <w:tcBorders>
              <w:top w:val="single" w:color="00000A" w:sz="6" w:space="0"/>
              <w:left w:val="single" w:color="00000A" w:sz="6" w:space="0"/>
              <w:bottom w:val="single" w:color="00000A" w:sz="6" w:space="0"/>
              <w:right w:val="single" w:color="00000A" w:sz="6" w:space="0"/>
            </w:tcBorders>
            <w:tcMar>
              <w:left w:w="100" w:type="dxa"/>
            </w:tcMar>
            <w:vAlign w:val="center"/>
          </w:tcPr>
          <w:p w14:paraId="2B2E351E">
            <w:pPr>
              <w:spacing w:line="276" w:lineRule="auto"/>
              <w:jc w:val="center"/>
              <w:rPr>
                <w:rFonts w:ascii="宋体" w:hAnsi="宋体" w:cs="仿宋"/>
                <w:sz w:val="18"/>
                <w:szCs w:val="18"/>
              </w:rPr>
            </w:pPr>
            <w:r>
              <w:rPr>
                <w:rFonts w:hint="eastAsia" w:ascii="宋体" w:hAnsi="宋体" w:cs="仿宋"/>
                <w:sz w:val="18"/>
                <w:szCs w:val="18"/>
                <w:lang w:val="en-US" w:eastAsia="zh-CN"/>
              </w:rPr>
              <w:t>后勤</w:t>
            </w:r>
            <w:r>
              <w:rPr>
                <w:rFonts w:ascii="宋体" w:hAnsi="宋体" w:cs="仿宋"/>
                <w:sz w:val="18"/>
                <w:szCs w:val="18"/>
              </w:rPr>
              <w:t>设备、设施保养及时率</w:t>
            </w:r>
          </w:p>
        </w:tc>
        <w:tc>
          <w:tcPr>
            <w:tcW w:w="836" w:type="dxa"/>
            <w:tcBorders>
              <w:top w:val="single" w:color="00000A" w:sz="6" w:space="0"/>
              <w:left w:val="single" w:color="00000A" w:sz="6" w:space="0"/>
              <w:bottom w:val="single" w:color="00000A" w:sz="6" w:space="0"/>
              <w:right w:val="single" w:color="00000A" w:sz="6" w:space="0"/>
            </w:tcBorders>
            <w:tcMar>
              <w:left w:w="93" w:type="dxa"/>
            </w:tcMar>
            <w:vAlign w:val="center"/>
          </w:tcPr>
          <w:p w14:paraId="3BF48679">
            <w:pPr>
              <w:spacing w:line="276" w:lineRule="auto"/>
              <w:jc w:val="center"/>
              <w:rPr>
                <w:rFonts w:ascii="宋体" w:hAnsi="宋体" w:cs="仿宋"/>
                <w:sz w:val="18"/>
                <w:szCs w:val="18"/>
              </w:rPr>
            </w:pPr>
            <w:r>
              <w:rPr>
                <w:rFonts w:ascii="宋体" w:hAnsi="宋体" w:cs="仿宋"/>
                <w:sz w:val="18"/>
                <w:szCs w:val="18"/>
              </w:rPr>
              <w:t>100%</w:t>
            </w:r>
          </w:p>
        </w:tc>
        <w:tc>
          <w:tcPr>
            <w:tcW w:w="831" w:type="dxa"/>
            <w:tcBorders>
              <w:top w:val="single" w:color="00000A" w:sz="6" w:space="0"/>
              <w:left w:val="single" w:color="00000A" w:sz="6" w:space="0"/>
              <w:bottom w:val="single" w:color="00000A" w:sz="6" w:space="0"/>
              <w:right w:val="single" w:color="00000A" w:sz="6" w:space="0"/>
            </w:tcBorders>
            <w:tcMar>
              <w:left w:w="93" w:type="dxa"/>
            </w:tcMar>
            <w:vAlign w:val="center"/>
          </w:tcPr>
          <w:p w14:paraId="20594EFC">
            <w:pPr>
              <w:spacing w:line="276" w:lineRule="auto"/>
              <w:jc w:val="center"/>
              <w:rPr>
                <w:rFonts w:ascii="宋体" w:hAnsi="宋体" w:cs="仿宋"/>
                <w:sz w:val="18"/>
                <w:szCs w:val="18"/>
              </w:rPr>
            </w:pPr>
            <w:r>
              <w:rPr>
                <w:rFonts w:ascii="宋体" w:hAnsi="宋体" w:cs="仿宋"/>
                <w:sz w:val="18"/>
                <w:szCs w:val="18"/>
              </w:rPr>
              <w:t>5</w:t>
            </w:r>
          </w:p>
        </w:tc>
        <w:tc>
          <w:tcPr>
            <w:tcW w:w="975" w:type="dxa"/>
            <w:tcBorders>
              <w:top w:val="single" w:color="00000A" w:sz="6" w:space="0"/>
              <w:left w:val="single" w:color="00000A" w:sz="6" w:space="0"/>
              <w:bottom w:val="single" w:color="00000A" w:sz="6" w:space="0"/>
              <w:right w:val="single" w:color="00000A" w:sz="6" w:space="0"/>
            </w:tcBorders>
            <w:tcMar>
              <w:left w:w="93" w:type="dxa"/>
            </w:tcMar>
            <w:vAlign w:val="center"/>
          </w:tcPr>
          <w:p w14:paraId="1CBB07E1">
            <w:pPr>
              <w:spacing w:line="276" w:lineRule="auto"/>
              <w:jc w:val="center"/>
              <w:rPr>
                <w:rFonts w:ascii="宋体" w:hAnsi="宋体" w:cs="仿宋"/>
                <w:sz w:val="18"/>
                <w:szCs w:val="18"/>
              </w:rPr>
            </w:pPr>
          </w:p>
        </w:tc>
        <w:tc>
          <w:tcPr>
            <w:tcW w:w="832" w:type="dxa"/>
            <w:tcBorders>
              <w:top w:val="single" w:color="00000A" w:sz="6" w:space="0"/>
              <w:left w:val="single" w:color="00000A" w:sz="6" w:space="0"/>
              <w:bottom w:val="single" w:color="00000A" w:sz="6" w:space="0"/>
              <w:right w:val="single" w:color="00000A" w:sz="6" w:space="0"/>
            </w:tcBorders>
            <w:tcMar>
              <w:left w:w="93" w:type="dxa"/>
            </w:tcMar>
            <w:vAlign w:val="center"/>
          </w:tcPr>
          <w:p w14:paraId="3CA90A64">
            <w:pPr>
              <w:spacing w:line="276" w:lineRule="auto"/>
              <w:jc w:val="center"/>
              <w:rPr>
                <w:rFonts w:ascii="宋体" w:hAnsi="宋体" w:cs="仿宋"/>
                <w:sz w:val="18"/>
                <w:szCs w:val="18"/>
              </w:rPr>
            </w:pPr>
          </w:p>
        </w:tc>
        <w:tc>
          <w:tcPr>
            <w:tcW w:w="1786" w:type="dxa"/>
            <w:tcBorders>
              <w:top w:val="single" w:color="00000A" w:sz="6" w:space="0"/>
              <w:left w:val="single" w:color="00000A" w:sz="6" w:space="0"/>
              <w:bottom w:val="single" w:color="00000A" w:sz="6" w:space="0"/>
              <w:right w:val="single" w:color="00000A" w:sz="12" w:space="0"/>
            </w:tcBorders>
            <w:tcMar>
              <w:left w:w="93" w:type="dxa"/>
            </w:tcMar>
            <w:vAlign w:val="center"/>
          </w:tcPr>
          <w:p w14:paraId="492F82EA">
            <w:pPr>
              <w:spacing w:line="276" w:lineRule="auto"/>
              <w:jc w:val="center"/>
              <w:rPr>
                <w:rFonts w:ascii="宋体" w:hAnsi="宋体" w:cs="仿宋"/>
                <w:sz w:val="18"/>
                <w:szCs w:val="18"/>
              </w:rPr>
            </w:pPr>
          </w:p>
        </w:tc>
      </w:tr>
      <w:tr w14:paraId="53AE5A9C">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6" w:space="0"/>
              <w:left w:val="single" w:color="00000A" w:sz="12" w:space="0"/>
              <w:bottom w:val="single" w:color="00000A" w:sz="6" w:space="0"/>
              <w:right w:val="single" w:color="00000A" w:sz="6" w:space="0"/>
            </w:tcBorders>
            <w:tcMar>
              <w:left w:w="93" w:type="dxa"/>
            </w:tcMar>
            <w:vAlign w:val="center"/>
          </w:tcPr>
          <w:p w14:paraId="54E936DB">
            <w:pPr>
              <w:spacing w:line="276" w:lineRule="auto"/>
              <w:jc w:val="center"/>
              <w:rPr>
                <w:rFonts w:ascii="宋体" w:hAnsi="宋体" w:cs="仿宋"/>
                <w:sz w:val="18"/>
                <w:szCs w:val="18"/>
              </w:rPr>
            </w:pPr>
            <w:r>
              <w:rPr>
                <w:rFonts w:ascii="宋体" w:hAnsi="宋体" w:cs="仿宋"/>
                <w:sz w:val="18"/>
                <w:szCs w:val="18"/>
              </w:rPr>
              <w:t>2</w:t>
            </w:r>
          </w:p>
        </w:tc>
        <w:tc>
          <w:tcPr>
            <w:tcW w:w="3303" w:type="dxa"/>
            <w:tcBorders>
              <w:top w:val="single" w:color="00000A" w:sz="6" w:space="0"/>
              <w:left w:val="single" w:color="00000A" w:sz="6" w:space="0"/>
              <w:bottom w:val="single" w:color="00000A" w:sz="6" w:space="0"/>
              <w:right w:val="single" w:color="00000A" w:sz="6" w:space="0"/>
            </w:tcBorders>
            <w:tcMar>
              <w:left w:w="100" w:type="dxa"/>
            </w:tcMar>
            <w:vAlign w:val="center"/>
          </w:tcPr>
          <w:p w14:paraId="57AD859D">
            <w:pPr>
              <w:spacing w:line="276" w:lineRule="auto"/>
              <w:jc w:val="center"/>
              <w:rPr>
                <w:rFonts w:hint="default" w:ascii="宋体" w:hAnsi="宋体" w:eastAsia="宋体" w:cs="仿宋"/>
                <w:sz w:val="18"/>
                <w:szCs w:val="18"/>
                <w:lang w:val="en-US" w:eastAsia="zh-CN"/>
              </w:rPr>
            </w:pPr>
            <w:r>
              <w:rPr>
                <w:rFonts w:hint="eastAsia" w:ascii="宋体" w:hAnsi="宋体" w:cs="仿宋"/>
                <w:sz w:val="18"/>
                <w:szCs w:val="18"/>
                <w:lang w:val="en-US" w:eastAsia="zh-CN"/>
              </w:rPr>
              <w:t>环境卫生处置及时率</w:t>
            </w:r>
          </w:p>
        </w:tc>
        <w:tc>
          <w:tcPr>
            <w:tcW w:w="836" w:type="dxa"/>
            <w:tcBorders>
              <w:top w:val="single" w:color="00000A" w:sz="6" w:space="0"/>
              <w:left w:val="single" w:color="00000A" w:sz="6" w:space="0"/>
              <w:bottom w:val="single" w:color="00000A" w:sz="6" w:space="0"/>
              <w:right w:val="single" w:color="00000A" w:sz="6" w:space="0"/>
            </w:tcBorders>
            <w:tcMar>
              <w:left w:w="93" w:type="dxa"/>
            </w:tcMar>
            <w:vAlign w:val="center"/>
          </w:tcPr>
          <w:p w14:paraId="1BAEE236">
            <w:pPr>
              <w:spacing w:line="276" w:lineRule="auto"/>
              <w:jc w:val="center"/>
              <w:rPr>
                <w:rFonts w:ascii="宋体" w:hAnsi="宋体" w:cs="仿宋"/>
                <w:sz w:val="18"/>
                <w:szCs w:val="18"/>
              </w:rPr>
            </w:pPr>
            <w:r>
              <w:rPr>
                <w:rFonts w:ascii="宋体" w:hAnsi="宋体" w:cs="仿宋"/>
                <w:sz w:val="18"/>
                <w:szCs w:val="18"/>
              </w:rPr>
              <w:t>100%</w:t>
            </w:r>
          </w:p>
        </w:tc>
        <w:tc>
          <w:tcPr>
            <w:tcW w:w="831" w:type="dxa"/>
            <w:tcBorders>
              <w:top w:val="single" w:color="00000A" w:sz="6" w:space="0"/>
              <w:left w:val="single" w:color="00000A" w:sz="6" w:space="0"/>
              <w:bottom w:val="single" w:color="00000A" w:sz="6" w:space="0"/>
              <w:right w:val="single" w:color="00000A" w:sz="6" w:space="0"/>
            </w:tcBorders>
            <w:tcMar>
              <w:left w:w="93" w:type="dxa"/>
            </w:tcMar>
            <w:vAlign w:val="center"/>
          </w:tcPr>
          <w:p w14:paraId="4117B27B">
            <w:pPr>
              <w:spacing w:line="276" w:lineRule="auto"/>
              <w:jc w:val="center"/>
              <w:rPr>
                <w:rFonts w:hint="eastAsia" w:ascii="宋体" w:hAnsi="宋体" w:eastAsia="宋体" w:cs="仿宋"/>
                <w:sz w:val="18"/>
                <w:szCs w:val="18"/>
                <w:lang w:eastAsia="zh-CN"/>
              </w:rPr>
            </w:pPr>
            <w:r>
              <w:rPr>
                <w:rFonts w:hint="eastAsia" w:ascii="宋体" w:hAnsi="宋体" w:cs="仿宋"/>
                <w:sz w:val="18"/>
                <w:szCs w:val="18"/>
                <w:lang w:val="en-US" w:eastAsia="zh-CN"/>
              </w:rPr>
              <w:t>6</w:t>
            </w:r>
          </w:p>
        </w:tc>
        <w:tc>
          <w:tcPr>
            <w:tcW w:w="975" w:type="dxa"/>
            <w:tcBorders>
              <w:top w:val="single" w:color="00000A" w:sz="6" w:space="0"/>
              <w:left w:val="single" w:color="00000A" w:sz="6" w:space="0"/>
              <w:bottom w:val="single" w:color="00000A" w:sz="6" w:space="0"/>
              <w:right w:val="single" w:color="00000A" w:sz="6" w:space="0"/>
            </w:tcBorders>
            <w:tcMar>
              <w:left w:w="93" w:type="dxa"/>
            </w:tcMar>
            <w:vAlign w:val="center"/>
          </w:tcPr>
          <w:p w14:paraId="1BF603DB">
            <w:pPr>
              <w:spacing w:line="276" w:lineRule="auto"/>
              <w:jc w:val="center"/>
              <w:rPr>
                <w:rFonts w:ascii="宋体" w:hAnsi="宋体" w:cs="仿宋"/>
                <w:sz w:val="18"/>
                <w:szCs w:val="18"/>
              </w:rPr>
            </w:pPr>
          </w:p>
        </w:tc>
        <w:tc>
          <w:tcPr>
            <w:tcW w:w="832" w:type="dxa"/>
            <w:tcBorders>
              <w:top w:val="single" w:color="00000A" w:sz="6" w:space="0"/>
              <w:left w:val="single" w:color="00000A" w:sz="6" w:space="0"/>
              <w:bottom w:val="single" w:color="00000A" w:sz="6" w:space="0"/>
              <w:right w:val="single" w:color="00000A" w:sz="6" w:space="0"/>
            </w:tcBorders>
            <w:tcMar>
              <w:left w:w="93" w:type="dxa"/>
            </w:tcMar>
            <w:vAlign w:val="center"/>
          </w:tcPr>
          <w:p w14:paraId="443E61EB">
            <w:pPr>
              <w:spacing w:line="276" w:lineRule="auto"/>
              <w:jc w:val="center"/>
              <w:rPr>
                <w:rFonts w:ascii="宋体" w:hAnsi="宋体" w:cs="仿宋"/>
                <w:sz w:val="18"/>
                <w:szCs w:val="18"/>
              </w:rPr>
            </w:pPr>
          </w:p>
        </w:tc>
        <w:tc>
          <w:tcPr>
            <w:tcW w:w="1786" w:type="dxa"/>
            <w:tcBorders>
              <w:top w:val="single" w:color="00000A" w:sz="6" w:space="0"/>
              <w:left w:val="single" w:color="00000A" w:sz="6" w:space="0"/>
              <w:bottom w:val="single" w:color="00000A" w:sz="6" w:space="0"/>
              <w:right w:val="single" w:color="00000A" w:sz="12" w:space="0"/>
            </w:tcBorders>
            <w:tcMar>
              <w:left w:w="93" w:type="dxa"/>
            </w:tcMar>
            <w:vAlign w:val="center"/>
          </w:tcPr>
          <w:p w14:paraId="3699CC40">
            <w:pPr>
              <w:spacing w:line="276" w:lineRule="auto"/>
              <w:jc w:val="center"/>
              <w:rPr>
                <w:rFonts w:ascii="宋体" w:hAnsi="宋体" w:cs="仿宋"/>
                <w:sz w:val="18"/>
                <w:szCs w:val="18"/>
              </w:rPr>
            </w:pPr>
          </w:p>
        </w:tc>
      </w:tr>
      <w:tr w14:paraId="7EEA2462">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6" w:space="0"/>
              <w:left w:val="single" w:color="00000A" w:sz="12" w:space="0"/>
              <w:bottom w:val="single" w:color="00000A" w:sz="6" w:space="0"/>
              <w:right w:val="single" w:color="00000A" w:sz="6" w:space="0"/>
            </w:tcBorders>
            <w:tcMar>
              <w:left w:w="93" w:type="dxa"/>
            </w:tcMar>
            <w:vAlign w:val="center"/>
          </w:tcPr>
          <w:p w14:paraId="03835423">
            <w:pPr>
              <w:spacing w:line="276" w:lineRule="auto"/>
              <w:jc w:val="center"/>
              <w:rPr>
                <w:rFonts w:ascii="宋体" w:hAnsi="宋体" w:cs="仿宋"/>
                <w:sz w:val="18"/>
                <w:szCs w:val="18"/>
              </w:rPr>
            </w:pPr>
            <w:r>
              <w:rPr>
                <w:rFonts w:ascii="宋体" w:hAnsi="宋体" w:cs="仿宋"/>
                <w:sz w:val="18"/>
                <w:szCs w:val="18"/>
              </w:rPr>
              <w:t>3</w:t>
            </w:r>
          </w:p>
        </w:tc>
        <w:tc>
          <w:tcPr>
            <w:tcW w:w="3303" w:type="dxa"/>
            <w:tcBorders>
              <w:top w:val="single" w:color="00000A" w:sz="6" w:space="0"/>
              <w:left w:val="single" w:color="00000A" w:sz="6" w:space="0"/>
              <w:bottom w:val="single" w:color="00000A" w:sz="6" w:space="0"/>
              <w:right w:val="single" w:color="00000A" w:sz="6" w:space="0"/>
            </w:tcBorders>
            <w:tcMar>
              <w:left w:w="100" w:type="dxa"/>
            </w:tcMar>
            <w:vAlign w:val="center"/>
          </w:tcPr>
          <w:p w14:paraId="471D7670">
            <w:pPr>
              <w:spacing w:line="276" w:lineRule="auto"/>
              <w:jc w:val="center"/>
              <w:rPr>
                <w:rFonts w:ascii="宋体" w:hAnsi="宋体" w:cs="仿宋"/>
                <w:sz w:val="18"/>
                <w:szCs w:val="18"/>
              </w:rPr>
            </w:pPr>
            <w:r>
              <w:rPr>
                <w:rFonts w:hint="eastAsia" w:ascii="宋体" w:hAnsi="宋体" w:cs="仿宋"/>
                <w:sz w:val="18"/>
                <w:szCs w:val="18"/>
                <w:lang w:val="en-US" w:eastAsia="zh-CN"/>
              </w:rPr>
              <w:t>物业人员出勤合格</w:t>
            </w:r>
            <w:r>
              <w:rPr>
                <w:rFonts w:ascii="宋体" w:hAnsi="宋体" w:cs="仿宋"/>
                <w:sz w:val="18"/>
                <w:szCs w:val="18"/>
              </w:rPr>
              <w:t>率</w:t>
            </w:r>
          </w:p>
        </w:tc>
        <w:tc>
          <w:tcPr>
            <w:tcW w:w="836" w:type="dxa"/>
            <w:tcBorders>
              <w:top w:val="single" w:color="00000A" w:sz="6" w:space="0"/>
              <w:left w:val="single" w:color="00000A" w:sz="6" w:space="0"/>
              <w:bottom w:val="single" w:color="00000A" w:sz="6" w:space="0"/>
              <w:right w:val="single" w:color="00000A" w:sz="6" w:space="0"/>
            </w:tcBorders>
            <w:tcMar>
              <w:left w:w="93" w:type="dxa"/>
            </w:tcMar>
            <w:vAlign w:val="center"/>
          </w:tcPr>
          <w:p w14:paraId="0E13FC93">
            <w:pPr>
              <w:spacing w:line="276" w:lineRule="auto"/>
              <w:jc w:val="center"/>
              <w:rPr>
                <w:rFonts w:ascii="宋体" w:hAnsi="宋体" w:cs="仿宋"/>
                <w:sz w:val="18"/>
                <w:szCs w:val="18"/>
              </w:rPr>
            </w:pPr>
            <w:r>
              <w:rPr>
                <w:rFonts w:ascii="宋体" w:hAnsi="宋体" w:cs="仿宋"/>
                <w:sz w:val="18"/>
                <w:szCs w:val="18"/>
              </w:rPr>
              <w:t>9</w:t>
            </w:r>
            <w:r>
              <w:rPr>
                <w:rFonts w:hint="eastAsia" w:ascii="宋体" w:hAnsi="宋体" w:cs="仿宋"/>
                <w:sz w:val="18"/>
                <w:szCs w:val="18"/>
                <w:lang w:val="en-US" w:eastAsia="zh-CN"/>
              </w:rPr>
              <w:t>8</w:t>
            </w:r>
            <w:r>
              <w:rPr>
                <w:rFonts w:ascii="宋体" w:hAnsi="宋体" w:cs="仿宋"/>
                <w:sz w:val="18"/>
                <w:szCs w:val="18"/>
              </w:rPr>
              <w:t>%</w:t>
            </w:r>
          </w:p>
        </w:tc>
        <w:tc>
          <w:tcPr>
            <w:tcW w:w="831" w:type="dxa"/>
            <w:tcBorders>
              <w:top w:val="single" w:color="00000A" w:sz="6" w:space="0"/>
              <w:left w:val="single" w:color="00000A" w:sz="6" w:space="0"/>
              <w:bottom w:val="single" w:color="00000A" w:sz="6" w:space="0"/>
              <w:right w:val="single" w:color="00000A" w:sz="6" w:space="0"/>
            </w:tcBorders>
            <w:tcMar>
              <w:left w:w="93" w:type="dxa"/>
            </w:tcMar>
            <w:vAlign w:val="center"/>
          </w:tcPr>
          <w:p w14:paraId="3273AFCE">
            <w:pPr>
              <w:spacing w:line="276" w:lineRule="auto"/>
              <w:jc w:val="center"/>
              <w:rPr>
                <w:rFonts w:ascii="宋体" w:hAnsi="宋体" w:cs="仿宋"/>
                <w:sz w:val="18"/>
                <w:szCs w:val="18"/>
              </w:rPr>
            </w:pPr>
            <w:r>
              <w:rPr>
                <w:rFonts w:ascii="宋体" w:hAnsi="宋体" w:cs="仿宋"/>
                <w:sz w:val="18"/>
                <w:szCs w:val="18"/>
              </w:rPr>
              <w:t>6</w:t>
            </w:r>
          </w:p>
        </w:tc>
        <w:tc>
          <w:tcPr>
            <w:tcW w:w="975" w:type="dxa"/>
            <w:tcBorders>
              <w:top w:val="single" w:color="00000A" w:sz="6" w:space="0"/>
              <w:left w:val="single" w:color="00000A" w:sz="6" w:space="0"/>
              <w:bottom w:val="single" w:color="00000A" w:sz="6" w:space="0"/>
              <w:right w:val="single" w:color="00000A" w:sz="6" w:space="0"/>
            </w:tcBorders>
            <w:tcMar>
              <w:left w:w="93" w:type="dxa"/>
            </w:tcMar>
            <w:vAlign w:val="center"/>
          </w:tcPr>
          <w:p w14:paraId="436DE804">
            <w:pPr>
              <w:spacing w:line="276" w:lineRule="auto"/>
              <w:jc w:val="center"/>
              <w:rPr>
                <w:rFonts w:ascii="宋体" w:hAnsi="宋体" w:cs="仿宋"/>
                <w:sz w:val="18"/>
                <w:szCs w:val="18"/>
              </w:rPr>
            </w:pPr>
          </w:p>
        </w:tc>
        <w:tc>
          <w:tcPr>
            <w:tcW w:w="832" w:type="dxa"/>
            <w:tcBorders>
              <w:top w:val="single" w:color="00000A" w:sz="6" w:space="0"/>
              <w:left w:val="single" w:color="00000A" w:sz="6" w:space="0"/>
              <w:bottom w:val="single" w:color="00000A" w:sz="6" w:space="0"/>
              <w:right w:val="single" w:color="00000A" w:sz="6" w:space="0"/>
            </w:tcBorders>
            <w:tcMar>
              <w:left w:w="93" w:type="dxa"/>
            </w:tcMar>
            <w:vAlign w:val="center"/>
          </w:tcPr>
          <w:p w14:paraId="6E211205">
            <w:pPr>
              <w:spacing w:line="276" w:lineRule="auto"/>
              <w:jc w:val="center"/>
              <w:rPr>
                <w:rFonts w:ascii="宋体" w:hAnsi="宋体" w:cs="仿宋"/>
                <w:sz w:val="18"/>
                <w:szCs w:val="18"/>
              </w:rPr>
            </w:pPr>
          </w:p>
        </w:tc>
        <w:tc>
          <w:tcPr>
            <w:tcW w:w="1786" w:type="dxa"/>
            <w:tcBorders>
              <w:top w:val="single" w:color="00000A" w:sz="6" w:space="0"/>
              <w:left w:val="single" w:color="00000A" w:sz="6" w:space="0"/>
              <w:bottom w:val="single" w:color="00000A" w:sz="6" w:space="0"/>
              <w:right w:val="single" w:color="00000A" w:sz="12" w:space="0"/>
            </w:tcBorders>
            <w:tcMar>
              <w:left w:w="93" w:type="dxa"/>
            </w:tcMar>
            <w:vAlign w:val="center"/>
          </w:tcPr>
          <w:p w14:paraId="6CD07DF5">
            <w:pPr>
              <w:spacing w:line="276" w:lineRule="auto"/>
              <w:ind w:firstLine="1620"/>
              <w:jc w:val="center"/>
              <w:rPr>
                <w:rFonts w:ascii="宋体" w:hAnsi="宋体" w:cs="仿宋"/>
                <w:sz w:val="18"/>
                <w:szCs w:val="18"/>
              </w:rPr>
            </w:pPr>
          </w:p>
        </w:tc>
      </w:tr>
      <w:tr w14:paraId="5DD881D2">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6" w:space="0"/>
              <w:left w:val="single" w:color="00000A" w:sz="12" w:space="0"/>
              <w:bottom w:val="single" w:color="00000A" w:sz="6" w:space="0"/>
              <w:right w:val="single" w:color="00000A" w:sz="6" w:space="0"/>
            </w:tcBorders>
            <w:tcMar>
              <w:left w:w="93" w:type="dxa"/>
            </w:tcMar>
            <w:vAlign w:val="center"/>
          </w:tcPr>
          <w:p w14:paraId="2BDCF6EA">
            <w:pPr>
              <w:spacing w:line="276" w:lineRule="auto"/>
              <w:jc w:val="center"/>
              <w:rPr>
                <w:rFonts w:ascii="宋体" w:hAnsi="宋体" w:cs="仿宋"/>
                <w:sz w:val="18"/>
                <w:szCs w:val="18"/>
              </w:rPr>
            </w:pPr>
            <w:r>
              <w:rPr>
                <w:rFonts w:ascii="宋体" w:hAnsi="宋体" w:cs="仿宋"/>
                <w:sz w:val="18"/>
                <w:szCs w:val="18"/>
              </w:rPr>
              <w:t>4</w:t>
            </w:r>
          </w:p>
        </w:tc>
        <w:tc>
          <w:tcPr>
            <w:tcW w:w="3303" w:type="dxa"/>
            <w:tcBorders>
              <w:top w:val="single" w:color="00000A" w:sz="6" w:space="0"/>
              <w:left w:val="single" w:color="00000A" w:sz="6" w:space="0"/>
              <w:bottom w:val="single" w:color="00000A" w:sz="6" w:space="0"/>
              <w:right w:val="single" w:color="00000A" w:sz="6" w:space="0"/>
            </w:tcBorders>
            <w:tcMar>
              <w:left w:w="100" w:type="dxa"/>
            </w:tcMar>
            <w:vAlign w:val="center"/>
          </w:tcPr>
          <w:p w14:paraId="1F0C7033">
            <w:pPr>
              <w:spacing w:line="276" w:lineRule="auto"/>
              <w:jc w:val="center"/>
              <w:rPr>
                <w:rFonts w:hint="default" w:ascii="宋体" w:hAnsi="宋体" w:eastAsia="宋体" w:cs="仿宋"/>
                <w:sz w:val="18"/>
                <w:szCs w:val="18"/>
                <w:lang w:val="en-US" w:eastAsia="zh-CN"/>
              </w:rPr>
            </w:pPr>
            <w:r>
              <w:rPr>
                <w:rFonts w:hint="eastAsia" w:ascii="宋体" w:hAnsi="宋体" w:cs="仿宋"/>
                <w:sz w:val="18"/>
                <w:szCs w:val="18"/>
                <w:lang w:val="en-US" w:eastAsia="zh-CN"/>
              </w:rPr>
              <w:t>空调清洗消毒执行率</w:t>
            </w:r>
          </w:p>
        </w:tc>
        <w:tc>
          <w:tcPr>
            <w:tcW w:w="836" w:type="dxa"/>
            <w:tcBorders>
              <w:top w:val="single" w:color="00000A" w:sz="6" w:space="0"/>
              <w:left w:val="single" w:color="00000A" w:sz="6" w:space="0"/>
              <w:bottom w:val="single" w:color="00000A" w:sz="6" w:space="0"/>
              <w:right w:val="single" w:color="00000A" w:sz="6" w:space="0"/>
            </w:tcBorders>
            <w:tcMar>
              <w:left w:w="93" w:type="dxa"/>
            </w:tcMar>
            <w:vAlign w:val="center"/>
          </w:tcPr>
          <w:p w14:paraId="002E432B">
            <w:pPr>
              <w:spacing w:line="276" w:lineRule="auto"/>
              <w:jc w:val="center"/>
              <w:rPr>
                <w:rFonts w:ascii="宋体" w:hAnsi="宋体" w:cs="仿宋"/>
                <w:sz w:val="18"/>
                <w:szCs w:val="18"/>
              </w:rPr>
            </w:pPr>
            <w:r>
              <w:rPr>
                <w:rFonts w:hint="eastAsia" w:ascii="宋体" w:hAnsi="宋体" w:cs="仿宋"/>
                <w:sz w:val="18"/>
                <w:szCs w:val="18"/>
                <w:lang w:val="en-US" w:eastAsia="zh-CN"/>
              </w:rPr>
              <w:t>100</w:t>
            </w:r>
            <w:r>
              <w:rPr>
                <w:rFonts w:ascii="宋体" w:hAnsi="宋体" w:cs="仿宋"/>
                <w:sz w:val="18"/>
                <w:szCs w:val="18"/>
              </w:rPr>
              <w:t>%</w:t>
            </w:r>
          </w:p>
        </w:tc>
        <w:tc>
          <w:tcPr>
            <w:tcW w:w="831" w:type="dxa"/>
            <w:tcBorders>
              <w:top w:val="single" w:color="00000A" w:sz="6" w:space="0"/>
              <w:left w:val="single" w:color="00000A" w:sz="6" w:space="0"/>
              <w:bottom w:val="single" w:color="00000A" w:sz="6" w:space="0"/>
              <w:right w:val="single" w:color="00000A" w:sz="6" w:space="0"/>
            </w:tcBorders>
            <w:tcMar>
              <w:left w:w="93" w:type="dxa"/>
            </w:tcMar>
            <w:vAlign w:val="center"/>
          </w:tcPr>
          <w:p w14:paraId="076362A3">
            <w:pPr>
              <w:spacing w:line="276" w:lineRule="auto"/>
              <w:jc w:val="center"/>
              <w:rPr>
                <w:rFonts w:ascii="宋体" w:hAnsi="宋体" w:cs="仿宋"/>
                <w:sz w:val="18"/>
                <w:szCs w:val="18"/>
              </w:rPr>
            </w:pPr>
            <w:r>
              <w:rPr>
                <w:rFonts w:ascii="宋体" w:hAnsi="宋体" w:cs="仿宋"/>
                <w:sz w:val="18"/>
                <w:szCs w:val="18"/>
              </w:rPr>
              <w:t>3</w:t>
            </w:r>
          </w:p>
        </w:tc>
        <w:tc>
          <w:tcPr>
            <w:tcW w:w="975" w:type="dxa"/>
            <w:tcBorders>
              <w:top w:val="single" w:color="00000A" w:sz="6" w:space="0"/>
              <w:left w:val="single" w:color="00000A" w:sz="6" w:space="0"/>
              <w:bottom w:val="single" w:color="00000A" w:sz="6" w:space="0"/>
              <w:right w:val="single" w:color="00000A" w:sz="6" w:space="0"/>
            </w:tcBorders>
            <w:tcMar>
              <w:left w:w="93" w:type="dxa"/>
            </w:tcMar>
            <w:vAlign w:val="center"/>
          </w:tcPr>
          <w:p w14:paraId="4C92CC80">
            <w:pPr>
              <w:spacing w:line="276" w:lineRule="auto"/>
              <w:jc w:val="center"/>
              <w:rPr>
                <w:rFonts w:ascii="宋体" w:hAnsi="宋体" w:cs="仿宋"/>
                <w:sz w:val="18"/>
                <w:szCs w:val="18"/>
              </w:rPr>
            </w:pPr>
          </w:p>
        </w:tc>
        <w:tc>
          <w:tcPr>
            <w:tcW w:w="832" w:type="dxa"/>
            <w:tcBorders>
              <w:top w:val="single" w:color="00000A" w:sz="6" w:space="0"/>
              <w:left w:val="single" w:color="00000A" w:sz="6" w:space="0"/>
              <w:bottom w:val="single" w:color="00000A" w:sz="6" w:space="0"/>
              <w:right w:val="single" w:color="00000A" w:sz="6" w:space="0"/>
            </w:tcBorders>
            <w:tcMar>
              <w:left w:w="93" w:type="dxa"/>
            </w:tcMar>
            <w:vAlign w:val="center"/>
          </w:tcPr>
          <w:p w14:paraId="19CD1AB5">
            <w:pPr>
              <w:spacing w:line="276" w:lineRule="auto"/>
              <w:jc w:val="center"/>
              <w:rPr>
                <w:rFonts w:ascii="宋体" w:hAnsi="宋体" w:cs="仿宋"/>
                <w:sz w:val="18"/>
                <w:szCs w:val="18"/>
              </w:rPr>
            </w:pPr>
          </w:p>
        </w:tc>
        <w:tc>
          <w:tcPr>
            <w:tcW w:w="1786" w:type="dxa"/>
            <w:tcBorders>
              <w:top w:val="single" w:color="00000A" w:sz="6" w:space="0"/>
              <w:left w:val="single" w:color="00000A" w:sz="6" w:space="0"/>
              <w:bottom w:val="single" w:color="00000A" w:sz="6" w:space="0"/>
              <w:right w:val="single" w:color="00000A" w:sz="12" w:space="0"/>
            </w:tcBorders>
            <w:tcMar>
              <w:left w:w="93" w:type="dxa"/>
            </w:tcMar>
            <w:vAlign w:val="center"/>
          </w:tcPr>
          <w:p w14:paraId="570FEBA2">
            <w:pPr>
              <w:spacing w:line="276" w:lineRule="auto"/>
              <w:ind w:firstLine="1323"/>
              <w:jc w:val="center"/>
              <w:rPr>
                <w:rFonts w:ascii="宋体" w:hAnsi="宋体" w:cs="仿宋"/>
                <w:sz w:val="18"/>
                <w:szCs w:val="18"/>
              </w:rPr>
            </w:pPr>
          </w:p>
        </w:tc>
      </w:tr>
      <w:tr w14:paraId="6BD6B460">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6" w:space="0"/>
              <w:left w:val="single" w:color="00000A" w:sz="12" w:space="0"/>
              <w:bottom w:val="single" w:color="00000A" w:sz="6" w:space="0"/>
              <w:right w:val="single" w:color="00000A" w:sz="6" w:space="0"/>
            </w:tcBorders>
            <w:tcMar>
              <w:left w:w="93" w:type="dxa"/>
            </w:tcMar>
            <w:vAlign w:val="center"/>
          </w:tcPr>
          <w:p w14:paraId="4560652F">
            <w:pPr>
              <w:spacing w:line="276" w:lineRule="auto"/>
              <w:jc w:val="center"/>
              <w:rPr>
                <w:rFonts w:ascii="宋体" w:hAnsi="宋体" w:cs="仿宋"/>
                <w:sz w:val="18"/>
                <w:szCs w:val="18"/>
              </w:rPr>
            </w:pPr>
            <w:r>
              <w:rPr>
                <w:rFonts w:ascii="宋体" w:hAnsi="宋体" w:cs="仿宋"/>
                <w:sz w:val="18"/>
                <w:szCs w:val="18"/>
              </w:rPr>
              <w:t>5</w:t>
            </w:r>
          </w:p>
        </w:tc>
        <w:tc>
          <w:tcPr>
            <w:tcW w:w="3303" w:type="dxa"/>
            <w:tcBorders>
              <w:top w:val="single" w:color="00000A" w:sz="6" w:space="0"/>
              <w:left w:val="single" w:color="00000A" w:sz="6" w:space="0"/>
              <w:bottom w:val="single" w:color="00000A" w:sz="6" w:space="0"/>
              <w:right w:val="single" w:color="00000A" w:sz="6" w:space="0"/>
            </w:tcBorders>
            <w:tcMar>
              <w:left w:w="100" w:type="dxa"/>
            </w:tcMar>
            <w:vAlign w:val="center"/>
          </w:tcPr>
          <w:p w14:paraId="69709BC5">
            <w:pPr>
              <w:spacing w:line="276" w:lineRule="auto"/>
              <w:jc w:val="center"/>
              <w:rPr>
                <w:rFonts w:ascii="宋体" w:hAnsi="宋体" w:cs="仿宋"/>
                <w:sz w:val="18"/>
                <w:szCs w:val="18"/>
              </w:rPr>
            </w:pPr>
            <w:r>
              <w:rPr>
                <w:rFonts w:hint="eastAsia" w:ascii="宋体" w:hAnsi="宋体" w:cs="仿宋"/>
                <w:sz w:val="18"/>
                <w:szCs w:val="18"/>
                <w:lang w:val="en-US" w:eastAsia="zh-CN"/>
              </w:rPr>
              <w:t>氧气</w:t>
            </w:r>
            <w:r>
              <w:rPr>
                <w:rFonts w:ascii="宋体" w:hAnsi="宋体" w:cs="仿宋"/>
                <w:sz w:val="18"/>
                <w:szCs w:val="18"/>
              </w:rPr>
              <w:t>、设备、设施完好率</w:t>
            </w:r>
          </w:p>
        </w:tc>
        <w:tc>
          <w:tcPr>
            <w:tcW w:w="836" w:type="dxa"/>
            <w:tcBorders>
              <w:top w:val="single" w:color="00000A" w:sz="6" w:space="0"/>
              <w:left w:val="single" w:color="00000A" w:sz="6" w:space="0"/>
              <w:bottom w:val="single" w:color="00000A" w:sz="6" w:space="0"/>
              <w:right w:val="single" w:color="00000A" w:sz="6" w:space="0"/>
            </w:tcBorders>
            <w:tcMar>
              <w:left w:w="93" w:type="dxa"/>
            </w:tcMar>
            <w:vAlign w:val="center"/>
          </w:tcPr>
          <w:p w14:paraId="2922282B">
            <w:pPr>
              <w:spacing w:line="276" w:lineRule="auto"/>
              <w:jc w:val="center"/>
              <w:rPr>
                <w:rFonts w:ascii="宋体" w:hAnsi="宋体" w:cs="仿宋"/>
                <w:sz w:val="18"/>
                <w:szCs w:val="18"/>
              </w:rPr>
            </w:pPr>
            <w:r>
              <w:rPr>
                <w:rFonts w:hint="eastAsia" w:ascii="宋体" w:hAnsi="宋体" w:cs="仿宋"/>
                <w:sz w:val="18"/>
                <w:szCs w:val="18"/>
                <w:lang w:val="en-US" w:eastAsia="zh-CN"/>
              </w:rPr>
              <w:t>100</w:t>
            </w:r>
            <w:r>
              <w:rPr>
                <w:rFonts w:ascii="宋体" w:hAnsi="宋体" w:cs="仿宋"/>
                <w:sz w:val="18"/>
                <w:szCs w:val="18"/>
              </w:rPr>
              <w:t>%</w:t>
            </w:r>
          </w:p>
        </w:tc>
        <w:tc>
          <w:tcPr>
            <w:tcW w:w="831" w:type="dxa"/>
            <w:tcBorders>
              <w:top w:val="single" w:color="00000A" w:sz="6" w:space="0"/>
              <w:left w:val="single" w:color="00000A" w:sz="6" w:space="0"/>
              <w:bottom w:val="single" w:color="00000A" w:sz="6" w:space="0"/>
              <w:right w:val="single" w:color="00000A" w:sz="6" w:space="0"/>
            </w:tcBorders>
            <w:tcMar>
              <w:left w:w="93" w:type="dxa"/>
            </w:tcMar>
            <w:vAlign w:val="center"/>
          </w:tcPr>
          <w:p w14:paraId="0F593231">
            <w:pPr>
              <w:spacing w:line="276" w:lineRule="auto"/>
              <w:jc w:val="center"/>
              <w:rPr>
                <w:rFonts w:ascii="宋体" w:hAnsi="宋体" w:cs="仿宋"/>
                <w:sz w:val="18"/>
                <w:szCs w:val="18"/>
              </w:rPr>
            </w:pPr>
            <w:r>
              <w:rPr>
                <w:rFonts w:ascii="宋体" w:hAnsi="宋体" w:cs="仿宋"/>
                <w:sz w:val="18"/>
                <w:szCs w:val="18"/>
              </w:rPr>
              <w:t>3</w:t>
            </w:r>
          </w:p>
        </w:tc>
        <w:tc>
          <w:tcPr>
            <w:tcW w:w="975" w:type="dxa"/>
            <w:tcBorders>
              <w:top w:val="single" w:color="00000A" w:sz="6" w:space="0"/>
              <w:left w:val="single" w:color="00000A" w:sz="6" w:space="0"/>
              <w:bottom w:val="single" w:color="00000A" w:sz="6" w:space="0"/>
              <w:right w:val="single" w:color="00000A" w:sz="6" w:space="0"/>
            </w:tcBorders>
            <w:tcMar>
              <w:left w:w="93" w:type="dxa"/>
            </w:tcMar>
            <w:vAlign w:val="center"/>
          </w:tcPr>
          <w:p w14:paraId="5A5B4D0E">
            <w:pPr>
              <w:spacing w:line="276" w:lineRule="auto"/>
              <w:jc w:val="center"/>
              <w:rPr>
                <w:rFonts w:ascii="宋体" w:hAnsi="宋体" w:cs="仿宋"/>
                <w:sz w:val="18"/>
                <w:szCs w:val="18"/>
              </w:rPr>
            </w:pPr>
          </w:p>
        </w:tc>
        <w:tc>
          <w:tcPr>
            <w:tcW w:w="832" w:type="dxa"/>
            <w:tcBorders>
              <w:top w:val="single" w:color="00000A" w:sz="6" w:space="0"/>
              <w:left w:val="single" w:color="00000A" w:sz="6" w:space="0"/>
              <w:bottom w:val="single" w:color="00000A" w:sz="6" w:space="0"/>
              <w:right w:val="single" w:color="00000A" w:sz="6" w:space="0"/>
            </w:tcBorders>
            <w:tcMar>
              <w:left w:w="93" w:type="dxa"/>
            </w:tcMar>
            <w:vAlign w:val="center"/>
          </w:tcPr>
          <w:p w14:paraId="38FA4F3D">
            <w:pPr>
              <w:spacing w:line="276" w:lineRule="auto"/>
              <w:jc w:val="center"/>
              <w:rPr>
                <w:rFonts w:ascii="宋体" w:hAnsi="宋体" w:cs="仿宋"/>
                <w:sz w:val="18"/>
                <w:szCs w:val="18"/>
              </w:rPr>
            </w:pPr>
          </w:p>
        </w:tc>
        <w:tc>
          <w:tcPr>
            <w:tcW w:w="1786" w:type="dxa"/>
            <w:tcBorders>
              <w:top w:val="single" w:color="00000A" w:sz="6" w:space="0"/>
              <w:left w:val="single" w:color="00000A" w:sz="6" w:space="0"/>
              <w:bottom w:val="single" w:color="00000A" w:sz="6" w:space="0"/>
              <w:right w:val="single" w:color="00000A" w:sz="12" w:space="0"/>
            </w:tcBorders>
            <w:tcMar>
              <w:left w:w="93" w:type="dxa"/>
            </w:tcMar>
            <w:vAlign w:val="center"/>
          </w:tcPr>
          <w:p w14:paraId="6467F0E0">
            <w:pPr>
              <w:spacing w:line="276" w:lineRule="auto"/>
              <w:ind w:firstLine="1260"/>
              <w:jc w:val="center"/>
              <w:rPr>
                <w:rFonts w:ascii="宋体" w:hAnsi="宋体" w:cs="仿宋"/>
                <w:sz w:val="18"/>
                <w:szCs w:val="18"/>
              </w:rPr>
            </w:pPr>
          </w:p>
        </w:tc>
      </w:tr>
      <w:tr w14:paraId="7ED2E437">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6" w:space="0"/>
              <w:left w:val="single" w:color="00000A" w:sz="12" w:space="0"/>
              <w:bottom w:val="single" w:color="00000A" w:sz="6" w:space="0"/>
              <w:right w:val="single" w:color="00000A" w:sz="6" w:space="0"/>
            </w:tcBorders>
            <w:tcMar>
              <w:left w:w="93" w:type="dxa"/>
            </w:tcMar>
            <w:vAlign w:val="center"/>
          </w:tcPr>
          <w:p w14:paraId="74503E4A">
            <w:pPr>
              <w:spacing w:line="276" w:lineRule="auto"/>
              <w:jc w:val="center"/>
              <w:rPr>
                <w:rFonts w:ascii="宋体" w:hAnsi="宋体" w:cs="仿宋"/>
                <w:sz w:val="18"/>
                <w:szCs w:val="18"/>
              </w:rPr>
            </w:pPr>
            <w:r>
              <w:rPr>
                <w:rFonts w:ascii="宋体" w:hAnsi="宋体" w:cs="仿宋"/>
                <w:sz w:val="18"/>
                <w:szCs w:val="18"/>
              </w:rPr>
              <w:t>6</w:t>
            </w:r>
          </w:p>
        </w:tc>
        <w:tc>
          <w:tcPr>
            <w:tcW w:w="3303" w:type="dxa"/>
            <w:tcBorders>
              <w:top w:val="single" w:color="00000A" w:sz="6" w:space="0"/>
              <w:left w:val="single" w:color="00000A" w:sz="6" w:space="0"/>
              <w:bottom w:val="single" w:color="00000A" w:sz="6" w:space="0"/>
              <w:right w:val="single" w:color="00000A" w:sz="6" w:space="0"/>
            </w:tcBorders>
            <w:tcMar>
              <w:left w:w="100" w:type="dxa"/>
            </w:tcMar>
            <w:vAlign w:val="center"/>
          </w:tcPr>
          <w:p w14:paraId="16C74160">
            <w:pPr>
              <w:spacing w:line="276" w:lineRule="auto"/>
              <w:jc w:val="center"/>
              <w:rPr>
                <w:rFonts w:ascii="宋体" w:hAnsi="宋体" w:cs="仿宋"/>
                <w:sz w:val="18"/>
                <w:szCs w:val="18"/>
              </w:rPr>
            </w:pPr>
            <w:r>
              <w:rPr>
                <w:rFonts w:ascii="宋体" w:hAnsi="宋体" w:cs="仿宋"/>
                <w:sz w:val="18"/>
                <w:szCs w:val="18"/>
              </w:rPr>
              <w:t>水、电、空调正常供应率（市政原因除外）</w:t>
            </w:r>
          </w:p>
        </w:tc>
        <w:tc>
          <w:tcPr>
            <w:tcW w:w="836" w:type="dxa"/>
            <w:tcBorders>
              <w:top w:val="single" w:color="00000A" w:sz="6" w:space="0"/>
              <w:left w:val="single" w:color="00000A" w:sz="6" w:space="0"/>
              <w:bottom w:val="single" w:color="00000A" w:sz="6" w:space="0"/>
              <w:right w:val="single" w:color="00000A" w:sz="6" w:space="0"/>
            </w:tcBorders>
            <w:tcMar>
              <w:left w:w="93" w:type="dxa"/>
            </w:tcMar>
            <w:vAlign w:val="center"/>
          </w:tcPr>
          <w:p w14:paraId="6DEFF809">
            <w:pPr>
              <w:spacing w:line="276" w:lineRule="auto"/>
              <w:jc w:val="center"/>
              <w:rPr>
                <w:rFonts w:ascii="宋体" w:hAnsi="宋体" w:cs="仿宋"/>
                <w:sz w:val="18"/>
                <w:szCs w:val="18"/>
              </w:rPr>
            </w:pPr>
            <w:r>
              <w:rPr>
                <w:rFonts w:ascii="宋体" w:hAnsi="宋体" w:cs="仿宋"/>
                <w:sz w:val="18"/>
                <w:szCs w:val="18"/>
              </w:rPr>
              <w:t>100%</w:t>
            </w:r>
          </w:p>
        </w:tc>
        <w:tc>
          <w:tcPr>
            <w:tcW w:w="831" w:type="dxa"/>
            <w:tcBorders>
              <w:top w:val="single" w:color="00000A" w:sz="6" w:space="0"/>
              <w:left w:val="single" w:color="00000A" w:sz="6" w:space="0"/>
              <w:bottom w:val="single" w:color="00000A" w:sz="6" w:space="0"/>
              <w:right w:val="single" w:color="00000A" w:sz="6" w:space="0"/>
            </w:tcBorders>
            <w:tcMar>
              <w:left w:w="93" w:type="dxa"/>
            </w:tcMar>
            <w:vAlign w:val="center"/>
          </w:tcPr>
          <w:p w14:paraId="12C54BBF">
            <w:pPr>
              <w:spacing w:line="276" w:lineRule="auto"/>
              <w:jc w:val="center"/>
              <w:rPr>
                <w:rFonts w:ascii="宋体" w:hAnsi="宋体" w:cs="仿宋"/>
                <w:sz w:val="18"/>
                <w:szCs w:val="18"/>
              </w:rPr>
            </w:pPr>
            <w:r>
              <w:rPr>
                <w:rFonts w:ascii="宋体" w:hAnsi="宋体" w:cs="仿宋"/>
                <w:sz w:val="18"/>
                <w:szCs w:val="18"/>
              </w:rPr>
              <w:t>6</w:t>
            </w:r>
          </w:p>
        </w:tc>
        <w:tc>
          <w:tcPr>
            <w:tcW w:w="975" w:type="dxa"/>
            <w:tcBorders>
              <w:top w:val="single" w:color="00000A" w:sz="6" w:space="0"/>
              <w:left w:val="single" w:color="00000A" w:sz="6" w:space="0"/>
              <w:bottom w:val="single" w:color="00000A" w:sz="6" w:space="0"/>
              <w:right w:val="single" w:color="00000A" w:sz="6" w:space="0"/>
            </w:tcBorders>
            <w:tcMar>
              <w:left w:w="93" w:type="dxa"/>
            </w:tcMar>
            <w:vAlign w:val="center"/>
          </w:tcPr>
          <w:p w14:paraId="79103942">
            <w:pPr>
              <w:spacing w:line="276" w:lineRule="auto"/>
              <w:jc w:val="center"/>
              <w:rPr>
                <w:rFonts w:ascii="宋体" w:hAnsi="宋体" w:cs="仿宋"/>
                <w:w w:val="80"/>
                <w:sz w:val="18"/>
                <w:szCs w:val="18"/>
              </w:rPr>
            </w:pPr>
          </w:p>
        </w:tc>
        <w:tc>
          <w:tcPr>
            <w:tcW w:w="832" w:type="dxa"/>
            <w:tcBorders>
              <w:top w:val="single" w:color="00000A" w:sz="6" w:space="0"/>
              <w:left w:val="single" w:color="00000A" w:sz="6" w:space="0"/>
              <w:bottom w:val="single" w:color="00000A" w:sz="6" w:space="0"/>
              <w:right w:val="single" w:color="00000A" w:sz="6" w:space="0"/>
            </w:tcBorders>
            <w:tcMar>
              <w:left w:w="93" w:type="dxa"/>
            </w:tcMar>
            <w:vAlign w:val="center"/>
          </w:tcPr>
          <w:p w14:paraId="3B3809A8">
            <w:pPr>
              <w:spacing w:line="276" w:lineRule="auto"/>
              <w:jc w:val="center"/>
              <w:rPr>
                <w:rFonts w:ascii="宋体" w:hAnsi="宋体" w:cs="仿宋"/>
                <w:w w:val="80"/>
                <w:sz w:val="18"/>
                <w:szCs w:val="18"/>
              </w:rPr>
            </w:pPr>
          </w:p>
        </w:tc>
        <w:tc>
          <w:tcPr>
            <w:tcW w:w="1786" w:type="dxa"/>
            <w:tcBorders>
              <w:top w:val="single" w:color="00000A" w:sz="6" w:space="0"/>
              <w:left w:val="single" w:color="00000A" w:sz="6" w:space="0"/>
              <w:bottom w:val="single" w:color="00000A" w:sz="6" w:space="0"/>
              <w:right w:val="single" w:color="00000A" w:sz="12" w:space="0"/>
            </w:tcBorders>
            <w:tcMar>
              <w:left w:w="93" w:type="dxa"/>
            </w:tcMar>
            <w:vAlign w:val="center"/>
          </w:tcPr>
          <w:p w14:paraId="5E42ADE3">
            <w:pPr>
              <w:spacing w:line="276" w:lineRule="auto"/>
              <w:jc w:val="center"/>
              <w:rPr>
                <w:rFonts w:ascii="宋体" w:hAnsi="宋体" w:cs="仿宋"/>
                <w:sz w:val="18"/>
                <w:szCs w:val="18"/>
              </w:rPr>
            </w:pPr>
          </w:p>
        </w:tc>
      </w:tr>
      <w:tr w14:paraId="5EE25973">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6" w:space="0"/>
              <w:left w:val="single" w:color="00000A" w:sz="12" w:space="0"/>
              <w:bottom w:val="single" w:color="00000A" w:sz="6" w:space="0"/>
              <w:right w:val="single" w:color="00000A" w:sz="6" w:space="0"/>
            </w:tcBorders>
            <w:tcMar>
              <w:left w:w="93" w:type="dxa"/>
            </w:tcMar>
            <w:vAlign w:val="center"/>
          </w:tcPr>
          <w:p w14:paraId="091B16F4">
            <w:pPr>
              <w:spacing w:line="276" w:lineRule="auto"/>
              <w:jc w:val="center"/>
              <w:rPr>
                <w:rFonts w:ascii="宋体" w:hAnsi="宋体" w:cs="仿宋"/>
                <w:sz w:val="18"/>
                <w:szCs w:val="18"/>
              </w:rPr>
            </w:pPr>
            <w:r>
              <w:rPr>
                <w:rFonts w:ascii="宋体" w:hAnsi="宋体" w:cs="仿宋"/>
                <w:sz w:val="18"/>
                <w:szCs w:val="18"/>
              </w:rPr>
              <w:t>7</w:t>
            </w:r>
          </w:p>
        </w:tc>
        <w:tc>
          <w:tcPr>
            <w:tcW w:w="3303" w:type="dxa"/>
            <w:tcBorders>
              <w:top w:val="single" w:color="00000A" w:sz="6" w:space="0"/>
              <w:left w:val="single" w:color="00000A" w:sz="6" w:space="0"/>
              <w:bottom w:val="single" w:color="00000A" w:sz="6" w:space="0"/>
              <w:right w:val="single" w:color="00000A" w:sz="6" w:space="0"/>
            </w:tcBorders>
            <w:tcMar>
              <w:left w:w="100" w:type="dxa"/>
            </w:tcMar>
            <w:vAlign w:val="center"/>
          </w:tcPr>
          <w:p w14:paraId="1DD15FF0">
            <w:pPr>
              <w:spacing w:line="276" w:lineRule="auto"/>
              <w:jc w:val="center"/>
              <w:rPr>
                <w:rFonts w:hint="default" w:ascii="宋体" w:hAnsi="宋体" w:eastAsia="宋体" w:cs="仿宋"/>
                <w:sz w:val="18"/>
                <w:szCs w:val="18"/>
                <w:lang w:val="en-US" w:eastAsia="zh-CN"/>
              </w:rPr>
            </w:pPr>
            <w:r>
              <w:rPr>
                <w:rFonts w:hint="eastAsia" w:ascii="宋体" w:hAnsi="宋体" w:cs="仿宋"/>
                <w:sz w:val="18"/>
                <w:szCs w:val="18"/>
                <w:lang w:val="en-US" w:eastAsia="zh-CN"/>
              </w:rPr>
              <w:t>安全巡检执行率</w:t>
            </w:r>
          </w:p>
        </w:tc>
        <w:tc>
          <w:tcPr>
            <w:tcW w:w="836" w:type="dxa"/>
            <w:tcBorders>
              <w:top w:val="single" w:color="00000A" w:sz="6" w:space="0"/>
              <w:left w:val="single" w:color="00000A" w:sz="6" w:space="0"/>
              <w:bottom w:val="single" w:color="00000A" w:sz="6" w:space="0"/>
              <w:right w:val="single" w:color="00000A" w:sz="6" w:space="0"/>
            </w:tcBorders>
            <w:tcMar>
              <w:left w:w="93" w:type="dxa"/>
            </w:tcMar>
            <w:vAlign w:val="center"/>
          </w:tcPr>
          <w:p w14:paraId="413D878B">
            <w:pPr>
              <w:spacing w:line="276" w:lineRule="auto"/>
              <w:jc w:val="center"/>
              <w:rPr>
                <w:rFonts w:ascii="宋体" w:hAnsi="宋体" w:cs="仿宋"/>
                <w:sz w:val="18"/>
                <w:szCs w:val="18"/>
              </w:rPr>
            </w:pPr>
            <w:r>
              <w:rPr>
                <w:rFonts w:hint="eastAsia" w:ascii="宋体" w:hAnsi="宋体" w:cs="仿宋"/>
                <w:sz w:val="18"/>
                <w:szCs w:val="18"/>
                <w:lang w:val="en-US" w:eastAsia="zh-CN"/>
              </w:rPr>
              <w:t>100</w:t>
            </w:r>
            <w:r>
              <w:rPr>
                <w:rFonts w:ascii="宋体" w:hAnsi="宋体" w:cs="仿宋"/>
                <w:sz w:val="18"/>
                <w:szCs w:val="18"/>
              </w:rPr>
              <w:t>%</w:t>
            </w:r>
          </w:p>
        </w:tc>
        <w:tc>
          <w:tcPr>
            <w:tcW w:w="831" w:type="dxa"/>
            <w:tcBorders>
              <w:top w:val="single" w:color="00000A" w:sz="6" w:space="0"/>
              <w:left w:val="single" w:color="00000A" w:sz="6" w:space="0"/>
              <w:bottom w:val="single" w:color="00000A" w:sz="6" w:space="0"/>
              <w:right w:val="single" w:color="00000A" w:sz="6" w:space="0"/>
            </w:tcBorders>
            <w:tcMar>
              <w:left w:w="93" w:type="dxa"/>
            </w:tcMar>
            <w:vAlign w:val="center"/>
          </w:tcPr>
          <w:p w14:paraId="47B9ABC9">
            <w:pPr>
              <w:spacing w:line="276" w:lineRule="auto"/>
              <w:jc w:val="center"/>
              <w:rPr>
                <w:rFonts w:hint="eastAsia" w:ascii="宋体" w:hAnsi="宋体" w:eastAsia="宋体" w:cs="仿宋"/>
                <w:sz w:val="18"/>
                <w:szCs w:val="18"/>
                <w:lang w:eastAsia="zh-CN"/>
              </w:rPr>
            </w:pPr>
            <w:r>
              <w:rPr>
                <w:rFonts w:hint="eastAsia" w:ascii="宋体" w:hAnsi="宋体" w:cs="仿宋"/>
                <w:sz w:val="18"/>
                <w:szCs w:val="18"/>
                <w:lang w:val="en-US" w:eastAsia="zh-CN"/>
              </w:rPr>
              <w:t>4</w:t>
            </w:r>
          </w:p>
        </w:tc>
        <w:tc>
          <w:tcPr>
            <w:tcW w:w="975" w:type="dxa"/>
            <w:tcBorders>
              <w:top w:val="single" w:color="00000A" w:sz="6" w:space="0"/>
              <w:left w:val="single" w:color="00000A" w:sz="6" w:space="0"/>
              <w:bottom w:val="single" w:color="00000A" w:sz="6" w:space="0"/>
              <w:right w:val="single" w:color="00000A" w:sz="6" w:space="0"/>
            </w:tcBorders>
            <w:tcMar>
              <w:left w:w="93" w:type="dxa"/>
            </w:tcMar>
            <w:vAlign w:val="center"/>
          </w:tcPr>
          <w:p w14:paraId="69591E31">
            <w:pPr>
              <w:spacing w:line="276" w:lineRule="auto"/>
              <w:jc w:val="center"/>
              <w:rPr>
                <w:rFonts w:ascii="宋体" w:hAnsi="宋体" w:cs="仿宋"/>
                <w:sz w:val="18"/>
                <w:szCs w:val="18"/>
              </w:rPr>
            </w:pPr>
          </w:p>
        </w:tc>
        <w:tc>
          <w:tcPr>
            <w:tcW w:w="832" w:type="dxa"/>
            <w:tcBorders>
              <w:top w:val="single" w:color="00000A" w:sz="6" w:space="0"/>
              <w:left w:val="single" w:color="00000A" w:sz="6" w:space="0"/>
              <w:bottom w:val="single" w:color="00000A" w:sz="6" w:space="0"/>
              <w:right w:val="single" w:color="00000A" w:sz="6" w:space="0"/>
            </w:tcBorders>
            <w:tcMar>
              <w:left w:w="93" w:type="dxa"/>
            </w:tcMar>
            <w:vAlign w:val="center"/>
          </w:tcPr>
          <w:p w14:paraId="324C81A0">
            <w:pPr>
              <w:spacing w:line="276" w:lineRule="auto"/>
              <w:jc w:val="center"/>
              <w:rPr>
                <w:rFonts w:ascii="宋体" w:hAnsi="宋体" w:cs="仿宋"/>
                <w:sz w:val="18"/>
                <w:szCs w:val="18"/>
              </w:rPr>
            </w:pPr>
          </w:p>
        </w:tc>
        <w:tc>
          <w:tcPr>
            <w:tcW w:w="1786" w:type="dxa"/>
            <w:tcBorders>
              <w:top w:val="single" w:color="00000A" w:sz="6" w:space="0"/>
              <w:left w:val="single" w:color="00000A" w:sz="6" w:space="0"/>
              <w:bottom w:val="single" w:color="00000A" w:sz="6" w:space="0"/>
              <w:right w:val="single" w:color="00000A" w:sz="12" w:space="0"/>
            </w:tcBorders>
            <w:tcMar>
              <w:left w:w="93" w:type="dxa"/>
            </w:tcMar>
            <w:vAlign w:val="center"/>
          </w:tcPr>
          <w:p w14:paraId="0DBAFBA3">
            <w:pPr>
              <w:spacing w:line="276" w:lineRule="auto"/>
              <w:ind w:firstLine="1512"/>
              <w:jc w:val="center"/>
              <w:rPr>
                <w:rFonts w:ascii="宋体" w:hAnsi="宋体" w:cs="仿宋"/>
                <w:sz w:val="18"/>
                <w:szCs w:val="18"/>
              </w:rPr>
            </w:pPr>
          </w:p>
        </w:tc>
      </w:tr>
      <w:tr w14:paraId="25F96357">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6" w:space="0"/>
              <w:left w:val="single" w:color="00000A" w:sz="12" w:space="0"/>
              <w:bottom w:val="single" w:color="00000A" w:sz="6" w:space="0"/>
              <w:right w:val="single" w:color="00000A" w:sz="6" w:space="0"/>
            </w:tcBorders>
            <w:tcMar>
              <w:left w:w="93" w:type="dxa"/>
            </w:tcMar>
            <w:vAlign w:val="center"/>
          </w:tcPr>
          <w:p w14:paraId="3C819C3C">
            <w:pPr>
              <w:spacing w:line="276" w:lineRule="auto"/>
              <w:jc w:val="center"/>
              <w:rPr>
                <w:rFonts w:ascii="宋体" w:hAnsi="宋体" w:cs="仿宋"/>
                <w:sz w:val="18"/>
                <w:szCs w:val="18"/>
              </w:rPr>
            </w:pPr>
            <w:r>
              <w:rPr>
                <w:rFonts w:ascii="宋体" w:hAnsi="宋体" w:cs="仿宋"/>
                <w:sz w:val="18"/>
                <w:szCs w:val="18"/>
              </w:rPr>
              <w:t>8</w:t>
            </w:r>
          </w:p>
        </w:tc>
        <w:tc>
          <w:tcPr>
            <w:tcW w:w="3303" w:type="dxa"/>
            <w:tcBorders>
              <w:top w:val="single" w:color="00000A" w:sz="6" w:space="0"/>
              <w:left w:val="single" w:color="00000A" w:sz="6" w:space="0"/>
              <w:bottom w:val="single" w:color="00000A" w:sz="6" w:space="0"/>
              <w:right w:val="single" w:color="00000A" w:sz="6" w:space="0"/>
            </w:tcBorders>
            <w:tcMar>
              <w:left w:w="100" w:type="dxa"/>
            </w:tcMar>
            <w:vAlign w:val="center"/>
          </w:tcPr>
          <w:p w14:paraId="2ECDC483">
            <w:pPr>
              <w:spacing w:line="276" w:lineRule="auto"/>
              <w:jc w:val="center"/>
              <w:rPr>
                <w:rFonts w:hint="default" w:ascii="宋体" w:hAnsi="宋体" w:eastAsia="宋体" w:cs="仿宋"/>
                <w:sz w:val="18"/>
                <w:szCs w:val="18"/>
                <w:lang w:val="en-US" w:eastAsia="zh-CN"/>
              </w:rPr>
            </w:pPr>
            <w:r>
              <w:rPr>
                <w:rFonts w:hint="eastAsia" w:ascii="宋体" w:hAnsi="宋体" w:cs="仿宋"/>
                <w:sz w:val="18"/>
                <w:szCs w:val="18"/>
                <w:lang w:val="en-US" w:eastAsia="zh-CN"/>
              </w:rPr>
              <w:t>报事报修处置及时率</w:t>
            </w:r>
          </w:p>
        </w:tc>
        <w:tc>
          <w:tcPr>
            <w:tcW w:w="836" w:type="dxa"/>
            <w:tcBorders>
              <w:top w:val="single" w:color="00000A" w:sz="6" w:space="0"/>
              <w:left w:val="single" w:color="00000A" w:sz="6" w:space="0"/>
              <w:bottom w:val="single" w:color="00000A" w:sz="6" w:space="0"/>
              <w:right w:val="single" w:color="00000A" w:sz="6" w:space="0"/>
            </w:tcBorders>
            <w:tcMar>
              <w:left w:w="93" w:type="dxa"/>
            </w:tcMar>
            <w:vAlign w:val="center"/>
          </w:tcPr>
          <w:p w14:paraId="48BCBC0C">
            <w:pPr>
              <w:spacing w:line="276" w:lineRule="auto"/>
              <w:jc w:val="center"/>
              <w:rPr>
                <w:rFonts w:ascii="宋体" w:hAnsi="宋体" w:cs="仿宋"/>
                <w:sz w:val="18"/>
                <w:szCs w:val="18"/>
              </w:rPr>
            </w:pPr>
            <w:r>
              <w:rPr>
                <w:rFonts w:ascii="宋体" w:hAnsi="宋体" w:cs="仿宋"/>
                <w:sz w:val="18"/>
                <w:szCs w:val="18"/>
              </w:rPr>
              <w:t>100%</w:t>
            </w:r>
          </w:p>
        </w:tc>
        <w:tc>
          <w:tcPr>
            <w:tcW w:w="831" w:type="dxa"/>
            <w:tcBorders>
              <w:top w:val="single" w:color="00000A" w:sz="6" w:space="0"/>
              <w:left w:val="single" w:color="00000A" w:sz="6" w:space="0"/>
              <w:bottom w:val="single" w:color="00000A" w:sz="6" w:space="0"/>
              <w:right w:val="single" w:color="00000A" w:sz="6" w:space="0"/>
            </w:tcBorders>
            <w:tcMar>
              <w:left w:w="93" w:type="dxa"/>
            </w:tcMar>
            <w:vAlign w:val="center"/>
          </w:tcPr>
          <w:p w14:paraId="4C014C31">
            <w:pPr>
              <w:spacing w:line="276" w:lineRule="auto"/>
              <w:jc w:val="center"/>
              <w:rPr>
                <w:rFonts w:ascii="宋体" w:hAnsi="宋体" w:cs="仿宋"/>
                <w:sz w:val="18"/>
                <w:szCs w:val="18"/>
              </w:rPr>
            </w:pPr>
            <w:r>
              <w:rPr>
                <w:rFonts w:ascii="宋体" w:hAnsi="宋体" w:cs="仿宋"/>
                <w:sz w:val="18"/>
                <w:szCs w:val="18"/>
              </w:rPr>
              <w:t>3</w:t>
            </w:r>
          </w:p>
        </w:tc>
        <w:tc>
          <w:tcPr>
            <w:tcW w:w="975" w:type="dxa"/>
            <w:tcBorders>
              <w:top w:val="single" w:color="00000A" w:sz="6" w:space="0"/>
              <w:left w:val="single" w:color="00000A" w:sz="6" w:space="0"/>
              <w:bottom w:val="single" w:color="00000A" w:sz="6" w:space="0"/>
              <w:right w:val="single" w:color="00000A" w:sz="6" w:space="0"/>
            </w:tcBorders>
            <w:tcMar>
              <w:left w:w="93" w:type="dxa"/>
            </w:tcMar>
            <w:vAlign w:val="center"/>
          </w:tcPr>
          <w:p w14:paraId="6891E4C1">
            <w:pPr>
              <w:spacing w:line="276" w:lineRule="auto"/>
              <w:jc w:val="center"/>
              <w:rPr>
                <w:rFonts w:ascii="宋体" w:hAnsi="宋体" w:cs="仿宋"/>
                <w:sz w:val="18"/>
                <w:szCs w:val="18"/>
              </w:rPr>
            </w:pPr>
          </w:p>
        </w:tc>
        <w:tc>
          <w:tcPr>
            <w:tcW w:w="832" w:type="dxa"/>
            <w:tcBorders>
              <w:top w:val="single" w:color="00000A" w:sz="6" w:space="0"/>
              <w:left w:val="single" w:color="00000A" w:sz="6" w:space="0"/>
              <w:bottom w:val="single" w:color="00000A" w:sz="6" w:space="0"/>
              <w:right w:val="single" w:color="00000A" w:sz="6" w:space="0"/>
            </w:tcBorders>
            <w:tcMar>
              <w:left w:w="93" w:type="dxa"/>
            </w:tcMar>
            <w:vAlign w:val="center"/>
          </w:tcPr>
          <w:p w14:paraId="7D99C235">
            <w:pPr>
              <w:spacing w:line="276" w:lineRule="auto"/>
              <w:jc w:val="center"/>
              <w:rPr>
                <w:rFonts w:ascii="宋体" w:hAnsi="宋体" w:cs="仿宋"/>
                <w:sz w:val="18"/>
                <w:szCs w:val="18"/>
              </w:rPr>
            </w:pPr>
          </w:p>
        </w:tc>
        <w:tc>
          <w:tcPr>
            <w:tcW w:w="1786" w:type="dxa"/>
            <w:tcBorders>
              <w:top w:val="single" w:color="00000A" w:sz="6" w:space="0"/>
              <w:left w:val="single" w:color="00000A" w:sz="6" w:space="0"/>
              <w:bottom w:val="single" w:color="00000A" w:sz="6" w:space="0"/>
              <w:right w:val="single" w:color="00000A" w:sz="12" w:space="0"/>
            </w:tcBorders>
            <w:tcMar>
              <w:left w:w="93" w:type="dxa"/>
            </w:tcMar>
            <w:vAlign w:val="center"/>
          </w:tcPr>
          <w:p w14:paraId="63FDC31C">
            <w:pPr>
              <w:spacing w:line="276" w:lineRule="auto"/>
              <w:ind w:firstLine="1512"/>
              <w:jc w:val="center"/>
              <w:rPr>
                <w:rFonts w:ascii="宋体" w:hAnsi="宋体" w:cs="仿宋"/>
                <w:sz w:val="18"/>
                <w:szCs w:val="18"/>
              </w:rPr>
            </w:pPr>
          </w:p>
        </w:tc>
      </w:tr>
      <w:tr w14:paraId="42C4B3D3">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6" w:space="0"/>
              <w:left w:val="single" w:color="00000A" w:sz="12" w:space="0"/>
              <w:bottom w:val="single" w:color="00000A" w:sz="6" w:space="0"/>
              <w:right w:val="single" w:color="00000A" w:sz="6" w:space="0"/>
            </w:tcBorders>
            <w:tcMar>
              <w:left w:w="93" w:type="dxa"/>
            </w:tcMar>
            <w:vAlign w:val="center"/>
          </w:tcPr>
          <w:p w14:paraId="2E29EC2A">
            <w:pPr>
              <w:spacing w:line="276" w:lineRule="auto"/>
              <w:jc w:val="center"/>
              <w:rPr>
                <w:rFonts w:ascii="宋体" w:hAnsi="宋体" w:cs="仿宋"/>
                <w:sz w:val="18"/>
                <w:szCs w:val="18"/>
              </w:rPr>
            </w:pPr>
            <w:r>
              <w:rPr>
                <w:rFonts w:ascii="宋体" w:hAnsi="宋体" w:cs="仿宋"/>
                <w:sz w:val="18"/>
                <w:szCs w:val="18"/>
              </w:rPr>
              <w:t>9</w:t>
            </w:r>
          </w:p>
        </w:tc>
        <w:tc>
          <w:tcPr>
            <w:tcW w:w="3303" w:type="dxa"/>
            <w:tcBorders>
              <w:top w:val="single" w:color="00000A" w:sz="6" w:space="0"/>
              <w:left w:val="single" w:color="00000A" w:sz="6" w:space="0"/>
              <w:bottom w:val="single" w:color="00000A" w:sz="6" w:space="0"/>
              <w:right w:val="single" w:color="00000A" w:sz="6" w:space="0"/>
            </w:tcBorders>
            <w:tcMar>
              <w:left w:w="100" w:type="dxa"/>
            </w:tcMar>
            <w:vAlign w:val="center"/>
          </w:tcPr>
          <w:p w14:paraId="3E7A4739">
            <w:pPr>
              <w:spacing w:line="276" w:lineRule="auto"/>
              <w:jc w:val="center"/>
              <w:rPr>
                <w:rFonts w:ascii="宋体" w:hAnsi="宋体" w:cs="仿宋"/>
                <w:sz w:val="18"/>
                <w:szCs w:val="18"/>
              </w:rPr>
            </w:pPr>
            <w:r>
              <w:rPr>
                <w:rFonts w:ascii="宋体" w:hAnsi="宋体" w:cs="仿宋"/>
                <w:sz w:val="18"/>
                <w:szCs w:val="18"/>
              </w:rPr>
              <w:t>突发事件正确处理率</w:t>
            </w:r>
          </w:p>
        </w:tc>
        <w:tc>
          <w:tcPr>
            <w:tcW w:w="836" w:type="dxa"/>
            <w:tcBorders>
              <w:top w:val="single" w:color="00000A" w:sz="6" w:space="0"/>
              <w:left w:val="single" w:color="00000A" w:sz="6" w:space="0"/>
              <w:bottom w:val="single" w:color="00000A" w:sz="6" w:space="0"/>
              <w:right w:val="single" w:color="00000A" w:sz="6" w:space="0"/>
            </w:tcBorders>
            <w:tcMar>
              <w:left w:w="93" w:type="dxa"/>
            </w:tcMar>
            <w:vAlign w:val="center"/>
          </w:tcPr>
          <w:p w14:paraId="4D0276B3">
            <w:pPr>
              <w:spacing w:line="276" w:lineRule="auto"/>
              <w:jc w:val="center"/>
              <w:rPr>
                <w:rFonts w:ascii="宋体" w:hAnsi="宋体" w:cs="仿宋"/>
                <w:sz w:val="18"/>
                <w:szCs w:val="18"/>
              </w:rPr>
            </w:pPr>
            <w:r>
              <w:rPr>
                <w:rFonts w:ascii="宋体" w:hAnsi="宋体" w:cs="仿宋"/>
                <w:sz w:val="18"/>
                <w:szCs w:val="18"/>
              </w:rPr>
              <w:t>100%</w:t>
            </w:r>
          </w:p>
        </w:tc>
        <w:tc>
          <w:tcPr>
            <w:tcW w:w="831" w:type="dxa"/>
            <w:tcBorders>
              <w:top w:val="single" w:color="00000A" w:sz="6" w:space="0"/>
              <w:left w:val="single" w:color="00000A" w:sz="6" w:space="0"/>
              <w:bottom w:val="single" w:color="00000A" w:sz="6" w:space="0"/>
              <w:right w:val="single" w:color="00000A" w:sz="6" w:space="0"/>
            </w:tcBorders>
            <w:tcMar>
              <w:left w:w="93" w:type="dxa"/>
            </w:tcMar>
            <w:vAlign w:val="center"/>
          </w:tcPr>
          <w:p w14:paraId="4ED3A1AB">
            <w:pPr>
              <w:spacing w:line="276" w:lineRule="auto"/>
              <w:jc w:val="center"/>
              <w:rPr>
                <w:rFonts w:ascii="宋体" w:hAnsi="宋体" w:cs="仿宋"/>
                <w:sz w:val="18"/>
                <w:szCs w:val="18"/>
              </w:rPr>
            </w:pPr>
            <w:r>
              <w:rPr>
                <w:rFonts w:ascii="宋体" w:hAnsi="宋体" w:cs="仿宋"/>
                <w:sz w:val="18"/>
                <w:szCs w:val="18"/>
              </w:rPr>
              <w:t>3</w:t>
            </w:r>
          </w:p>
        </w:tc>
        <w:tc>
          <w:tcPr>
            <w:tcW w:w="975" w:type="dxa"/>
            <w:tcBorders>
              <w:top w:val="single" w:color="00000A" w:sz="6" w:space="0"/>
              <w:left w:val="single" w:color="00000A" w:sz="6" w:space="0"/>
              <w:bottom w:val="single" w:color="00000A" w:sz="6" w:space="0"/>
              <w:right w:val="single" w:color="00000A" w:sz="6" w:space="0"/>
            </w:tcBorders>
            <w:tcMar>
              <w:left w:w="93" w:type="dxa"/>
            </w:tcMar>
            <w:vAlign w:val="center"/>
          </w:tcPr>
          <w:p w14:paraId="1CE28F55">
            <w:pPr>
              <w:spacing w:line="276" w:lineRule="auto"/>
              <w:jc w:val="center"/>
              <w:rPr>
                <w:rFonts w:ascii="宋体" w:hAnsi="宋体" w:cs="仿宋"/>
                <w:sz w:val="18"/>
                <w:szCs w:val="18"/>
              </w:rPr>
            </w:pPr>
          </w:p>
        </w:tc>
        <w:tc>
          <w:tcPr>
            <w:tcW w:w="832" w:type="dxa"/>
            <w:tcBorders>
              <w:top w:val="single" w:color="00000A" w:sz="6" w:space="0"/>
              <w:left w:val="single" w:color="00000A" w:sz="6" w:space="0"/>
              <w:bottom w:val="single" w:color="00000A" w:sz="6" w:space="0"/>
              <w:right w:val="single" w:color="00000A" w:sz="6" w:space="0"/>
            </w:tcBorders>
            <w:tcMar>
              <w:left w:w="93" w:type="dxa"/>
            </w:tcMar>
            <w:vAlign w:val="center"/>
          </w:tcPr>
          <w:p w14:paraId="657A6696">
            <w:pPr>
              <w:spacing w:line="276" w:lineRule="auto"/>
              <w:jc w:val="center"/>
              <w:rPr>
                <w:rFonts w:ascii="宋体" w:hAnsi="宋体" w:cs="仿宋"/>
                <w:sz w:val="18"/>
                <w:szCs w:val="18"/>
              </w:rPr>
            </w:pPr>
          </w:p>
        </w:tc>
        <w:tc>
          <w:tcPr>
            <w:tcW w:w="1786" w:type="dxa"/>
            <w:tcBorders>
              <w:top w:val="single" w:color="00000A" w:sz="6" w:space="0"/>
              <w:left w:val="single" w:color="00000A" w:sz="6" w:space="0"/>
              <w:bottom w:val="single" w:color="00000A" w:sz="6" w:space="0"/>
              <w:right w:val="single" w:color="00000A" w:sz="12" w:space="0"/>
            </w:tcBorders>
            <w:tcMar>
              <w:left w:w="93" w:type="dxa"/>
            </w:tcMar>
            <w:vAlign w:val="center"/>
          </w:tcPr>
          <w:p w14:paraId="2F164CBF">
            <w:pPr>
              <w:spacing w:line="276" w:lineRule="auto"/>
              <w:ind w:firstLine="1800"/>
              <w:jc w:val="center"/>
              <w:rPr>
                <w:rFonts w:ascii="宋体" w:hAnsi="宋体" w:cs="仿宋"/>
                <w:sz w:val="18"/>
                <w:szCs w:val="18"/>
              </w:rPr>
            </w:pPr>
          </w:p>
        </w:tc>
      </w:tr>
      <w:tr w14:paraId="0AC7573D">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6" w:space="0"/>
              <w:left w:val="single" w:color="00000A" w:sz="12" w:space="0"/>
              <w:bottom w:val="single" w:color="00000A" w:sz="6" w:space="0"/>
              <w:right w:val="single" w:color="00000A" w:sz="6" w:space="0"/>
            </w:tcBorders>
            <w:tcMar>
              <w:left w:w="93" w:type="dxa"/>
            </w:tcMar>
            <w:vAlign w:val="center"/>
          </w:tcPr>
          <w:p w14:paraId="6CC375CD">
            <w:pPr>
              <w:spacing w:line="276" w:lineRule="auto"/>
              <w:jc w:val="center"/>
              <w:rPr>
                <w:rFonts w:ascii="宋体" w:hAnsi="宋体" w:cs="仿宋"/>
                <w:sz w:val="18"/>
                <w:szCs w:val="18"/>
              </w:rPr>
            </w:pPr>
            <w:r>
              <w:rPr>
                <w:rFonts w:ascii="宋体" w:hAnsi="宋体" w:cs="仿宋"/>
                <w:sz w:val="18"/>
                <w:szCs w:val="18"/>
              </w:rPr>
              <w:t>10</w:t>
            </w:r>
          </w:p>
        </w:tc>
        <w:tc>
          <w:tcPr>
            <w:tcW w:w="3303" w:type="dxa"/>
            <w:tcBorders>
              <w:top w:val="single" w:color="00000A" w:sz="6" w:space="0"/>
              <w:left w:val="single" w:color="00000A" w:sz="6" w:space="0"/>
              <w:bottom w:val="single" w:color="00000A" w:sz="6" w:space="0"/>
              <w:right w:val="single" w:color="00000A" w:sz="6" w:space="0"/>
            </w:tcBorders>
            <w:tcMar>
              <w:left w:w="100" w:type="dxa"/>
            </w:tcMar>
            <w:vAlign w:val="center"/>
          </w:tcPr>
          <w:p w14:paraId="21759309">
            <w:pPr>
              <w:spacing w:line="276" w:lineRule="auto"/>
              <w:jc w:val="center"/>
              <w:rPr>
                <w:rFonts w:ascii="宋体" w:hAnsi="宋体" w:cs="仿宋"/>
                <w:sz w:val="18"/>
                <w:szCs w:val="18"/>
              </w:rPr>
            </w:pPr>
            <w:r>
              <w:rPr>
                <w:rFonts w:ascii="宋体" w:hAnsi="宋体" w:cs="仿宋"/>
                <w:sz w:val="18"/>
                <w:szCs w:val="18"/>
              </w:rPr>
              <w:t>重大责任事故发生率</w:t>
            </w:r>
          </w:p>
        </w:tc>
        <w:tc>
          <w:tcPr>
            <w:tcW w:w="836" w:type="dxa"/>
            <w:tcBorders>
              <w:top w:val="single" w:color="00000A" w:sz="6" w:space="0"/>
              <w:left w:val="single" w:color="00000A" w:sz="6" w:space="0"/>
              <w:bottom w:val="single" w:color="00000A" w:sz="6" w:space="0"/>
              <w:right w:val="single" w:color="00000A" w:sz="6" w:space="0"/>
            </w:tcBorders>
            <w:tcMar>
              <w:left w:w="93" w:type="dxa"/>
            </w:tcMar>
            <w:vAlign w:val="center"/>
          </w:tcPr>
          <w:p w14:paraId="4AE3CE0C">
            <w:pPr>
              <w:spacing w:line="276" w:lineRule="auto"/>
              <w:jc w:val="center"/>
              <w:rPr>
                <w:rFonts w:ascii="宋体" w:hAnsi="宋体" w:cs="仿宋"/>
                <w:sz w:val="18"/>
                <w:szCs w:val="18"/>
              </w:rPr>
            </w:pPr>
            <w:r>
              <w:rPr>
                <w:rFonts w:ascii="宋体" w:hAnsi="宋体" w:cs="仿宋"/>
                <w:sz w:val="18"/>
                <w:szCs w:val="18"/>
              </w:rPr>
              <w:t>0</w:t>
            </w:r>
          </w:p>
        </w:tc>
        <w:tc>
          <w:tcPr>
            <w:tcW w:w="831" w:type="dxa"/>
            <w:tcBorders>
              <w:top w:val="single" w:color="00000A" w:sz="6" w:space="0"/>
              <w:left w:val="single" w:color="00000A" w:sz="6" w:space="0"/>
              <w:bottom w:val="single" w:color="00000A" w:sz="6" w:space="0"/>
              <w:right w:val="single" w:color="00000A" w:sz="6" w:space="0"/>
            </w:tcBorders>
            <w:tcMar>
              <w:left w:w="93" w:type="dxa"/>
            </w:tcMar>
            <w:vAlign w:val="center"/>
          </w:tcPr>
          <w:p w14:paraId="3B4945E6">
            <w:pPr>
              <w:spacing w:line="276" w:lineRule="auto"/>
              <w:jc w:val="center"/>
              <w:rPr>
                <w:rFonts w:ascii="宋体" w:hAnsi="宋体" w:cs="仿宋"/>
                <w:sz w:val="18"/>
                <w:szCs w:val="18"/>
              </w:rPr>
            </w:pPr>
            <w:r>
              <w:rPr>
                <w:rFonts w:ascii="宋体" w:hAnsi="宋体" w:cs="仿宋"/>
                <w:sz w:val="18"/>
                <w:szCs w:val="18"/>
              </w:rPr>
              <w:t>5</w:t>
            </w:r>
          </w:p>
        </w:tc>
        <w:tc>
          <w:tcPr>
            <w:tcW w:w="975" w:type="dxa"/>
            <w:tcBorders>
              <w:top w:val="single" w:color="00000A" w:sz="6" w:space="0"/>
              <w:left w:val="single" w:color="00000A" w:sz="6" w:space="0"/>
              <w:bottom w:val="single" w:color="00000A" w:sz="6" w:space="0"/>
              <w:right w:val="single" w:color="00000A" w:sz="6" w:space="0"/>
            </w:tcBorders>
            <w:tcMar>
              <w:left w:w="93" w:type="dxa"/>
            </w:tcMar>
            <w:vAlign w:val="center"/>
          </w:tcPr>
          <w:p w14:paraId="7E782C84">
            <w:pPr>
              <w:spacing w:line="276" w:lineRule="auto"/>
              <w:jc w:val="center"/>
              <w:rPr>
                <w:rFonts w:ascii="宋体" w:hAnsi="宋体" w:cs="仿宋"/>
                <w:sz w:val="18"/>
                <w:szCs w:val="18"/>
              </w:rPr>
            </w:pPr>
          </w:p>
        </w:tc>
        <w:tc>
          <w:tcPr>
            <w:tcW w:w="832" w:type="dxa"/>
            <w:tcBorders>
              <w:top w:val="single" w:color="00000A" w:sz="6" w:space="0"/>
              <w:left w:val="single" w:color="00000A" w:sz="6" w:space="0"/>
              <w:bottom w:val="single" w:color="00000A" w:sz="6" w:space="0"/>
              <w:right w:val="single" w:color="00000A" w:sz="6" w:space="0"/>
            </w:tcBorders>
            <w:tcMar>
              <w:left w:w="93" w:type="dxa"/>
            </w:tcMar>
            <w:vAlign w:val="center"/>
          </w:tcPr>
          <w:p w14:paraId="2746D8AE">
            <w:pPr>
              <w:spacing w:line="276" w:lineRule="auto"/>
              <w:jc w:val="center"/>
              <w:rPr>
                <w:rFonts w:ascii="宋体" w:hAnsi="宋体" w:cs="仿宋"/>
                <w:sz w:val="18"/>
                <w:szCs w:val="18"/>
              </w:rPr>
            </w:pPr>
          </w:p>
        </w:tc>
        <w:tc>
          <w:tcPr>
            <w:tcW w:w="1786" w:type="dxa"/>
            <w:tcBorders>
              <w:top w:val="single" w:color="00000A" w:sz="6" w:space="0"/>
              <w:left w:val="single" w:color="00000A" w:sz="6" w:space="0"/>
              <w:bottom w:val="single" w:color="00000A" w:sz="6" w:space="0"/>
              <w:right w:val="single" w:color="00000A" w:sz="12" w:space="0"/>
            </w:tcBorders>
            <w:tcMar>
              <w:left w:w="93" w:type="dxa"/>
            </w:tcMar>
            <w:vAlign w:val="center"/>
          </w:tcPr>
          <w:p w14:paraId="0720071F">
            <w:pPr>
              <w:spacing w:line="276" w:lineRule="auto"/>
              <w:jc w:val="center"/>
              <w:rPr>
                <w:rFonts w:ascii="宋体" w:hAnsi="宋体" w:cs="仿宋"/>
                <w:sz w:val="18"/>
                <w:szCs w:val="18"/>
              </w:rPr>
            </w:pPr>
          </w:p>
        </w:tc>
      </w:tr>
      <w:tr w14:paraId="56C25227">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6" w:space="0"/>
              <w:left w:val="single" w:color="00000A" w:sz="12" w:space="0"/>
              <w:bottom w:val="single" w:color="00000A" w:sz="6" w:space="0"/>
              <w:right w:val="single" w:color="00000A" w:sz="6" w:space="0"/>
            </w:tcBorders>
            <w:tcMar>
              <w:left w:w="93" w:type="dxa"/>
            </w:tcMar>
            <w:vAlign w:val="center"/>
          </w:tcPr>
          <w:p w14:paraId="6DFC5588">
            <w:pPr>
              <w:spacing w:line="276" w:lineRule="auto"/>
              <w:jc w:val="center"/>
              <w:rPr>
                <w:rFonts w:ascii="宋体" w:hAnsi="宋体" w:cs="仿宋"/>
                <w:sz w:val="18"/>
                <w:szCs w:val="18"/>
              </w:rPr>
            </w:pPr>
            <w:r>
              <w:rPr>
                <w:rFonts w:ascii="宋体" w:hAnsi="宋体" w:cs="仿宋"/>
                <w:sz w:val="18"/>
                <w:szCs w:val="18"/>
              </w:rPr>
              <w:t>11</w:t>
            </w:r>
          </w:p>
        </w:tc>
        <w:tc>
          <w:tcPr>
            <w:tcW w:w="3303" w:type="dxa"/>
            <w:tcBorders>
              <w:top w:val="single" w:color="00000A" w:sz="6" w:space="0"/>
              <w:left w:val="single" w:color="00000A" w:sz="6" w:space="0"/>
              <w:bottom w:val="single" w:color="00000A" w:sz="6" w:space="0"/>
              <w:right w:val="single" w:color="00000A" w:sz="6" w:space="0"/>
            </w:tcBorders>
            <w:tcMar>
              <w:left w:w="100" w:type="dxa"/>
            </w:tcMar>
            <w:vAlign w:val="center"/>
          </w:tcPr>
          <w:p w14:paraId="70FA57B4">
            <w:pPr>
              <w:spacing w:line="276" w:lineRule="auto"/>
              <w:jc w:val="center"/>
              <w:rPr>
                <w:rFonts w:hint="default" w:ascii="宋体" w:hAnsi="宋体" w:eastAsia="宋体" w:cs="仿宋"/>
                <w:sz w:val="18"/>
                <w:szCs w:val="18"/>
                <w:lang w:val="en-US" w:eastAsia="zh-CN"/>
              </w:rPr>
            </w:pPr>
            <w:r>
              <w:rPr>
                <w:rFonts w:hint="eastAsia" w:ascii="宋体" w:hAnsi="宋体" w:cs="仿宋"/>
                <w:sz w:val="18"/>
                <w:szCs w:val="18"/>
                <w:lang w:val="en-US" w:eastAsia="zh-CN"/>
              </w:rPr>
              <w:t>物业服装统一率</w:t>
            </w:r>
          </w:p>
        </w:tc>
        <w:tc>
          <w:tcPr>
            <w:tcW w:w="836" w:type="dxa"/>
            <w:tcBorders>
              <w:top w:val="single" w:color="00000A" w:sz="6" w:space="0"/>
              <w:left w:val="single" w:color="00000A" w:sz="6" w:space="0"/>
              <w:bottom w:val="single" w:color="00000A" w:sz="6" w:space="0"/>
              <w:right w:val="single" w:color="00000A" w:sz="6" w:space="0"/>
            </w:tcBorders>
            <w:tcMar>
              <w:left w:w="93" w:type="dxa"/>
            </w:tcMar>
            <w:vAlign w:val="center"/>
          </w:tcPr>
          <w:p w14:paraId="58C4BF1F">
            <w:pPr>
              <w:spacing w:line="276" w:lineRule="auto"/>
              <w:jc w:val="center"/>
              <w:rPr>
                <w:rFonts w:hint="default" w:ascii="宋体" w:hAnsi="宋体" w:eastAsia="宋体" w:cs="仿宋"/>
                <w:sz w:val="18"/>
                <w:szCs w:val="18"/>
                <w:lang w:val="en-US" w:eastAsia="zh-CN"/>
              </w:rPr>
            </w:pPr>
            <w:r>
              <w:rPr>
                <w:rFonts w:hint="eastAsia" w:ascii="宋体" w:hAnsi="宋体" w:cs="仿宋"/>
                <w:sz w:val="18"/>
                <w:szCs w:val="18"/>
                <w:lang w:val="en-US" w:eastAsia="zh-CN"/>
              </w:rPr>
              <w:t>100%</w:t>
            </w:r>
          </w:p>
        </w:tc>
        <w:tc>
          <w:tcPr>
            <w:tcW w:w="831" w:type="dxa"/>
            <w:tcBorders>
              <w:top w:val="single" w:color="00000A" w:sz="6" w:space="0"/>
              <w:left w:val="single" w:color="00000A" w:sz="6" w:space="0"/>
              <w:bottom w:val="single" w:color="00000A" w:sz="6" w:space="0"/>
              <w:right w:val="single" w:color="00000A" w:sz="6" w:space="0"/>
            </w:tcBorders>
            <w:tcMar>
              <w:left w:w="93" w:type="dxa"/>
            </w:tcMar>
            <w:vAlign w:val="center"/>
          </w:tcPr>
          <w:p w14:paraId="539E2D62">
            <w:pPr>
              <w:spacing w:line="276" w:lineRule="auto"/>
              <w:jc w:val="center"/>
              <w:rPr>
                <w:rFonts w:ascii="宋体" w:hAnsi="宋体" w:cs="仿宋"/>
                <w:sz w:val="18"/>
                <w:szCs w:val="18"/>
              </w:rPr>
            </w:pPr>
            <w:r>
              <w:rPr>
                <w:rFonts w:ascii="宋体" w:hAnsi="宋体" w:cs="仿宋"/>
                <w:sz w:val="18"/>
                <w:szCs w:val="18"/>
              </w:rPr>
              <w:t>4</w:t>
            </w:r>
          </w:p>
        </w:tc>
        <w:tc>
          <w:tcPr>
            <w:tcW w:w="975" w:type="dxa"/>
            <w:tcBorders>
              <w:top w:val="single" w:color="00000A" w:sz="6" w:space="0"/>
              <w:left w:val="single" w:color="00000A" w:sz="6" w:space="0"/>
              <w:bottom w:val="single" w:color="00000A" w:sz="6" w:space="0"/>
              <w:right w:val="single" w:color="00000A" w:sz="6" w:space="0"/>
            </w:tcBorders>
            <w:tcMar>
              <w:left w:w="93" w:type="dxa"/>
            </w:tcMar>
            <w:vAlign w:val="center"/>
          </w:tcPr>
          <w:p w14:paraId="7DAAD566">
            <w:pPr>
              <w:spacing w:line="276" w:lineRule="auto"/>
              <w:jc w:val="center"/>
              <w:rPr>
                <w:rFonts w:ascii="宋体" w:hAnsi="宋体" w:cs="仿宋"/>
                <w:sz w:val="18"/>
                <w:szCs w:val="18"/>
              </w:rPr>
            </w:pPr>
          </w:p>
        </w:tc>
        <w:tc>
          <w:tcPr>
            <w:tcW w:w="832" w:type="dxa"/>
            <w:tcBorders>
              <w:top w:val="single" w:color="00000A" w:sz="6" w:space="0"/>
              <w:left w:val="single" w:color="00000A" w:sz="6" w:space="0"/>
              <w:bottom w:val="single" w:color="00000A" w:sz="6" w:space="0"/>
              <w:right w:val="single" w:color="00000A" w:sz="6" w:space="0"/>
            </w:tcBorders>
            <w:tcMar>
              <w:left w:w="93" w:type="dxa"/>
            </w:tcMar>
            <w:vAlign w:val="center"/>
          </w:tcPr>
          <w:p w14:paraId="3F3888A3">
            <w:pPr>
              <w:spacing w:line="276" w:lineRule="auto"/>
              <w:jc w:val="center"/>
              <w:rPr>
                <w:rFonts w:ascii="宋体" w:hAnsi="宋体" w:cs="仿宋"/>
                <w:sz w:val="18"/>
                <w:szCs w:val="18"/>
              </w:rPr>
            </w:pPr>
          </w:p>
        </w:tc>
        <w:tc>
          <w:tcPr>
            <w:tcW w:w="1786" w:type="dxa"/>
            <w:tcBorders>
              <w:top w:val="single" w:color="00000A" w:sz="6" w:space="0"/>
              <w:left w:val="single" w:color="00000A" w:sz="6" w:space="0"/>
              <w:bottom w:val="single" w:color="00000A" w:sz="6" w:space="0"/>
              <w:right w:val="single" w:color="00000A" w:sz="12" w:space="0"/>
            </w:tcBorders>
            <w:tcMar>
              <w:left w:w="93" w:type="dxa"/>
            </w:tcMar>
            <w:vAlign w:val="center"/>
          </w:tcPr>
          <w:p w14:paraId="509772D9">
            <w:pPr>
              <w:snapToGrid w:val="0"/>
              <w:spacing w:before="120" w:line="276" w:lineRule="auto"/>
              <w:ind w:firstLine="904"/>
              <w:jc w:val="center"/>
              <w:rPr>
                <w:rFonts w:ascii="宋体" w:hAnsi="宋体" w:cs="仿宋"/>
                <w:b/>
                <w:sz w:val="18"/>
                <w:szCs w:val="18"/>
              </w:rPr>
            </w:pPr>
          </w:p>
        </w:tc>
      </w:tr>
      <w:tr w14:paraId="04D48747">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6" w:space="0"/>
              <w:left w:val="single" w:color="00000A" w:sz="12" w:space="0"/>
              <w:bottom w:val="single" w:color="00000A" w:sz="6" w:space="0"/>
              <w:right w:val="single" w:color="00000A" w:sz="6" w:space="0"/>
            </w:tcBorders>
            <w:tcMar>
              <w:left w:w="93" w:type="dxa"/>
            </w:tcMar>
            <w:vAlign w:val="center"/>
          </w:tcPr>
          <w:p w14:paraId="16E3D889">
            <w:pPr>
              <w:spacing w:line="276" w:lineRule="auto"/>
              <w:jc w:val="center"/>
              <w:rPr>
                <w:rFonts w:ascii="宋体" w:hAnsi="宋体" w:cs="仿宋"/>
                <w:sz w:val="18"/>
                <w:szCs w:val="18"/>
              </w:rPr>
            </w:pPr>
            <w:r>
              <w:rPr>
                <w:rFonts w:ascii="宋体" w:hAnsi="宋体" w:cs="仿宋"/>
                <w:sz w:val="18"/>
                <w:szCs w:val="18"/>
              </w:rPr>
              <w:t>12</w:t>
            </w:r>
          </w:p>
        </w:tc>
        <w:tc>
          <w:tcPr>
            <w:tcW w:w="3303" w:type="dxa"/>
            <w:tcBorders>
              <w:top w:val="single" w:color="00000A" w:sz="6" w:space="0"/>
              <w:left w:val="single" w:color="00000A" w:sz="6" w:space="0"/>
              <w:bottom w:val="single" w:color="00000A" w:sz="6" w:space="0"/>
              <w:right w:val="single" w:color="00000A" w:sz="6" w:space="0"/>
            </w:tcBorders>
            <w:tcMar>
              <w:left w:w="100" w:type="dxa"/>
            </w:tcMar>
            <w:vAlign w:val="center"/>
          </w:tcPr>
          <w:p w14:paraId="4B6EBB28">
            <w:pPr>
              <w:spacing w:line="276" w:lineRule="auto"/>
              <w:jc w:val="center"/>
              <w:rPr>
                <w:rFonts w:ascii="宋体" w:hAnsi="宋体" w:cs="仿宋"/>
                <w:sz w:val="18"/>
                <w:szCs w:val="18"/>
              </w:rPr>
            </w:pPr>
            <w:r>
              <w:rPr>
                <w:rFonts w:ascii="宋体" w:hAnsi="宋体" w:cs="仿宋"/>
                <w:sz w:val="18"/>
                <w:szCs w:val="18"/>
              </w:rPr>
              <w:t>施工管理有效率</w:t>
            </w:r>
          </w:p>
        </w:tc>
        <w:tc>
          <w:tcPr>
            <w:tcW w:w="836" w:type="dxa"/>
            <w:tcBorders>
              <w:top w:val="single" w:color="00000A" w:sz="6" w:space="0"/>
              <w:left w:val="single" w:color="00000A" w:sz="6" w:space="0"/>
              <w:bottom w:val="single" w:color="00000A" w:sz="6" w:space="0"/>
              <w:right w:val="single" w:color="00000A" w:sz="6" w:space="0"/>
            </w:tcBorders>
            <w:tcMar>
              <w:left w:w="93" w:type="dxa"/>
            </w:tcMar>
            <w:vAlign w:val="center"/>
          </w:tcPr>
          <w:p w14:paraId="357FEA3C">
            <w:pPr>
              <w:spacing w:line="276" w:lineRule="auto"/>
              <w:jc w:val="center"/>
              <w:rPr>
                <w:rFonts w:ascii="宋体" w:hAnsi="宋体" w:cs="仿宋"/>
                <w:sz w:val="18"/>
                <w:szCs w:val="18"/>
              </w:rPr>
            </w:pPr>
            <w:r>
              <w:rPr>
                <w:rFonts w:ascii="宋体" w:hAnsi="宋体" w:cs="仿宋"/>
                <w:sz w:val="18"/>
                <w:szCs w:val="18"/>
              </w:rPr>
              <w:t>100%</w:t>
            </w:r>
          </w:p>
        </w:tc>
        <w:tc>
          <w:tcPr>
            <w:tcW w:w="831" w:type="dxa"/>
            <w:tcBorders>
              <w:top w:val="single" w:color="00000A" w:sz="6" w:space="0"/>
              <w:left w:val="single" w:color="00000A" w:sz="6" w:space="0"/>
              <w:bottom w:val="single" w:color="00000A" w:sz="6" w:space="0"/>
              <w:right w:val="single" w:color="00000A" w:sz="6" w:space="0"/>
            </w:tcBorders>
            <w:tcMar>
              <w:left w:w="93" w:type="dxa"/>
            </w:tcMar>
            <w:vAlign w:val="center"/>
          </w:tcPr>
          <w:p w14:paraId="7807A081">
            <w:pPr>
              <w:spacing w:line="276" w:lineRule="auto"/>
              <w:jc w:val="center"/>
              <w:rPr>
                <w:rFonts w:ascii="宋体" w:hAnsi="宋体" w:cs="仿宋"/>
                <w:sz w:val="18"/>
                <w:szCs w:val="18"/>
              </w:rPr>
            </w:pPr>
            <w:r>
              <w:rPr>
                <w:rFonts w:ascii="宋体" w:hAnsi="宋体" w:cs="仿宋"/>
                <w:sz w:val="18"/>
                <w:szCs w:val="18"/>
              </w:rPr>
              <w:t>3</w:t>
            </w:r>
          </w:p>
        </w:tc>
        <w:tc>
          <w:tcPr>
            <w:tcW w:w="975" w:type="dxa"/>
            <w:tcBorders>
              <w:top w:val="single" w:color="00000A" w:sz="6" w:space="0"/>
              <w:left w:val="single" w:color="00000A" w:sz="6" w:space="0"/>
              <w:bottom w:val="single" w:color="00000A" w:sz="6" w:space="0"/>
              <w:right w:val="single" w:color="00000A" w:sz="6" w:space="0"/>
            </w:tcBorders>
            <w:tcMar>
              <w:left w:w="93" w:type="dxa"/>
            </w:tcMar>
            <w:vAlign w:val="center"/>
          </w:tcPr>
          <w:p w14:paraId="7CB6364D">
            <w:pPr>
              <w:spacing w:line="276" w:lineRule="auto"/>
              <w:jc w:val="center"/>
              <w:rPr>
                <w:rFonts w:ascii="宋体" w:hAnsi="宋体" w:cs="仿宋"/>
                <w:w w:val="80"/>
                <w:sz w:val="18"/>
                <w:szCs w:val="18"/>
              </w:rPr>
            </w:pPr>
          </w:p>
        </w:tc>
        <w:tc>
          <w:tcPr>
            <w:tcW w:w="832" w:type="dxa"/>
            <w:tcBorders>
              <w:top w:val="single" w:color="00000A" w:sz="6" w:space="0"/>
              <w:left w:val="single" w:color="00000A" w:sz="6" w:space="0"/>
              <w:bottom w:val="single" w:color="00000A" w:sz="6" w:space="0"/>
              <w:right w:val="single" w:color="00000A" w:sz="6" w:space="0"/>
            </w:tcBorders>
            <w:tcMar>
              <w:left w:w="93" w:type="dxa"/>
            </w:tcMar>
            <w:vAlign w:val="center"/>
          </w:tcPr>
          <w:p w14:paraId="65D6431A">
            <w:pPr>
              <w:spacing w:line="276" w:lineRule="auto"/>
              <w:jc w:val="center"/>
              <w:rPr>
                <w:rFonts w:ascii="宋体" w:hAnsi="宋体" w:cs="仿宋"/>
                <w:w w:val="80"/>
                <w:sz w:val="18"/>
                <w:szCs w:val="18"/>
              </w:rPr>
            </w:pPr>
          </w:p>
        </w:tc>
        <w:tc>
          <w:tcPr>
            <w:tcW w:w="1786" w:type="dxa"/>
            <w:tcBorders>
              <w:top w:val="single" w:color="00000A" w:sz="6" w:space="0"/>
              <w:left w:val="single" w:color="00000A" w:sz="6" w:space="0"/>
              <w:bottom w:val="single" w:color="00000A" w:sz="6" w:space="0"/>
              <w:right w:val="single" w:color="00000A" w:sz="12" w:space="0"/>
            </w:tcBorders>
            <w:tcMar>
              <w:left w:w="93" w:type="dxa"/>
            </w:tcMar>
            <w:vAlign w:val="center"/>
          </w:tcPr>
          <w:p w14:paraId="25687EA9">
            <w:pPr>
              <w:spacing w:line="276" w:lineRule="auto"/>
              <w:ind w:firstLine="945"/>
              <w:jc w:val="center"/>
              <w:rPr>
                <w:rFonts w:ascii="宋体" w:hAnsi="宋体" w:cs="仿宋"/>
                <w:sz w:val="18"/>
                <w:szCs w:val="18"/>
              </w:rPr>
            </w:pPr>
          </w:p>
        </w:tc>
      </w:tr>
      <w:tr w14:paraId="4F98D9DF">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6" w:space="0"/>
              <w:left w:val="single" w:color="00000A" w:sz="12" w:space="0"/>
              <w:bottom w:val="single" w:color="00000A" w:sz="6" w:space="0"/>
              <w:right w:val="single" w:color="00000A" w:sz="6" w:space="0"/>
            </w:tcBorders>
            <w:tcMar>
              <w:left w:w="93" w:type="dxa"/>
            </w:tcMar>
            <w:vAlign w:val="center"/>
          </w:tcPr>
          <w:p w14:paraId="4723919A">
            <w:pPr>
              <w:spacing w:line="276" w:lineRule="auto"/>
              <w:jc w:val="center"/>
              <w:rPr>
                <w:rFonts w:ascii="宋体" w:hAnsi="宋体" w:cs="仿宋"/>
                <w:sz w:val="18"/>
                <w:szCs w:val="18"/>
              </w:rPr>
            </w:pPr>
            <w:r>
              <w:rPr>
                <w:rFonts w:ascii="宋体" w:hAnsi="宋体" w:cs="仿宋"/>
                <w:sz w:val="18"/>
                <w:szCs w:val="18"/>
              </w:rPr>
              <w:t>13</w:t>
            </w:r>
          </w:p>
        </w:tc>
        <w:tc>
          <w:tcPr>
            <w:tcW w:w="3303" w:type="dxa"/>
            <w:tcBorders>
              <w:top w:val="single" w:color="00000A" w:sz="6" w:space="0"/>
              <w:left w:val="single" w:color="00000A" w:sz="6" w:space="0"/>
              <w:bottom w:val="single" w:color="00000A" w:sz="6" w:space="0"/>
              <w:right w:val="single" w:color="00000A" w:sz="6" w:space="0"/>
            </w:tcBorders>
            <w:tcMar>
              <w:left w:w="100" w:type="dxa"/>
            </w:tcMar>
            <w:vAlign w:val="center"/>
          </w:tcPr>
          <w:p w14:paraId="1DB2ADDC">
            <w:pPr>
              <w:spacing w:line="276" w:lineRule="auto"/>
              <w:jc w:val="center"/>
              <w:rPr>
                <w:rFonts w:hint="default" w:ascii="宋体" w:hAnsi="宋体" w:eastAsia="宋体" w:cs="仿宋"/>
                <w:sz w:val="18"/>
                <w:szCs w:val="18"/>
                <w:lang w:val="en-US" w:eastAsia="zh-CN"/>
              </w:rPr>
            </w:pPr>
            <w:r>
              <w:rPr>
                <w:rFonts w:hint="eastAsia" w:ascii="宋体" w:hAnsi="宋体" w:cs="仿宋"/>
                <w:sz w:val="18"/>
                <w:szCs w:val="18"/>
                <w:lang w:val="en-US" w:eastAsia="zh-CN"/>
              </w:rPr>
              <w:t>秩序维护及车辆有效管控</w:t>
            </w:r>
          </w:p>
        </w:tc>
        <w:tc>
          <w:tcPr>
            <w:tcW w:w="836" w:type="dxa"/>
            <w:tcBorders>
              <w:top w:val="single" w:color="00000A" w:sz="6" w:space="0"/>
              <w:left w:val="single" w:color="00000A" w:sz="6" w:space="0"/>
              <w:bottom w:val="single" w:color="00000A" w:sz="6" w:space="0"/>
              <w:right w:val="single" w:color="00000A" w:sz="6" w:space="0"/>
            </w:tcBorders>
            <w:tcMar>
              <w:left w:w="93" w:type="dxa"/>
            </w:tcMar>
            <w:vAlign w:val="center"/>
          </w:tcPr>
          <w:p w14:paraId="699BA600">
            <w:pPr>
              <w:spacing w:line="276" w:lineRule="auto"/>
              <w:jc w:val="center"/>
              <w:rPr>
                <w:rFonts w:ascii="宋体" w:hAnsi="宋体" w:cs="仿宋"/>
                <w:sz w:val="18"/>
                <w:szCs w:val="18"/>
              </w:rPr>
            </w:pPr>
            <w:r>
              <w:rPr>
                <w:rFonts w:hint="eastAsia" w:ascii="宋体" w:hAnsi="宋体" w:cs="仿宋"/>
                <w:sz w:val="18"/>
                <w:szCs w:val="18"/>
                <w:lang w:val="en-US" w:eastAsia="zh-CN"/>
              </w:rPr>
              <w:t>98</w:t>
            </w:r>
            <w:r>
              <w:rPr>
                <w:rFonts w:ascii="宋体" w:hAnsi="宋体" w:cs="仿宋"/>
                <w:sz w:val="18"/>
                <w:szCs w:val="18"/>
              </w:rPr>
              <w:t>%</w:t>
            </w:r>
          </w:p>
        </w:tc>
        <w:tc>
          <w:tcPr>
            <w:tcW w:w="831" w:type="dxa"/>
            <w:tcBorders>
              <w:top w:val="single" w:color="00000A" w:sz="6" w:space="0"/>
              <w:left w:val="single" w:color="00000A" w:sz="6" w:space="0"/>
              <w:bottom w:val="single" w:color="00000A" w:sz="6" w:space="0"/>
              <w:right w:val="single" w:color="00000A" w:sz="6" w:space="0"/>
            </w:tcBorders>
            <w:tcMar>
              <w:left w:w="93" w:type="dxa"/>
            </w:tcMar>
            <w:vAlign w:val="center"/>
          </w:tcPr>
          <w:p w14:paraId="1EB79FF5">
            <w:pPr>
              <w:spacing w:line="276" w:lineRule="auto"/>
              <w:jc w:val="center"/>
              <w:rPr>
                <w:rFonts w:ascii="宋体" w:hAnsi="宋体" w:cs="仿宋"/>
                <w:sz w:val="18"/>
                <w:szCs w:val="18"/>
              </w:rPr>
            </w:pPr>
            <w:r>
              <w:rPr>
                <w:rFonts w:ascii="宋体" w:hAnsi="宋体" w:cs="仿宋"/>
                <w:sz w:val="18"/>
                <w:szCs w:val="18"/>
              </w:rPr>
              <w:t>7</w:t>
            </w:r>
          </w:p>
        </w:tc>
        <w:tc>
          <w:tcPr>
            <w:tcW w:w="975" w:type="dxa"/>
            <w:tcBorders>
              <w:top w:val="single" w:color="00000A" w:sz="6" w:space="0"/>
              <w:left w:val="single" w:color="00000A" w:sz="6" w:space="0"/>
              <w:bottom w:val="single" w:color="00000A" w:sz="6" w:space="0"/>
              <w:right w:val="single" w:color="00000A" w:sz="6" w:space="0"/>
            </w:tcBorders>
            <w:tcMar>
              <w:left w:w="93" w:type="dxa"/>
            </w:tcMar>
            <w:vAlign w:val="center"/>
          </w:tcPr>
          <w:p w14:paraId="5D153227">
            <w:pPr>
              <w:spacing w:line="276" w:lineRule="auto"/>
              <w:jc w:val="center"/>
              <w:rPr>
                <w:rFonts w:ascii="宋体" w:hAnsi="宋体" w:cs="仿宋"/>
                <w:w w:val="80"/>
                <w:sz w:val="18"/>
                <w:szCs w:val="18"/>
              </w:rPr>
            </w:pPr>
          </w:p>
        </w:tc>
        <w:tc>
          <w:tcPr>
            <w:tcW w:w="832" w:type="dxa"/>
            <w:tcBorders>
              <w:top w:val="single" w:color="00000A" w:sz="6" w:space="0"/>
              <w:left w:val="single" w:color="00000A" w:sz="6" w:space="0"/>
              <w:bottom w:val="single" w:color="00000A" w:sz="6" w:space="0"/>
              <w:right w:val="single" w:color="00000A" w:sz="6" w:space="0"/>
            </w:tcBorders>
            <w:tcMar>
              <w:left w:w="93" w:type="dxa"/>
            </w:tcMar>
            <w:vAlign w:val="center"/>
          </w:tcPr>
          <w:p w14:paraId="63ADA473">
            <w:pPr>
              <w:spacing w:line="276" w:lineRule="auto"/>
              <w:jc w:val="center"/>
              <w:rPr>
                <w:rFonts w:ascii="宋体" w:hAnsi="宋体" w:cs="仿宋"/>
                <w:w w:val="80"/>
                <w:sz w:val="18"/>
                <w:szCs w:val="18"/>
              </w:rPr>
            </w:pPr>
          </w:p>
        </w:tc>
        <w:tc>
          <w:tcPr>
            <w:tcW w:w="1786" w:type="dxa"/>
            <w:tcBorders>
              <w:top w:val="single" w:color="00000A" w:sz="6" w:space="0"/>
              <w:left w:val="single" w:color="00000A" w:sz="6" w:space="0"/>
              <w:bottom w:val="single" w:color="00000A" w:sz="6" w:space="0"/>
              <w:right w:val="single" w:color="00000A" w:sz="12" w:space="0"/>
            </w:tcBorders>
            <w:tcMar>
              <w:left w:w="93" w:type="dxa"/>
            </w:tcMar>
            <w:vAlign w:val="center"/>
          </w:tcPr>
          <w:p w14:paraId="60E8C29F">
            <w:pPr>
              <w:spacing w:line="276" w:lineRule="auto"/>
              <w:ind w:firstLine="945"/>
              <w:jc w:val="center"/>
              <w:rPr>
                <w:rFonts w:ascii="宋体" w:hAnsi="宋体" w:cs="仿宋"/>
                <w:sz w:val="18"/>
                <w:szCs w:val="18"/>
              </w:rPr>
            </w:pPr>
          </w:p>
        </w:tc>
      </w:tr>
      <w:tr w14:paraId="36FCB14E">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6" w:space="0"/>
              <w:left w:val="single" w:color="00000A" w:sz="12" w:space="0"/>
              <w:bottom w:val="single" w:color="00000A" w:sz="6" w:space="0"/>
              <w:right w:val="single" w:color="00000A" w:sz="6" w:space="0"/>
            </w:tcBorders>
            <w:tcMar>
              <w:left w:w="93" w:type="dxa"/>
            </w:tcMar>
            <w:vAlign w:val="center"/>
          </w:tcPr>
          <w:p w14:paraId="336BCA64">
            <w:pPr>
              <w:spacing w:line="276" w:lineRule="auto"/>
              <w:jc w:val="center"/>
              <w:rPr>
                <w:rFonts w:ascii="宋体" w:hAnsi="宋体" w:cs="仿宋"/>
                <w:sz w:val="18"/>
                <w:szCs w:val="18"/>
              </w:rPr>
            </w:pPr>
            <w:r>
              <w:rPr>
                <w:rFonts w:ascii="宋体" w:hAnsi="宋体" w:cs="仿宋"/>
                <w:sz w:val="18"/>
                <w:szCs w:val="18"/>
              </w:rPr>
              <w:t>14</w:t>
            </w:r>
          </w:p>
        </w:tc>
        <w:tc>
          <w:tcPr>
            <w:tcW w:w="3303" w:type="dxa"/>
            <w:tcBorders>
              <w:top w:val="single" w:color="00000A" w:sz="6" w:space="0"/>
              <w:left w:val="single" w:color="00000A" w:sz="6" w:space="0"/>
              <w:bottom w:val="single" w:color="00000A" w:sz="6" w:space="0"/>
              <w:right w:val="single" w:color="00000A" w:sz="6" w:space="0"/>
            </w:tcBorders>
            <w:tcMar>
              <w:left w:w="100" w:type="dxa"/>
            </w:tcMar>
            <w:vAlign w:val="center"/>
          </w:tcPr>
          <w:p w14:paraId="540ABA52">
            <w:pPr>
              <w:spacing w:line="276" w:lineRule="auto"/>
              <w:jc w:val="center"/>
              <w:rPr>
                <w:rFonts w:ascii="宋体" w:hAnsi="宋体" w:cs="仿宋"/>
                <w:sz w:val="18"/>
                <w:szCs w:val="18"/>
              </w:rPr>
            </w:pPr>
            <w:r>
              <w:rPr>
                <w:rFonts w:ascii="宋体" w:hAnsi="宋体" w:cs="仿宋"/>
                <w:sz w:val="18"/>
                <w:szCs w:val="18"/>
              </w:rPr>
              <w:t>客户投诉处理及时率</w:t>
            </w:r>
          </w:p>
        </w:tc>
        <w:tc>
          <w:tcPr>
            <w:tcW w:w="836" w:type="dxa"/>
            <w:tcBorders>
              <w:top w:val="single" w:color="00000A" w:sz="6" w:space="0"/>
              <w:left w:val="single" w:color="00000A" w:sz="6" w:space="0"/>
              <w:bottom w:val="single" w:color="00000A" w:sz="6" w:space="0"/>
              <w:right w:val="single" w:color="00000A" w:sz="6" w:space="0"/>
            </w:tcBorders>
            <w:tcMar>
              <w:left w:w="93" w:type="dxa"/>
            </w:tcMar>
            <w:vAlign w:val="center"/>
          </w:tcPr>
          <w:p w14:paraId="747A8A57">
            <w:pPr>
              <w:spacing w:line="276" w:lineRule="auto"/>
              <w:jc w:val="center"/>
              <w:rPr>
                <w:rFonts w:ascii="宋体" w:hAnsi="宋体" w:cs="仿宋"/>
                <w:sz w:val="18"/>
                <w:szCs w:val="18"/>
              </w:rPr>
            </w:pPr>
            <w:r>
              <w:rPr>
                <w:rFonts w:ascii="宋体" w:hAnsi="宋体" w:cs="仿宋"/>
                <w:sz w:val="18"/>
                <w:szCs w:val="18"/>
              </w:rPr>
              <w:t>100%</w:t>
            </w:r>
          </w:p>
        </w:tc>
        <w:tc>
          <w:tcPr>
            <w:tcW w:w="831" w:type="dxa"/>
            <w:tcBorders>
              <w:top w:val="single" w:color="00000A" w:sz="6" w:space="0"/>
              <w:left w:val="single" w:color="00000A" w:sz="6" w:space="0"/>
              <w:bottom w:val="single" w:color="00000A" w:sz="6" w:space="0"/>
              <w:right w:val="single" w:color="00000A" w:sz="6" w:space="0"/>
            </w:tcBorders>
            <w:tcMar>
              <w:left w:w="93" w:type="dxa"/>
            </w:tcMar>
            <w:vAlign w:val="center"/>
          </w:tcPr>
          <w:p w14:paraId="7C23C732">
            <w:pPr>
              <w:spacing w:line="276" w:lineRule="auto"/>
              <w:jc w:val="center"/>
              <w:rPr>
                <w:rFonts w:ascii="宋体" w:hAnsi="宋体" w:cs="仿宋"/>
                <w:sz w:val="18"/>
                <w:szCs w:val="18"/>
              </w:rPr>
            </w:pPr>
            <w:r>
              <w:rPr>
                <w:rFonts w:ascii="宋体" w:hAnsi="宋体" w:cs="仿宋"/>
                <w:sz w:val="18"/>
                <w:szCs w:val="18"/>
              </w:rPr>
              <w:t>2</w:t>
            </w:r>
          </w:p>
        </w:tc>
        <w:tc>
          <w:tcPr>
            <w:tcW w:w="975" w:type="dxa"/>
            <w:tcBorders>
              <w:top w:val="single" w:color="00000A" w:sz="6" w:space="0"/>
              <w:left w:val="single" w:color="00000A" w:sz="6" w:space="0"/>
              <w:bottom w:val="single" w:color="00000A" w:sz="6" w:space="0"/>
              <w:right w:val="single" w:color="00000A" w:sz="6" w:space="0"/>
            </w:tcBorders>
            <w:tcMar>
              <w:left w:w="93" w:type="dxa"/>
            </w:tcMar>
            <w:vAlign w:val="center"/>
          </w:tcPr>
          <w:p w14:paraId="76976475">
            <w:pPr>
              <w:spacing w:line="276" w:lineRule="auto"/>
              <w:jc w:val="center"/>
              <w:rPr>
                <w:rFonts w:ascii="宋体" w:hAnsi="宋体" w:cs="仿宋"/>
                <w:w w:val="80"/>
                <w:sz w:val="18"/>
                <w:szCs w:val="18"/>
              </w:rPr>
            </w:pPr>
          </w:p>
        </w:tc>
        <w:tc>
          <w:tcPr>
            <w:tcW w:w="832" w:type="dxa"/>
            <w:tcBorders>
              <w:top w:val="single" w:color="00000A" w:sz="6" w:space="0"/>
              <w:left w:val="single" w:color="00000A" w:sz="6" w:space="0"/>
              <w:bottom w:val="single" w:color="00000A" w:sz="6" w:space="0"/>
              <w:right w:val="single" w:color="00000A" w:sz="6" w:space="0"/>
            </w:tcBorders>
            <w:tcMar>
              <w:left w:w="93" w:type="dxa"/>
            </w:tcMar>
            <w:vAlign w:val="center"/>
          </w:tcPr>
          <w:p w14:paraId="3D2E5108">
            <w:pPr>
              <w:spacing w:line="276" w:lineRule="auto"/>
              <w:jc w:val="center"/>
              <w:rPr>
                <w:rFonts w:ascii="宋体" w:hAnsi="宋体" w:cs="仿宋"/>
                <w:w w:val="80"/>
                <w:sz w:val="18"/>
                <w:szCs w:val="18"/>
              </w:rPr>
            </w:pPr>
          </w:p>
        </w:tc>
        <w:tc>
          <w:tcPr>
            <w:tcW w:w="1786" w:type="dxa"/>
            <w:tcBorders>
              <w:top w:val="single" w:color="00000A" w:sz="6" w:space="0"/>
              <w:left w:val="single" w:color="00000A" w:sz="6" w:space="0"/>
              <w:bottom w:val="single" w:color="00000A" w:sz="6" w:space="0"/>
              <w:right w:val="single" w:color="00000A" w:sz="12" w:space="0"/>
            </w:tcBorders>
            <w:tcMar>
              <w:left w:w="93" w:type="dxa"/>
            </w:tcMar>
            <w:vAlign w:val="center"/>
          </w:tcPr>
          <w:p w14:paraId="067A7640">
            <w:pPr>
              <w:spacing w:line="276" w:lineRule="auto"/>
              <w:ind w:firstLine="945"/>
              <w:jc w:val="center"/>
              <w:rPr>
                <w:rFonts w:ascii="宋体" w:hAnsi="宋体" w:cs="仿宋"/>
                <w:sz w:val="18"/>
                <w:szCs w:val="18"/>
              </w:rPr>
            </w:pPr>
          </w:p>
        </w:tc>
      </w:tr>
      <w:tr w14:paraId="4E828207">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6" w:space="0"/>
              <w:left w:val="single" w:color="00000A" w:sz="12" w:space="0"/>
              <w:bottom w:val="single" w:color="00000A" w:sz="6" w:space="0"/>
              <w:right w:val="single" w:color="00000A" w:sz="6" w:space="0"/>
            </w:tcBorders>
            <w:tcMar>
              <w:left w:w="93" w:type="dxa"/>
            </w:tcMar>
            <w:vAlign w:val="center"/>
          </w:tcPr>
          <w:p w14:paraId="16BB0AA1">
            <w:pPr>
              <w:spacing w:line="276" w:lineRule="auto"/>
              <w:jc w:val="center"/>
              <w:rPr>
                <w:rFonts w:ascii="宋体" w:hAnsi="宋体" w:cs="仿宋"/>
                <w:sz w:val="18"/>
                <w:szCs w:val="18"/>
              </w:rPr>
            </w:pPr>
            <w:r>
              <w:rPr>
                <w:rFonts w:ascii="宋体" w:hAnsi="宋体" w:cs="仿宋"/>
                <w:sz w:val="18"/>
                <w:szCs w:val="18"/>
              </w:rPr>
              <w:t>15</w:t>
            </w:r>
          </w:p>
        </w:tc>
        <w:tc>
          <w:tcPr>
            <w:tcW w:w="3303" w:type="dxa"/>
            <w:tcBorders>
              <w:top w:val="single" w:color="00000A" w:sz="6" w:space="0"/>
              <w:left w:val="single" w:color="00000A" w:sz="6" w:space="0"/>
              <w:bottom w:val="single" w:color="00000A" w:sz="6" w:space="0"/>
              <w:right w:val="single" w:color="00000A" w:sz="6" w:space="0"/>
            </w:tcBorders>
            <w:tcMar>
              <w:left w:w="100" w:type="dxa"/>
            </w:tcMar>
            <w:vAlign w:val="center"/>
          </w:tcPr>
          <w:p w14:paraId="6D8CA50D">
            <w:pPr>
              <w:spacing w:line="276" w:lineRule="auto"/>
              <w:jc w:val="center"/>
              <w:rPr>
                <w:rFonts w:ascii="宋体" w:hAnsi="宋体" w:cs="仿宋"/>
                <w:sz w:val="18"/>
                <w:szCs w:val="18"/>
              </w:rPr>
            </w:pPr>
            <w:r>
              <w:rPr>
                <w:rFonts w:ascii="宋体" w:hAnsi="宋体" w:cs="仿宋"/>
                <w:sz w:val="18"/>
                <w:szCs w:val="18"/>
              </w:rPr>
              <w:t>客户投诉率（仅限于对中心投诉）</w:t>
            </w:r>
          </w:p>
        </w:tc>
        <w:tc>
          <w:tcPr>
            <w:tcW w:w="836" w:type="dxa"/>
            <w:tcBorders>
              <w:top w:val="single" w:color="00000A" w:sz="6" w:space="0"/>
              <w:left w:val="single" w:color="00000A" w:sz="6" w:space="0"/>
              <w:bottom w:val="single" w:color="00000A" w:sz="6" w:space="0"/>
              <w:right w:val="single" w:color="00000A" w:sz="6" w:space="0"/>
            </w:tcBorders>
            <w:tcMar>
              <w:left w:w="93" w:type="dxa"/>
            </w:tcMar>
            <w:vAlign w:val="center"/>
          </w:tcPr>
          <w:p w14:paraId="2DFF9A54">
            <w:pPr>
              <w:spacing w:line="276" w:lineRule="auto"/>
              <w:jc w:val="center"/>
              <w:rPr>
                <w:rFonts w:ascii="宋体" w:hAnsi="宋体" w:cs="仿宋"/>
                <w:sz w:val="18"/>
                <w:szCs w:val="18"/>
              </w:rPr>
            </w:pPr>
            <w:r>
              <w:rPr>
                <w:rFonts w:ascii="宋体" w:hAnsi="宋体" w:cs="仿宋"/>
                <w:sz w:val="18"/>
                <w:szCs w:val="18"/>
              </w:rPr>
              <w:t>≦0.5‰</w:t>
            </w:r>
          </w:p>
        </w:tc>
        <w:tc>
          <w:tcPr>
            <w:tcW w:w="831" w:type="dxa"/>
            <w:tcBorders>
              <w:top w:val="single" w:color="00000A" w:sz="6" w:space="0"/>
              <w:left w:val="single" w:color="00000A" w:sz="6" w:space="0"/>
              <w:bottom w:val="single" w:color="00000A" w:sz="6" w:space="0"/>
              <w:right w:val="single" w:color="00000A" w:sz="6" w:space="0"/>
            </w:tcBorders>
            <w:tcMar>
              <w:left w:w="93" w:type="dxa"/>
            </w:tcMar>
            <w:vAlign w:val="center"/>
          </w:tcPr>
          <w:p w14:paraId="40CBEC21">
            <w:pPr>
              <w:spacing w:line="276" w:lineRule="auto"/>
              <w:jc w:val="center"/>
              <w:rPr>
                <w:rFonts w:ascii="宋体" w:hAnsi="宋体" w:cs="仿宋"/>
                <w:sz w:val="18"/>
                <w:szCs w:val="18"/>
              </w:rPr>
            </w:pPr>
            <w:r>
              <w:rPr>
                <w:rFonts w:ascii="宋体" w:hAnsi="宋体" w:cs="仿宋"/>
                <w:sz w:val="18"/>
                <w:szCs w:val="18"/>
              </w:rPr>
              <w:t>3</w:t>
            </w:r>
          </w:p>
        </w:tc>
        <w:tc>
          <w:tcPr>
            <w:tcW w:w="975" w:type="dxa"/>
            <w:tcBorders>
              <w:top w:val="single" w:color="00000A" w:sz="6" w:space="0"/>
              <w:left w:val="single" w:color="00000A" w:sz="6" w:space="0"/>
              <w:bottom w:val="single" w:color="00000A" w:sz="6" w:space="0"/>
              <w:right w:val="single" w:color="00000A" w:sz="6" w:space="0"/>
            </w:tcBorders>
            <w:tcMar>
              <w:left w:w="93" w:type="dxa"/>
            </w:tcMar>
            <w:vAlign w:val="center"/>
          </w:tcPr>
          <w:p w14:paraId="71A63127">
            <w:pPr>
              <w:spacing w:line="276" w:lineRule="auto"/>
              <w:jc w:val="center"/>
              <w:rPr>
                <w:rFonts w:ascii="宋体" w:hAnsi="宋体" w:cs="仿宋"/>
                <w:w w:val="80"/>
                <w:sz w:val="18"/>
                <w:szCs w:val="18"/>
              </w:rPr>
            </w:pPr>
          </w:p>
        </w:tc>
        <w:tc>
          <w:tcPr>
            <w:tcW w:w="832" w:type="dxa"/>
            <w:tcBorders>
              <w:top w:val="single" w:color="00000A" w:sz="6" w:space="0"/>
              <w:left w:val="single" w:color="00000A" w:sz="6" w:space="0"/>
              <w:bottom w:val="single" w:color="00000A" w:sz="6" w:space="0"/>
              <w:right w:val="single" w:color="00000A" w:sz="6" w:space="0"/>
            </w:tcBorders>
            <w:tcMar>
              <w:left w:w="93" w:type="dxa"/>
            </w:tcMar>
            <w:vAlign w:val="center"/>
          </w:tcPr>
          <w:p w14:paraId="6203F4D6">
            <w:pPr>
              <w:spacing w:line="276" w:lineRule="auto"/>
              <w:jc w:val="center"/>
              <w:rPr>
                <w:rFonts w:ascii="宋体" w:hAnsi="宋体" w:cs="仿宋"/>
                <w:w w:val="80"/>
                <w:sz w:val="18"/>
                <w:szCs w:val="18"/>
              </w:rPr>
            </w:pPr>
          </w:p>
        </w:tc>
        <w:tc>
          <w:tcPr>
            <w:tcW w:w="1786" w:type="dxa"/>
            <w:tcBorders>
              <w:top w:val="single" w:color="00000A" w:sz="6" w:space="0"/>
              <w:left w:val="single" w:color="00000A" w:sz="6" w:space="0"/>
              <w:bottom w:val="single" w:color="00000A" w:sz="6" w:space="0"/>
              <w:right w:val="single" w:color="00000A" w:sz="12" w:space="0"/>
            </w:tcBorders>
            <w:tcMar>
              <w:left w:w="93" w:type="dxa"/>
            </w:tcMar>
            <w:vAlign w:val="center"/>
          </w:tcPr>
          <w:p w14:paraId="66AD5C6F">
            <w:pPr>
              <w:spacing w:line="276" w:lineRule="auto"/>
              <w:ind w:firstLine="945"/>
              <w:jc w:val="center"/>
              <w:rPr>
                <w:rFonts w:ascii="宋体" w:hAnsi="宋体" w:cs="仿宋"/>
                <w:sz w:val="18"/>
                <w:szCs w:val="18"/>
              </w:rPr>
            </w:pPr>
          </w:p>
        </w:tc>
      </w:tr>
      <w:tr w14:paraId="7FB785DF">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6" w:space="0"/>
              <w:left w:val="single" w:color="00000A" w:sz="12" w:space="0"/>
              <w:bottom w:val="single" w:color="00000A" w:sz="6" w:space="0"/>
              <w:right w:val="single" w:color="00000A" w:sz="6" w:space="0"/>
            </w:tcBorders>
            <w:tcMar>
              <w:left w:w="93" w:type="dxa"/>
            </w:tcMar>
            <w:vAlign w:val="center"/>
          </w:tcPr>
          <w:p w14:paraId="31A32C32">
            <w:pPr>
              <w:spacing w:line="276" w:lineRule="auto"/>
              <w:jc w:val="center"/>
              <w:rPr>
                <w:rFonts w:ascii="宋体" w:hAnsi="宋体" w:cs="仿宋"/>
                <w:sz w:val="18"/>
                <w:szCs w:val="18"/>
              </w:rPr>
            </w:pPr>
            <w:r>
              <w:rPr>
                <w:rFonts w:ascii="宋体" w:hAnsi="宋体" w:cs="仿宋"/>
                <w:sz w:val="18"/>
                <w:szCs w:val="18"/>
              </w:rPr>
              <w:t>16</w:t>
            </w:r>
          </w:p>
        </w:tc>
        <w:tc>
          <w:tcPr>
            <w:tcW w:w="3303" w:type="dxa"/>
            <w:tcBorders>
              <w:top w:val="single" w:color="00000A" w:sz="6" w:space="0"/>
              <w:left w:val="single" w:color="00000A" w:sz="6" w:space="0"/>
              <w:bottom w:val="single" w:color="00000A" w:sz="6" w:space="0"/>
              <w:right w:val="single" w:color="00000A" w:sz="6" w:space="0"/>
            </w:tcBorders>
            <w:tcMar>
              <w:left w:w="100" w:type="dxa"/>
            </w:tcMar>
            <w:vAlign w:val="center"/>
          </w:tcPr>
          <w:p w14:paraId="30A16765">
            <w:pPr>
              <w:spacing w:line="276" w:lineRule="auto"/>
              <w:jc w:val="center"/>
              <w:rPr>
                <w:rFonts w:ascii="宋体" w:hAnsi="宋体" w:cs="仿宋"/>
                <w:sz w:val="18"/>
                <w:szCs w:val="18"/>
              </w:rPr>
            </w:pPr>
            <w:r>
              <w:rPr>
                <w:rFonts w:ascii="宋体" w:hAnsi="宋体" w:cs="仿宋"/>
                <w:sz w:val="18"/>
                <w:szCs w:val="18"/>
              </w:rPr>
              <w:t>技术员工上岗持证率</w:t>
            </w:r>
          </w:p>
        </w:tc>
        <w:tc>
          <w:tcPr>
            <w:tcW w:w="836" w:type="dxa"/>
            <w:tcBorders>
              <w:top w:val="single" w:color="00000A" w:sz="6" w:space="0"/>
              <w:left w:val="single" w:color="00000A" w:sz="6" w:space="0"/>
              <w:bottom w:val="single" w:color="00000A" w:sz="6" w:space="0"/>
              <w:right w:val="single" w:color="00000A" w:sz="6" w:space="0"/>
            </w:tcBorders>
            <w:tcMar>
              <w:left w:w="93" w:type="dxa"/>
            </w:tcMar>
            <w:vAlign w:val="center"/>
          </w:tcPr>
          <w:p w14:paraId="2989A95D">
            <w:pPr>
              <w:spacing w:line="276" w:lineRule="auto"/>
              <w:jc w:val="center"/>
              <w:rPr>
                <w:rFonts w:ascii="宋体" w:hAnsi="宋体" w:cs="仿宋"/>
                <w:sz w:val="18"/>
                <w:szCs w:val="18"/>
              </w:rPr>
            </w:pPr>
            <w:r>
              <w:rPr>
                <w:rFonts w:ascii="宋体" w:hAnsi="宋体" w:cs="仿宋"/>
                <w:sz w:val="18"/>
                <w:szCs w:val="18"/>
              </w:rPr>
              <w:t>100%</w:t>
            </w:r>
          </w:p>
        </w:tc>
        <w:tc>
          <w:tcPr>
            <w:tcW w:w="831" w:type="dxa"/>
            <w:tcBorders>
              <w:top w:val="single" w:color="00000A" w:sz="6" w:space="0"/>
              <w:left w:val="single" w:color="00000A" w:sz="6" w:space="0"/>
              <w:bottom w:val="single" w:color="00000A" w:sz="6" w:space="0"/>
              <w:right w:val="single" w:color="00000A" w:sz="6" w:space="0"/>
            </w:tcBorders>
            <w:tcMar>
              <w:left w:w="93" w:type="dxa"/>
            </w:tcMar>
            <w:vAlign w:val="center"/>
          </w:tcPr>
          <w:p w14:paraId="56E59C5E">
            <w:pPr>
              <w:spacing w:line="276" w:lineRule="auto"/>
              <w:jc w:val="center"/>
              <w:rPr>
                <w:rFonts w:ascii="宋体" w:hAnsi="宋体" w:cs="仿宋"/>
                <w:sz w:val="18"/>
                <w:szCs w:val="18"/>
              </w:rPr>
            </w:pPr>
            <w:r>
              <w:rPr>
                <w:rFonts w:ascii="宋体" w:hAnsi="宋体" w:cs="仿宋"/>
                <w:sz w:val="18"/>
                <w:szCs w:val="18"/>
              </w:rPr>
              <w:t>3</w:t>
            </w:r>
          </w:p>
        </w:tc>
        <w:tc>
          <w:tcPr>
            <w:tcW w:w="975" w:type="dxa"/>
            <w:tcBorders>
              <w:top w:val="single" w:color="00000A" w:sz="6" w:space="0"/>
              <w:left w:val="single" w:color="00000A" w:sz="6" w:space="0"/>
              <w:bottom w:val="single" w:color="00000A" w:sz="6" w:space="0"/>
              <w:right w:val="single" w:color="00000A" w:sz="6" w:space="0"/>
            </w:tcBorders>
            <w:tcMar>
              <w:left w:w="93" w:type="dxa"/>
            </w:tcMar>
            <w:vAlign w:val="center"/>
          </w:tcPr>
          <w:p w14:paraId="6577ACE0">
            <w:pPr>
              <w:spacing w:line="276" w:lineRule="auto"/>
              <w:jc w:val="center"/>
              <w:rPr>
                <w:rFonts w:ascii="宋体" w:hAnsi="宋体" w:cs="仿宋"/>
                <w:w w:val="80"/>
                <w:sz w:val="18"/>
                <w:szCs w:val="18"/>
              </w:rPr>
            </w:pPr>
          </w:p>
        </w:tc>
        <w:tc>
          <w:tcPr>
            <w:tcW w:w="832" w:type="dxa"/>
            <w:tcBorders>
              <w:top w:val="single" w:color="00000A" w:sz="6" w:space="0"/>
              <w:left w:val="single" w:color="00000A" w:sz="6" w:space="0"/>
              <w:bottom w:val="single" w:color="00000A" w:sz="6" w:space="0"/>
              <w:right w:val="single" w:color="00000A" w:sz="6" w:space="0"/>
            </w:tcBorders>
            <w:tcMar>
              <w:left w:w="93" w:type="dxa"/>
            </w:tcMar>
            <w:vAlign w:val="center"/>
          </w:tcPr>
          <w:p w14:paraId="21E11708">
            <w:pPr>
              <w:spacing w:line="276" w:lineRule="auto"/>
              <w:jc w:val="center"/>
              <w:rPr>
                <w:rFonts w:ascii="宋体" w:hAnsi="宋体" w:cs="仿宋"/>
                <w:w w:val="80"/>
                <w:sz w:val="18"/>
                <w:szCs w:val="18"/>
              </w:rPr>
            </w:pPr>
          </w:p>
        </w:tc>
        <w:tc>
          <w:tcPr>
            <w:tcW w:w="1786" w:type="dxa"/>
            <w:tcBorders>
              <w:top w:val="single" w:color="00000A" w:sz="6" w:space="0"/>
              <w:left w:val="single" w:color="00000A" w:sz="6" w:space="0"/>
              <w:bottom w:val="single" w:color="00000A" w:sz="6" w:space="0"/>
              <w:right w:val="single" w:color="00000A" w:sz="12" w:space="0"/>
            </w:tcBorders>
            <w:tcMar>
              <w:left w:w="93" w:type="dxa"/>
            </w:tcMar>
            <w:vAlign w:val="center"/>
          </w:tcPr>
          <w:p w14:paraId="4A43A050">
            <w:pPr>
              <w:spacing w:line="276" w:lineRule="auto"/>
              <w:ind w:firstLine="945"/>
              <w:jc w:val="center"/>
              <w:rPr>
                <w:rFonts w:ascii="宋体" w:hAnsi="宋体" w:cs="仿宋"/>
                <w:sz w:val="18"/>
                <w:szCs w:val="18"/>
              </w:rPr>
            </w:pPr>
          </w:p>
        </w:tc>
      </w:tr>
      <w:tr w14:paraId="3579B290">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6" w:space="0"/>
              <w:left w:val="single" w:color="00000A" w:sz="12" w:space="0"/>
              <w:bottom w:val="single" w:color="00000A" w:sz="6" w:space="0"/>
              <w:right w:val="single" w:color="00000A" w:sz="6" w:space="0"/>
            </w:tcBorders>
            <w:tcMar>
              <w:left w:w="93" w:type="dxa"/>
            </w:tcMar>
            <w:vAlign w:val="center"/>
          </w:tcPr>
          <w:p w14:paraId="1DFB6BCB">
            <w:pPr>
              <w:spacing w:line="276" w:lineRule="auto"/>
              <w:jc w:val="center"/>
              <w:rPr>
                <w:rFonts w:ascii="宋体" w:hAnsi="宋体" w:cs="仿宋"/>
                <w:sz w:val="18"/>
                <w:szCs w:val="18"/>
              </w:rPr>
            </w:pPr>
            <w:r>
              <w:rPr>
                <w:rFonts w:ascii="宋体" w:hAnsi="宋体" w:cs="仿宋"/>
                <w:sz w:val="18"/>
                <w:szCs w:val="18"/>
              </w:rPr>
              <w:t>17</w:t>
            </w:r>
          </w:p>
        </w:tc>
        <w:tc>
          <w:tcPr>
            <w:tcW w:w="3303" w:type="dxa"/>
            <w:tcBorders>
              <w:top w:val="single" w:color="00000A" w:sz="6" w:space="0"/>
              <w:left w:val="single" w:color="00000A" w:sz="6" w:space="0"/>
              <w:bottom w:val="single" w:color="00000A" w:sz="6" w:space="0"/>
              <w:right w:val="single" w:color="00000A" w:sz="6" w:space="0"/>
            </w:tcBorders>
            <w:tcMar>
              <w:left w:w="100" w:type="dxa"/>
            </w:tcMar>
            <w:vAlign w:val="center"/>
          </w:tcPr>
          <w:p w14:paraId="08F286ED">
            <w:pPr>
              <w:spacing w:line="276" w:lineRule="auto"/>
              <w:jc w:val="center"/>
              <w:rPr>
                <w:rFonts w:ascii="宋体" w:hAnsi="宋体" w:cs="仿宋"/>
                <w:sz w:val="18"/>
                <w:szCs w:val="18"/>
              </w:rPr>
            </w:pPr>
            <w:r>
              <w:rPr>
                <w:rFonts w:ascii="宋体" w:hAnsi="宋体" w:cs="仿宋"/>
                <w:sz w:val="18"/>
                <w:szCs w:val="18"/>
              </w:rPr>
              <w:t>服务质量合格率</w:t>
            </w:r>
          </w:p>
        </w:tc>
        <w:tc>
          <w:tcPr>
            <w:tcW w:w="836" w:type="dxa"/>
            <w:tcBorders>
              <w:top w:val="single" w:color="00000A" w:sz="6" w:space="0"/>
              <w:left w:val="single" w:color="00000A" w:sz="6" w:space="0"/>
              <w:bottom w:val="single" w:color="00000A" w:sz="6" w:space="0"/>
              <w:right w:val="single" w:color="00000A" w:sz="6" w:space="0"/>
            </w:tcBorders>
            <w:tcMar>
              <w:left w:w="93" w:type="dxa"/>
            </w:tcMar>
            <w:vAlign w:val="center"/>
          </w:tcPr>
          <w:p w14:paraId="5896CFBA">
            <w:pPr>
              <w:spacing w:line="276" w:lineRule="auto"/>
              <w:jc w:val="center"/>
              <w:rPr>
                <w:rFonts w:ascii="宋体" w:hAnsi="宋体" w:cs="仿宋"/>
                <w:sz w:val="18"/>
                <w:szCs w:val="18"/>
              </w:rPr>
            </w:pPr>
            <w:r>
              <w:rPr>
                <w:rFonts w:ascii="宋体" w:hAnsi="宋体" w:cs="仿宋"/>
                <w:sz w:val="18"/>
                <w:szCs w:val="18"/>
              </w:rPr>
              <w:t>95 %</w:t>
            </w:r>
          </w:p>
        </w:tc>
        <w:tc>
          <w:tcPr>
            <w:tcW w:w="831" w:type="dxa"/>
            <w:tcBorders>
              <w:top w:val="single" w:color="00000A" w:sz="6" w:space="0"/>
              <w:left w:val="single" w:color="00000A" w:sz="6" w:space="0"/>
              <w:bottom w:val="single" w:color="00000A" w:sz="6" w:space="0"/>
              <w:right w:val="single" w:color="00000A" w:sz="6" w:space="0"/>
            </w:tcBorders>
            <w:tcMar>
              <w:left w:w="93" w:type="dxa"/>
            </w:tcMar>
            <w:vAlign w:val="center"/>
          </w:tcPr>
          <w:p w14:paraId="2079B022">
            <w:pPr>
              <w:spacing w:line="276" w:lineRule="auto"/>
              <w:jc w:val="center"/>
              <w:rPr>
                <w:rFonts w:ascii="宋体" w:hAnsi="宋体" w:cs="仿宋"/>
                <w:sz w:val="18"/>
                <w:szCs w:val="18"/>
              </w:rPr>
            </w:pPr>
            <w:r>
              <w:rPr>
                <w:rFonts w:ascii="宋体" w:hAnsi="宋体" w:cs="仿宋"/>
                <w:sz w:val="18"/>
                <w:szCs w:val="18"/>
              </w:rPr>
              <w:t>12</w:t>
            </w:r>
          </w:p>
        </w:tc>
        <w:tc>
          <w:tcPr>
            <w:tcW w:w="975" w:type="dxa"/>
            <w:tcBorders>
              <w:top w:val="single" w:color="00000A" w:sz="6" w:space="0"/>
              <w:left w:val="single" w:color="00000A" w:sz="6" w:space="0"/>
              <w:bottom w:val="single" w:color="00000A" w:sz="6" w:space="0"/>
              <w:right w:val="single" w:color="00000A" w:sz="6" w:space="0"/>
            </w:tcBorders>
            <w:tcMar>
              <w:left w:w="93" w:type="dxa"/>
            </w:tcMar>
            <w:vAlign w:val="center"/>
          </w:tcPr>
          <w:p w14:paraId="3E03BC2C">
            <w:pPr>
              <w:spacing w:line="276" w:lineRule="auto"/>
              <w:jc w:val="center"/>
              <w:rPr>
                <w:rFonts w:ascii="宋体" w:hAnsi="宋体" w:cs="仿宋"/>
                <w:w w:val="80"/>
                <w:sz w:val="18"/>
                <w:szCs w:val="18"/>
              </w:rPr>
            </w:pPr>
          </w:p>
        </w:tc>
        <w:tc>
          <w:tcPr>
            <w:tcW w:w="832" w:type="dxa"/>
            <w:tcBorders>
              <w:top w:val="single" w:color="00000A" w:sz="6" w:space="0"/>
              <w:left w:val="single" w:color="00000A" w:sz="6" w:space="0"/>
              <w:bottom w:val="single" w:color="00000A" w:sz="6" w:space="0"/>
              <w:right w:val="single" w:color="00000A" w:sz="6" w:space="0"/>
            </w:tcBorders>
            <w:tcMar>
              <w:left w:w="93" w:type="dxa"/>
            </w:tcMar>
            <w:vAlign w:val="center"/>
          </w:tcPr>
          <w:p w14:paraId="220E2093">
            <w:pPr>
              <w:spacing w:line="276" w:lineRule="auto"/>
              <w:jc w:val="center"/>
              <w:rPr>
                <w:rFonts w:ascii="宋体" w:hAnsi="宋体" w:cs="仿宋"/>
                <w:w w:val="80"/>
                <w:sz w:val="18"/>
                <w:szCs w:val="18"/>
              </w:rPr>
            </w:pPr>
          </w:p>
        </w:tc>
        <w:tc>
          <w:tcPr>
            <w:tcW w:w="1786" w:type="dxa"/>
            <w:tcBorders>
              <w:top w:val="single" w:color="00000A" w:sz="6" w:space="0"/>
              <w:left w:val="single" w:color="00000A" w:sz="6" w:space="0"/>
              <w:bottom w:val="single" w:color="00000A" w:sz="6" w:space="0"/>
              <w:right w:val="single" w:color="00000A" w:sz="12" w:space="0"/>
            </w:tcBorders>
            <w:tcMar>
              <w:left w:w="93" w:type="dxa"/>
            </w:tcMar>
            <w:vAlign w:val="center"/>
          </w:tcPr>
          <w:p w14:paraId="350ABC73">
            <w:pPr>
              <w:spacing w:line="276" w:lineRule="auto"/>
              <w:ind w:firstLine="945"/>
              <w:jc w:val="center"/>
              <w:rPr>
                <w:rFonts w:ascii="宋体" w:hAnsi="宋体" w:cs="仿宋"/>
                <w:sz w:val="18"/>
                <w:szCs w:val="18"/>
              </w:rPr>
            </w:pPr>
          </w:p>
        </w:tc>
      </w:tr>
      <w:tr w14:paraId="59684D95">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6" w:space="0"/>
              <w:left w:val="single" w:color="00000A" w:sz="12" w:space="0"/>
              <w:bottom w:val="single" w:color="00000A" w:sz="6" w:space="0"/>
              <w:right w:val="single" w:color="00000A" w:sz="6" w:space="0"/>
            </w:tcBorders>
            <w:tcMar>
              <w:left w:w="93" w:type="dxa"/>
            </w:tcMar>
            <w:vAlign w:val="center"/>
          </w:tcPr>
          <w:p w14:paraId="221640D7">
            <w:pPr>
              <w:spacing w:line="276" w:lineRule="auto"/>
              <w:jc w:val="center"/>
              <w:rPr>
                <w:rFonts w:ascii="宋体" w:hAnsi="宋体" w:cs="仿宋"/>
                <w:sz w:val="18"/>
                <w:szCs w:val="18"/>
              </w:rPr>
            </w:pPr>
            <w:r>
              <w:rPr>
                <w:rFonts w:ascii="宋体" w:hAnsi="宋体" w:cs="仿宋"/>
                <w:sz w:val="18"/>
                <w:szCs w:val="18"/>
              </w:rPr>
              <w:t>18</w:t>
            </w:r>
          </w:p>
        </w:tc>
        <w:tc>
          <w:tcPr>
            <w:tcW w:w="3303" w:type="dxa"/>
            <w:tcBorders>
              <w:top w:val="single" w:color="00000A" w:sz="6" w:space="0"/>
              <w:left w:val="single" w:color="00000A" w:sz="6" w:space="0"/>
              <w:bottom w:val="single" w:color="00000A" w:sz="6" w:space="0"/>
              <w:right w:val="single" w:color="00000A" w:sz="6" w:space="0"/>
            </w:tcBorders>
            <w:tcMar>
              <w:left w:w="100" w:type="dxa"/>
            </w:tcMar>
            <w:vAlign w:val="center"/>
          </w:tcPr>
          <w:p w14:paraId="616E24F7">
            <w:pPr>
              <w:spacing w:line="276" w:lineRule="auto"/>
              <w:jc w:val="center"/>
              <w:rPr>
                <w:rFonts w:ascii="宋体" w:hAnsi="宋体" w:cs="仿宋"/>
                <w:sz w:val="18"/>
                <w:szCs w:val="18"/>
              </w:rPr>
            </w:pPr>
            <w:r>
              <w:rPr>
                <w:rFonts w:ascii="宋体" w:hAnsi="宋体" w:cs="仿宋"/>
                <w:sz w:val="18"/>
                <w:szCs w:val="18"/>
              </w:rPr>
              <w:t>保安工作合格率</w:t>
            </w:r>
          </w:p>
        </w:tc>
        <w:tc>
          <w:tcPr>
            <w:tcW w:w="836" w:type="dxa"/>
            <w:tcBorders>
              <w:top w:val="single" w:color="00000A" w:sz="6" w:space="0"/>
              <w:left w:val="single" w:color="00000A" w:sz="6" w:space="0"/>
              <w:bottom w:val="single" w:color="00000A" w:sz="6" w:space="0"/>
              <w:right w:val="single" w:color="00000A" w:sz="6" w:space="0"/>
            </w:tcBorders>
            <w:tcMar>
              <w:left w:w="93" w:type="dxa"/>
            </w:tcMar>
            <w:vAlign w:val="center"/>
          </w:tcPr>
          <w:p w14:paraId="0EE9032D">
            <w:pPr>
              <w:spacing w:line="276" w:lineRule="auto"/>
              <w:jc w:val="center"/>
              <w:rPr>
                <w:rFonts w:ascii="宋体" w:hAnsi="宋体" w:cs="仿宋"/>
                <w:sz w:val="18"/>
                <w:szCs w:val="18"/>
              </w:rPr>
            </w:pPr>
            <w:r>
              <w:rPr>
                <w:rFonts w:ascii="宋体" w:hAnsi="宋体" w:cs="仿宋"/>
                <w:sz w:val="18"/>
                <w:szCs w:val="18"/>
              </w:rPr>
              <w:t>98%</w:t>
            </w:r>
          </w:p>
        </w:tc>
        <w:tc>
          <w:tcPr>
            <w:tcW w:w="831" w:type="dxa"/>
            <w:tcBorders>
              <w:top w:val="single" w:color="00000A" w:sz="6" w:space="0"/>
              <w:left w:val="single" w:color="00000A" w:sz="6" w:space="0"/>
              <w:bottom w:val="single" w:color="00000A" w:sz="6" w:space="0"/>
              <w:right w:val="single" w:color="00000A" w:sz="6" w:space="0"/>
            </w:tcBorders>
            <w:tcMar>
              <w:left w:w="93" w:type="dxa"/>
            </w:tcMar>
            <w:vAlign w:val="center"/>
          </w:tcPr>
          <w:p w14:paraId="6B77FFD1">
            <w:pPr>
              <w:spacing w:line="276" w:lineRule="auto"/>
              <w:jc w:val="center"/>
              <w:rPr>
                <w:rFonts w:ascii="宋体" w:hAnsi="宋体" w:cs="仿宋"/>
                <w:sz w:val="18"/>
                <w:szCs w:val="18"/>
              </w:rPr>
            </w:pPr>
            <w:r>
              <w:rPr>
                <w:rFonts w:ascii="宋体" w:hAnsi="宋体" w:cs="仿宋"/>
                <w:sz w:val="18"/>
                <w:szCs w:val="18"/>
              </w:rPr>
              <w:t>15</w:t>
            </w:r>
          </w:p>
        </w:tc>
        <w:tc>
          <w:tcPr>
            <w:tcW w:w="975" w:type="dxa"/>
            <w:tcBorders>
              <w:top w:val="single" w:color="00000A" w:sz="6" w:space="0"/>
              <w:left w:val="single" w:color="00000A" w:sz="6" w:space="0"/>
              <w:bottom w:val="single" w:color="00000A" w:sz="6" w:space="0"/>
              <w:right w:val="single" w:color="00000A" w:sz="6" w:space="0"/>
            </w:tcBorders>
            <w:tcMar>
              <w:left w:w="93" w:type="dxa"/>
            </w:tcMar>
            <w:vAlign w:val="center"/>
          </w:tcPr>
          <w:p w14:paraId="67EE7E4A">
            <w:pPr>
              <w:spacing w:line="276" w:lineRule="auto"/>
              <w:jc w:val="center"/>
              <w:rPr>
                <w:rFonts w:ascii="宋体" w:hAnsi="宋体" w:cs="仿宋"/>
                <w:w w:val="80"/>
                <w:sz w:val="18"/>
                <w:szCs w:val="18"/>
              </w:rPr>
            </w:pPr>
          </w:p>
        </w:tc>
        <w:tc>
          <w:tcPr>
            <w:tcW w:w="832" w:type="dxa"/>
            <w:tcBorders>
              <w:top w:val="single" w:color="00000A" w:sz="6" w:space="0"/>
              <w:left w:val="single" w:color="00000A" w:sz="6" w:space="0"/>
              <w:bottom w:val="single" w:color="00000A" w:sz="6" w:space="0"/>
              <w:right w:val="single" w:color="00000A" w:sz="6" w:space="0"/>
            </w:tcBorders>
            <w:tcMar>
              <w:left w:w="93" w:type="dxa"/>
            </w:tcMar>
            <w:vAlign w:val="center"/>
          </w:tcPr>
          <w:p w14:paraId="4598D0D6">
            <w:pPr>
              <w:spacing w:line="276" w:lineRule="auto"/>
              <w:jc w:val="center"/>
              <w:rPr>
                <w:rFonts w:ascii="宋体" w:hAnsi="宋体" w:cs="仿宋"/>
                <w:w w:val="80"/>
                <w:sz w:val="18"/>
                <w:szCs w:val="18"/>
              </w:rPr>
            </w:pPr>
          </w:p>
        </w:tc>
        <w:tc>
          <w:tcPr>
            <w:tcW w:w="1786" w:type="dxa"/>
            <w:tcBorders>
              <w:top w:val="single" w:color="00000A" w:sz="6" w:space="0"/>
              <w:left w:val="single" w:color="00000A" w:sz="6" w:space="0"/>
              <w:bottom w:val="single" w:color="00000A" w:sz="6" w:space="0"/>
              <w:right w:val="single" w:color="00000A" w:sz="12" w:space="0"/>
            </w:tcBorders>
            <w:tcMar>
              <w:left w:w="93" w:type="dxa"/>
            </w:tcMar>
            <w:vAlign w:val="center"/>
          </w:tcPr>
          <w:p w14:paraId="09936D46">
            <w:pPr>
              <w:spacing w:line="276" w:lineRule="auto"/>
              <w:ind w:firstLine="945"/>
              <w:jc w:val="center"/>
              <w:rPr>
                <w:rFonts w:ascii="宋体" w:hAnsi="宋体" w:cs="仿宋"/>
                <w:sz w:val="18"/>
                <w:szCs w:val="18"/>
              </w:rPr>
            </w:pPr>
          </w:p>
        </w:tc>
      </w:tr>
      <w:tr w14:paraId="50EBF5BA">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6" w:space="0"/>
              <w:left w:val="single" w:color="00000A" w:sz="12" w:space="0"/>
              <w:bottom w:val="single" w:color="00000A" w:sz="6" w:space="0"/>
              <w:right w:val="single" w:color="00000A" w:sz="6" w:space="0"/>
            </w:tcBorders>
            <w:tcMar>
              <w:left w:w="93" w:type="dxa"/>
            </w:tcMar>
            <w:vAlign w:val="center"/>
          </w:tcPr>
          <w:p w14:paraId="505448E6">
            <w:pPr>
              <w:spacing w:line="276" w:lineRule="auto"/>
              <w:jc w:val="center"/>
              <w:rPr>
                <w:rFonts w:ascii="宋体" w:hAnsi="宋体" w:cs="仿宋"/>
                <w:sz w:val="18"/>
                <w:szCs w:val="18"/>
              </w:rPr>
            </w:pPr>
            <w:r>
              <w:rPr>
                <w:rFonts w:ascii="宋体" w:hAnsi="宋体" w:cs="仿宋"/>
                <w:sz w:val="18"/>
                <w:szCs w:val="18"/>
              </w:rPr>
              <w:t>19</w:t>
            </w:r>
          </w:p>
        </w:tc>
        <w:tc>
          <w:tcPr>
            <w:tcW w:w="3303" w:type="dxa"/>
            <w:tcBorders>
              <w:top w:val="single" w:color="00000A" w:sz="6" w:space="0"/>
              <w:left w:val="single" w:color="00000A" w:sz="6" w:space="0"/>
              <w:bottom w:val="single" w:color="00000A" w:sz="6" w:space="0"/>
              <w:right w:val="single" w:color="00000A" w:sz="6" w:space="0"/>
            </w:tcBorders>
            <w:tcMar>
              <w:left w:w="100" w:type="dxa"/>
            </w:tcMar>
            <w:vAlign w:val="center"/>
          </w:tcPr>
          <w:p w14:paraId="11B8D172">
            <w:pPr>
              <w:spacing w:line="276" w:lineRule="auto"/>
              <w:jc w:val="center"/>
              <w:rPr>
                <w:rFonts w:hint="default" w:ascii="宋体" w:hAnsi="宋体" w:eastAsia="宋体" w:cs="仿宋"/>
                <w:sz w:val="18"/>
                <w:szCs w:val="18"/>
                <w:lang w:val="en-US" w:eastAsia="zh-CN"/>
              </w:rPr>
            </w:pPr>
            <w:r>
              <w:rPr>
                <w:rFonts w:hint="eastAsia" w:ascii="宋体" w:hAnsi="宋体" w:cs="仿宋"/>
                <w:sz w:val="18"/>
                <w:szCs w:val="18"/>
                <w:lang w:val="en-US" w:eastAsia="zh-CN"/>
              </w:rPr>
              <w:t>每月培训效果转换率</w:t>
            </w:r>
          </w:p>
        </w:tc>
        <w:tc>
          <w:tcPr>
            <w:tcW w:w="836" w:type="dxa"/>
            <w:tcBorders>
              <w:top w:val="single" w:color="00000A" w:sz="6" w:space="0"/>
              <w:left w:val="single" w:color="00000A" w:sz="6" w:space="0"/>
              <w:bottom w:val="single" w:color="00000A" w:sz="6" w:space="0"/>
              <w:right w:val="single" w:color="00000A" w:sz="6" w:space="0"/>
            </w:tcBorders>
            <w:tcMar>
              <w:left w:w="93" w:type="dxa"/>
            </w:tcMar>
            <w:vAlign w:val="center"/>
          </w:tcPr>
          <w:p w14:paraId="4F10B8C7">
            <w:pPr>
              <w:spacing w:line="276" w:lineRule="auto"/>
              <w:jc w:val="center"/>
              <w:rPr>
                <w:rFonts w:hint="default" w:ascii="宋体" w:hAnsi="宋体" w:eastAsia="宋体" w:cs="仿宋"/>
                <w:sz w:val="18"/>
                <w:szCs w:val="18"/>
                <w:lang w:val="en-US" w:eastAsia="zh-CN"/>
              </w:rPr>
            </w:pPr>
            <w:r>
              <w:rPr>
                <w:rFonts w:hint="eastAsia" w:ascii="宋体" w:hAnsi="宋体" w:cs="仿宋"/>
                <w:sz w:val="18"/>
                <w:szCs w:val="18"/>
                <w:lang w:val="en-US" w:eastAsia="zh-CN"/>
              </w:rPr>
              <w:t>98%</w:t>
            </w:r>
          </w:p>
        </w:tc>
        <w:tc>
          <w:tcPr>
            <w:tcW w:w="831" w:type="dxa"/>
            <w:tcBorders>
              <w:top w:val="single" w:color="00000A" w:sz="6" w:space="0"/>
              <w:left w:val="single" w:color="00000A" w:sz="6" w:space="0"/>
              <w:bottom w:val="single" w:color="00000A" w:sz="6" w:space="0"/>
              <w:right w:val="single" w:color="00000A" w:sz="6" w:space="0"/>
            </w:tcBorders>
            <w:tcMar>
              <w:left w:w="93" w:type="dxa"/>
            </w:tcMar>
            <w:vAlign w:val="center"/>
          </w:tcPr>
          <w:p w14:paraId="337E6C66">
            <w:pPr>
              <w:spacing w:line="276" w:lineRule="auto"/>
              <w:jc w:val="center"/>
              <w:rPr>
                <w:rFonts w:hint="eastAsia" w:ascii="宋体" w:hAnsi="宋体" w:eastAsia="宋体" w:cs="仿宋"/>
                <w:sz w:val="18"/>
                <w:szCs w:val="18"/>
                <w:lang w:val="en-US" w:eastAsia="zh-CN"/>
              </w:rPr>
            </w:pPr>
            <w:r>
              <w:rPr>
                <w:rFonts w:hint="eastAsia" w:ascii="宋体" w:hAnsi="宋体" w:cs="仿宋"/>
                <w:sz w:val="18"/>
                <w:szCs w:val="18"/>
                <w:lang w:val="en-US" w:eastAsia="zh-CN"/>
              </w:rPr>
              <w:t>2</w:t>
            </w:r>
          </w:p>
        </w:tc>
        <w:tc>
          <w:tcPr>
            <w:tcW w:w="975" w:type="dxa"/>
            <w:tcBorders>
              <w:top w:val="single" w:color="00000A" w:sz="6" w:space="0"/>
              <w:left w:val="single" w:color="00000A" w:sz="6" w:space="0"/>
              <w:bottom w:val="single" w:color="00000A" w:sz="6" w:space="0"/>
              <w:right w:val="single" w:color="00000A" w:sz="6" w:space="0"/>
            </w:tcBorders>
            <w:tcMar>
              <w:left w:w="93" w:type="dxa"/>
            </w:tcMar>
            <w:vAlign w:val="center"/>
          </w:tcPr>
          <w:p w14:paraId="5E1CDC85">
            <w:pPr>
              <w:spacing w:line="276" w:lineRule="auto"/>
              <w:jc w:val="center"/>
              <w:rPr>
                <w:rFonts w:ascii="宋体" w:hAnsi="宋体" w:cs="仿宋"/>
                <w:w w:val="80"/>
                <w:sz w:val="18"/>
                <w:szCs w:val="18"/>
              </w:rPr>
            </w:pPr>
          </w:p>
        </w:tc>
        <w:tc>
          <w:tcPr>
            <w:tcW w:w="832" w:type="dxa"/>
            <w:tcBorders>
              <w:top w:val="single" w:color="00000A" w:sz="6" w:space="0"/>
              <w:left w:val="single" w:color="00000A" w:sz="6" w:space="0"/>
              <w:bottom w:val="single" w:color="00000A" w:sz="6" w:space="0"/>
              <w:right w:val="single" w:color="00000A" w:sz="6" w:space="0"/>
            </w:tcBorders>
            <w:tcMar>
              <w:left w:w="93" w:type="dxa"/>
            </w:tcMar>
            <w:vAlign w:val="center"/>
          </w:tcPr>
          <w:p w14:paraId="63838E57">
            <w:pPr>
              <w:spacing w:line="276" w:lineRule="auto"/>
              <w:jc w:val="center"/>
              <w:rPr>
                <w:rFonts w:ascii="宋体" w:hAnsi="宋体" w:cs="仿宋"/>
                <w:w w:val="80"/>
                <w:sz w:val="18"/>
                <w:szCs w:val="18"/>
              </w:rPr>
            </w:pPr>
          </w:p>
        </w:tc>
        <w:tc>
          <w:tcPr>
            <w:tcW w:w="1786" w:type="dxa"/>
            <w:tcBorders>
              <w:top w:val="single" w:color="00000A" w:sz="6" w:space="0"/>
              <w:left w:val="single" w:color="00000A" w:sz="6" w:space="0"/>
              <w:bottom w:val="single" w:color="00000A" w:sz="6" w:space="0"/>
              <w:right w:val="single" w:color="00000A" w:sz="12" w:space="0"/>
            </w:tcBorders>
            <w:tcMar>
              <w:left w:w="93" w:type="dxa"/>
            </w:tcMar>
            <w:vAlign w:val="center"/>
          </w:tcPr>
          <w:p w14:paraId="63F0811E">
            <w:pPr>
              <w:spacing w:line="276" w:lineRule="auto"/>
              <w:ind w:firstLine="945"/>
              <w:jc w:val="center"/>
              <w:rPr>
                <w:rFonts w:ascii="宋体" w:hAnsi="宋体" w:cs="仿宋"/>
                <w:sz w:val="18"/>
                <w:szCs w:val="18"/>
              </w:rPr>
            </w:pPr>
          </w:p>
        </w:tc>
      </w:tr>
      <w:tr w14:paraId="17F0EE8D">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6" w:space="0"/>
              <w:left w:val="single" w:color="00000A" w:sz="12" w:space="0"/>
              <w:bottom w:val="single" w:color="00000A" w:sz="6" w:space="0"/>
              <w:right w:val="single" w:color="00000A" w:sz="6" w:space="0"/>
            </w:tcBorders>
            <w:tcMar>
              <w:left w:w="93" w:type="dxa"/>
            </w:tcMar>
            <w:vAlign w:val="center"/>
          </w:tcPr>
          <w:p w14:paraId="0F7BA2D0">
            <w:pPr>
              <w:spacing w:line="276" w:lineRule="auto"/>
              <w:jc w:val="center"/>
              <w:rPr>
                <w:rFonts w:ascii="宋体" w:hAnsi="宋体" w:cs="仿宋"/>
                <w:sz w:val="18"/>
                <w:szCs w:val="18"/>
              </w:rPr>
            </w:pPr>
            <w:r>
              <w:rPr>
                <w:rFonts w:ascii="宋体" w:hAnsi="宋体" w:cs="仿宋"/>
                <w:sz w:val="18"/>
                <w:szCs w:val="18"/>
              </w:rPr>
              <w:t>20</w:t>
            </w:r>
          </w:p>
        </w:tc>
        <w:tc>
          <w:tcPr>
            <w:tcW w:w="3303" w:type="dxa"/>
            <w:tcBorders>
              <w:top w:val="single" w:color="00000A" w:sz="6" w:space="0"/>
              <w:left w:val="single" w:color="00000A" w:sz="6" w:space="0"/>
              <w:bottom w:val="single" w:color="00000A" w:sz="6" w:space="0"/>
              <w:right w:val="single" w:color="00000A" w:sz="6" w:space="0"/>
            </w:tcBorders>
            <w:tcMar>
              <w:left w:w="100" w:type="dxa"/>
            </w:tcMar>
            <w:vAlign w:val="center"/>
          </w:tcPr>
          <w:p w14:paraId="7DAB94E9">
            <w:pPr>
              <w:spacing w:line="276" w:lineRule="auto"/>
              <w:jc w:val="center"/>
              <w:rPr>
                <w:rFonts w:ascii="宋体" w:hAnsi="宋体" w:cs="仿宋"/>
                <w:sz w:val="18"/>
                <w:szCs w:val="18"/>
              </w:rPr>
            </w:pPr>
            <w:r>
              <w:rPr>
                <w:rFonts w:hint="eastAsia" w:ascii="宋体" w:hAnsi="宋体" w:cs="仿宋"/>
                <w:sz w:val="18"/>
                <w:szCs w:val="18"/>
                <w:lang w:val="en-US" w:eastAsia="zh-CN"/>
              </w:rPr>
              <w:t>接待保障</w:t>
            </w:r>
            <w:r>
              <w:rPr>
                <w:rFonts w:ascii="宋体" w:hAnsi="宋体" w:cs="仿宋"/>
                <w:sz w:val="18"/>
                <w:szCs w:val="18"/>
              </w:rPr>
              <w:t>满意率</w:t>
            </w:r>
          </w:p>
        </w:tc>
        <w:tc>
          <w:tcPr>
            <w:tcW w:w="836" w:type="dxa"/>
            <w:tcBorders>
              <w:top w:val="single" w:color="00000A" w:sz="6" w:space="0"/>
              <w:left w:val="single" w:color="00000A" w:sz="6" w:space="0"/>
              <w:bottom w:val="single" w:color="00000A" w:sz="6" w:space="0"/>
              <w:right w:val="single" w:color="00000A" w:sz="6" w:space="0"/>
            </w:tcBorders>
            <w:tcMar>
              <w:left w:w="93" w:type="dxa"/>
            </w:tcMar>
            <w:vAlign w:val="center"/>
          </w:tcPr>
          <w:p w14:paraId="30E73C3F">
            <w:pPr>
              <w:spacing w:line="276" w:lineRule="auto"/>
              <w:jc w:val="center"/>
              <w:rPr>
                <w:rFonts w:ascii="宋体" w:hAnsi="宋体" w:cs="仿宋"/>
                <w:sz w:val="18"/>
                <w:szCs w:val="18"/>
              </w:rPr>
            </w:pPr>
            <w:r>
              <w:rPr>
                <w:rFonts w:ascii="宋体" w:hAnsi="宋体" w:cs="仿宋"/>
                <w:sz w:val="18"/>
                <w:szCs w:val="18"/>
              </w:rPr>
              <w:t>98%</w:t>
            </w:r>
          </w:p>
        </w:tc>
        <w:tc>
          <w:tcPr>
            <w:tcW w:w="831" w:type="dxa"/>
            <w:tcBorders>
              <w:top w:val="single" w:color="00000A" w:sz="6" w:space="0"/>
              <w:left w:val="single" w:color="00000A" w:sz="6" w:space="0"/>
              <w:bottom w:val="single" w:color="00000A" w:sz="6" w:space="0"/>
              <w:right w:val="single" w:color="00000A" w:sz="6" w:space="0"/>
            </w:tcBorders>
            <w:tcMar>
              <w:left w:w="93" w:type="dxa"/>
            </w:tcMar>
            <w:vAlign w:val="center"/>
          </w:tcPr>
          <w:p w14:paraId="2FB0F44B">
            <w:pPr>
              <w:spacing w:line="276" w:lineRule="auto"/>
              <w:jc w:val="center"/>
              <w:rPr>
                <w:rFonts w:ascii="宋体" w:hAnsi="宋体" w:cs="仿宋"/>
                <w:sz w:val="18"/>
                <w:szCs w:val="18"/>
              </w:rPr>
            </w:pPr>
            <w:r>
              <w:rPr>
                <w:rFonts w:ascii="宋体" w:hAnsi="宋体" w:cs="仿宋"/>
                <w:sz w:val="18"/>
                <w:szCs w:val="18"/>
              </w:rPr>
              <w:t>2</w:t>
            </w:r>
          </w:p>
        </w:tc>
        <w:tc>
          <w:tcPr>
            <w:tcW w:w="975" w:type="dxa"/>
            <w:tcBorders>
              <w:top w:val="single" w:color="00000A" w:sz="6" w:space="0"/>
              <w:left w:val="single" w:color="00000A" w:sz="6" w:space="0"/>
              <w:bottom w:val="single" w:color="00000A" w:sz="6" w:space="0"/>
              <w:right w:val="single" w:color="00000A" w:sz="6" w:space="0"/>
            </w:tcBorders>
            <w:tcMar>
              <w:left w:w="93" w:type="dxa"/>
            </w:tcMar>
            <w:vAlign w:val="center"/>
          </w:tcPr>
          <w:p w14:paraId="58991AB4">
            <w:pPr>
              <w:spacing w:line="276" w:lineRule="auto"/>
              <w:jc w:val="center"/>
              <w:rPr>
                <w:rFonts w:ascii="宋体" w:hAnsi="宋体" w:cs="仿宋"/>
                <w:w w:val="80"/>
                <w:sz w:val="18"/>
                <w:szCs w:val="18"/>
              </w:rPr>
            </w:pPr>
          </w:p>
        </w:tc>
        <w:tc>
          <w:tcPr>
            <w:tcW w:w="832" w:type="dxa"/>
            <w:tcBorders>
              <w:top w:val="single" w:color="00000A" w:sz="6" w:space="0"/>
              <w:left w:val="single" w:color="00000A" w:sz="6" w:space="0"/>
              <w:bottom w:val="single" w:color="00000A" w:sz="6" w:space="0"/>
              <w:right w:val="single" w:color="00000A" w:sz="6" w:space="0"/>
            </w:tcBorders>
            <w:tcMar>
              <w:left w:w="93" w:type="dxa"/>
            </w:tcMar>
            <w:vAlign w:val="center"/>
          </w:tcPr>
          <w:p w14:paraId="145D5684">
            <w:pPr>
              <w:spacing w:line="276" w:lineRule="auto"/>
              <w:jc w:val="center"/>
              <w:rPr>
                <w:rFonts w:ascii="宋体" w:hAnsi="宋体" w:cs="仿宋"/>
                <w:w w:val="80"/>
                <w:sz w:val="18"/>
                <w:szCs w:val="18"/>
              </w:rPr>
            </w:pPr>
          </w:p>
        </w:tc>
        <w:tc>
          <w:tcPr>
            <w:tcW w:w="1786" w:type="dxa"/>
            <w:tcBorders>
              <w:top w:val="single" w:color="00000A" w:sz="6" w:space="0"/>
              <w:left w:val="single" w:color="00000A" w:sz="6" w:space="0"/>
              <w:bottom w:val="single" w:color="00000A" w:sz="6" w:space="0"/>
              <w:right w:val="single" w:color="00000A" w:sz="12" w:space="0"/>
            </w:tcBorders>
            <w:tcMar>
              <w:left w:w="93" w:type="dxa"/>
            </w:tcMar>
            <w:vAlign w:val="center"/>
          </w:tcPr>
          <w:p w14:paraId="3C7324EE">
            <w:pPr>
              <w:spacing w:line="276" w:lineRule="auto"/>
              <w:ind w:firstLine="945"/>
              <w:jc w:val="center"/>
              <w:rPr>
                <w:rFonts w:ascii="宋体" w:hAnsi="宋体" w:cs="仿宋"/>
                <w:sz w:val="18"/>
                <w:szCs w:val="18"/>
              </w:rPr>
            </w:pPr>
          </w:p>
        </w:tc>
      </w:tr>
      <w:tr w14:paraId="04B9AE9C">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6" w:space="0"/>
              <w:left w:val="single" w:color="00000A" w:sz="12" w:space="0"/>
              <w:bottom w:val="single" w:color="00000A" w:sz="6" w:space="0"/>
              <w:right w:val="single" w:color="00000A" w:sz="6" w:space="0"/>
            </w:tcBorders>
            <w:tcMar>
              <w:left w:w="93" w:type="dxa"/>
            </w:tcMar>
            <w:vAlign w:val="center"/>
          </w:tcPr>
          <w:p w14:paraId="3726C1A2">
            <w:pPr>
              <w:spacing w:line="276" w:lineRule="auto"/>
              <w:jc w:val="center"/>
              <w:rPr>
                <w:rFonts w:ascii="宋体" w:hAnsi="宋体" w:cs="仿宋"/>
                <w:sz w:val="18"/>
                <w:szCs w:val="18"/>
              </w:rPr>
            </w:pPr>
            <w:r>
              <w:rPr>
                <w:rFonts w:ascii="宋体" w:hAnsi="宋体" w:cs="仿宋"/>
                <w:sz w:val="18"/>
                <w:szCs w:val="18"/>
              </w:rPr>
              <w:t>21</w:t>
            </w:r>
          </w:p>
        </w:tc>
        <w:tc>
          <w:tcPr>
            <w:tcW w:w="3303" w:type="dxa"/>
            <w:tcBorders>
              <w:top w:val="single" w:color="00000A" w:sz="6" w:space="0"/>
              <w:left w:val="single" w:color="00000A" w:sz="6" w:space="0"/>
              <w:bottom w:val="single" w:color="00000A" w:sz="6" w:space="0"/>
              <w:right w:val="single" w:color="00000A" w:sz="6" w:space="0"/>
            </w:tcBorders>
            <w:tcMar>
              <w:left w:w="100" w:type="dxa"/>
            </w:tcMar>
            <w:vAlign w:val="center"/>
          </w:tcPr>
          <w:p w14:paraId="30ABCA2B">
            <w:pPr>
              <w:spacing w:line="276" w:lineRule="auto"/>
              <w:jc w:val="center"/>
              <w:rPr>
                <w:rFonts w:hint="default" w:ascii="宋体" w:hAnsi="宋体" w:eastAsia="宋体" w:cs="仿宋"/>
                <w:sz w:val="18"/>
                <w:szCs w:val="18"/>
                <w:lang w:val="en-US" w:eastAsia="zh-CN"/>
              </w:rPr>
            </w:pPr>
            <w:r>
              <w:rPr>
                <w:rFonts w:hint="eastAsia" w:ascii="宋体" w:hAnsi="宋体" w:cs="仿宋"/>
                <w:sz w:val="18"/>
                <w:szCs w:val="18"/>
                <w:lang w:val="en-US" w:eastAsia="zh-CN"/>
              </w:rPr>
              <w:t>每月工作计划落实率</w:t>
            </w:r>
          </w:p>
        </w:tc>
        <w:tc>
          <w:tcPr>
            <w:tcW w:w="836" w:type="dxa"/>
            <w:tcBorders>
              <w:top w:val="single" w:color="00000A" w:sz="6" w:space="0"/>
              <w:left w:val="single" w:color="00000A" w:sz="6" w:space="0"/>
              <w:bottom w:val="single" w:color="00000A" w:sz="6" w:space="0"/>
              <w:right w:val="single" w:color="00000A" w:sz="6" w:space="0"/>
            </w:tcBorders>
            <w:tcMar>
              <w:left w:w="93" w:type="dxa"/>
            </w:tcMar>
            <w:vAlign w:val="center"/>
          </w:tcPr>
          <w:p w14:paraId="469CB32C">
            <w:pPr>
              <w:spacing w:line="276" w:lineRule="auto"/>
              <w:jc w:val="center"/>
              <w:rPr>
                <w:rFonts w:ascii="宋体" w:hAnsi="宋体" w:cs="仿宋"/>
                <w:sz w:val="18"/>
                <w:szCs w:val="18"/>
              </w:rPr>
            </w:pPr>
            <w:r>
              <w:rPr>
                <w:rFonts w:ascii="宋体" w:hAnsi="宋体" w:cs="仿宋"/>
                <w:sz w:val="18"/>
                <w:szCs w:val="18"/>
              </w:rPr>
              <w:t>95%</w:t>
            </w:r>
          </w:p>
        </w:tc>
        <w:tc>
          <w:tcPr>
            <w:tcW w:w="831" w:type="dxa"/>
            <w:tcBorders>
              <w:top w:val="single" w:color="00000A" w:sz="6" w:space="0"/>
              <w:left w:val="single" w:color="00000A" w:sz="6" w:space="0"/>
              <w:bottom w:val="single" w:color="00000A" w:sz="6" w:space="0"/>
              <w:right w:val="single" w:color="00000A" w:sz="6" w:space="0"/>
            </w:tcBorders>
            <w:tcMar>
              <w:left w:w="93" w:type="dxa"/>
            </w:tcMar>
            <w:vAlign w:val="center"/>
          </w:tcPr>
          <w:p w14:paraId="1E8B598C">
            <w:pPr>
              <w:spacing w:line="276" w:lineRule="auto"/>
              <w:jc w:val="center"/>
              <w:rPr>
                <w:rFonts w:ascii="宋体" w:hAnsi="宋体" w:cs="仿宋"/>
                <w:sz w:val="18"/>
                <w:szCs w:val="18"/>
              </w:rPr>
            </w:pPr>
            <w:r>
              <w:rPr>
                <w:rFonts w:ascii="宋体" w:hAnsi="宋体" w:cs="仿宋"/>
                <w:sz w:val="18"/>
                <w:szCs w:val="18"/>
              </w:rPr>
              <w:t>2</w:t>
            </w:r>
          </w:p>
        </w:tc>
        <w:tc>
          <w:tcPr>
            <w:tcW w:w="975" w:type="dxa"/>
            <w:tcBorders>
              <w:top w:val="single" w:color="00000A" w:sz="6" w:space="0"/>
              <w:left w:val="single" w:color="00000A" w:sz="6" w:space="0"/>
              <w:bottom w:val="single" w:color="00000A" w:sz="6" w:space="0"/>
              <w:right w:val="single" w:color="00000A" w:sz="6" w:space="0"/>
            </w:tcBorders>
            <w:tcMar>
              <w:left w:w="93" w:type="dxa"/>
            </w:tcMar>
            <w:vAlign w:val="center"/>
          </w:tcPr>
          <w:p w14:paraId="721BD6FE">
            <w:pPr>
              <w:spacing w:line="276" w:lineRule="auto"/>
              <w:jc w:val="center"/>
              <w:rPr>
                <w:rFonts w:ascii="宋体" w:hAnsi="宋体" w:cs="仿宋"/>
                <w:w w:val="80"/>
                <w:sz w:val="18"/>
                <w:szCs w:val="18"/>
              </w:rPr>
            </w:pPr>
          </w:p>
        </w:tc>
        <w:tc>
          <w:tcPr>
            <w:tcW w:w="832" w:type="dxa"/>
            <w:tcBorders>
              <w:top w:val="single" w:color="00000A" w:sz="6" w:space="0"/>
              <w:left w:val="single" w:color="00000A" w:sz="6" w:space="0"/>
              <w:bottom w:val="single" w:color="00000A" w:sz="6" w:space="0"/>
              <w:right w:val="single" w:color="00000A" w:sz="6" w:space="0"/>
            </w:tcBorders>
            <w:tcMar>
              <w:left w:w="93" w:type="dxa"/>
            </w:tcMar>
            <w:vAlign w:val="center"/>
          </w:tcPr>
          <w:p w14:paraId="759331ED">
            <w:pPr>
              <w:spacing w:line="276" w:lineRule="auto"/>
              <w:jc w:val="center"/>
              <w:rPr>
                <w:rFonts w:ascii="宋体" w:hAnsi="宋体" w:cs="仿宋"/>
                <w:w w:val="80"/>
                <w:sz w:val="18"/>
                <w:szCs w:val="18"/>
              </w:rPr>
            </w:pPr>
          </w:p>
        </w:tc>
        <w:tc>
          <w:tcPr>
            <w:tcW w:w="1786" w:type="dxa"/>
            <w:tcBorders>
              <w:top w:val="single" w:color="00000A" w:sz="6" w:space="0"/>
              <w:left w:val="single" w:color="00000A" w:sz="6" w:space="0"/>
              <w:bottom w:val="single" w:color="00000A" w:sz="6" w:space="0"/>
              <w:right w:val="single" w:color="00000A" w:sz="12" w:space="0"/>
            </w:tcBorders>
            <w:tcMar>
              <w:left w:w="93" w:type="dxa"/>
            </w:tcMar>
            <w:vAlign w:val="center"/>
          </w:tcPr>
          <w:p w14:paraId="330FFD18">
            <w:pPr>
              <w:spacing w:line="276" w:lineRule="auto"/>
              <w:ind w:firstLine="945"/>
              <w:jc w:val="center"/>
              <w:rPr>
                <w:rFonts w:ascii="宋体" w:hAnsi="宋体" w:cs="仿宋"/>
                <w:sz w:val="18"/>
                <w:szCs w:val="18"/>
              </w:rPr>
            </w:pPr>
          </w:p>
        </w:tc>
      </w:tr>
      <w:tr w14:paraId="5945CFCE">
        <w:tblPrEx>
          <w:tblBorders>
            <w:top w:val="single" w:color="00000A" w:sz="12" w:space="0"/>
            <w:left w:val="single" w:color="00000A" w:sz="12" w:space="0"/>
            <w:bottom w:val="single" w:color="00000A" w:sz="6" w:space="0"/>
            <w:right w:val="single" w:color="00000A" w:sz="6" w:space="0"/>
            <w:insideH w:val="single" w:color="00000A" w:sz="6" w:space="0"/>
            <w:insideV w:val="single" w:color="00000A" w:sz="6" w:space="0"/>
          </w:tblBorders>
          <w:tblCellMar>
            <w:top w:w="0" w:type="dxa"/>
            <w:left w:w="93" w:type="dxa"/>
            <w:bottom w:w="0" w:type="dxa"/>
            <w:right w:w="108" w:type="dxa"/>
          </w:tblCellMar>
        </w:tblPrEx>
        <w:trPr>
          <w:trHeight w:val="234" w:hRule="atLeast"/>
        </w:trPr>
        <w:tc>
          <w:tcPr>
            <w:tcW w:w="694" w:type="dxa"/>
            <w:tcBorders>
              <w:top w:val="single" w:color="00000A" w:sz="6" w:space="0"/>
              <w:left w:val="single" w:color="00000A" w:sz="12" w:space="0"/>
              <w:bottom w:val="single" w:color="00000A" w:sz="12" w:space="0"/>
              <w:right w:val="single" w:color="00000A" w:sz="6" w:space="0"/>
            </w:tcBorders>
            <w:tcMar>
              <w:left w:w="93" w:type="dxa"/>
            </w:tcMar>
            <w:vAlign w:val="center"/>
          </w:tcPr>
          <w:p w14:paraId="546C807B">
            <w:pPr>
              <w:spacing w:line="276" w:lineRule="auto"/>
              <w:jc w:val="center"/>
              <w:rPr>
                <w:rFonts w:ascii="宋体" w:hAnsi="宋体" w:cs="仿宋"/>
                <w:sz w:val="18"/>
                <w:szCs w:val="18"/>
              </w:rPr>
            </w:pPr>
            <w:r>
              <w:rPr>
                <w:rFonts w:ascii="宋体" w:hAnsi="宋体" w:cs="仿宋"/>
                <w:sz w:val="18"/>
                <w:szCs w:val="18"/>
              </w:rPr>
              <w:t>考核说明</w:t>
            </w:r>
          </w:p>
        </w:tc>
        <w:tc>
          <w:tcPr>
            <w:tcW w:w="8563" w:type="dxa"/>
            <w:gridSpan w:val="6"/>
            <w:tcBorders>
              <w:top w:val="single" w:color="00000A" w:sz="6" w:space="0"/>
              <w:left w:val="single" w:color="00000A" w:sz="6" w:space="0"/>
              <w:bottom w:val="single" w:color="00000A" w:sz="12" w:space="0"/>
              <w:right w:val="single" w:color="00000A" w:sz="12" w:space="0"/>
            </w:tcBorders>
            <w:tcMar>
              <w:left w:w="100" w:type="dxa"/>
            </w:tcMar>
            <w:vAlign w:val="center"/>
          </w:tcPr>
          <w:p w14:paraId="01A0923F">
            <w:pPr>
              <w:pStyle w:val="20"/>
              <w:tabs>
                <w:tab w:val="left" w:pos="680"/>
                <w:tab w:val="left" w:pos="3720"/>
              </w:tabs>
              <w:spacing w:line="300" w:lineRule="auto"/>
              <w:rPr>
                <w:rFonts w:ascii="宋体" w:hAnsi="宋体" w:cs="仿宋"/>
              </w:rPr>
            </w:pPr>
            <w:r>
              <w:rPr>
                <w:rFonts w:ascii="宋体" w:hAnsi="宋体" w:cs="仿宋"/>
              </w:rPr>
              <w:t>季度考核总分≥95分，为“优秀”。</w:t>
            </w:r>
          </w:p>
          <w:p w14:paraId="55E2B469">
            <w:pPr>
              <w:pStyle w:val="20"/>
              <w:tabs>
                <w:tab w:val="left" w:pos="680"/>
                <w:tab w:val="left" w:pos="3720"/>
              </w:tabs>
              <w:spacing w:line="300" w:lineRule="auto"/>
              <w:ind w:left="420" w:firstLine="0"/>
              <w:rPr>
                <w:rFonts w:ascii="宋体" w:hAnsi="宋体" w:cs="仿宋"/>
              </w:rPr>
            </w:pPr>
            <w:r>
              <w:rPr>
                <w:rFonts w:ascii="宋体" w:hAnsi="宋体" w:cs="仿宋"/>
              </w:rPr>
              <w:t>季度考核总分≥90分，为“达标”。</w:t>
            </w:r>
          </w:p>
          <w:p w14:paraId="634DBA5E">
            <w:pPr>
              <w:pStyle w:val="20"/>
              <w:tabs>
                <w:tab w:val="left" w:pos="680"/>
                <w:tab w:val="left" w:pos="3720"/>
              </w:tabs>
              <w:spacing w:line="300" w:lineRule="auto"/>
              <w:ind w:left="420" w:firstLine="0"/>
              <w:rPr>
                <w:rFonts w:ascii="宋体" w:hAnsi="宋体" w:cs="仿宋"/>
              </w:rPr>
            </w:pPr>
            <w:r>
              <w:rPr>
                <w:rFonts w:ascii="宋体" w:hAnsi="宋体" w:cs="仿宋"/>
              </w:rPr>
              <w:t>季度考核总分＜90分，为“不达标”。</w:t>
            </w:r>
          </w:p>
          <w:p w14:paraId="2D2FBF8D">
            <w:pPr>
              <w:pStyle w:val="20"/>
              <w:tabs>
                <w:tab w:val="left" w:pos="680"/>
                <w:tab w:val="left" w:pos="3720"/>
              </w:tabs>
              <w:spacing w:line="300" w:lineRule="auto"/>
              <w:ind w:left="420" w:firstLine="0"/>
              <w:rPr>
                <w:rFonts w:ascii="宋体" w:hAnsi="宋体" w:cs="仿宋"/>
              </w:rPr>
            </w:pPr>
            <w:r>
              <w:rPr>
                <w:rFonts w:ascii="宋体" w:hAnsi="宋体" w:cs="仿宋"/>
              </w:rPr>
              <w:t>在合同项下的责任范围内，在考核期内，发生以下任何一种情况，考核为不合格（该季度考核分数和考核次数不计入年度考核）。</w:t>
            </w:r>
          </w:p>
          <w:p w14:paraId="137C042B">
            <w:pPr>
              <w:widowControl/>
              <w:tabs>
                <w:tab w:val="left" w:pos="950"/>
              </w:tabs>
              <w:spacing w:line="300" w:lineRule="auto"/>
              <w:jc w:val="left"/>
              <w:rPr>
                <w:rFonts w:ascii="宋体" w:hAnsi="宋体" w:cs="仿宋"/>
                <w:sz w:val="18"/>
                <w:szCs w:val="18"/>
              </w:rPr>
            </w:pPr>
            <w:r>
              <w:rPr>
                <w:rFonts w:ascii="宋体" w:hAnsi="宋体" w:cs="仿宋"/>
                <w:sz w:val="18"/>
                <w:szCs w:val="18"/>
              </w:rPr>
              <w:t>发生重大人身伤亡事故；</w:t>
            </w:r>
          </w:p>
          <w:p w14:paraId="3AF5864C">
            <w:pPr>
              <w:widowControl/>
              <w:tabs>
                <w:tab w:val="left" w:pos="950"/>
              </w:tabs>
              <w:spacing w:line="300" w:lineRule="auto"/>
              <w:jc w:val="left"/>
              <w:rPr>
                <w:rFonts w:ascii="宋体" w:hAnsi="宋体" w:cs="仿宋"/>
                <w:sz w:val="18"/>
                <w:szCs w:val="18"/>
              </w:rPr>
            </w:pPr>
            <w:r>
              <w:rPr>
                <w:rFonts w:ascii="宋体" w:hAnsi="宋体" w:cs="仿宋"/>
                <w:sz w:val="18"/>
                <w:szCs w:val="18"/>
              </w:rPr>
              <w:t>发生重大责任事故（影响基地正常对外开放及重要VIP接待活动）；</w:t>
            </w:r>
          </w:p>
          <w:p w14:paraId="7A4AEA87">
            <w:pPr>
              <w:widowControl/>
              <w:tabs>
                <w:tab w:val="left" w:pos="1000"/>
              </w:tabs>
              <w:spacing w:line="300" w:lineRule="auto"/>
              <w:jc w:val="left"/>
              <w:rPr>
                <w:rFonts w:ascii="宋体" w:hAnsi="宋体" w:cs="仿宋"/>
                <w:sz w:val="18"/>
                <w:szCs w:val="18"/>
              </w:rPr>
            </w:pPr>
            <w:r>
              <w:rPr>
                <w:rFonts w:ascii="宋体" w:hAnsi="宋体" w:cs="仿宋"/>
                <w:sz w:val="18"/>
                <w:szCs w:val="18"/>
              </w:rPr>
              <w:t>严重影响业主方对外形象及利益的（以不正当行为占有客户、用户和业主的财产、泄露有关保密信息而导致业主形象或利益受损）。</w:t>
            </w:r>
          </w:p>
        </w:tc>
      </w:tr>
    </w:tbl>
    <w:p w14:paraId="4D22F8FD">
      <w:pPr>
        <w:rPr>
          <w:rFonts w:hint="default" w:eastAsia="宋体"/>
          <w:lang w:val="en-US" w:eastAsia="zh-CN"/>
        </w:rPr>
      </w:pPr>
      <w:r>
        <w:rPr>
          <w:rFonts w:hint="eastAsia"/>
          <w:lang w:val="en-US" w:eastAsia="zh-CN"/>
        </w:rPr>
        <w:t>提示：本次报价按岗位报价</w:t>
      </w:r>
    </w:p>
    <w:sectPr>
      <w:headerReference r:id="rId3" w:type="default"/>
      <w:footerReference r:id="rId4" w:type="default"/>
      <w:pgSz w:w="11906" w:h="16838"/>
      <w:pgMar w:top="533" w:right="1361" w:bottom="533" w:left="1349" w:header="340" w:footer="62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115EA">
    <w:pPr>
      <w:pStyle w:val="6"/>
      <w:jc w:val="center"/>
    </w:pPr>
    <w:r>
      <w:fldChar w:fldCharType="begin"/>
    </w:r>
    <w:r>
      <w:instrText xml:space="preserve">PAGE</w:instrText>
    </w:r>
    <w:r>
      <w:fldChar w:fldCharType="separate"/>
    </w:r>
    <w:r>
      <w:t>13</w:t>
    </w:r>
    <w:r>
      <w:fldChar w:fldCharType="end"/>
    </w:r>
  </w:p>
  <w:p w14:paraId="429E58E8">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3B93B">
    <w:pPr>
      <w:pStyle w:val="7"/>
      <w:pBdr>
        <w:bottom w:val="none" w:color="auto" w:sz="0" w:space="1"/>
      </w:pBdr>
      <w:jc w:val="both"/>
      <w:rPr>
        <w:sz w:val="24"/>
        <w:szCs w:val="24"/>
      </w:rPr>
    </w:pPr>
  </w:p>
  <w:p w14:paraId="00D11E10">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57BA2B"/>
    <w:multiLevelType w:val="singleLevel"/>
    <w:tmpl w:val="8157BA2B"/>
    <w:lvl w:ilvl="0" w:tentative="0">
      <w:start w:val="1"/>
      <w:numFmt w:val="decimal"/>
      <w:suff w:val="nothing"/>
      <w:lvlText w:val="%1、"/>
      <w:lvlJc w:val="left"/>
    </w:lvl>
  </w:abstractNum>
  <w:abstractNum w:abstractNumId="1">
    <w:nsid w:val="A4150C4A"/>
    <w:multiLevelType w:val="singleLevel"/>
    <w:tmpl w:val="A4150C4A"/>
    <w:lvl w:ilvl="0" w:tentative="0">
      <w:start w:val="1"/>
      <w:numFmt w:val="decimal"/>
      <w:suff w:val="nothing"/>
      <w:lvlText w:val="%1、"/>
      <w:lvlJc w:val="left"/>
    </w:lvl>
  </w:abstractNum>
  <w:abstractNum w:abstractNumId="2">
    <w:nsid w:val="A7D0ED35"/>
    <w:multiLevelType w:val="singleLevel"/>
    <w:tmpl w:val="A7D0ED35"/>
    <w:lvl w:ilvl="0" w:tentative="0">
      <w:start w:val="3"/>
      <w:numFmt w:val="decimal"/>
      <w:suff w:val="nothing"/>
      <w:lvlText w:val="%1、"/>
      <w:lvlJc w:val="left"/>
    </w:lvl>
  </w:abstractNum>
  <w:abstractNum w:abstractNumId="3">
    <w:nsid w:val="C10364D8"/>
    <w:multiLevelType w:val="singleLevel"/>
    <w:tmpl w:val="C10364D8"/>
    <w:lvl w:ilvl="0" w:tentative="0">
      <w:start w:val="1"/>
      <w:numFmt w:val="decimal"/>
      <w:suff w:val="nothing"/>
      <w:lvlText w:val="%1、"/>
      <w:lvlJc w:val="left"/>
    </w:lvl>
  </w:abstractNum>
  <w:abstractNum w:abstractNumId="4">
    <w:nsid w:val="DD2A5CA3"/>
    <w:multiLevelType w:val="singleLevel"/>
    <w:tmpl w:val="DD2A5CA3"/>
    <w:lvl w:ilvl="0" w:tentative="0">
      <w:start w:val="1"/>
      <w:numFmt w:val="decimal"/>
      <w:suff w:val="nothing"/>
      <w:lvlText w:val="%1、"/>
      <w:lvlJc w:val="left"/>
    </w:lvl>
  </w:abstractNum>
  <w:abstractNum w:abstractNumId="5">
    <w:nsid w:val="DE209B9D"/>
    <w:multiLevelType w:val="singleLevel"/>
    <w:tmpl w:val="DE209B9D"/>
    <w:lvl w:ilvl="0" w:tentative="0">
      <w:start w:val="1"/>
      <w:numFmt w:val="decimal"/>
      <w:suff w:val="nothing"/>
      <w:lvlText w:val="%1、"/>
      <w:lvlJc w:val="left"/>
    </w:lvl>
  </w:abstractNum>
  <w:abstractNum w:abstractNumId="6">
    <w:nsid w:val="E37C28AC"/>
    <w:multiLevelType w:val="singleLevel"/>
    <w:tmpl w:val="E37C28AC"/>
    <w:lvl w:ilvl="0" w:tentative="0">
      <w:start w:val="1"/>
      <w:numFmt w:val="decimal"/>
      <w:suff w:val="nothing"/>
      <w:lvlText w:val="%1、"/>
      <w:lvlJc w:val="left"/>
    </w:lvl>
  </w:abstractNum>
  <w:abstractNum w:abstractNumId="7">
    <w:nsid w:val="12B55B70"/>
    <w:multiLevelType w:val="multilevel"/>
    <w:tmpl w:val="12B55B70"/>
    <w:lvl w:ilvl="0" w:tentative="0">
      <w:start w:val="1"/>
      <w:numFmt w:val="decimal"/>
      <w:lvlText w:val="%1."/>
      <w:lvlJc w:val="left"/>
      <w:pPr>
        <w:ind w:left="420" w:hanging="420"/>
      </w:pPr>
      <w:rPr>
        <w:rFonts w:ascii="宋体" w:hAnsi="宋体"/>
        <w:b/>
        <w:i w:val="0"/>
      </w:rPr>
    </w:lvl>
    <w:lvl w:ilvl="1" w:tentative="0">
      <w:start w:val="2"/>
      <w:numFmt w:val="decimal"/>
      <w:lvlText w:val="%1.%2"/>
      <w:lvlJc w:val="left"/>
      <w:pPr>
        <w:ind w:left="615" w:hanging="615"/>
      </w:pPr>
    </w:lvl>
    <w:lvl w:ilvl="2" w:tentative="0">
      <w:start w:val="2"/>
      <w:numFmt w:val="decimal"/>
      <w:lvlText w:val="%1.%2.%3"/>
      <w:lvlJc w:val="left"/>
      <w:pPr>
        <w:ind w:left="720" w:hanging="720"/>
      </w:pPr>
    </w:lvl>
    <w:lvl w:ilvl="3" w:tentative="0">
      <w:start w:val="1"/>
      <w:numFmt w:val="decimal"/>
      <w:lvlText w:val="%1.%2.%3.%4"/>
      <w:lvlJc w:val="left"/>
      <w:pPr>
        <w:ind w:left="1080" w:hanging="1080"/>
      </w:pPr>
    </w:lvl>
    <w:lvl w:ilvl="4" w:tentative="0">
      <w:start w:val="1"/>
      <w:numFmt w:val="decimal"/>
      <w:lvlText w:val="%1.%2.%3.%4.%5"/>
      <w:lvlJc w:val="left"/>
      <w:pPr>
        <w:ind w:left="1080" w:hanging="1080"/>
      </w:pPr>
    </w:lvl>
    <w:lvl w:ilvl="5" w:tentative="0">
      <w:start w:val="1"/>
      <w:numFmt w:val="decimal"/>
      <w:lvlText w:val="%1.%2.%3.%4.%5.%6"/>
      <w:lvlJc w:val="left"/>
      <w:pPr>
        <w:ind w:left="1440" w:hanging="1440"/>
      </w:pPr>
    </w:lvl>
    <w:lvl w:ilvl="6" w:tentative="0">
      <w:start w:val="1"/>
      <w:numFmt w:val="decimal"/>
      <w:lvlText w:val="%1.%2.%3.%4.%5.%6.%7"/>
      <w:lvlJc w:val="left"/>
      <w:pPr>
        <w:ind w:left="1440" w:hanging="1440"/>
      </w:pPr>
    </w:lvl>
    <w:lvl w:ilvl="7" w:tentative="0">
      <w:start w:val="1"/>
      <w:numFmt w:val="decimal"/>
      <w:lvlText w:val="%1.%2.%3.%4.%5.%6.%7.%8"/>
      <w:lvlJc w:val="left"/>
      <w:pPr>
        <w:ind w:left="1800" w:hanging="1800"/>
      </w:pPr>
    </w:lvl>
    <w:lvl w:ilvl="8" w:tentative="0">
      <w:start w:val="1"/>
      <w:numFmt w:val="decimal"/>
      <w:lvlText w:val="%1.%2.%3.%4.%5.%6.%7.%8.%9"/>
      <w:lvlJc w:val="left"/>
      <w:pPr>
        <w:ind w:left="1800" w:hanging="1800"/>
      </w:pPr>
    </w:lvl>
  </w:abstractNum>
  <w:abstractNum w:abstractNumId="8">
    <w:nsid w:val="147442FB"/>
    <w:multiLevelType w:val="singleLevel"/>
    <w:tmpl w:val="147442FB"/>
    <w:lvl w:ilvl="0" w:tentative="0">
      <w:start w:val="10"/>
      <w:numFmt w:val="chineseCounting"/>
      <w:suff w:val="space"/>
      <w:lvlText w:val="（%1）"/>
      <w:lvlJc w:val="left"/>
      <w:rPr>
        <w:rFonts w:hint="eastAsia"/>
      </w:rPr>
    </w:lvl>
  </w:abstractNum>
  <w:abstractNum w:abstractNumId="9">
    <w:nsid w:val="2799D430"/>
    <w:multiLevelType w:val="singleLevel"/>
    <w:tmpl w:val="2799D430"/>
    <w:lvl w:ilvl="0" w:tentative="0">
      <w:start w:val="1"/>
      <w:numFmt w:val="decimal"/>
      <w:suff w:val="nothing"/>
      <w:lvlText w:val="%1、"/>
      <w:lvlJc w:val="left"/>
    </w:lvl>
  </w:abstractNum>
  <w:abstractNum w:abstractNumId="10">
    <w:nsid w:val="2C694E1A"/>
    <w:multiLevelType w:val="singleLevel"/>
    <w:tmpl w:val="2C694E1A"/>
    <w:lvl w:ilvl="0" w:tentative="0">
      <w:start w:val="1"/>
      <w:numFmt w:val="decimal"/>
      <w:suff w:val="nothing"/>
      <w:lvlText w:val="%1、"/>
      <w:lvlJc w:val="left"/>
    </w:lvl>
  </w:abstractNum>
  <w:abstractNum w:abstractNumId="11">
    <w:nsid w:val="3070E72F"/>
    <w:multiLevelType w:val="singleLevel"/>
    <w:tmpl w:val="3070E72F"/>
    <w:lvl w:ilvl="0" w:tentative="0">
      <w:start w:val="1"/>
      <w:numFmt w:val="decimal"/>
      <w:suff w:val="nothing"/>
      <w:lvlText w:val="%1、"/>
      <w:lvlJc w:val="left"/>
    </w:lvl>
  </w:abstractNum>
  <w:abstractNum w:abstractNumId="12">
    <w:nsid w:val="40CB850B"/>
    <w:multiLevelType w:val="singleLevel"/>
    <w:tmpl w:val="40CB850B"/>
    <w:lvl w:ilvl="0" w:tentative="0">
      <w:start w:val="1"/>
      <w:numFmt w:val="decimal"/>
      <w:suff w:val="nothing"/>
      <w:lvlText w:val="%1、"/>
      <w:lvlJc w:val="left"/>
    </w:lvl>
  </w:abstractNum>
  <w:num w:numId="1">
    <w:abstractNumId w:val="2"/>
  </w:num>
  <w:num w:numId="2">
    <w:abstractNumId w:val="3"/>
  </w:num>
  <w:num w:numId="3">
    <w:abstractNumId w:val="5"/>
  </w:num>
  <w:num w:numId="4">
    <w:abstractNumId w:val="12"/>
  </w:num>
  <w:num w:numId="5">
    <w:abstractNumId w:val="10"/>
  </w:num>
  <w:num w:numId="6">
    <w:abstractNumId w:val="4"/>
  </w:num>
  <w:num w:numId="7">
    <w:abstractNumId w:val="11"/>
  </w:num>
  <w:num w:numId="8">
    <w:abstractNumId w:val="6"/>
  </w:num>
  <w:num w:numId="9">
    <w:abstractNumId w:val="0"/>
  </w:num>
  <w:num w:numId="10">
    <w:abstractNumId w:val="9"/>
  </w:num>
  <w:num w:numId="11">
    <w:abstractNumId w:val="1"/>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NGE5MzUzODA2NmVhOGVmZTMzYWIzYzk3ZTgyYTMifQ=="/>
  </w:docVars>
  <w:rsids>
    <w:rsidRoot w:val="00D238B7"/>
    <w:rsid w:val="000A4F6F"/>
    <w:rsid w:val="00242EE5"/>
    <w:rsid w:val="00262D7A"/>
    <w:rsid w:val="003F1798"/>
    <w:rsid w:val="00536413"/>
    <w:rsid w:val="00565E38"/>
    <w:rsid w:val="006B2620"/>
    <w:rsid w:val="006F7B7C"/>
    <w:rsid w:val="00767274"/>
    <w:rsid w:val="008023BE"/>
    <w:rsid w:val="008B6082"/>
    <w:rsid w:val="009118A2"/>
    <w:rsid w:val="00953F3A"/>
    <w:rsid w:val="00B9605E"/>
    <w:rsid w:val="00D238B7"/>
    <w:rsid w:val="00E949E2"/>
    <w:rsid w:val="00E95CBC"/>
    <w:rsid w:val="00EB7D35"/>
    <w:rsid w:val="019667E7"/>
    <w:rsid w:val="02615308"/>
    <w:rsid w:val="03332CE6"/>
    <w:rsid w:val="06B01930"/>
    <w:rsid w:val="06F537E7"/>
    <w:rsid w:val="0ADF7B4E"/>
    <w:rsid w:val="0B8909A2"/>
    <w:rsid w:val="0F1467D4"/>
    <w:rsid w:val="10CC55B8"/>
    <w:rsid w:val="135D2E40"/>
    <w:rsid w:val="150143CE"/>
    <w:rsid w:val="1567297A"/>
    <w:rsid w:val="1C4D03F9"/>
    <w:rsid w:val="1EA34DF2"/>
    <w:rsid w:val="1F470500"/>
    <w:rsid w:val="20895274"/>
    <w:rsid w:val="218912A4"/>
    <w:rsid w:val="240115C5"/>
    <w:rsid w:val="27512D30"/>
    <w:rsid w:val="27790E9E"/>
    <w:rsid w:val="288731DF"/>
    <w:rsid w:val="298A3E0B"/>
    <w:rsid w:val="29E21551"/>
    <w:rsid w:val="2D9B65E7"/>
    <w:rsid w:val="2E0E500A"/>
    <w:rsid w:val="2FE67472"/>
    <w:rsid w:val="30000983"/>
    <w:rsid w:val="3202095D"/>
    <w:rsid w:val="33CB2657"/>
    <w:rsid w:val="36721EAF"/>
    <w:rsid w:val="38CF183A"/>
    <w:rsid w:val="399860D0"/>
    <w:rsid w:val="3BF375EE"/>
    <w:rsid w:val="407C09A3"/>
    <w:rsid w:val="470F7109"/>
    <w:rsid w:val="47DE73A4"/>
    <w:rsid w:val="49C12AD9"/>
    <w:rsid w:val="4C1A4329"/>
    <w:rsid w:val="4DA42E3E"/>
    <w:rsid w:val="55F671F3"/>
    <w:rsid w:val="5A063FB7"/>
    <w:rsid w:val="5B135E5C"/>
    <w:rsid w:val="5BBE50CA"/>
    <w:rsid w:val="5C294C3A"/>
    <w:rsid w:val="5CD54F52"/>
    <w:rsid w:val="60DD2497"/>
    <w:rsid w:val="62397BA1"/>
    <w:rsid w:val="63CC54CF"/>
    <w:rsid w:val="64805613"/>
    <w:rsid w:val="6AC83870"/>
    <w:rsid w:val="72AE77EF"/>
    <w:rsid w:val="73BC5794"/>
    <w:rsid w:val="75B275F6"/>
    <w:rsid w:val="773C685B"/>
    <w:rsid w:val="77707769"/>
    <w:rsid w:val="78D36201"/>
    <w:rsid w:val="790243F1"/>
    <w:rsid w:val="797C23F5"/>
    <w:rsid w:val="7A1563A6"/>
    <w:rsid w:val="7C5D3094"/>
    <w:rsid w:val="7DE13DE8"/>
    <w:rsid w:val="7E123328"/>
    <w:rsid w:val="7F651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19"/>
    <w:qFormat/>
    <w:uiPriority w:val="0"/>
    <w:pPr>
      <w:widowControl/>
      <w:ind w:firstLine="570"/>
      <w:jc w:val="left"/>
    </w:pPr>
    <w:rPr>
      <w:rFonts w:ascii="宋体" w:hAnsi="宋体" w:eastAsiaTheme="minorEastAsia" w:cstheme="minorBidi"/>
      <w:sz w:val="28"/>
    </w:rPr>
  </w:style>
  <w:style w:type="paragraph" w:styleId="3">
    <w:name w:val="Body Text"/>
    <w:basedOn w:val="1"/>
    <w:next w:val="1"/>
    <w:qFormat/>
    <w:uiPriority w:val="0"/>
    <w:pPr>
      <w:widowControl w:val="0"/>
      <w:spacing w:after="120"/>
      <w:jc w:val="both"/>
    </w:pPr>
    <w:rPr>
      <w:rFonts w:ascii="Times New Roman" w:hAnsi="Times New Roman" w:eastAsia="宋体" w:cs="Times New Roman"/>
      <w:kern w:val="2"/>
      <w:sz w:val="21"/>
      <w:szCs w:val="20"/>
      <w:lang w:val="en-US" w:eastAsia="zh-CN" w:bidi="ar-SA"/>
    </w:rPr>
  </w:style>
  <w:style w:type="paragraph" w:styleId="4">
    <w:name w:val="Plain Text"/>
    <w:basedOn w:val="1"/>
    <w:link w:val="15"/>
    <w:qFormat/>
    <w:uiPriority w:val="0"/>
    <w:rPr>
      <w:rFonts w:ascii="宋体" w:hAnsi="Courier New"/>
      <w:szCs w:val="20"/>
    </w:rPr>
  </w:style>
  <w:style w:type="paragraph" w:styleId="5">
    <w:name w:val="Balloon Text"/>
    <w:basedOn w:val="1"/>
    <w:link w:val="16"/>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200" w:hanging="200" w:hangingChars="200"/>
    </w:pPr>
    <w:rPr>
      <w:rFonts w:ascii="Times New Roman" w:hAnsi="Times New Roman"/>
      <w:szCs w:val="24"/>
    </w:rPr>
  </w:style>
  <w:style w:type="table" w:styleId="10">
    <w:name w:val="Table Grid"/>
    <w:basedOn w:val="9"/>
    <w:qFormat/>
    <w:uiPriority w:val="59"/>
    <w:rPr>
      <w:rFonts w:ascii="Calibri" w:hAnsi="Calibri"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12">
    <w:name w:val="List Paragraph"/>
    <w:basedOn w:val="1"/>
    <w:qFormat/>
    <w:uiPriority w:val="34"/>
    <w:pPr>
      <w:ind w:firstLine="420" w:firstLineChars="200"/>
    </w:pPr>
  </w:style>
  <w:style w:type="character" w:customStyle="1" w:styleId="13">
    <w:name w:val="页眉 Char"/>
    <w:basedOn w:val="11"/>
    <w:link w:val="7"/>
    <w:qFormat/>
    <w:uiPriority w:val="99"/>
    <w:rPr>
      <w:rFonts w:ascii="Calibri" w:hAnsi="Calibri" w:eastAsia="宋体" w:cs="Times New Roman"/>
      <w:sz w:val="18"/>
      <w:szCs w:val="18"/>
    </w:rPr>
  </w:style>
  <w:style w:type="character" w:customStyle="1" w:styleId="14">
    <w:name w:val="页脚 Char"/>
    <w:basedOn w:val="11"/>
    <w:link w:val="6"/>
    <w:qFormat/>
    <w:uiPriority w:val="99"/>
    <w:rPr>
      <w:rFonts w:ascii="Calibri" w:hAnsi="Calibri" w:eastAsia="宋体" w:cs="Times New Roman"/>
      <w:sz w:val="18"/>
      <w:szCs w:val="18"/>
    </w:rPr>
  </w:style>
  <w:style w:type="character" w:customStyle="1" w:styleId="15">
    <w:name w:val="纯文本 Char"/>
    <w:basedOn w:val="11"/>
    <w:link w:val="4"/>
    <w:qFormat/>
    <w:uiPriority w:val="0"/>
    <w:rPr>
      <w:rFonts w:ascii="宋体" w:hAnsi="Courier New" w:eastAsia="宋体" w:cs="Times New Roman"/>
      <w:szCs w:val="20"/>
    </w:rPr>
  </w:style>
  <w:style w:type="character" w:customStyle="1" w:styleId="16">
    <w:name w:val="批注框文本 Char"/>
    <w:basedOn w:val="11"/>
    <w:link w:val="5"/>
    <w:semiHidden/>
    <w:qFormat/>
    <w:uiPriority w:val="99"/>
    <w:rPr>
      <w:rFonts w:ascii="Calibri" w:hAnsi="Calibri" w:eastAsia="宋体" w:cs="Times New Roman"/>
      <w:sz w:val="18"/>
      <w:szCs w:val="18"/>
    </w:rPr>
  </w:style>
  <w:style w:type="paragraph" w:customStyle="1" w:styleId="17">
    <w:name w:val="列出段落2"/>
    <w:basedOn w:val="1"/>
    <w:link w:val="18"/>
    <w:qFormat/>
    <w:uiPriority w:val="34"/>
    <w:pPr>
      <w:ind w:firstLine="420" w:firstLineChars="200"/>
    </w:pPr>
    <w:rPr>
      <w:rFonts w:ascii="Times New Roman" w:hAnsi="Times New Roman"/>
      <w:szCs w:val="24"/>
    </w:rPr>
  </w:style>
  <w:style w:type="character" w:customStyle="1" w:styleId="18">
    <w:name w:val="列出段落 Char"/>
    <w:link w:val="17"/>
    <w:qFormat/>
    <w:uiPriority w:val="34"/>
    <w:rPr>
      <w:rFonts w:ascii="Times New Roman" w:hAnsi="Times New Roman" w:eastAsia="宋体" w:cs="Times New Roman"/>
      <w:szCs w:val="24"/>
    </w:rPr>
  </w:style>
  <w:style w:type="character" w:customStyle="1" w:styleId="19">
    <w:name w:val="正文缩进 Char"/>
    <w:basedOn w:val="11"/>
    <w:link w:val="2"/>
    <w:qFormat/>
    <w:uiPriority w:val="0"/>
    <w:rPr>
      <w:rFonts w:ascii="宋体" w:hAnsi="宋体"/>
      <w:sz w:val="28"/>
    </w:rPr>
  </w:style>
  <w:style w:type="paragraph" w:customStyle="1" w:styleId="20">
    <w:name w:val="列出段落1"/>
    <w:basedOn w:val="1"/>
    <w:qFormat/>
    <w:uiPriority w:val="99"/>
    <w:pPr>
      <w:widowControl/>
      <w:ind w:firstLine="42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BF7505-8BCF-4D9C-8698-8158F06AF733}">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706</Words>
  <Characters>766</Characters>
  <Lines>72</Lines>
  <Paragraphs>20</Paragraphs>
  <TotalTime>0</TotalTime>
  <ScaleCrop>false</ScaleCrop>
  <LinksUpToDate>false</LinksUpToDate>
  <CharactersWithSpaces>926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2023-11-14T07:34:00Z</dcterms:created>
  <dc:creator>lenovo</dc:creator>
  <cp:lastModifiedBy>待到尘埃落定时</cp:lastModifiedBy>
  <cp:lastPrinted>2025-11-03T00:48:00Z</cp:lastPrinted>
  <dcterms:modified xsi:type="dcterms:W3CDTF">2025-11-13T01:43:00Z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7A644DFE9DFC4A3EBC30D27EFFFA1D7A_13</vt:lpwstr>
  </property>
  <property fmtid="{D5CDD505-2E9C-101B-9397-08002B2CF9AE}" pid="4" name="KSOTemplateDocerSaveRecord">
    <vt:lpwstr>eyJoZGlkIjoiYjk5ODM0YmMxOWJiYWQyNDU4MGIzYWRmYTA0ZmI5NDciLCJ1c2VySWQiOiI1NDYxNjc0MDMifQ==</vt:lpwstr>
  </property>
</Properties>
</file>