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5605A">
      <w:pPr>
        <w:pStyle w:val="2"/>
        <w:widowControl w:val="0"/>
        <w:numPr>
          <w:ilvl w:val="0"/>
          <w:numId w:val="0"/>
        </w:numPr>
        <w:kinsoku/>
        <w:autoSpaceDE/>
        <w:autoSpaceDN/>
        <w:adjustRightInd/>
        <w:snapToGrid/>
        <w:spacing w:line="360" w:lineRule="auto"/>
        <w:ind w:firstLine="803" w:firstLineChars="200"/>
        <w:jc w:val="center"/>
        <w:textAlignment w:val="auto"/>
        <w:rPr>
          <w:rFonts w:hint="default" w:ascii="仿宋" w:hAnsi="仿宋" w:eastAsia="仿宋" w:cs="仿宋"/>
          <w:snapToGrid/>
          <w:sz w:val="40"/>
          <w:szCs w:val="36"/>
          <w:lang w:val="en-US" w:eastAsia="zh-CN" w:bidi="ar-SA"/>
        </w:rPr>
      </w:pPr>
      <w:bookmarkStart w:id="0" w:name="_bookmark3"/>
      <w:bookmarkEnd w:id="0"/>
      <w:bookmarkStart w:id="1" w:name="_bookmark4"/>
      <w:bookmarkEnd w:id="1"/>
      <w:r>
        <w:rPr>
          <w:rFonts w:hint="eastAsia" w:ascii="仿宋" w:hAnsi="仿宋" w:eastAsia="仿宋" w:cs="仿宋"/>
          <w:snapToGrid/>
          <w:sz w:val="40"/>
          <w:szCs w:val="36"/>
          <w:lang w:val="en-US" w:eastAsia="zh-CN" w:bidi="ar-SA"/>
        </w:rPr>
        <w:t>采购需求</w:t>
      </w:r>
    </w:p>
    <w:p w14:paraId="42B5A01C">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一、项目背景</w:t>
      </w:r>
    </w:p>
    <w:p w14:paraId="3F83CE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上海市政务云管理办法》（沪府办〔2024〕57号）要求“各区政务云运行管理单位应当发挥属地管理优势，做好本区政务云建设，支撑区域内公共数据采集、视频物联数据分层存储和预处理等工作”并提出“各区政务云应当与市级政务云业务管理平台对接，报送区级政务云建设运行相关管理数据。”</w:t>
      </w:r>
    </w:p>
    <w:p w14:paraId="37052C6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前期，静安区云资源部署主要以</w:t>
      </w:r>
      <w:r>
        <w:rPr>
          <w:rFonts w:hint="eastAsia" w:ascii="仿宋" w:hAnsi="仿宋" w:eastAsia="仿宋" w:cs="仿宋"/>
          <w:spacing w:val="-2"/>
          <w:sz w:val="28"/>
          <w:szCs w:val="28"/>
          <w:lang w:val="en-US" w:eastAsia="zh-CN"/>
        </w:rPr>
        <w:t>静安区政务云</w:t>
      </w:r>
      <w:r>
        <w:rPr>
          <w:rFonts w:hint="eastAsia" w:ascii="仿宋" w:hAnsi="仿宋" w:eastAsia="仿宋" w:cs="仿宋"/>
          <w:spacing w:val="-2"/>
          <w:sz w:val="28"/>
          <w:szCs w:val="28"/>
        </w:rPr>
        <w:t>VMware平台，</w:t>
      </w:r>
      <w:r>
        <w:rPr>
          <w:rFonts w:hint="eastAsia" w:ascii="仿宋" w:hAnsi="仿宋" w:eastAsia="仿宋" w:cs="仿宋"/>
          <w:spacing w:val="-2"/>
          <w:sz w:val="28"/>
          <w:szCs w:val="28"/>
          <w:lang w:val="en-US" w:eastAsia="zh-CN"/>
        </w:rPr>
        <w:t>静安区政务云</w:t>
      </w:r>
      <w:r>
        <w:rPr>
          <w:rFonts w:hint="eastAsia" w:ascii="仿宋" w:hAnsi="仿宋" w:eastAsia="仿宋" w:cs="仿宋"/>
          <w:spacing w:val="-2"/>
          <w:sz w:val="28"/>
          <w:szCs w:val="28"/>
        </w:rPr>
        <w:t>X86平台、</w:t>
      </w:r>
      <w:r>
        <w:rPr>
          <w:rFonts w:hint="eastAsia" w:ascii="仿宋" w:hAnsi="仿宋" w:eastAsia="仿宋" w:cs="仿宋"/>
          <w:spacing w:val="-2"/>
          <w:sz w:val="28"/>
          <w:szCs w:val="28"/>
          <w:lang w:val="en-US" w:eastAsia="zh-CN"/>
        </w:rPr>
        <w:t>静安区政务云</w:t>
      </w:r>
      <w:r>
        <w:rPr>
          <w:rFonts w:hint="eastAsia" w:ascii="仿宋" w:hAnsi="仿宋" w:eastAsia="仿宋" w:cs="仿宋"/>
          <w:spacing w:val="-2"/>
          <w:sz w:val="28"/>
          <w:szCs w:val="28"/>
        </w:rPr>
        <w:t>信创平台、静安卫健云和静安公安云等异构资源池为主，业务发展面临着多节点、多架构的客观现实，存在着各业务平台“各自为政、条块分割、信息孤岛”的问题。缺少统一、高效、灵敏的管理平台，缺乏集中统一的管控模式，标准规范的管理流程，无法有效落实资源能力建设、统一资源计量口径、分析资源使用情况、实现资源可视化等，不利于区里整体业务的统筹发展和规划设计，制约了政府服务效能的提升，也无法满足市级政务云基础设施管理平台对接，实时归集数据的要求。</w:t>
      </w:r>
    </w:p>
    <w:p w14:paraId="3818D27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为了解决上述问题，同时保障静安区政务云管理工作的有序开展，</w:t>
      </w:r>
      <w:r>
        <w:rPr>
          <w:rFonts w:hint="eastAsia" w:ascii="仿宋" w:hAnsi="仿宋" w:eastAsia="仿宋" w:cs="仿宋"/>
          <w:spacing w:val="-2"/>
          <w:sz w:val="28"/>
          <w:szCs w:val="28"/>
          <w:lang w:val="en-US" w:eastAsia="zh-CN"/>
        </w:rPr>
        <w:t>静安区政务服务中心（原静安区行政服务中心）</w:t>
      </w:r>
      <w:r>
        <w:rPr>
          <w:rFonts w:hint="eastAsia" w:ascii="仿宋" w:hAnsi="仿宋" w:eastAsia="仿宋" w:cs="仿宋"/>
          <w:spacing w:val="-2"/>
          <w:sz w:val="28"/>
          <w:szCs w:val="28"/>
        </w:rPr>
        <w:t>于2023年申报了“静安区云管平台建设项目”一期项目的建设，初步实现将静安区区政务云资源统一纳管，并实现市区两级政务云平台互联互通、业务协同。一期项目于2024年5月完成建设并通过了项目验收。</w:t>
      </w:r>
    </w:p>
    <w:p w14:paraId="755A0820">
      <w:pPr>
        <w:spacing w:line="360" w:lineRule="auto"/>
        <w:ind w:firstLine="560" w:firstLineChars="200"/>
        <w:rPr>
          <w:rFonts w:hint="eastAsia" w:ascii="仿宋" w:hAnsi="仿宋" w:eastAsia="仿宋" w:cs="仿宋"/>
          <w:spacing w:val="-2"/>
          <w:sz w:val="28"/>
          <w:szCs w:val="28"/>
          <w:lang w:val="en-US" w:eastAsia="zh-CN"/>
        </w:rPr>
      </w:pPr>
      <w:r>
        <w:rPr>
          <w:rFonts w:hint="eastAsia" w:ascii="仿宋" w:hAnsi="仿宋" w:eastAsia="仿宋"/>
          <w:sz w:val="28"/>
          <w:szCs w:val="28"/>
          <w:lang w:eastAsia="zh-Hans"/>
        </w:rPr>
        <w:t>随着</w:t>
      </w:r>
      <w:r>
        <w:rPr>
          <w:rFonts w:hint="eastAsia" w:ascii="仿宋" w:hAnsi="仿宋" w:eastAsia="仿宋" w:cs="仿宋"/>
          <w:sz w:val="28"/>
          <w:szCs w:val="28"/>
          <w:lang w:eastAsia="zh-CN"/>
        </w:rPr>
        <w:t>静安区电子政务云上承载的系统越来越多</w:t>
      </w:r>
      <w:r>
        <w:rPr>
          <w:rFonts w:hint="eastAsia" w:ascii="仿宋" w:hAnsi="仿宋" w:eastAsia="仿宋"/>
          <w:sz w:val="28"/>
          <w:szCs w:val="28"/>
          <w:lang w:eastAsia="zh-CN"/>
        </w:rPr>
        <w:t>，</w:t>
      </w:r>
      <w:r>
        <w:rPr>
          <w:rFonts w:hint="eastAsia" w:ascii="仿宋" w:hAnsi="仿宋" w:eastAsia="仿宋"/>
          <w:sz w:val="28"/>
          <w:szCs w:val="28"/>
          <w:lang w:val="en-US" w:eastAsia="zh-CN"/>
        </w:rPr>
        <w:t>云管平台所管理的服务流程和服务范围也越来越广</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亟须在一期项目基础之上，对PaaS服务、安全服务、GPU智能算力、政务外网等资源进行数字化管理，对云资源全生命周期进行更加精细化的管控，进一步提升政务云综合管理能力。</w:t>
      </w:r>
    </w:p>
    <w:p w14:paraId="44AC6D6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同时，随着</w:t>
      </w:r>
      <w:r>
        <w:rPr>
          <w:rFonts w:hint="eastAsia" w:ascii="仿宋" w:hAnsi="仿宋" w:eastAsia="仿宋" w:cs="仿宋"/>
          <w:spacing w:val="-2"/>
          <w:sz w:val="28"/>
          <w:szCs w:val="28"/>
          <w:lang w:val="en-US" w:eastAsia="zh-CN"/>
        </w:rPr>
        <w:t>区内</w:t>
      </w:r>
      <w:r>
        <w:rPr>
          <w:rFonts w:hint="eastAsia" w:ascii="仿宋" w:hAnsi="仿宋" w:eastAsia="仿宋" w:cs="仿宋"/>
          <w:spacing w:val="-2"/>
          <w:sz w:val="28"/>
          <w:szCs w:val="28"/>
        </w:rPr>
        <w:t>投资项目管理要求的不断提高，传统的线下项目申报审批模式已难以满足高效、透明、规范的管理需求。项目申报流程繁琐、审批周期长、信息共享不畅等问题日益突出，一定程度上影响了</w:t>
      </w:r>
      <w:r>
        <w:rPr>
          <w:rFonts w:hint="eastAsia" w:ascii="仿宋" w:hAnsi="仿宋" w:eastAsia="仿宋" w:cs="仿宋"/>
          <w:spacing w:val="-2"/>
          <w:sz w:val="28"/>
          <w:szCs w:val="28"/>
          <w:lang w:val="en-US" w:eastAsia="zh-CN"/>
        </w:rPr>
        <w:t>区内</w:t>
      </w:r>
      <w:r>
        <w:rPr>
          <w:rFonts w:hint="eastAsia" w:ascii="仿宋" w:hAnsi="仿宋" w:eastAsia="仿宋" w:cs="仿宋"/>
          <w:spacing w:val="-2"/>
          <w:sz w:val="28"/>
          <w:szCs w:val="28"/>
        </w:rPr>
        <w:t>投资项目的实施效率和监管水平。</w:t>
      </w:r>
    </w:p>
    <w:p w14:paraId="41236CA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lang w:val="en-US" w:eastAsia="zh-CN"/>
        </w:rPr>
        <w:t>因此，</w:t>
      </w:r>
      <w:r>
        <w:rPr>
          <w:rFonts w:hint="eastAsia" w:ascii="仿宋" w:hAnsi="仿宋" w:eastAsia="仿宋" w:cs="仿宋"/>
          <w:spacing w:val="-2"/>
          <w:sz w:val="28"/>
          <w:szCs w:val="28"/>
        </w:rPr>
        <w:t>为贯彻落实“放管服”改革和数字化政府建设要求，需构建一个标准统一、流程规范的数字化项目管理平台，实现项目在线申报、智能审批、电子批复的全流程闭环管理，简化申报材料，优化审批流程，提升部门协同效率，确保项目从申报到批复的各环节可追溯、可监督</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为政府投资决策提供有力支撑。</w:t>
      </w:r>
    </w:p>
    <w:p w14:paraId="2D9D335A">
      <w:pPr>
        <w:keepNext w:val="0"/>
        <w:keepLines w:val="0"/>
        <w:pageBreakBefore w:val="0"/>
        <w:widowControl/>
        <w:wordWrap/>
        <w:overflowPunct/>
        <w:topLinePunct w:val="0"/>
        <w:bidi w:val="0"/>
        <w:spacing w:line="360" w:lineRule="auto"/>
        <w:ind w:left="0" w:leftChars="0" w:right="0" w:firstLine="420" w:firstLineChars="200"/>
        <w:rPr>
          <w:rFonts w:ascii="Arial"/>
          <w:sz w:val="21"/>
        </w:rPr>
      </w:pPr>
    </w:p>
    <w:p w14:paraId="15B0A1FF">
      <w:pPr>
        <w:keepNext w:val="0"/>
        <w:keepLines w:val="0"/>
        <w:pageBreakBefore w:val="0"/>
        <w:widowControl/>
        <w:wordWrap/>
        <w:overflowPunct/>
        <w:topLinePunct w:val="0"/>
        <w:bidi w:val="0"/>
        <w:spacing w:line="263" w:lineRule="auto"/>
        <w:ind w:left="0" w:leftChars="0" w:right="0" w:firstLine="0"/>
        <w:rPr>
          <w:rFonts w:ascii="Arial"/>
          <w:sz w:val="21"/>
        </w:rPr>
      </w:pPr>
    </w:p>
    <w:p w14:paraId="32DE2AD7">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二、项目目标</w:t>
      </w:r>
    </w:p>
    <w:p w14:paraId="45C5E6B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本项目遵循集约化建设原则，在有效降低重复建设投资、节能环保的基础上，按照统一标准体系、统一技术架构、统一运行监管、统一安全防护的管理要求，实现以下建设目标：</w:t>
      </w:r>
    </w:p>
    <w:p w14:paraId="3E45DBE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在一期项目的基础上</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进一步增强静安区云管平台功能，推动区资源和数据的统一管理，进一步扩大资源管理范围、完善资源管理手段、提高通算资源和GPU资源管理</w:t>
      </w:r>
      <w:r>
        <w:rPr>
          <w:rFonts w:hint="eastAsia" w:ascii="仿宋" w:hAnsi="仿宋" w:eastAsia="仿宋" w:cs="仿宋"/>
          <w:spacing w:val="-2"/>
          <w:sz w:val="28"/>
          <w:szCs w:val="28"/>
          <w:lang w:val="en-US" w:eastAsia="zh-CN"/>
        </w:rPr>
        <w:t>及使用</w:t>
      </w:r>
      <w:r>
        <w:rPr>
          <w:rFonts w:hint="eastAsia" w:ascii="仿宋" w:hAnsi="仿宋" w:eastAsia="仿宋" w:cs="仿宋"/>
          <w:spacing w:val="-2"/>
          <w:sz w:val="28"/>
          <w:szCs w:val="28"/>
        </w:rPr>
        <w:t>效率、加强资源审批流程</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结合数字化项目管理</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建立项目需求与资源供给</w:t>
      </w:r>
      <w:r>
        <w:rPr>
          <w:rFonts w:hint="eastAsia" w:ascii="仿宋" w:hAnsi="仿宋" w:eastAsia="仿宋" w:cs="仿宋"/>
          <w:spacing w:val="-2"/>
          <w:sz w:val="28"/>
          <w:szCs w:val="28"/>
          <w:lang w:val="en-US" w:eastAsia="zh-CN"/>
        </w:rPr>
        <w:t>关系</w:t>
      </w:r>
      <w:r>
        <w:rPr>
          <w:rFonts w:hint="eastAsia" w:ascii="仿宋" w:hAnsi="仿宋" w:eastAsia="仿宋" w:cs="仿宋"/>
          <w:spacing w:val="-2"/>
          <w:sz w:val="28"/>
          <w:szCs w:val="28"/>
        </w:rPr>
        <w:t>，通过全生命周期资源占用率分析、闲置资源回收策略，形成“资源申请-分配-使用-回收”闭环管理体系，在基础设施层面着力打造低成本、高效率、专业化的管理体系，持续提升区政务云的综合服务能力和精细化管理能力，夯实政务云的“基座”建设，从项目立项申报到落地实施多维度辅助项目全生命周期管理，助力城市数字化转型。数字化项目管理系统围绕信息化项目全生命周期管理，构建一套覆盖申报、审核、批复、执行跟踪及验收的完整系统。整体系统通过流程规范化、数据联动和规则校验，实现了项目从申报到资产转化的全流程数字化管理，提升审批效率的同时强化了执行跟踪与合规控制。</w:t>
      </w:r>
    </w:p>
    <w:p w14:paraId="165FF61E">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三、系统建设原则</w:t>
      </w:r>
    </w:p>
    <w:p w14:paraId="224C86E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先进性原则：系统建设必须采用相对先进的技术和方法，能够满足和适应静安区IT系统快速变化和发展的要求。</w:t>
      </w:r>
    </w:p>
    <w:p w14:paraId="6F5CE29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实用性与成熟性原则：系统建设必须使用业界成熟、可靠和实用的技术，以满足系统的可用性、可靠性和实用性。</w:t>
      </w:r>
    </w:p>
    <w:p w14:paraId="0E1A56D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开放性与标准化原则：系统建设所采用的产品及技术应该具有良好的开放性和兼容性，支持标准的协议和接口类型，提供多种开放的应用开发接口，能够和业界主流的产品实现高度整合并具有丰富的应用实例。</w:t>
      </w:r>
    </w:p>
    <w:p w14:paraId="4A8B5B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充分保护投资的原则：在保证系统平稳过渡的前提下，必须充分考虑利用现有设备，合理地保护投资。</w:t>
      </w:r>
    </w:p>
    <w:p w14:paraId="0E4154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要求软件采用模块化结构，模块之间的通信应按规定接口进行。任何一层的任何一个模块的新增、更新、维护与其他模块互不影响。</w:t>
      </w:r>
    </w:p>
    <w:p w14:paraId="175FE739">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四、系统总体建设方案</w:t>
      </w:r>
    </w:p>
    <w:p w14:paraId="5A13A056">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4.1系统架构</w:t>
      </w:r>
    </w:p>
    <w:p w14:paraId="7AE021B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从功能层面来说，静安区云管平台建设项目具备：面向区政务云、市政务云多种异构云平台提供集中化的管理、运营、监控、运维支撑能力，支持对各个云平台能力的纵向扩展和其他异构云平台的横向扩展。</w:t>
      </w:r>
    </w:p>
    <w:p w14:paraId="6A3D1E5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系统架构应该包含</w:t>
      </w:r>
      <w:r>
        <w:rPr>
          <w:rFonts w:hint="eastAsia" w:ascii="仿宋" w:hAnsi="仿宋" w:eastAsia="仿宋" w:cs="仿宋"/>
          <w:spacing w:val="-2"/>
          <w:sz w:val="28"/>
          <w:szCs w:val="28"/>
          <w:lang w:val="en-US" w:eastAsia="zh-CN"/>
        </w:rPr>
        <w:t>云管平台和数字化项目管理系统两个子系统</w:t>
      </w:r>
      <w:r>
        <w:rPr>
          <w:rFonts w:hint="eastAsia" w:ascii="仿宋" w:hAnsi="仿宋" w:eastAsia="仿宋" w:cs="仿宋"/>
          <w:spacing w:val="-2"/>
          <w:sz w:val="28"/>
          <w:szCs w:val="28"/>
        </w:rPr>
        <w:t>。</w:t>
      </w:r>
    </w:p>
    <w:p w14:paraId="320666AA">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4.2能力开放</w:t>
      </w:r>
    </w:p>
    <w:p w14:paraId="5CE971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投标软件应具备向</w:t>
      </w:r>
      <w:r>
        <w:rPr>
          <w:rFonts w:hint="eastAsia" w:ascii="仿宋" w:hAnsi="仿宋" w:eastAsia="仿宋" w:cs="仿宋"/>
          <w:spacing w:val="-2"/>
          <w:sz w:val="28"/>
          <w:szCs w:val="28"/>
          <w:lang w:val="en-US" w:eastAsia="zh-CN"/>
        </w:rPr>
        <w:t>上级管理部门/单位</w:t>
      </w:r>
      <w:r>
        <w:rPr>
          <w:rFonts w:hint="eastAsia" w:ascii="仿宋" w:hAnsi="仿宋" w:eastAsia="仿宋" w:cs="仿宋"/>
          <w:spacing w:val="-2"/>
          <w:sz w:val="28"/>
          <w:szCs w:val="28"/>
        </w:rPr>
        <w:t>提供服务的开放能力。</w:t>
      </w:r>
    </w:p>
    <w:p w14:paraId="00EDF323">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4.3现有系统软硬件要求</w:t>
      </w:r>
    </w:p>
    <w:p w14:paraId="7BB7C3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投标方提供的所有软件模块应具备功能分担、分布式结构，保证系统的安全可靠。主要模块和接口应保证高可用和冗余性、安全性、易维护性等要求。</w:t>
      </w:r>
    </w:p>
    <w:p w14:paraId="698814E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4" w:firstLineChars="200"/>
        <w:textAlignment w:val="baseline"/>
        <w:rPr>
          <w:rFonts w:hint="eastAsia" w:ascii="仿宋" w:hAnsi="仿宋" w:eastAsia="仿宋" w:cs="仿宋"/>
          <w:b/>
          <w:bCs/>
          <w:spacing w:val="-2"/>
          <w:sz w:val="28"/>
          <w:szCs w:val="28"/>
        </w:rPr>
      </w:pPr>
      <w:r>
        <w:rPr>
          <w:rFonts w:hint="eastAsia" w:ascii="仿宋" w:hAnsi="仿宋" w:eastAsia="仿宋" w:cs="仿宋"/>
          <w:b/>
          <w:bCs/>
          <w:spacing w:val="-2"/>
          <w:sz w:val="28"/>
          <w:szCs w:val="28"/>
        </w:rPr>
        <w:t>投标方应根据投标软件情况，提出系统部署所需的软硬件方案，投标方使用的资源需在招标方提供的范围内，超出部分由投标方承担</w:t>
      </w:r>
      <w:r>
        <w:rPr>
          <w:rFonts w:hint="eastAsia" w:ascii="仿宋" w:hAnsi="仿宋" w:eastAsia="仿宋" w:cs="仿宋"/>
          <w:b/>
          <w:bCs/>
          <w:spacing w:val="-2"/>
          <w:sz w:val="28"/>
          <w:szCs w:val="28"/>
        </w:rPr>
        <w:tab/>
      </w:r>
      <w:r>
        <w:rPr>
          <w:rFonts w:hint="eastAsia" w:ascii="仿宋" w:hAnsi="仿宋" w:eastAsia="仿宋" w:cs="仿宋"/>
          <w:b/>
          <w:bCs/>
          <w:spacing w:val="-2"/>
          <w:sz w:val="28"/>
          <w:szCs w:val="28"/>
        </w:rPr>
        <w:t>(包括硬件设备和机架租赁费用)。</w:t>
      </w:r>
    </w:p>
    <w:p w14:paraId="7E7840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本次项目采用虚拟化部署方式，部署至区政务云平台，预计提</w:t>
      </w:r>
    </w:p>
    <w:p w14:paraId="4E191497">
      <w:pPr>
        <w:keepNext w:val="0"/>
        <w:keepLines w:val="0"/>
        <w:pageBreakBefore w:val="0"/>
        <w:widowControl/>
        <w:wordWrap/>
        <w:overflowPunct/>
        <w:topLinePunct w:val="0"/>
        <w:bidi w:val="0"/>
        <w:spacing w:before="2" w:line="222" w:lineRule="auto"/>
        <w:ind w:left="0" w:leftChars="0" w:right="0" w:firstLine="0"/>
        <w:rPr>
          <w:rFonts w:ascii="仿宋" w:hAnsi="仿宋" w:eastAsia="仿宋" w:cs="仿宋"/>
          <w:spacing w:val="-1"/>
          <w:sz w:val="28"/>
          <w:szCs w:val="28"/>
        </w:rPr>
      </w:pPr>
      <w:r>
        <w:rPr>
          <w:rFonts w:ascii="仿宋" w:hAnsi="仿宋" w:eastAsia="仿宋" w:cs="仿宋"/>
          <w:spacing w:val="-2"/>
          <w:sz w:val="28"/>
          <w:szCs w:val="28"/>
        </w:rPr>
        <w:t>供虚拟服务器配置</w:t>
      </w:r>
      <w:r>
        <w:rPr>
          <w:rFonts w:ascii="仿宋" w:hAnsi="仿宋" w:eastAsia="仿宋" w:cs="仿宋"/>
          <w:spacing w:val="-1"/>
          <w:sz w:val="28"/>
          <w:szCs w:val="28"/>
        </w:rPr>
        <w:t>如下：</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6"/>
        <w:gridCol w:w="2422"/>
        <w:gridCol w:w="4431"/>
      </w:tblGrid>
      <w:tr w14:paraId="46733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8CF1B">
            <w:pPr>
              <w:keepNext w:val="0"/>
              <w:keepLines w:val="0"/>
              <w:widowControl/>
              <w:suppressLineNumbers w:val="0"/>
              <w:jc w:val="center"/>
              <w:textAlignment w:val="top"/>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设备类型</w:t>
            </w:r>
          </w:p>
        </w:tc>
        <w:tc>
          <w:tcPr>
            <w:tcW w:w="1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DDD52">
            <w:pPr>
              <w:keepNext w:val="0"/>
              <w:keepLines w:val="0"/>
              <w:widowControl/>
              <w:suppressLineNumbers w:val="0"/>
              <w:jc w:val="center"/>
              <w:textAlignment w:val="top"/>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数量</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DAD29">
            <w:pPr>
              <w:keepNext w:val="0"/>
              <w:keepLines w:val="0"/>
              <w:widowControl/>
              <w:suppressLineNumbers w:val="0"/>
              <w:jc w:val="center"/>
              <w:textAlignment w:val="top"/>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备注</w:t>
            </w:r>
          </w:p>
        </w:tc>
      </w:tr>
      <w:tr w14:paraId="117E1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9FD07">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采集服务器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7471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1BF9">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8核CPU，16G内存，100G系统盘，100G数据盘。2台采集服务器，采取1+1容灾主备部署。</w:t>
            </w:r>
          </w:p>
        </w:tc>
      </w:tr>
      <w:tr w14:paraId="27F04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0D5C">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数据库服务器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6B3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371DD">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16核CPU，32G内存，100G系统盘，450G数据盘。2台数据库服务器，采取1+1容灾主备部署。</w:t>
            </w:r>
          </w:p>
        </w:tc>
      </w:tr>
      <w:tr w14:paraId="43B3D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4050F">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应用服务器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6C17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4</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62DBE">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4核CPU，8G内存，100G系统盘，100G数据盘。4台应用服务器，采取1+1容灾主备部署。</w:t>
            </w:r>
          </w:p>
        </w:tc>
      </w:tr>
      <w:tr w14:paraId="10208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AC1A">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接口服务器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744E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9E9A">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8核CPU，16G内存，100G系统盘，100G数据盘。2台接口服务器，采取1+1容灾主备部署。</w:t>
            </w:r>
          </w:p>
        </w:tc>
      </w:tr>
      <w:tr w14:paraId="341A7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4F3B">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应用服务器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A1E9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B3BDC">
            <w:pPr>
              <w:keepNext w:val="0"/>
              <w:keepLines w:val="0"/>
              <w:widowControl/>
              <w:suppressLineNumbers w:val="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8核CPU，16G内存，500G存储</w:t>
            </w:r>
          </w:p>
        </w:tc>
      </w:tr>
      <w:tr w14:paraId="1FBD8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A693D">
            <w:pPr>
              <w:keepNext w:val="0"/>
              <w:keepLines w:val="0"/>
              <w:widowControl/>
              <w:suppressLineNumbers w:val="0"/>
              <w:jc w:val="both"/>
              <w:textAlignment w:val="bottom"/>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数据库服务器</w:t>
            </w:r>
          </w:p>
        </w:tc>
        <w:tc>
          <w:tcPr>
            <w:tcW w:w="1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BB8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w:t>
            </w:r>
          </w:p>
        </w:tc>
        <w:tc>
          <w:tcPr>
            <w:tcW w:w="2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2E5C5">
            <w:pPr>
              <w:keepNext w:val="0"/>
              <w:keepLines w:val="0"/>
              <w:widowControl/>
              <w:suppressLineNumbers w:val="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8核CPU，16G内存，500G存储</w:t>
            </w:r>
          </w:p>
        </w:tc>
      </w:tr>
    </w:tbl>
    <w:p w14:paraId="550E882B">
      <w:pPr>
        <w:pStyle w:val="9"/>
      </w:pPr>
    </w:p>
    <w:p w14:paraId="768142B0">
      <w:pPr>
        <w:keepNext w:val="0"/>
        <w:keepLines w:val="0"/>
        <w:pageBreakBefore w:val="0"/>
        <w:widowControl/>
        <w:wordWrap/>
        <w:overflowPunct/>
        <w:topLinePunct w:val="0"/>
        <w:bidi w:val="0"/>
        <w:spacing w:line="16" w:lineRule="exact"/>
        <w:ind w:left="0" w:leftChars="0" w:right="0" w:firstLine="0"/>
      </w:pPr>
    </w:p>
    <w:p w14:paraId="0361092D">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系统软件配置如下：</w:t>
      </w:r>
    </w:p>
    <w:p w14:paraId="4ADD936A">
      <w:pPr>
        <w:keepNext w:val="0"/>
        <w:keepLines w:val="0"/>
        <w:pageBreakBefore w:val="0"/>
        <w:widowControl/>
        <w:wordWrap/>
        <w:overflowPunct/>
        <w:topLinePunct w:val="0"/>
        <w:bidi w:val="0"/>
        <w:spacing w:line="16" w:lineRule="exact"/>
        <w:ind w:left="0" w:leftChars="0" w:right="0" w:firstLine="0"/>
      </w:pPr>
    </w:p>
    <w:tbl>
      <w:tblPr>
        <w:tblStyle w:val="14"/>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57"/>
        <w:gridCol w:w="905"/>
        <w:gridCol w:w="5541"/>
      </w:tblGrid>
      <w:tr w14:paraId="5C3A8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118" w:type="pct"/>
            <w:vAlign w:val="center"/>
          </w:tcPr>
          <w:p w14:paraId="364FBC1A">
            <w:pPr>
              <w:keepNext w:val="0"/>
              <w:keepLines w:val="0"/>
              <w:pageBreakBefore w:val="0"/>
              <w:widowControl/>
              <w:wordWrap/>
              <w:overflowPunct/>
              <w:topLinePunct w:val="0"/>
              <w:bidi w:val="0"/>
              <w:spacing w:before="115" w:line="219" w:lineRule="auto"/>
              <w:ind w:left="0" w:leftChars="0" w:right="0" w:firstLine="0"/>
              <w:jc w:val="center"/>
              <w:rPr>
                <w:rFonts w:ascii="仿宋" w:hAnsi="仿宋" w:eastAsia="仿宋" w:cs="仿宋"/>
                <w:sz w:val="28"/>
                <w:szCs w:val="28"/>
              </w:rPr>
            </w:pPr>
            <w:r>
              <w:rPr>
                <w:rFonts w:ascii="仿宋" w:hAnsi="仿宋" w:eastAsia="仿宋" w:cs="仿宋"/>
                <w:spacing w:val="-6"/>
                <w:sz w:val="28"/>
                <w:szCs w:val="28"/>
                <w14:textOutline w14:w="5103" w14:cap="sq" w14:cmpd="sng">
                  <w14:solidFill>
                    <w14:srgbClr w14:val="000000"/>
                  </w14:solidFill>
                  <w14:prstDash w14:val="solid"/>
                  <w14:bevel/>
                </w14:textOutline>
              </w:rPr>
              <w:t>设</w:t>
            </w:r>
            <w:r>
              <w:rPr>
                <w:rFonts w:ascii="仿宋" w:hAnsi="仿宋" w:eastAsia="仿宋" w:cs="仿宋"/>
                <w:spacing w:val="-3"/>
                <w:sz w:val="28"/>
                <w:szCs w:val="28"/>
                <w14:textOutline w14:w="5103" w14:cap="sq" w14:cmpd="sng">
                  <w14:solidFill>
                    <w14:srgbClr w14:val="000000"/>
                  </w14:solidFill>
                  <w14:prstDash w14:val="solid"/>
                  <w14:bevel/>
                </w14:textOutline>
              </w:rPr>
              <w:t>备类型</w:t>
            </w:r>
          </w:p>
        </w:tc>
        <w:tc>
          <w:tcPr>
            <w:tcW w:w="545" w:type="pct"/>
            <w:vAlign w:val="center"/>
          </w:tcPr>
          <w:p w14:paraId="56F1F5DD">
            <w:pPr>
              <w:keepNext w:val="0"/>
              <w:keepLines w:val="0"/>
              <w:pageBreakBefore w:val="0"/>
              <w:widowControl/>
              <w:wordWrap/>
              <w:overflowPunct/>
              <w:topLinePunct w:val="0"/>
              <w:bidi w:val="0"/>
              <w:spacing w:before="115" w:line="219" w:lineRule="auto"/>
              <w:ind w:left="0" w:leftChars="0" w:right="0" w:firstLine="0"/>
              <w:jc w:val="center"/>
              <w:rPr>
                <w:rFonts w:ascii="仿宋" w:hAnsi="仿宋" w:eastAsia="仿宋" w:cs="仿宋"/>
                <w:sz w:val="28"/>
                <w:szCs w:val="28"/>
              </w:rPr>
            </w:pPr>
            <w:r>
              <w:rPr>
                <w:rFonts w:ascii="仿宋" w:hAnsi="仿宋" w:eastAsia="仿宋" w:cs="仿宋"/>
                <w:spacing w:val="-8"/>
                <w:sz w:val="28"/>
                <w:szCs w:val="28"/>
                <w14:textOutline w14:w="5103" w14:cap="sq" w14:cmpd="sng">
                  <w14:solidFill>
                    <w14:srgbClr w14:val="000000"/>
                  </w14:solidFill>
                  <w14:prstDash w14:val="solid"/>
                  <w14:bevel/>
                </w14:textOutline>
              </w:rPr>
              <w:t>数量</w:t>
            </w:r>
          </w:p>
        </w:tc>
        <w:tc>
          <w:tcPr>
            <w:tcW w:w="3336" w:type="pct"/>
            <w:vAlign w:val="center"/>
          </w:tcPr>
          <w:p w14:paraId="3174DC3E">
            <w:pPr>
              <w:keepNext w:val="0"/>
              <w:keepLines w:val="0"/>
              <w:pageBreakBefore w:val="0"/>
              <w:widowControl/>
              <w:wordWrap/>
              <w:overflowPunct/>
              <w:topLinePunct w:val="0"/>
              <w:bidi w:val="0"/>
              <w:spacing w:before="115" w:line="219" w:lineRule="auto"/>
              <w:ind w:left="0" w:leftChars="0" w:right="0" w:firstLine="0"/>
              <w:jc w:val="center"/>
              <w:rPr>
                <w:rFonts w:ascii="仿宋" w:hAnsi="仿宋" w:eastAsia="仿宋" w:cs="仿宋"/>
                <w:sz w:val="28"/>
                <w:szCs w:val="28"/>
              </w:rPr>
            </w:pPr>
            <w:r>
              <w:rPr>
                <w:rFonts w:ascii="仿宋" w:hAnsi="仿宋" w:eastAsia="仿宋" w:cs="仿宋"/>
                <w:spacing w:val="-10"/>
                <w:sz w:val="28"/>
                <w:szCs w:val="28"/>
                <w14:textOutline w14:w="5103" w14:cap="sq" w14:cmpd="sng">
                  <w14:solidFill>
                    <w14:srgbClr w14:val="000000"/>
                  </w14:solidFill>
                  <w14:prstDash w14:val="solid"/>
                  <w14:bevel/>
                </w14:textOutline>
              </w:rPr>
              <w:t>备</w:t>
            </w:r>
            <w:r>
              <w:rPr>
                <w:rFonts w:ascii="仿宋" w:hAnsi="仿宋" w:eastAsia="仿宋" w:cs="仿宋"/>
                <w:spacing w:val="-9"/>
                <w:sz w:val="28"/>
                <w:szCs w:val="28"/>
                <w14:textOutline w14:w="5103" w14:cap="sq" w14:cmpd="sng">
                  <w14:solidFill>
                    <w14:srgbClr w14:val="000000"/>
                  </w14:solidFill>
                  <w14:prstDash w14:val="solid"/>
                  <w14:bevel/>
                </w14:textOutline>
              </w:rPr>
              <w:t>注</w:t>
            </w:r>
          </w:p>
        </w:tc>
      </w:tr>
      <w:tr w14:paraId="507BE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118" w:type="pct"/>
            <w:vAlign w:val="center"/>
          </w:tcPr>
          <w:p w14:paraId="62893505">
            <w:pPr>
              <w:keepNext w:val="0"/>
              <w:keepLines w:val="0"/>
              <w:pageBreakBefore w:val="0"/>
              <w:widowControl/>
              <w:wordWrap/>
              <w:overflowPunct/>
              <w:topLinePunct w:val="0"/>
              <w:bidi w:val="0"/>
              <w:spacing w:before="113" w:line="218" w:lineRule="auto"/>
              <w:ind w:left="0" w:leftChars="0" w:right="0" w:firstLine="0"/>
              <w:jc w:val="center"/>
              <w:rPr>
                <w:rFonts w:ascii="仿宋" w:hAnsi="仿宋" w:eastAsia="仿宋" w:cs="仿宋"/>
                <w:sz w:val="28"/>
                <w:szCs w:val="28"/>
              </w:rPr>
            </w:pPr>
            <w:r>
              <w:rPr>
                <w:rFonts w:ascii="仿宋" w:hAnsi="仿宋" w:eastAsia="仿宋" w:cs="仿宋"/>
                <w:spacing w:val="-6"/>
                <w:sz w:val="28"/>
                <w:szCs w:val="28"/>
              </w:rPr>
              <w:t>操</w:t>
            </w:r>
            <w:r>
              <w:rPr>
                <w:rFonts w:ascii="仿宋" w:hAnsi="仿宋" w:eastAsia="仿宋" w:cs="仿宋"/>
                <w:spacing w:val="-4"/>
                <w:sz w:val="28"/>
                <w:szCs w:val="28"/>
              </w:rPr>
              <w:t>作系统</w:t>
            </w:r>
          </w:p>
        </w:tc>
        <w:tc>
          <w:tcPr>
            <w:tcW w:w="545" w:type="pct"/>
            <w:vAlign w:val="center"/>
          </w:tcPr>
          <w:p w14:paraId="543B6A75">
            <w:pPr>
              <w:keepNext w:val="0"/>
              <w:keepLines w:val="0"/>
              <w:pageBreakBefore w:val="0"/>
              <w:widowControl/>
              <w:wordWrap/>
              <w:overflowPunct/>
              <w:topLinePunct w:val="0"/>
              <w:bidi w:val="0"/>
              <w:spacing w:before="161" w:line="181" w:lineRule="auto"/>
              <w:ind w:left="0" w:leftChars="0" w:right="0" w:firstLine="0"/>
              <w:jc w:val="center"/>
              <w:rPr>
                <w:rFonts w:hint="eastAsia" w:ascii="仿宋" w:hAnsi="仿宋" w:eastAsia="仿宋" w:cs="仿宋"/>
                <w:sz w:val="28"/>
                <w:szCs w:val="28"/>
                <w:lang w:val="en-US" w:eastAsia="zh-CN"/>
              </w:rPr>
            </w:pPr>
            <w:r>
              <w:rPr>
                <w:rFonts w:ascii="仿宋" w:hAnsi="仿宋" w:eastAsia="仿宋" w:cs="仿宋"/>
                <w:spacing w:val="-15"/>
                <w:sz w:val="28"/>
                <w:szCs w:val="28"/>
              </w:rPr>
              <w:t>1</w:t>
            </w:r>
            <w:r>
              <w:rPr>
                <w:rFonts w:hint="eastAsia" w:ascii="仿宋" w:hAnsi="仿宋" w:eastAsia="仿宋" w:cs="仿宋"/>
                <w:spacing w:val="-15"/>
                <w:sz w:val="28"/>
                <w:szCs w:val="28"/>
                <w:lang w:val="en-US" w:eastAsia="zh-CN"/>
              </w:rPr>
              <w:t>2</w:t>
            </w:r>
          </w:p>
        </w:tc>
        <w:tc>
          <w:tcPr>
            <w:tcW w:w="3336" w:type="pct"/>
            <w:vAlign w:val="center"/>
          </w:tcPr>
          <w:p w14:paraId="204F0217">
            <w:pPr>
              <w:keepNext w:val="0"/>
              <w:keepLines w:val="0"/>
              <w:pageBreakBefore w:val="0"/>
              <w:widowControl/>
              <w:wordWrap/>
              <w:overflowPunct/>
              <w:topLinePunct w:val="0"/>
              <w:bidi w:val="0"/>
              <w:spacing w:before="113" w:line="218" w:lineRule="auto"/>
              <w:ind w:left="0" w:leftChars="0" w:right="0" w:firstLine="0"/>
              <w:jc w:val="center"/>
              <w:rPr>
                <w:rFonts w:ascii="仿宋" w:hAnsi="仿宋" w:eastAsia="仿宋" w:cs="仿宋"/>
                <w:sz w:val="28"/>
                <w:szCs w:val="28"/>
              </w:rPr>
            </w:pPr>
            <w:r>
              <w:rPr>
                <w:rFonts w:ascii="仿宋" w:hAnsi="仿宋" w:eastAsia="仿宋" w:cs="仿宋"/>
                <w:spacing w:val="-3"/>
                <w:sz w:val="28"/>
                <w:szCs w:val="28"/>
              </w:rPr>
              <w:t>区政务云现有品牌：银河麒麟。</w:t>
            </w:r>
          </w:p>
        </w:tc>
      </w:tr>
      <w:tr w14:paraId="10431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118" w:type="pct"/>
            <w:vAlign w:val="center"/>
          </w:tcPr>
          <w:p w14:paraId="5FDFF70E">
            <w:pPr>
              <w:keepNext w:val="0"/>
              <w:keepLines w:val="0"/>
              <w:pageBreakBefore w:val="0"/>
              <w:widowControl/>
              <w:wordWrap/>
              <w:overflowPunct/>
              <w:topLinePunct w:val="0"/>
              <w:bidi w:val="0"/>
              <w:spacing w:before="113" w:line="218" w:lineRule="auto"/>
              <w:ind w:left="0" w:leftChars="0" w:right="0" w:firstLine="0"/>
              <w:jc w:val="center"/>
              <w:rPr>
                <w:rFonts w:ascii="仿宋" w:hAnsi="仿宋" w:eastAsia="仿宋" w:cs="仿宋"/>
                <w:sz w:val="28"/>
                <w:szCs w:val="28"/>
              </w:rPr>
            </w:pPr>
            <w:r>
              <w:rPr>
                <w:rFonts w:ascii="仿宋" w:hAnsi="仿宋" w:eastAsia="仿宋" w:cs="仿宋"/>
                <w:spacing w:val="-4"/>
                <w:sz w:val="28"/>
                <w:szCs w:val="28"/>
              </w:rPr>
              <w:t>数</w:t>
            </w:r>
            <w:r>
              <w:rPr>
                <w:rFonts w:ascii="仿宋" w:hAnsi="仿宋" w:eastAsia="仿宋" w:cs="仿宋"/>
                <w:spacing w:val="-3"/>
                <w:sz w:val="28"/>
                <w:szCs w:val="28"/>
              </w:rPr>
              <w:t>据库软件</w:t>
            </w:r>
          </w:p>
        </w:tc>
        <w:tc>
          <w:tcPr>
            <w:tcW w:w="545" w:type="pct"/>
            <w:vAlign w:val="center"/>
          </w:tcPr>
          <w:p w14:paraId="274C4504">
            <w:pPr>
              <w:keepNext w:val="0"/>
              <w:keepLines w:val="0"/>
              <w:pageBreakBefore w:val="0"/>
              <w:widowControl/>
              <w:wordWrap/>
              <w:overflowPunct/>
              <w:topLinePunct w:val="0"/>
              <w:bidi w:val="0"/>
              <w:spacing w:before="161" w:line="181" w:lineRule="auto"/>
              <w:ind w:left="0" w:leftChars="0" w:right="0" w:firstLine="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3336" w:type="pct"/>
            <w:vAlign w:val="center"/>
          </w:tcPr>
          <w:p w14:paraId="3AEA3173">
            <w:pPr>
              <w:keepNext w:val="0"/>
              <w:keepLines w:val="0"/>
              <w:pageBreakBefore w:val="0"/>
              <w:widowControl/>
              <w:wordWrap/>
              <w:overflowPunct/>
              <w:topLinePunct w:val="0"/>
              <w:bidi w:val="0"/>
              <w:spacing w:before="113" w:line="218" w:lineRule="auto"/>
              <w:ind w:left="0" w:leftChars="0" w:right="0" w:firstLine="0"/>
              <w:jc w:val="center"/>
              <w:rPr>
                <w:rFonts w:ascii="仿宋" w:hAnsi="仿宋" w:eastAsia="仿宋" w:cs="仿宋"/>
                <w:sz w:val="28"/>
                <w:szCs w:val="28"/>
              </w:rPr>
            </w:pPr>
            <w:r>
              <w:rPr>
                <w:rFonts w:ascii="仿宋" w:hAnsi="仿宋" w:eastAsia="仿宋" w:cs="仿宋"/>
                <w:spacing w:val="-6"/>
                <w:sz w:val="28"/>
                <w:szCs w:val="28"/>
              </w:rPr>
              <w:t>区</w:t>
            </w:r>
            <w:r>
              <w:rPr>
                <w:rFonts w:ascii="仿宋" w:hAnsi="仿宋" w:eastAsia="仿宋" w:cs="仿宋"/>
                <w:spacing w:val="-5"/>
                <w:sz w:val="28"/>
                <w:szCs w:val="28"/>
              </w:rPr>
              <w:t>政</w:t>
            </w:r>
            <w:r>
              <w:rPr>
                <w:rFonts w:ascii="仿宋" w:hAnsi="仿宋" w:eastAsia="仿宋" w:cs="仿宋"/>
                <w:spacing w:val="-3"/>
                <w:sz w:val="28"/>
                <w:szCs w:val="28"/>
              </w:rPr>
              <w:t>务云现有品牌：达梦。</w:t>
            </w:r>
          </w:p>
        </w:tc>
      </w:tr>
      <w:tr w14:paraId="39E4D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118" w:type="pct"/>
            <w:vAlign w:val="center"/>
          </w:tcPr>
          <w:p w14:paraId="2B90A125">
            <w:pPr>
              <w:keepNext w:val="0"/>
              <w:keepLines w:val="0"/>
              <w:pageBreakBefore w:val="0"/>
              <w:widowControl/>
              <w:wordWrap/>
              <w:overflowPunct/>
              <w:topLinePunct w:val="0"/>
              <w:bidi w:val="0"/>
              <w:spacing w:before="115" w:line="219" w:lineRule="auto"/>
              <w:ind w:left="0" w:leftChars="0" w:right="0" w:firstLine="0"/>
              <w:jc w:val="center"/>
              <w:rPr>
                <w:rFonts w:ascii="仿宋" w:hAnsi="仿宋" w:eastAsia="仿宋" w:cs="仿宋"/>
                <w:sz w:val="28"/>
                <w:szCs w:val="28"/>
              </w:rPr>
            </w:pPr>
            <w:r>
              <w:rPr>
                <w:rFonts w:ascii="仿宋" w:hAnsi="仿宋" w:eastAsia="仿宋" w:cs="仿宋"/>
                <w:spacing w:val="-5"/>
                <w:sz w:val="28"/>
                <w:szCs w:val="28"/>
              </w:rPr>
              <w:t>应</w:t>
            </w:r>
            <w:r>
              <w:rPr>
                <w:rFonts w:ascii="仿宋" w:hAnsi="仿宋" w:eastAsia="仿宋" w:cs="仿宋"/>
                <w:spacing w:val="-3"/>
                <w:sz w:val="28"/>
                <w:szCs w:val="28"/>
              </w:rPr>
              <w:t>用中间件</w:t>
            </w:r>
          </w:p>
        </w:tc>
        <w:tc>
          <w:tcPr>
            <w:tcW w:w="545" w:type="pct"/>
            <w:vAlign w:val="center"/>
          </w:tcPr>
          <w:p w14:paraId="2519345B">
            <w:pPr>
              <w:keepNext w:val="0"/>
              <w:keepLines w:val="0"/>
              <w:pageBreakBefore w:val="0"/>
              <w:widowControl/>
              <w:wordWrap/>
              <w:overflowPunct/>
              <w:topLinePunct w:val="0"/>
              <w:bidi w:val="0"/>
              <w:spacing w:before="163" w:line="181" w:lineRule="auto"/>
              <w:ind w:left="0" w:leftChars="0" w:right="0" w:firstLine="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3336" w:type="pct"/>
            <w:vAlign w:val="center"/>
          </w:tcPr>
          <w:p w14:paraId="0EE98815">
            <w:pPr>
              <w:keepNext w:val="0"/>
              <w:keepLines w:val="0"/>
              <w:pageBreakBefore w:val="0"/>
              <w:widowControl/>
              <w:wordWrap/>
              <w:overflowPunct/>
              <w:topLinePunct w:val="0"/>
              <w:bidi w:val="0"/>
              <w:spacing w:before="115" w:line="219" w:lineRule="auto"/>
              <w:ind w:left="0" w:leftChars="0" w:right="0" w:firstLine="0"/>
              <w:jc w:val="center"/>
              <w:rPr>
                <w:rFonts w:ascii="仿宋" w:hAnsi="仿宋" w:eastAsia="仿宋" w:cs="仿宋"/>
                <w:sz w:val="28"/>
                <w:szCs w:val="28"/>
              </w:rPr>
            </w:pPr>
            <w:r>
              <w:rPr>
                <w:rFonts w:ascii="仿宋" w:hAnsi="仿宋" w:eastAsia="仿宋" w:cs="仿宋"/>
                <w:spacing w:val="-6"/>
                <w:sz w:val="28"/>
                <w:szCs w:val="28"/>
              </w:rPr>
              <w:t>区</w:t>
            </w:r>
            <w:r>
              <w:rPr>
                <w:rFonts w:ascii="仿宋" w:hAnsi="仿宋" w:eastAsia="仿宋" w:cs="仿宋"/>
                <w:spacing w:val="-4"/>
                <w:sz w:val="28"/>
                <w:szCs w:val="28"/>
              </w:rPr>
              <w:t>政</w:t>
            </w:r>
            <w:r>
              <w:rPr>
                <w:rFonts w:ascii="仿宋" w:hAnsi="仿宋" w:eastAsia="仿宋" w:cs="仿宋"/>
                <w:spacing w:val="-3"/>
                <w:sz w:val="28"/>
                <w:szCs w:val="28"/>
              </w:rPr>
              <w:t>务云现有品牌：东方通。</w:t>
            </w:r>
          </w:p>
        </w:tc>
      </w:tr>
    </w:tbl>
    <w:p w14:paraId="7FF82711">
      <w:pPr>
        <w:keepNext w:val="0"/>
        <w:keepLines w:val="0"/>
        <w:pageBreakBefore w:val="0"/>
        <w:widowControl/>
        <w:wordWrap/>
        <w:overflowPunct/>
        <w:topLinePunct w:val="0"/>
        <w:bidi w:val="0"/>
        <w:spacing w:line="344" w:lineRule="auto"/>
        <w:ind w:left="0" w:leftChars="0" w:right="0" w:firstLine="0"/>
        <w:rPr>
          <w:rFonts w:ascii="Arial"/>
          <w:sz w:val="21"/>
        </w:rPr>
      </w:pPr>
    </w:p>
    <w:p w14:paraId="59C799DD">
      <w:pPr>
        <w:keepNext w:val="0"/>
        <w:keepLines w:val="0"/>
        <w:pageBreakBefore w:val="0"/>
        <w:widowControl/>
        <w:wordWrap/>
        <w:overflowPunct/>
        <w:topLinePunct w:val="0"/>
        <w:bidi w:val="0"/>
        <w:spacing w:line="345" w:lineRule="auto"/>
        <w:ind w:left="0" w:leftChars="0" w:right="0" w:firstLine="0"/>
        <w:rPr>
          <w:rFonts w:ascii="Arial"/>
          <w:sz w:val="21"/>
        </w:rPr>
      </w:pPr>
    </w:p>
    <w:p w14:paraId="50B51733">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4.4关键软件技术要求</w:t>
      </w:r>
    </w:p>
    <w:p w14:paraId="594736D7">
      <w:pPr>
        <w:pStyle w:val="4"/>
        <w:widowControl w:val="0"/>
        <w:numPr>
          <w:ilvl w:val="1"/>
          <w:numId w:val="0"/>
        </w:numPr>
        <w:kinsoku/>
        <w:autoSpaceDE/>
        <w:autoSpaceDN/>
        <w:adjustRightInd/>
        <w:snapToGrid/>
        <w:spacing w:line="360" w:lineRule="auto"/>
        <w:ind w:firstLine="562" w:firstLineChars="200"/>
        <w:jc w:val="both"/>
        <w:textAlignment w:val="auto"/>
        <w:rPr>
          <w:rFonts w:hint="eastAsia" w:ascii="仿宋" w:hAnsi="仿宋" w:eastAsia="仿宋" w:cs="仿宋"/>
          <w:snapToGrid/>
          <w:kern w:val="2"/>
          <w:sz w:val="28"/>
          <w:szCs w:val="28"/>
          <w:lang w:val="en-US" w:eastAsia="zh-CN" w:bidi="ar-SA"/>
        </w:rPr>
      </w:pPr>
      <w:r>
        <w:rPr>
          <w:rFonts w:hint="eastAsia" w:ascii="仿宋" w:hAnsi="仿宋" w:eastAsia="仿宋" w:cs="仿宋"/>
          <w:snapToGrid/>
          <w:kern w:val="2"/>
          <w:sz w:val="28"/>
          <w:szCs w:val="28"/>
          <w:lang w:val="en-US" w:eastAsia="zh-CN" w:bidi="ar-SA"/>
        </w:rPr>
        <w:t>4.4.1可扩展性要求</w:t>
      </w:r>
    </w:p>
    <w:p w14:paraId="41EB14D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系统中的各种网络协议和数据接口等须实现业界开放式标准，满足可扩展性要求。</w:t>
      </w:r>
    </w:p>
    <w:p w14:paraId="2A27F4D9">
      <w:pPr>
        <w:pStyle w:val="4"/>
        <w:widowControl w:val="0"/>
        <w:numPr>
          <w:ilvl w:val="1"/>
          <w:numId w:val="0"/>
        </w:numPr>
        <w:kinsoku/>
        <w:autoSpaceDE/>
        <w:autoSpaceDN/>
        <w:adjustRightInd/>
        <w:snapToGrid/>
        <w:spacing w:line="360" w:lineRule="auto"/>
        <w:ind w:firstLine="562" w:firstLineChars="200"/>
        <w:jc w:val="both"/>
        <w:textAlignment w:val="auto"/>
        <w:rPr>
          <w:rFonts w:hint="eastAsia" w:ascii="仿宋" w:hAnsi="仿宋" w:eastAsia="仿宋" w:cs="仿宋"/>
          <w:b/>
          <w:snapToGrid/>
          <w:kern w:val="2"/>
          <w:sz w:val="28"/>
          <w:szCs w:val="28"/>
          <w:lang w:val="en-US" w:eastAsia="zh-CN" w:bidi="ar-SA"/>
        </w:rPr>
      </w:pPr>
      <w:r>
        <w:rPr>
          <w:rFonts w:hint="eastAsia" w:ascii="仿宋" w:hAnsi="仿宋" w:eastAsia="仿宋" w:cs="仿宋"/>
          <w:b/>
          <w:snapToGrid/>
          <w:kern w:val="2"/>
          <w:sz w:val="28"/>
          <w:szCs w:val="28"/>
          <w:lang w:val="en-US" w:eastAsia="zh-CN" w:bidi="ar-SA"/>
        </w:rPr>
        <w:t>4.4.2高可用性要求</w:t>
      </w:r>
    </w:p>
    <w:p w14:paraId="107FD97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实现7×24小时不间断运行。系统涉及的主机、系统软件、应用软件等部分均应具有极高的可靠性；同时为保证系统安全可靠地运行，保守企业和用户秘密，维护企业和用户的合法权益，系统应具备良好的安全策略，安全手段，安全环境及安全管理措施。</w:t>
      </w:r>
    </w:p>
    <w:p w14:paraId="5F3E72B6">
      <w:pPr>
        <w:pStyle w:val="4"/>
        <w:widowControl w:val="0"/>
        <w:numPr>
          <w:ilvl w:val="1"/>
          <w:numId w:val="0"/>
        </w:numPr>
        <w:kinsoku/>
        <w:autoSpaceDE/>
        <w:autoSpaceDN/>
        <w:adjustRightInd/>
        <w:snapToGrid/>
        <w:spacing w:line="360" w:lineRule="auto"/>
        <w:ind w:firstLine="562" w:firstLineChars="200"/>
        <w:jc w:val="both"/>
        <w:textAlignment w:val="auto"/>
        <w:rPr>
          <w:rFonts w:hint="eastAsia" w:ascii="仿宋" w:hAnsi="仿宋" w:eastAsia="仿宋" w:cs="仿宋"/>
          <w:b/>
          <w:snapToGrid/>
          <w:kern w:val="2"/>
          <w:sz w:val="28"/>
          <w:szCs w:val="28"/>
          <w:lang w:val="en-US" w:eastAsia="zh-CN" w:bidi="ar-SA"/>
        </w:rPr>
      </w:pPr>
      <w:r>
        <w:rPr>
          <w:rFonts w:hint="eastAsia" w:ascii="仿宋" w:hAnsi="仿宋" w:eastAsia="仿宋" w:cs="仿宋"/>
          <w:b/>
          <w:snapToGrid/>
          <w:kern w:val="2"/>
          <w:sz w:val="28"/>
          <w:szCs w:val="28"/>
          <w:lang w:val="en-US" w:eastAsia="zh-CN" w:bidi="ar-SA"/>
        </w:rPr>
        <w:t>4.4.3微服务化</w:t>
      </w:r>
    </w:p>
    <w:p w14:paraId="4EBB84C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在云化的基础上，根据业务和技术的要求，架构上需满足具备应用层和能力层完全分离的能力，业务横向扩展要求实现“分钟级”。</w:t>
      </w:r>
    </w:p>
    <w:p w14:paraId="6303794A">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4.5系统性能指标要求</w:t>
      </w:r>
    </w:p>
    <w:p w14:paraId="42DB1D8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系统需满足的性能要求如下：</w:t>
      </w:r>
    </w:p>
    <w:p w14:paraId="7E6844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(1)稳定性要求</w:t>
      </w:r>
    </w:p>
    <w:p w14:paraId="55F4003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关键业务部署应采用负荷分担、分布式多处理机结构，系统应冗余配置，冗余度至少为1+1，保证系统无单一故障点，发生故障后能够系统切换分钟级且无需人工干预。</w:t>
      </w:r>
    </w:p>
    <w:p w14:paraId="6D05773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系统各服务器应保证数据实时的一致性、可用性，主备</w:t>
      </w:r>
      <w:r>
        <w:rPr>
          <w:rFonts w:hint="eastAsia" w:ascii="仿宋" w:hAnsi="仿宋" w:eastAsia="仿宋" w:cs="仿宋"/>
          <w:spacing w:val="-2"/>
          <w:sz w:val="28"/>
          <w:szCs w:val="28"/>
          <w:lang w:val="en-US" w:eastAsia="zh-CN"/>
        </w:rPr>
        <w:t>切换</w:t>
      </w:r>
      <w:r>
        <w:rPr>
          <w:rFonts w:hint="eastAsia" w:ascii="仿宋" w:hAnsi="仿宋" w:eastAsia="仿宋" w:cs="仿宋"/>
          <w:spacing w:val="-2"/>
          <w:sz w:val="28"/>
          <w:szCs w:val="28"/>
        </w:rPr>
        <w:t>时间&lt;3分钟。系统重大故障恢复时间&lt;30分钟。</w:t>
      </w:r>
    </w:p>
    <w:p w14:paraId="0E0CDB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出现故障及时告警，具有完整的操作权限管理功能和完善的系统安全机制，保证业务7x24小时不中断。</w:t>
      </w:r>
    </w:p>
    <w:p w14:paraId="0F49BA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系统利用率原则上应保证时均峰值低于70%。</w:t>
      </w:r>
    </w:p>
    <w:p w14:paraId="255646E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系统应有良好的备份策略和恢复计划。系统数据和业务数据可联机备份、联机恢复，恢复的数据必须保持其完整性和一致性。</w:t>
      </w:r>
    </w:p>
    <w:p w14:paraId="0D3B30C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(2)平台性能要求</w:t>
      </w:r>
    </w:p>
    <w:p w14:paraId="2F5F62DB">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1265" w:leftChars="0" w:right="0" w:rightChars="0" w:hanging="425" w:firstLineChars="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系统并发</w:t>
      </w:r>
    </w:p>
    <w:p w14:paraId="5AEA8AF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系统至少支持200个注册用户，至少支持100个用户同时并发访问；</w:t>
      </w:r>
    </w:p>
    <w:p w14:paraId="33D4F43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页面查询响应时间小于3秒；</w:t>
      </w:r>
    </w:p>
    <w:p w14:paraId="4FB7C0D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支持多任务并发与任务调度查看，方便确认性能出现异常时查询；</w:t>
      </w:r>
    </w:p>
    <w:p w14:paraId="50300EF3">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1265" w:leftChars="0" w:right="0" w:rightChars="0" w:hanging="425" w:firstLineChars="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系统接口</w:t>
      </w:r>
    </w:p>
    <w:p w14:paraId="4186399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接口消息处理延时：≤10秒；</w:t>
      </w:r>
    </w:p>
    <w:p w14:paraId="78A2D95F">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1265" w:leftChars="0" w:right="0" w:rightChars="0" w:hanging="425" w:firstLineChars="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应用</w:t>
      </w:r>
    </w:p>
    <w:p w14:paraId="15B0D4C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系统相关建设使用的应用与数据库资源使用如下要求：</w:t>
      </w:r>
    </w:p>
    <w:p w14:paraId="6D5DAAD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满足CPU占用率≤60%，内存占用≤80%；</w:t>
      </w:r>
    </w:p>
    <w:p w14:paraId="1591B89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数据库存储使用率：＜90%。</w:t>
      </w:r>
    </w:p>
    <w:p w14:paraId="099A7C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(3)平台可用性要求</w:t>
      </w:r>
    </w:p>
    <w:p w14:paraId="76A733C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可用性要求：年度系统无故障率≧99%，年停机时间不超过10小时。</w:t>
      </w:r>
    </w:p>
    <w:p w14:paraId="1E474024">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五、系统建设内容</w:t>
      </w:r>
    </w:p>
    <w:p w14:paraId="7AFE3A86">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5.1建设内容概述</w:t>
      </w:r>
    </w:p>
    <w:p w14:paraId="74E0C8E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本项目全面依托区电子政务云建设，本项目需要的计算和存储资源不纳入本次采购范围。本项目的建设内容主要包括</w:t>
      </w:r>
      <w:r>
        <w:rPr>
          <w:rFonts w:hint="eastAsia" w:ascii="仿宋" w:hAnsi="仿宋" w:eastAsia="仿宋" w:cs="仿宋"/>
          <w:spacing w:val="-2"/>
          <w:sz w:val="28"/>
          <w:szCs w:val="28"/>
          <w:lang w:val="en-US" w:eastAsia="zh-CN"/>
        </w:rPr>
        <w:t>静安区云管平台、数字化项目管理系统、密码功能3个部分组成。</w:t>
      </w:r>
    </w:p>
    <w:p w14:paraId="28E2E16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具体建设内容包含：</w:t>
      </w:r>
    </w:p>
    <w:p w14:paraId="0E98B41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w:t>
      </w:r>
      <w:r>
        <w:rPr>
          <w:rFonts w:hint="eastAsia" w:ascii="仿宋" w:hAnsi="仿宋" w:eastAsia="仿宋" w:cs="仿宋"/>
          <w:spacing w:val="-2"/>
          <w:sz w:val="28"/>
          <w:szCs w:val="28"/>
          <w:lang w:val="en-US" w:eastAsia="zh-CN"/>
        </w:rPr>
        <w:t>静安区云管平台</w:t>
      </w:r>
    </w:p>
    <w:p w14:paraId="2E87E70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在前期项目的基础上，以进一步提升静安区云管平台综合服务能力为核心目标，构建全流程、智能化的管理体系，主要升级改造功能包括工单及资源管理能力提升，新增功能包括：移动端工单审批功能、附件水印保护功能、安全服务管理功能、PaaS密码服务管理功能、PaaS区块链服务管理功能、GPU资源管理功能、其他服务管理功能、政务外网服务功能、账号管理流程、工单智慧提单功能以及各类外部平台、系统的接入接口开发。</w:t>
      </w:r>
    </w:p>
    <w:p w14:paraId="7C7757C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w:t>
      </w:r>
      <w:r>
        <w:rPr>
          <w:rFonts w:hint="eastAsia" w:ascii="仿宋" w:hAnsi="仿宋" w:eastAsia="仿宋" w:cs="仿宋"/>
          <w:spacing w:val="-2"/>
          <w:sz w:val="28"/>
          <w:szCs w:val="28"/>
          <w:lang w:val="en-US" w:eastAsia="zh-CN"/>
        </w:rPr>
        <w:t>数字化项目管理系统</w:t>
      </w:r>
    </w:p>
    <w:p w14:paraId="3AED9F7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数字化项目管理系统围绕信息化项目全生命周期管理，构建了一套覆盖申报、审核、批复、执行跟踪及验收的完整系统，主要建设内容包括申报模块、审核模块及后台配置模块。整体系统通过流程规范化、数据联动和规则校验，实现了项目从申报到资产转化的全流程数字化管理，提升审批效率的同时强化了执行跟踪与合规控制。</w:t>
      </w:r>
    </w:p>
    <w:p w14:paraId="454C9974">
      <w:pPr>
        <w:pStyle w:val="9"/>
        <w:numPr>
          <w:ilvl w:val="0"/>
          <w:numId w:val="3"/>
        </w:numPr>
      </w:pPr>
      <w:r>
        <w:rPr>
          <w:rFonts w:hint="eastAsia" w:ascii="仿宋" w:hAnsi="仿宋" w:eastAsia="仿宋" w:cs="仿宋"/>
          <w:b/>
          <w:bCs/>
          <w:i w:val="0"/>
          <w:iCs w:val="0"/>
          <w:snapToGrid w:val="0"/>
          <w:color w:val="000000"/>
          <w:kern w:val="0"/>
          <w:sz w:val="28"/>
          <w:szCs w:val="28"/>
          <w:u w:val="none"/>
          <w:lang w:val="en-US" w:eastAsia="zh-CN" w:bidi="ar"/>
        </w:rPr>
        <w:t>密码功能</w:t>
      </w:r>
    </w:p>
    <w:p w14:paraId="506B0DE8">
      <w:pPr>
        <w:spacing w:line="360"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i w:val="0"/>
          <w:iCs w:val="0"/>
          <w:snapToGrid w:val="0"/>
          <w:color w:val="000000"/>
          <w:spacing w:val="-2"/>
          <w:kern w:val="0"/>
          <w:sz w:val="28"/>
          <w:szCs w:val="28"/>
          <w:u w:val="none"/>
          <w:lang w:val="en-US" w:eastAsia="zh-CN" w:bidi="ar"/>
        </w:rPr>
        <w:t>通过密码应用开发，对平台涉及的身份鉴别信息、个人敏感信息、重要业务数据进行加解密计算，实现存储机密性保护、完整性保护。</w:t>
      </w:r>
    </w:p>
    <w:p w14:paraId="324AD396">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5.2软件开发清单</w:t>
      </w:r>
    </w:p>
    <w:tbl>
      <w:tblPr>
        <w:tblStyle w:val="12"/>
        <w:tblW w:w="4967" w:type="pct"/>
        <w:tblInd w:w="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8"/>
        <w:gridCol w:w="1896"/>
        <w:gridCol w:w="1336"/>
        <w:gridCol w:w="1056"/>
        <w:gridCol w:w="3674"/>
      </w:tblGrid>
      <w:tr w14:paraId="253AA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B6DDE8"/>
            <w:vAlign w:val="center"/>
          </w:tcPr>
          <w:p w14:paraId="660ED5C2">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序号</w:t>
            </w:r>
          </w:p>
        </w:tc>
        <w:tc>
          <w:tcPr>
            <w:tcW w:w="907" w:type="pct"/>
            <w:tcBorders>
              <w:top w:val="single" w:color="000000" w:sz="4" w:space="0"/>
              <w:left w:val="single" w:color="000000" w:sz="4" w:space="0"/>
              <w:bottom w:val="single" w:color="000000" w:sz="4" w:space="0"/>
              <w:right w:val="single" w:color="000000" w:sz="4" w:space="0"/>
            </w:tcBorders>
            <w:shd w:val="clear" w:color="auto" w:fill="B6DDE8"/>
            <w:vAlign w:val="center"/>
          </w:tcPr>
          <w:p w14:paraId="450F940B">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应用系统名称</w:t>
            </w:r>
          </w:p>
        </w:tc>
        <w:tc>
          <w:tcPr>
            <w:tcW w:w="1165" w:type="pct"/>
            <w:gridSpan w:val="2"/>
            <w:tcBorders>
              <w:top w:val="single" w:color="000000" w:sz="4" w:space="0"/>
              <w:left w:val="single" w:color="000000" w:sz="4" w:space="0"/>
              <w:bottom w:val="single" w:color="000000" w:sz="4" w:space="0"/>
              <w:right w:val="single" w:color="000000" w:sz="4" w:space="0"/>
            </w:tcBorders>
            <w:shd w:val="clear" w:color="auto" w:fill="B6DDE8"/>
            <w:vAlign w:val="center"/>
          </w:tcPr>
          <w:p w14:paraId="16D2165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模块名称</w:t>
            </w:r>
          </w:p>
        </w:tc>
        <w:tc>
          <w:tcPr>
            <w:tcW w:w="2475" w:type="pct"/>
            <w:tcBorders>
              <w:top w:val="single" w:color="000000" w:sz="4" w:space="0"/>
              <w:left w:val="single" w:color="000000" w:sz="4" w:space="0"/>
              <w:bottom w:val="single" w:color="000000" w:sz="4" w:space="0"/>
              <w:right w:val="single" w:color="000000" w:sz="4" w:space="0"/>
            </w:tcBorders>
            <w:shd w:val="clear" w:color="auto" w:fill="B6DDE8"/>
            <w:vAlign w:val="center"/>
          </w:tcPr>
          <w:p w14:paraId="4B27068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功能模块描述</w:t>
            </w:r>
          </w:p>
        </w:tc>
      </w:tr>
      <w:tr w14:paraId="619A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376D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一</w:t>
            </w:r>
          </w:p>
        </w:tc>
        <w:tc>
          <w:tcPr>
            <w:tcW w:w="454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761A5E">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云管平台二期</w:t>
            </w:r>
          </w:p>
        </w:tc>
      </w:tr>
      <w:tr w14:paraId="5EB2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D648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w:t>
            </w:r>
          </w:p>
        </w:tc>
        <w:tc>
          <w:tcPr>
            <w:tcW w:w="9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E78F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云管平台二期</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8C78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移动端工作台</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946F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移动端工单审批功能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84952">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实现移动端工单管理，管理单位和使用单位可通过移动端待处理工单的详情查询、审批通过和审批驳回功能。实现使用单位按角色权限查看已处理工单信息</w:t>
            </w:r>
          </w:p>
        </w:tc>
      </w:tr>
      <w:tr w14:paraId="4EF1C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773D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33D75">
            <w:pPr>
              <w:jc w:val="center"/>
              <w:rPr>
                <w:rFonts w:hint="eastAsia" w:ascii="仿宋" w:hAnsi="仿宋" w:eastAsia="仿宋" w:cs="仿宋"/>
                <w:i w:val="0"/>
                <w:iCs w:val="0"/>
                <w:color w:val="000000"/>
                <w:sz w:val="28"/>
                <w:szCs w:val="28"/>
                <w:u w:val="none"/>
              </w:rPr>
            </w:pP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C478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资源运营管理</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392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工单及资源管理能力提升</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C48C">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涉敏信息加密保存，涉敏信息解密展示，告警功能能力提升，项目管理，云资源审批环节，网络策略流程及申请单调整，VPN申请界面优化，VM资源管理，信创云平台资源运管管理，城运中心分支工单流程调整等需求</w:t>
            </w:r>
          </w:p>
        </w:tc>
      </w:tr>
      <w:tr w14:paraId="6A52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D3324">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5A291">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37FAC">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1AC5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附件水印保护功能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1A0C4">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云主机申请、VPN申请等6个流程的申请、驳回后再申请等环节的附件保护功能，并支持后续业务流程拓展附加水印，在点击电子印章之前自动为附件添加系统水印。默认为“登陆用户中文名+当前时间+仅云管平台申请资源使用”，水印文字支持后台可配编辑。</w:t>
            </w:r>
          </w:p>
        </w:tc>
      </w:tr>
      <w:tr w14:paraId="62ADA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7A3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4</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F97EA">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F33E9">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5151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安全服务管理功能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02A23">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堡垒机和VPN等两类安全服务的的申请工单、变更工单、释放工单的流程，支持多级审核，业务实施回填等功能。支持已申请的多个安全服务的实例展示、查询和导出功能。支持已申请的多个安全服务的计量口径统计和计费管理。</w:t>
            </w:r>
          </w:p>
        </w:tc>
      </w:tr>
      <w:tr w14:paraId="5DC1D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837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5</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DECA2">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1E35C">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E097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PaaS密码服务管理功能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BF2BB">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安全认证网关服务、可信密码服务和签名验签服务、时间戳服务等四类PaaS密码服务的申请工单、变更工单、释放工单的流程，支持多级审核，业务实施回填等功能。支持已申请的多个PaaS密码服务的实例展示、查询和导出功能。支持已申请的多个PaaS服务的计量口径统计和计费管理。</w:t>
            </w:r>
          </w:p>
        </w:tc>
      </w:tr>
      <w:tr w14:paraId="77B2F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4AAE2">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6</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EBB18">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88F87">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5BA66">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PaaS区块链服务管理功能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62522">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PaaS区块链服务的申请工单、变更工单、释放工单的流程，支持多级审核，业务实施回填等功能。支持已申请的多个PaaS区块链服务的实例展示、查询和导出功能。支持已申请的多个PaaS区块链服务的计量口径统计和计费管理。</w:t>
            </w:r>
          </w:p>
        </w:tc>
      </w:tr>
      <w:tr w14:paraId="0AFEC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CE63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7</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91802">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70525">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9395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GPU资源管理功能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1DA9A">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新增GPU资源的申请工单、变更工单、释放工单的流程，支持多级审核，业务实施回填等功能。支持已申请的GPU资源的实例展示、查询和导出功能。</w:t>
            </w:r>
          </w:p>
        </w:tc>
      </w:tr>
      <w:tr w14:paraId="55FAE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0AAB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8</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90460">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BD3C4">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65FF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其他服务管理功能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3C16F">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网闸、网页防篡改等其他服务的申请工单、变更工单、释放工单的流程，支持多级审核，业务实施回填等功能。实现已申请的其他服务实例的展示、查询和导出功能。新增网闸、网页防篡改等其他服的计量计费能力</w:t>
            </w:r>
          </w:p>
        </w:tc>
      </w:tr>
      <w:tr w14:paraId="67011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0C43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9</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B664F">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3DE9A">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895C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政务外网服务功能</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22146">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政务外网VPN、政务外网策略、一机双用/特殊业务、光纤接入等四类政务外网服务的申请工单、变更工单、释放工单的流程，支持多级审核，业务实施回填等功能。支持已申请的策略、服务的展示、查询和导出功能。新增政务外网VPN、政务外网策略、一机双用/特殊业务、光纤接入等政务外网服务的计量计费能力</w:t>
            </w:r>
          </w:p>
        </w:tc>
      </w:tr>
      <w:tr w14:paraId="6445E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2B2D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10</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D1D24">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3E3CD">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8135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账号管理流程</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83E22">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新增云管平台操作员、管理员账号的新增申请工单流程、变更申请工单流程、撤销申请工单流程。</w:t>
            </w:r>
          </w:p>
        </w:tc>
      </w:tr>
      <w:tr w14:paraId="18A4B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AC0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11</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593A9">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8240D">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3497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工单稽核</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E75E6">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云服务器资源申请工单稽核、重置密码申请工单稽核、云数据交互及端口网络策略开通申请工单稽核、远程维护账号VPN使用申请工单稽核、安全服务申请工单稽核、PaaS密码服务申请工单稽核、政务外网VPN服务申请工单稽核、政务外网光纤接入服务申请工单稽核、政务外网数据交互及端口网络策略开通申请工单稽核和政务外网一机双用/特殊业务申请工单稽核功能。实现模板下载、导入，并实现资源配额稽核、模糊查询功能。</w:t>
            </w:r>
          </w:p>
        </w:tc>
      </w:tr>
      <w:tr w14:paraId="7B054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3972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12</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902E5">
            <w:pPr>
              <w:jc w:val="center"/>
              <w:rPr>
                <w:rFonts w:hint="eastAsia" w:ascii="仿宋" w:hAnsi="仿宋" w:eastAsia="仿宋" w:cs="仿宋"/>
                <w:i w:val="0"/>
                <w:iCs w:val="0"/>
                <w:color w:val="000000"/>
                <w:sz w:val="28"/>
                <w:szCs w:val="28"/>
                <w:u w:val="none"/>
              </w:rPr>
            </w:pP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68896">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接入管理</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DBEE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VMware老平台接入</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8FA1">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新增VMware老平台接入，实现资源接入管理</w:t>
            </w:r>
          </w:p>
        </w:tc>
      </w:tr>
      <w:tr w14:paraId="7BC86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91F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13</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EAFE0">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838C6">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693A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区新信创云平台接入</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3919">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新增区新信创云平台接入，实现资源数据、性能数据、告警数据采集接入</w:t>
            </w:r>
          </w:p>
        </w:tc>
      </w:tr>
      <w:tr w14:paraId="112C5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2203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14</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E6FAE">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D6CAD">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2AD5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办公一体化APP接入</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436B">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办公一体化APP接入，实现从一体化办公平台可直接访问云管平台移动端。新增一体化办公平台待办工单对接，实现系统自动推送至一体化平台对应环节待办消息，实现一体化平台可通过所推送的待办消息中的链接，免密登录至系统工单详情和审批工单。</w:t>
            </w:r>
          </w:p>
        </w:tc>
      </w:tr>
      <w:tr w14:paraId="14631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C339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15</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4A4F1">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E3E35">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349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一体化办公平台待办接口</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9176">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新增办公一体化PC接入，实现系统自动推送至一体化平台对应环节待办消息，一体化平台可通过所推送的待办消息中的链接，免密登录至系统工单详情和审批工单。</w:t>
            </w:r>
          </w:p>
        </w:tc>
      </w:tr>
      <w:tr w14:paraId="388C2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FD26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16</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B5011">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A7B83">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7FA5E">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随申办消息推送接口</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D41E8">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新增可编辑的通知公告，支持根据用户角色、部门等多维度推送消息，新增随申办消息推送接口，实现对接随申办政务云的消息提醒。</w:t>
            </w:r>
          </w:p>
        </w:tc>
      </w:tr>
      <w:tr w14:paraId="780C2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3A1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17</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A01C2">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31A48">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644F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数据资源管理平台接入</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49BC1">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新增数据资源管理平台信息接入，接收单位及项目编目等信息。</w:t>
            </w:r>
          </w:p>
        </w:tc>
      </w:tr>
      <w:tr w14:paraId="19EB9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20FE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二</w:t>
            </w:r>
          </w:p>
        </w:tc>
        <w:tc>
          <w:tcPr>
            <w:tcW w:w="454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DB0F6F">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数字化项目管理系统</w:t>
            </w:r>
          </w:p>
        </w:tc>
      </w:tr>
      <w:tr w14:paraId="2C523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F00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18</w:t>
            </w:r>
          </w:p>
        </w:tc>
        <w:tc>
          <w:tcPr>
            <w:tcW w:w="9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4744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数字化项目管理系统</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7C2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申报模块</w:t>
            </w: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DE875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可研初审</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FCE702">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用于对预算单位提交的可研申报进行初审，可查看可研申报内容，进行初审通过、退回或不通过操作，初审通过的项目进入申报函编制环节。</w:t>
            </w:r>
          </w:p>
        </w:tc>
      </w:tr>
      <w:tr w14:paraId="69900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890F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19</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265C3">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E24A">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AB8B0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申报函编制</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2A0EBB">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用于对初审通过的项目进行申报函编制，可选择多个项目创建申报函，设置项目顺序，生成带签章的申报函文件，并提交至数据局审核。</w:t>
            </w:r>
          </w:p>
        </w:tc>
      </w:tr>
      <w:tr w14:paraId="300E7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3489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20</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8603E">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33A03">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3BBA21">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验收审核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042E96">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用于对预算单位提交的验收申报进行审核，可查看验收申报内容，进行审核通过或退回操作，对于不超过100万的项目需给出验收结论并上传验收意见。</w:t>
            </w:r>
          </w:p>
        </w:tc>
      </w:tr>
      <w:tr w14:paraId="67D7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58EC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21</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E3ADF">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35F7">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33AE10">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系统入库初审</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159C42">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用于对预算单位提交的系统入库申请进行初审，可查看入库申请内容，进行初审通过、退回或不通过操作，初审通过的项目进入数据局审核环节。</w:t>
            </w:r>
          </w:p>
        </w:tc>
      </w:tr>
      <w:tr w14:paraId="22FAD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60C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22</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974B8">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71069">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89682">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项目查询</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226F23">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用于查看和检索系统内所有项目的基本信息和审批状态，支持多条件组合查询，可导出查询结果。</w:t>
            </w:r>
          </w:p>
        </w:tc>
      </w:tr>
      <w:tr w14:paraId="06277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64674">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23</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898D3">
            <w:pPr>
              <w:jc w:val="center"/>
              <w:rPr>
                <w:rFonts w:hint="eastAsia" w:ascii="仿宋" w:hAnsi="仿宋" w:eastAsia="仿宋" w:cs="仿宋"/>
                <w:i w:val="0"/>
                <w:iCs w:val="0"/>
                <w:color w:val="000000"/>
                <w:sz w:val="28"/>
                <w:szCs w:val="28"/>
                <w:u w:val="none"/>
              </w:rPr>
            </w:pP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64C4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审核模块</w:t>
            </w: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D01B1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项目受理</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9069A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用于受理主管部门提交的项目申报函，可查看申报函内容和项目清单，进行受理、部分受理或退回操作，受理后的项目进入项目审核环节。</w:t>
            </w:r>
          </w:p>
        </w:tc>
      </w:tr>
      <w:tr w14:paraId="4516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C27E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24</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14E6C">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90D1">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F4A05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项目审核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0111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用于对已受理项目进行审核，可查看项目申报内容，进行审核评估，给出核定金额和审核结论，审核通过的项目进入项目批复环节。</w:t>
            </w:r>
          </w:p>
        </w:tc>
      </w:tr>
      <w:tr w14:paraId="16968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511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25</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05068">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FF40">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4855A6">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项目批复</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E57822">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用于对已审核通过的项目进行批复，可选择已审核项目创建批复函，设置批复金额和批复意见，生成带签章的批复函文件。</w:t>
            </w:r>
          </w:p>
        </w:tc>
      </w:tr>
      <w:tr w14:paraId="3CC5F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26EF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26</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FE78E">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1345D">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654E0E">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可研审核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4F8A36">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用于对主管部门审核通过的可研申报项目进行审核，可查看可研申报内容，进行审核评估，给出审核结论，审核通过的项目进入项目跟踪环节。</w:t>
            </w:r>
          </w:p>
        </w:tc>
      </w:tr>
      <w:tr w14:paraId="711AD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1E7B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27</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68549">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8313">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B00D1">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批复函列表</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F8160C">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用于管理和查看项目批复函，可查看所有已生成的批复函，包括填报中、已回函等不同状态，可追踪批复函处理状态。</w:t>
            </w:r>
          </w:p>
        </w:tc>
      </w:tr>
      <w:tr w14:paraId="54F86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1D53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28</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43875">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7628">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B6B16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审核模块-过程管理</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174790">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用于对项目建设过程进行跟踪管理，可发起跟踪批次，查看项目进展情况，包括项目当前阶段、具体进展说明、合同签订情况等内容。</w:t>
            </w:r>
          </w:p>
        </w:tc>
      </w:tr>
      <w:tr w14:paraId="72B71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49D1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29</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642EA">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5C67">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4436DF">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验收审核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81E8F0">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用于对预算主管部门提交的100万以上的项目验收申请进行审核，可查看验收申报内容，进行验收审核并给出验收结论，验收通过的项目自动形成系统资产。</w:t>
            </w:r>
          </w:p>
        </w:tc>
      </w:tr>
      <w:tr w14:paraId="4E7C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36E2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30</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0C60E">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CBEE4">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F2AA8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验收复核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8BED6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用于对预算主管部门提交的100万以下的建设项目进行验收复核，根据提交的验收材料给出验收复核结论。</w:t>
            </w:r>
          </w:p>
        </w:tc>
      </w:tr>
      <w:tr w14:paraId="2BC0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FD3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31</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194AD">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DC4F">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B239B7">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系统清单</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C9F14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用于查看全区所有单位的系统清单，包含系统基本信息、资产明细等内容。</w:t>
            </w:r>
          </w:p>
        </w:tc>
      </w:tr>
      <w:tr w14:paraId="18B79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4FA4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32</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FE31A">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2082">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39B60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入库审核</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3D6C82">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用于对主管部门初审通过的系统入库申请进行审核，可查看入库申请内容，进行审核评估，给出审核结论，审核通过的项目自动形成系统资产。</w:t>
            </w:r>
          </w:p>
        </w:tc>
      </w:tr>
      <w:tr w14:paraId="5458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15D4">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33</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712B7">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344A4">
            <w:pPr>
              <w:jc w:val="cente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D997C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项目查询</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740FD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用于查询全区所有单位的项目，支持多条件组合查询，可导出查询结果。</w:t>
            </w:r>
          </w:p>
        </w:tc>
      </w:tr>
      <w:tr w14:paraId="6F338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7AC7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34</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10768">
            <w:pPr>
              <w:jc w:val="center"/>
              <w:rPr>
                <w:rFonts w:hint="eastAsia" w:ascii="仿宋" w:hAnsi="仿宋" w:eastAsia="仿宋" w:cs="仿宋"/>
                <w:i w:val="0"/>
                <w:iCs w:val="0"/>
                <w:color w:val="000000"/>
                <w:sz w:val="28"/>
                <w:szCs w:val="28"/>
                <w:u w:val="none"/>
              </w:rPr>
            </w:pP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147E6">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后台配置模块</w:t>
            </w: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50799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申报启止时间管理</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4D9993">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用于控制项目申报的时间窗口，可设置建设项目和运维项目的申报开始时间和结束时间，支持申报时间的修改功能。</w:t>
            </w:r>
          </w:p>
        </w:tc>
      </w:tr>
      <w:tr w14:paraId="747B2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2A373">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35</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A38B2">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48460">
            <w:pP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119F4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申报白名单管理</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A9484B">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为特殊情况下的项目申报提供便利通道，可选择预算单位设置白名单有效期，记录白名单设置和变更历史，支持白名单到期提醒。</w:t>
            </w:r>
          </w:p>
        </w:tc>
      </w:tr>
      <w:tr w14:paraId="6E922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0EF9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36</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53963">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6702F">
            <w:pP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527708">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对接CA身份认证功能</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1629E">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实现用户身份的统一认证管理，支持统一社会信用代码绑定，调用CA提供的统一身份认证接口，记录认证操作日志。</w:t>
            </w:r>
          </w:p>
        </w:tc>
      </w:tr>
      <w:tr w14:paraId="3DE6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C6EB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37</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B98E2">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C0418">
            <w:pP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F4094F">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对接签章系统</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BA14B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为文件签章提供便捷服务，在申报函和批复函编制环节集成签章功能，支持调用签章系统完成盖章操作，记录签章信息。</w:t>
            </w:r>
          </w:p>
        </w:tc>
      </w:tr>
      <w:tr w14:paraId="496A7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8C1F6">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38</w:t>
            </w: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3C386">
            <w:pPr>
              <w:jc w:val="center"/>
              <w:rPr>
                <w:rFonts w:hint="eastAsia" w:ascii="仿宋" w:hAnsi="仿宋" w:eastAsia="仿宋" w:cs="仿宋"/>
                <w:i w:val="0"/>
                <w:iCs w:val="0"/>
                <w:color w:val="000000"/>
                <w:sz w:val="28"/>
                <w:szCs w:val="2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93B6C">
            <w:pPr>
              <w:rPr>
                <w:rFonts w:hint="eastAsia" w:ascii="仿宋" w:hAnsi="仿宋" w:eastAsia="仿宋" w:cs="仿宋"/>
                <w:i w:val="0"/>
                <w:iCs w:val="0"/>
                <w:color w:val="000000"/>
                <w:sz w:val="28"/>
                <w:szCs w:val="2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35624">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对接云管平台</w:t>
            </w:r>
          </w:p>
        </w:tc>
        <w:tc>
          <w:tcPr>
            <w:tcW w:w="24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3C2D79">
            <w:pPr>
              <w:keepNext w:val="0"/>
              <w:keepLines w:val="0"/>
              <w:widowControl/>
              <w:suppressLineNumbers w:val="0"/>
              <w:jc w:val="left"/>
              <w:textAlignment w:val="center"/>
              <w:rPr>
                <w:rFonts w:hint="eastAsia" w:ascii="仿宋" w:hAnsi="仿宋" w:eastAsia="仿宋" w:cs="仿宋"/>
                <w:i w:val="0"/>
                <w:iCs w:val="0"/>
                <w:color w:val="333333"/>
                <w:sz w:val="28"/>
                <w:szCs w:val="28"/>
                <w:u w:val="none"/>
              </w:rPr>
            </w:pPr>
            <w:r>
              <w:rPr>
                <w:rFonts w:hint="eastAsia" w:ascii="仿宋" w:hAnsi="仿宋" w:eastAsia="仿宋" w:cs="仿宋"/>
                <w:i w:val="0"/>
                <w:iCs w:val="0"/>
                <w:snapToGrid w:val="0"/>
                <w:color w:val="000000"/>
                <w:kern w:val="0"/>
                <w:sz w:val="28"/>
                <w:szCs w:val="28"/>
                <w:u w:val="none"/>
                <w:lang w:val="en-US" w:eastAsia="zh-CN" w:bidi="ar"/>
              </w:rPr>
              <w:t>实现项目资源的自动分配，在项目批复环节增加资源推送功能，支持将项目信息和政务云资源需求推送至云管平台，记录推送历史和资源分配结果。</w:t>
            </w:r>
          </w:p>
        </w:tc>
      </w:tr>
      <w:tr w14:paraId="46C54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D66D4">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三</w:t>
            </w:r>
          </w:p>
        </w:tc>
        <w:tc>
          <w:tcPr>
            <w:tcW w:w="454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E87065">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kern w:val="0"/>
                <w:sz w:val="28"/>
                <w:szCs w:val="28"/>
                <w:u w:val="none"/>
                <w:lang w:val="en-US" w:eastAsia="zh-CN" w:bidi="ar"/>
              </w:rPr>
              <w:t>密码功能模块</w:t>
            </w:r>
          </w:p>
        </w:tc>
      </w:tr>
      <w:tr w14:paraId="4A4D9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8A92D">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39</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61CD8">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密码功能模块</w:t>
            </w:r>
          </w:p>
        </w:tc>
        <w:tc>
          <w:tcPr>
            <w:tcW w:w="11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04789">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密码应用开发</w:t>
            </w:r>
          </w:p>
        </w:tc>
        <w:tc>
          <w:tcPr>
            <w:tcW w:w="2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C9B7">
            <w:pPr>
              <w:keepNext w:val="0"/>
              <w:keepLines w:val="0"/>
              <w:widowControl/>
              <w:suppressLineNumbers w:val="0"/>
              <w:jc w:val="left"/>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snapToGrid w:val="0"/>
                <w:color w:val="000000"/>
                <w:kern w:val="0"/>
                <w:sz w:val="28"/>
                <w:szCs w:val="28"/>
                <w:u w:val="none"/>
                <w:lang w:val="en-US" w:eastAsia="zh-CN" w:bidi="ar"/>
              </w:rPr>
              <w:t>通过密码应用开发，对平台涉及的身份鉴别信息、个人敏感信息、重要业务数据进行加解密计算，实现存储机密性保护、完整性保护。</w:t>
            </w:r>
          </w:p>
        </w:tc>
      </w:tr>
    </w:tbl>
    <w:p w14:paraId="29EABA2D">
      <w:pPr>
        <w:pStyle w:val="9"/>
        <w:keepNext w:val="0"/>
        <w:keepLines w:val="0"/>
        <w:pageBreakBefore w:val="0"/>
        <w:widowControl/>
        <w:wordWrap/>
        <w:overflowPunct/>
        <w:topLinePunct w:val="0"/>
        <w:bidi w:val="0"/>
        <w:ind w:left="0" w:leftChars="0" w:right="0" w:firstLine="0"/>
        <w:rPr>
          <w:rFonts w:hint="eastAsia"/>
        </w:rPr>
      </w:pPr>
    </w:p>
    <w:p w14:paraId="013C6A3A">
      <w:pPr>
        <w:pStyle w:val="2"/>
        <w:widowControl w:val="0"/>
        <w:numPr>
          <w:ilvl w:val="0"/>
          <w:numId w:val="0"/>
        </w:numPr>
        <w:kinsoku/>
        <w:autoSpaceDE/>
        <w:autoSpaceDN/>
        <w:adjustRightInd/>
        <w:snapToGrid/>
        <w:ind w:firstLine="643" w:firstLineChars="200"/>
        <w:jc w:val="both"/>
        <w:textAlignment w:val="auto"/>
        <w:rPr>
          <w:rFonts w:hint="eastAsia" w:ascii="仿宋" w:hAnsi="仿宋" w:eastAsia="仿宋" w:cs="仿宋"/>
          <w:snapToGrid/>
          <w:kern w:val="44"/>
          <w:lang w:val="en-US" w:eastAsia="zh-CN" w:bidi="ar-SA"/>
        </w:rPr>
      </w:pPr>
      <w:r>
        <w:rPr>
          <w:rFonts w:hint="eastAsia" w:ascii="仿宋" w:hAnsi="仿宋" w:eastAsia="仿宋" w:cs="仿宋"/>
          <w:snapToGrid/>
          <w:kern w:val="44"/>
          <w:lang w:val="en-US" w:eastAsia="zh-CN" w:bidi="ar-SA"/>
        </w:rPr>
        <w:t>六、 其它要求</w:t>
      </w:r>
    </w:p>
    <w:p w14:paraId="4FBE54D4">
      <w:pPr>
        <w:pStyle w:val="3"/>
        <w:widowControl w:val="0"/>
        <w:numPr>
          <w:ilvl w:val="1"/>
          <w:numId w:val="0"/>
        </w:numPr>
        <w:kinsoku/>
        <w:autoSpaceDE/>
        <w:autoSpaceDN/>
        <w:adjustRightInd/>
        <w:snapToGrid/>
        <w:ind w:firstLine="600" w:firstLineChars="200"/>
        <w:jc w:val="both"/>
        <w:textAlignment w:val="auto"/>
        <w:rPr>
          <w:rFonts w:hint="eastAsia" w:ascii="仿宋" w:hAnsi="仿宋" w:eastAsia="仿宋" w:cs="仿宋"/>
          <w:b w:val="0"/>
          <w:bCs w:val="0"/>
          <w:snapToGrid/>
          <w:kern w:val="2"/>
          <w:lang w:val="en-US" w:eastAsia="zh-CN" w:bidi="ar-SA"/>
        </w:rPr>
      </w:pPr>
      <w:r>
        <w:rPr>
          <w:rFonts w:hint="eastAsia" w:ascii="仿宋" w:hAnsi="仿宋" w:eastAsia="仿宋" w:cs="仿宋"/>
          <w:b w:val="0"/>
          <w:bCs w:val="0"/>
          <w:snapToGrid/>
          <w:kern w:val="2"/>
          <w:lang w:val="en-US" w:eastAsia="zh-CN" w:bidi="ar-SA"/>
        </w:rPr>
        <w:t>6.1系统总体方案设计要求</w:t>
      </w:r>
    </w:p>
    <w:p w14:paraId="085F30C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default" w:ascii="仿宋" w:hAnsi="仿宋" w:eastAsia="仿宋" w:cs="仿宋"/>
          <w:b w:val="0"/>
          <w:bCs w:val="0"/>
          <w:spacing w:val="-2"/>
          <w:sz w:val="28"/>
          <w:szCs w:val="28"/>
          <w:lang w:val="en-US" w:eastAsia="zh-CN"/>
        </w:rPr>
      </w:pPr>
      <w:r>
        <w:rPr>
          <w:rFonts w:hint="eastAsia" w:ascii="仿宋" w:hAnsi="仿宋" w:eastAsia="仿宋" w:cs="仿宋"/>
          <w:b w:val="0"/>
          <w:bCs w:val="0"/>
          <w:spacing w:val="-2"/>
          <w:sz w:val="28"/>
          <w:szCs w:val="28"/>
          <w:lang w:val="en-US" w:eastAsia="zh-CN"/>
        </w:rPr>
        <w:t>系统总体方案设计应包括但不限于第四章节的系统架构、能力开放、软硬件要求、性能指标及关键软件技术要求。</w:t>
      </w:r>
    </w:p>
    <w:p w14:paraId="11933AE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b w:val="0"/>
          <w:bCs w:val="0"/>
          <w:spacing w:val="-2"/>
          <w:sz w:val="28"/>
          <w:szCs w:val="28"/>
        </w:rPr>
      </w:pPr>
      <w:r>
        <w:rPr>
          <w:rFonts w:hint="eastAsia" w:ascii="仿宋" w:hAnsi="仿宋" w:eastAsia="仿宋" w:cs="仿宋"/>
          <w:b w:val="0"/>
          <w:bCs w:val="0"/>
          <w:spacing w:val="-2"/>
          <w:sz w:val="28"/>
          <w:szCs w:val="28"/>
        </w:rPr>
        <w:t>投标方应根据投标软件情况，具体说明系统架构方案。</w:t>
      </w:r>
    </w:p>
    <w:p w14:paraId="26964F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b w:val="0"/>
          <w:bCs w:val="0"/>
          <w:spacing w:val="-2"/>
          <w:sz w:val="28"/>
          <w:szCs w:val="28"/>
          <w:lang w:eastAsia="zh-CN"/>
        </w:rPr>
      </w:pPr>
      <w:r>
        <w:rPr>
          <w:rFonts w:hint="eastAsia" w:ascii="仿宋" w:hAnsi="仿宋" w:eastAsia="仿宋" w:cs="仿宋"/>
          <w:b w:val="0"/>
          <w:bCs w:val="0"/>
          <w:spacing w:val="-2"/>
          <w:sz w:val="28"/>
          <w:szCs w:val="28"/>
        </w:rPr>
        <w:t>投标方应根据以上要求提出系统可扩展性、高可靠性的具体方案</w:t>
      </w:r>
      <w:r>
        <w:rPr>
          <w:rFonts w:hint="eastAsia" w:ascii="仿宋" w:hAnsi="仿宋" w:eastAsia="仿宋" w:cs="仿宋"/>
          <w:b w:val="0"/>
          <w:bCs w:val="0"/>
          <w:spacing w:val="-2"/>
          <w:sz w:val="28"/>
          <w:szCs w:val="28"/>
          <w:lang w:eastAsia="zh-CN"/>
        </w:rPr>
        <w:t>。</w:t>
      </w:r>
    </w:p>
    <w:p w14:paraId="113DE79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b w:val="0"/>
          <w:bCs w:val="0"/>
          <w:spacing w:val="-2"/>
          <w:sz w:val="28"/>
          <w:szCs w:val="28"/>
        </w:rPr>
      </w:pPr>
      <w:r>
        <w:rPr>
          <w:rFonts w:hint="eastAsia" w:ascii="仿宋" w:hAnsi="仿宋" w:eastAsia="仿宋" w:cs="仿宋"/>
          <w:b w:val="0"/>
          <w:bCs w:val="0"/>
          <w:spacing w:val="-2"/>
          <w:sz w:val="28"/>
          <w:szCs w:val="28"/>
        </w:rPr>
        <w:t>投标方需明确系统微服务化原则和微服务拆分具体方案。</w:t>
      </w:r>
    </w:p>
    <w:p w14:paraId="02C4F50B">
      <w:pPr>
        <w:pStyle w:val="3"/>
        <w:widowControl w:val="0"/>
        <w:numPr>
          <w:ilvl w:val="1"/>
          <w:numId w:val="0"/>
        </w:numPr>
        <w:kinsoku/>
        <w:autoSpaceDE/>
        <w:autoSpaceDN/>
        <w:adjustRightInd/>
        <w:snapToGrid/>
        <w:spacing w:line="360" w:lineRule="auto"/>
        <w:ind w:firstLine="600" w:firstLineChars="200"/>
        <w:jc w:val="both"/>
        <w:textAlignment w:val="auto"/>
        <w:rPr>
          <w:rFonts w:hint="eastAsia" w:ascii="仿宋" w:hAnsi="仿宋" w:eastAsia="仿宋" w:cs="仿宋"/>
          <w:b w:val="0"/>
          <w:bCs w:val="0"/>
          <w:snapToGrid/>
          <w:kern w:val="2"/>
          <w:lang w:val="en-US" w:eastAsia="zh-CN" w:bidi="ar-SA"/>
        </w:rPr>
      </w:pPr>
      <w:r>
        <w:rPr>
          <w:rFonts w:hint="eastAsia" w:ascii="仿宋" w:hAnsi="仿宋" w:eastAsia="仿宋" w:cs="仿宋"/>
          <w:b w:val="0"/>
          <w:bCs w:val="0"/>
          <w:snapToGrid/>
          <w:kern w:val="2"/>
          <w:lang w:val="en-US" w:eastAsia="zh-CN" w:bidi="ar-SA"/>
        </w:rPr>
        <w:t>6.2功能模块设计要求</w:t>
      </w:r>
    </w:p>
    <w:p w14:paraId="583701A0">
      <w:pPr>
        <w:spacing w:line="360" w:lineRule="auto"/>
        <w:ind w:firstLine="552" w:firstLineChars="200"/>
        <w:rPr>
          <w:rFonts w:hint="default" w:ascii="仿宋" w:hAnsi="仿宋" w:eastAsia="仿宋" w:cs="仿宋"/>
          <w:b w:val="0"/>
          <w:bCs w:val="0"/>
          <w:spacing w:val="-2"/>
          <w:sz w:val="28"/>
          <w:szCs w:val="28"/>
          <w:lang w:val="en-US" w:eastAsia="zh-CN" w:bidi="ar-SA"/>
        </w:rPr>
      </w:pPr>
      <w:r>
        <w:rPr>
          <w:rFonts w:hint="eastAsia" w:ascii="仿宋" w:hAnsi="仿宋" w:eastAsia="仿宋" w:cs="仿宋"/>
          <w:b w:val="0"/>
          <w:bCs w:val="0"/>
          <w:snapToGrid w:val="0"/>
          <w:spacing w:val="-2"/>
          <w:sz w:val="28"/>
          <w:szCs w:val="28"/>
          <w:lang w:val="en-US" w:eastAsia="zh-CN" w:bidi="ar-SA"/>
        </w:rPr>
        <w:t>系统功能模块设计应包括5.2软件开发清单中涉及的所有功能，并详细说明设计思路及方案。</w:t>
      </w:r>
    </w:p>
    <w:p w14:paraId="3FB6BC3A">
      <w:pPr>
        <w:pStyle w:val="3"/>
        <w:widowControl w:val="0"/>
        <w:numPr>
          <w:ilvl w:val="1"/>
          <w:numId w:val="0"/>
        </w:numPr>
        <w:kinsoku/>
        <w:autoSpaceDE/>
        <w:autoSpaceDN/>
        <w:adjustRightInd/>
        <w:snapToGrid/>
        <w:ind w:firstLine="600" w:firstLineChars="200"/>
        <w:jc w:val="both"/>
        <w:textAlignment w:val="auto"/>
        <w:rPr>
          <w:rFonts w:hint="eastAsia" w:ascii="仿宋" w:hAnsi="仿宋" w:eastAsia="仿宋" w:cs="仿宋"/>
          <w:b w:val="0"/>
          <w:bCs w:val="0"/>
          <w:snapToGrid/>
          <w:color w:val="000000"/>
          <w:kern w:val="2"/>
          <w:sz w:val="30"/>
          <w:szCs w:val="32"/>
          <w:lang w:val="en-US" w:eastAsia="zh-CN" w:bidi="ar-SA"/>
        </w:rPr>
      </w:pPr>
      <w:r>
        <w:rPr>
          <w:rFonts w:hint="eastAsia" w:ascii="仿宋" w:hAnsi="仿宋" w:eastAsia="仿宋" w:cs="仿宋"/>
          <w:b w:val="0"/>
          <w:bCs w:val="0"/>
          <w:snapToGrid/>
          <w:color w:val="000000"/>
          <w:kern w:val="2"/>
          <w:sz w:val="30"/>
          <w:szCs w:val="32"/>
          <w:lang w:val="en-US" w:eastAsia="zh-CN" w:bidi="ar-SA"/>
        </w:rPr>
        <w:t>6.3对接方案设计要求</w:t>
      </w:r>
    </w:p>
    <w:p w14:paraId="2A0F70B8">
      <w:pPr>
        <w:spacing w:line="360" w:lineRule="auto"/>
        <w:ind w:firstLine="552" w:firstLineChars="200"/>
        <w:rPr>
          <w:rFonts w:hint="eastAsia" w:ascii="仿宋" w:hAnsi="仿宋" w:eastAsia="仿宋" w:cs="仿宋"/>
          <w:b w:val="0"/>
          <w:bCs w:val="0"/>
          <w:spacing w:val="-2"/>
          <w:sz w:val="28"/>
          <w:szCs w:val="28"/>
          <w:lang w:val="en-US" w:eastAsia="zh-CN" w:bidi="ar-SA"/>
        </w:rPr>
      </w:pPr>
      <w:r>
        <w:rPr>
          <w:rFonts w:hint="eastAsia" w:ascii="仿宋" w:hAnsi="仿宋" w:eastAsia="仿宋" w:cs="仿宋"/>
          <w:b w:val="0"/>
          <w:bCs w:val="0"/>
          <w:snapToGrid w:val="0"/>
          <w:color w:val="000000"/>
          <w:spacing w:val="-2"/>
          <w:kern w:val="0"/>
          <w:sz w:val="28"/>
          <w:szCs w:val="28"/>
          <w:lang w:val="en-US" w:eastAsia="zh-CN" w:bidi="ar-SA"/>
        </w:rPr>
        <w:t>投标方需提供项目数据汇集与平台信息交互对接设计方案，明确阐述数据及数据流，符合本区信息化建设实际情况。</w:t>
      </w:r>
    </w:p>
    <w:p w14:paraId="7B22218D">
      <w:pPr>
        <w:pStyle w:val="3"/>
        <w:widowControl w:val="0"/>
        <w:numPr>
          <w:ilvl w:val="1"/>
          <w:numId w:val="0"/>
        </w:numPr>
        <w:kinsoku/>
        <w:autoSpaceDE/>
        <w:autoSpaceDN/>
        <w:adjustRightInd/>
        <w:snapToGrid/>
        <w:ind w:firstLine="600" w:firstLineChars="200"/>
        <w:jc w:val="both"/>
        <w:textAlignment w:val="auto"/>
        <w:rPr>
          <w:rFonts w:hint="eastAsia" w:ascii="仿宋" w:hAnsi="仿宋" w:eastAsia="仿宋" w:cs="仿宋"/>
          <w:b w:val="0"/>
          <w:bCs w:val="0"/>
          <w:snapToGrid/>
          <w:color w:val="000000"/>
          <w:kern w:val="2"/>
          <w:sz w:val="30"/>
          <w:szCs w:val="32"/>
          <w:lang w:val="en-US" w:eastAsia="zh-CN" w:bidi="ar-SA"/>
        </w:rPr>
      </w:pPr>
      <w:r>
        <w:rPr>
          <w:rFonts w:hint="eastAsia" w:ascii="仿宋" w:hAnsi="仿宋" w:eastAsia="仿宋" w:cs="仿宋"/>
          <w:b w:val="0"/>
          <w:bCs w:val="0"/>
          <w:snapToGrid/>
          <w:color w:val="000000"/>
          <w:kern w:val="2"/>
          <w:sz w:val="30"/>
          <w:szCs w:val="32"/>
          <w:lang w:val="en-US" w:eastAsia="zh-CN" w:bidi="ar-SA"/>
        </w:rPr>
        <w:t>6.4密码方案要求</w:t>
      </w:r>
    </w:p>
    <w:p w14:paraId="3700380D">
      <w:pPr>
        <w:spacing w:line="360" w:lineRule="auto"/>
        <w:ind w:firstLine="552" w:firstLineChars="200"/>
        <w:rPr>
          <w:rFonts w:hint="eastAsia" w:ascii="仿宋" w:hAnsi="仿宋" w:eastAsia="仿宋" w:cs="仿宋"/>
          <w:b w:val="0"/>
          <w:bCs w:val="0"/>
          <w:spacing w:val="-2"/>
          <w:sz w:val="28"/>
          <w:szCs w:val="28"/>
          <w:lang w:val="en-US" w:eastAsia="zh-CN" w:bidi="ar-SA"/>
        </w:rPr>
      </w:pPr>
      <w:r>
        <w:rPr>
          <w:rFonts w:hint="eastAsia" w:ascii="仿宋" w:hAnsi="仿宋" w:eastAsia="仿宋" w:cs="仿宋"/>
          <w:b w:val="0"/>
          <w:bCs w:val="0"/>
          <w:snapToGrid w:val="0"/>
          <w:color w:val="000000"/>
          <w:spacing w:val="-2"/>
          <w:kern w:val="0"/>
          <w:sz w:val="28"/>
          <w:szCs w:val="28"/>
          <w:lang w:val="en-US" w:eastAsia="zh-CN" w:bidi="ar-SA"/>
        </w:rPr>
        <w:t>投标方应提供</w:t>
      </w:r>
      <w:r>
        <w:rPr>
          <w:rFonts w:hint="eastAsia" w:ascii="仿宋" w:hAnsi="仿宋" w:eastAsia="仿宋" w:cs="仿宋"/>
          <w:b w:val="0"/>
          <w:bCs w:val="0"/>
          <w:spacing w:val="-2"/>
          <w:sz w:val="28"/>
          <w:szCs w:val="28"/>
          <w:lang w:val="en-US" w:eastAsia="zh-CN" w:bidi="ar-SA"/>
        </w:rPr>
        <w:t>密码应用功能设计方案。</w:t>
      </w:r>
    </w:p>
    <w:p w14:paraId="5F7A0116">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七、项目管理要求</w:t>
      </w:r>
    </w:p>
    <w:p w14:paraId="43BB1941">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7.1进度控制</w:t>
      </w:r>
    </w:p>
    <w:p w14:paraId="1D75438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投标方应根据建设内容，分阶段制定合理的时间进度，应至少细化到周，并且应根据招标方要求进行调整和细化，要求在项目中标后</w:t>
      </w:r>
      <w:r>
        <w:rPr>
          <w:rFonts w:hint="eastAsia" w:ascii="仿宋" w:hAnsi="仿宋" w:eastAsia="仿宋" w:cs="仿宋"/>
          <w:spacing w:val="-2"/>
          <w:sz w:val="28"/>
          <w:szCs w:val="28"/>
          <w:lang w:val="en-US" w:eastAsia="zh-CN"/>
        </w:rPr>
        <w:t>8个月（含3个月试运行）</w:t>
      </w:r>
      <w:r>
        <w:rPr>
          <w:rFonts w:hint="eastAsia" w:ascii="仿宋" w:hAnsi="仿宋" w:eastAsia="仿宋" w:cs="仿宋"/>
          <w:spacing w:val="-2"/>
          <w:sz w:val="28"/>
          <w:szCs w:val="28"/>
        </w:rPr>
        <w:t>完成系统上线。</w:t>
      </w:r>
    </w:p>
    <w:p w14:paraId="423D0F8C">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7.2人员要求</w:t>
      </w:r>
    </w:p>
    <w:p w14:paraId="017DBCE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投标方应根据实施要求分别提供团队人员配置，包括：</w:t>
      </w:r>
    </w:p>
    <w:p w14:paraId="7291D7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(1)需配备专职项目经理1人，具备信息系统项目管理师</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高级</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认证资质且需具备3年以上项目服务管理经验(从业年限以信息系统项目管理师认证颁发时间计算至本项目开标之日，四舍五入计算从业年限)；有类似项目经验。</w:t>
      </w:r>
    </w:p>
    <w:p w14:paraId="521D1DD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ascii="Arial"/>
          <w:sz w:val="21"/>
        </w:rPr>
      </w:pPr>
      <w:r>
        <w:rPr>
          <w:rFonts w:hint="eastAsia" w:ascii="仿宋" w:hAnsi="仿宋" w:eastAsia="仿宋" w:cs="仿宋"/>
          <w:spacing w:val="-2"/>
          <w:sz w:val="28"/>
          <w:szCs w:val="28"/>
        </w:rPr>
        <w:t>(2)项目实施团队需不少于10人，至少有</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名成员具有ITIL认证资质、</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名成员具有CIS</w:t>
      </w:r>
      <w:r>
        <w:rPr>
          <w:rFonts w:hint="eastAsia" w:ascii="仿宋" w:hAnsi="仿宋" w:eastAsia="仿宋" w:cs="仿宋"/>
          <w:spacing w:val="-2"/>
          <w:sz w:val="28"/>
          <w:szCs w:val="28"/>
          <w:lang w:val="en-US" w:eastAsia="zh-CN"/>
        </w:rPr>
        <w:t>P</w:t>
      </w:r>
      <w:r>
        <w:rPr>
          <w:rFonts w:hint="eastAsia" w:ascii="仿宋" w:hAnsi="仿宋" w:eastAsia="仿宋" w:cs="仿宋"/>
          <w:spacing w:val="-2"/>
          <w:sz w:val="28"/>
          <w:szCs w:val="28"/>
        </w:rPr>
        <w:t>认证资质</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名成员具有CI</w:t>
      </w:r>
      <w:r>
        <w:rPr>
          <w:rFonts w:hint="eastAsia" w:ascii="仿宋" w:hAnsi="仿宋" w:eastAsia="仿宋" w:cs="仿宋"/>
          <w:spacing w:val="-2"/>
          <w:sz w:val="28"/>
          <w:szCs w:val="28"/>
          <w:lang w:val="en-US" w:eastAsia="zh-CN"/>
        </w:rPr>
        <w:t>S</w:t>
      </w:r>
      <w:r>
        <w:rPr>
          <w:rFonts w:hint="eastAsia" w:ascii="仿宋" w:hAnsi="仿宋" w:eastAsia="仿宋" w:cs="仿宋"/>
          <w:spacing w:val="-2"/>
          <w:sz w:val="28"/>
          <w:szCs w:val="28"/>
        </w:rPr>
        <w:t>SP认证资质，且具备相关项目经验。</w:t>
      </w:r>
    </w:p>
    <w:p w14:paraId="09CF6BDC">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7.3培训要求</w:t>
      </w:r>
    </w:p>
    <w:p w14:paraId="67B29DC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对系统使用单位提供业务操作培训，应提供详细培训方案。</w:t>
      </w:r>
    </w:p>
    <w:p w14:paraId="3EB649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(1)在12个月的质量保证期内，提供2次与项目相关的必要培训。</w:t>
      </w:r>
    </w:p>
    <w:p w14:paraId="52A9043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w:t>
      </w:r>
      <w:r>
        <w:rPr>
          <w:rFonts w:hint="eastAsia" w:ascii="仿宋" w:hAnsi="仿宋" w:eastAsia="仿宋" w:cs="仿宋"/>
          <w:spacing w:val="-2"/>
          <w:sz w:val="28"/>
          <w:szCs w:val="28"/>
          <w:lang w:val="en-US" w:eastAsia="zh-CN"/>
        </w:rPr>
        <w:t>2</w:t>
      </w:r>
      <w:r>
        <w:rPr>
          <w:rFonts w:hint="eastAsia" w:ascii="仿宋" w:hAnsi="仿宋" w:eastAsia="仿宋" w:cs="仿宋"/>
          <w:spacing w:val="-2"/>
          <w:sz w:val="28"/>
          <w:szCs w:val="28"/>
        </w:rPr>
        <w:t>)</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应提供一般用户的基础操作培训和部门信息管理员的日常应用维护的培训，确保用户对象能够掌握对应的操作技能。</w:t>
      </w:r>
    </w:p>
    <w:p w14:paraId="1DD38E22">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7.4验收要求</w:t>
      </w:r>
    </w:p>
    <w:p w14:paraId="2730D68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本项目按下述方式开展验收。</w:t>
      </w:r>
    </w:p>
    <w:p w14:paraId="1371F8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（1）验收分初验和终验。招标方有权委托第三方检测机构进行验收，对此</w:t>
      </w:r>
      <w:r>
        <w:rPr>
          <w:rFonts w:hint="eastAsia" w:ascii="仿宋" w:hAnsi="仿宋" w:eastAsia="仿宋" w:cs="仿宋"/>
          <w:spacing w:val="-2"/>
          <w:sz w:val="28"/>
          <w:szCs w:val="28"/>
          <w:lang w:val="en-US" w:eastAsia="zh-CN"/>
        </w:rPr>
        <w:t>投标方</w:t>
      </w:r>
      <w:r>
        <w:rPr>
          <w:rFonts w:hint="eastAsia" w:ascii="仿宋" w:hAnsi="仿宋" w:eastAsia="仿宋" w:cs="仿宋"/>
          <w:spacing w:val="-2"/>
          <w:sz w:val="28"/>
          <w:szCs w:val="28"/>
        </w:rPr>
        <w:t>应当配合</w:t>
      </w:r>
    </w:p>
    <w:p w14:paraId="718CDA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（2）初验前，</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须完成软件开发、软硬件安装和信息系统的调试等，并对本项目进行功能和运行检测，确保所有信息系统功能模块能够正常运行且已达到本项目约定的各类标准要求。</w:t>
      </w:r>
    </w:p>
    <w:p w14:paraId="12B162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w:t>
      </w:r>
      <w:r>
        <w:rPr>
          <w:rFonts w:hint="eastAsia" w:ascii="仿宋" w:hAnsi="仿宋" w:eastAsia="仿宋" w:cs="仿宋"/>
          <w:spacing w:val="-2"/>
          <w:sz w:val="28"/>
          <w:szCs w:val="28"/>
          <w:lang w:val="en-US" w:eastAsia="zh-CN"/>
        </w:rPr>
        <w:t>3</w:t>
      </w:r>
      <w:r>
        <w:rPr>
          <w:rFonts w:hint="eastAsia" w:ascii="仿宋" w:hAnsi="仿宋" w:eastAsia="仿宋" w:cs="仿宋"/>
          <w:spacing w:val="-2"/>
          <w:sz w:val="28"/>
          <w:szCs w:val="28"/>
        </w:rPr>
        <w:t>）初验通过且信息系统试运行期已经达到本项目约定的时间，经</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确认信息系统具备正常运行条件，且信息系统通过运行测试，招标方发起组织专家验收会。</w:t>
      </w:r>
    </w:p>
    <w:p w14:paraId="4301055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w:t>
      </w:r>
      <w:r>
        <w:rPr>
          <w:rFonts w:hint="eastAsia" w:ascii="仿宋" w:hAnsi="仿宋" w:eastAsia="仿宋" w:cs="仿宋"/>
          <w:spacing w:val="-2"/>
          <w:sz w:val="28"/>
          <w:szCs w:val="28"/>
          <w:lang w:val="en-US" w:eastAsia="zh-CN"/>
        </w:rPr>
        <w:t>4</w:t>
      </w:r>
      <w:r>
        <w:rPr>
          <w:rFonts w:hint="eastAsia" w:ascii="仿宋" w:hAnsi="仿宋" w:eastAsia="仿宋" w:cs="仿宋"/>
          <w:spacing w:val="-2"/>
          <w:sz w:val="28"/>
          <w:szCs w:val="28"/>
        </w:rPr>
        <w:t>）如本项目连续2次验收未通过（含初验未通过或终验未通过），招标方有权解除项目，并有权依照本项目约定的违约条款追究</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的违约责任。</w:t>
      </w:r>
    </w:p>
    <w:p w14:paraId="0AB98D2B">
      <w:pPr>
        <w:pStyle w:val="3"/>
        <w:widowControl w:val="0"/>
        <w:numPr>
          <w:ilvl w:val="1"/>
          <w:numId w:val="0"/>
        </w:numPr>
        <w:kinsoku/>
        <w:autoSpaceDE/>
        <w:autoSpaceDN/>
        <w:adjustRightInd/>
        <w:snapToGrid/>
        <w:spacing w:line="360" w:lineRule="auto"/>
        <w:ind w:firstLine="554"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pacing w:val="-2"/>
          <w:sz w:val="28"/>
          <w:szCs w:val="28"/>
          <w:lang w:val="en-US" w:eastAsia="zh-CN"/>
        </w:rPr>
        <w:t>7</w:t>
      </w:r>
      <w:r>
        <w:rPr>
          <w:rFonts w:hint="eastAsia" w:ascii="仿宋" w:hAnsi="仿宋" w:eastAsia="仿宋" w:cs="仿宋"/>
          <w:snapToGrid/>
          <w:kern w:val="2"/>
          <w:lang w:val="en-US" w:eastAsia="zh-CN" w:bidi="ar-SA"/>
        </w:rPr>
        <w:t>.5</w:t>
      </w:r>
      <w:r>
        <w:rPr>
          <w:rFonts w:hint="eastAsia" w:ascii="仿宋" w:hAnsi="仿宋" w:eastAsia="仿宋" w:cs="仿宋"/>
          <w:spacing w:val="-2"/>
          <w:sz w:val="28"/>
          <w:szCs w:val="28"/>
        </w:rPr>
        <w:t>软件测评、密码测评、</w:t>
      </w:r>
      <w:r>
        <w:rPr>
          <w:rFonts w:hint="eastAsia" w:ascii="仿宋" w:hAnsi="仿宋" w:eastAsia="仿宋" w:cs="仿宋"/>
          <w:snapToGrid/>
          <w:kern w:val="2"/>
          <w:lang w:val="en-US" w:eastAsia="zh-CN" w:bidi="ar-SA"/>
        </w:rPr>
        <w:t>等级保护要求</w:t>
      </w:r>
    </w:p>
    <w:p w14:paraId="5C3222B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要求本项目系统建成后必须配合建设单位通过软件测评、密码测评、三级等保等上线运行必须进行的测评。</w:t>
      </w:r>
    </w:p>
    <w:p w14:paraId="329C17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lang w:val="en-US" w:eastAsia="zh-CN"/>
        </w:rPr>
        <w:t>此次招标不含测评费用。</w:t>
      </w:r>
    </w:p>
    <w:p w14:paraId="683C8801">
      <w:pPr>
        <w:pStyle w:val="8"/>
        <w:rPr>
          <w:rFonts w:hint="eastAsia"/>
        </w:rPr>
      </w:pPr>
    </w:p>
    <w:p w14:paraId="58EB74A1">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八、售后运营服务要求</w:t>
      </w:r>
    </w:p>
    <w:p w14:paraId="6CCE485F">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8.1免费保修期要求</w:t>
      </w:r>
    </w:p>
    <w:p w14:paraId="2C9D8636">
      <w:pPr>
        <w:spacing w:line="360" w:lineRule="auto"/>
        <w:ind w:firstLine="552" w:firstLineChars="200"/>
        <w:rPr>
          <w:rFonts w:hint="eastAsia"/>
        </w:rPr>
      </w:pPr>
      <w:r>
        <w:rPr>
          <w:rFonts w:hint="eastAsia" w:ascii="仿宋" w:hAnsi="仿宋" w:eastAsia="仿宋" w:cs="仿宋"/>
          <w:spacing w:val="-2"/>
          <w:sz w:val="28"/>
          <w:szCs w:val="28"/>
        </w:rPr>
        <w:t>投标方对所提供的系统软件(包括系统内所有功能，不包含第三方软件)从系统验收通过之日起1年内应提供免费技术支持和售后服务。</w:t>
      </w:r>
    </w:p>
    <w:p w14:paraId="45E28D79">
      <w:pPr>
        <w:pStyle w:val="3"/>
        <w:widowControl w:val="0"/>
        <w:numPr>
          <w:ilvl w:val="1"/>
          <w:numId w:val="0"/>
        </w:numPr>
        <w:kinsoku/>
        <w:autoSpaceDE/>
        <w:autoSpaceDN/>
        <w:adjustRightInd/>
        <w:snapToGrid/>
        <w:spacing w:line="360" w:lineRule="auto"/>
        <w:ind w:firstLine="602"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napToGrid/>
          <w:kern w:val="2"/>
          <w:lang w:val="en-US" w:eastAsia="zh-CN" w:bidi="ar-SA"/>
        </w:rPr>
        <w:t>8.2免费保修期内服务要求</w:t>
      </w:r>
    </w:p>
    <w:p w14:paraId="1461950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)投标方应对其售后服务、技术支持等方案作出说明。本工程要求投标方提供7×24小时技术服务。</w:t>
      </w:r>
    </w:p>
    <w:p w14:paraId="7AB576C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w:t>
      </w:r>
      <w:r>
        <w:rPr>
          <w:rFonts w:hint="eastAsia" w:ascii="仿宋" w:hAnsi="仿宋" w:eastAsia="仿宋" w:cs="仿宋"/>
          <w:spacing w:val="-2"/>
          <w:sz w:val="28"/>
          <w:szCs w:val="28"/>
          <w:lang w:val="en-US" w:eastAsia="zh-CN"/>
        </w:rPr>
        <w:t>2</w:t>
      </w:r>
      <w:r>
        <w:rPr>
          <w:rFonts w:hint="eastAsia" w:ascii="仿宋" w:hAnsi="仿宋" w:eastAsia="仿宋" w:cs="仿宋"/>
          <w:spacing w:val="-2"/>
          <w:sz w:val="28"/>
          <w:szCs w:val="28"/>
        </w:rPr>
        <w:t>)投标方应提供详细的故障处理方案，故障处理方案必须针对不同故障等级分别制定。故障等级划分包括但不限于：</w:t>
      </w:r>
    </w:p>
    <w:p w14:paraId="2A83E3C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drawing>
          <wp:inline distT="0" distB="0" distL="0" distR="0">
            <wp:extent cx="111125" cy="1974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8"/>
                    <a:stretch>
                      <a:fillRect/>
                    </a:stretch>
                  </pic:blipFill>
                  <pic:spPr>
                    <a:xfrm>
                      <a:off x="0" y="0"/>
                      <a:ext cx="111700" cy="197705"/>
                    </a:xfrm>
                    <a:prstGeom prst="rect">
                      <a:avLst/>
                    </a:prstGeom>
                  </pic:spPr>
                </pic:pic>
              </a:graphicData>
            </a:graphic>
          </wp:inline>
        </w:drawing>
      </w:r>
      <w:r>
        <w:rPr>
          <w:rFonts w:hint="eastAsia" w:ascii="仿宋" w:hAnsi="仿宋" w:eastAsia="仿宋" w:cs="仿宋"/>
          <w:spacing w:val="-2"/>
          <w:sz w:val="28"/>
          <w:szCs w:val="28"/>
        </w:rPr>
        <w:t>严重故障：系统核心业务瘫痪，无法提供服务；</w:t>
      </w:r>
    </w:p>
    <w:p w14:paraId="39D7840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drawing>
          <wp:inline distT="0" distB="0" distL="0" distR="0">
            <wp:extent cx="111125" cy="197485"/>
            <wp:effectExtent l="0" t="0" r="0" b="0"/>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8"/>
                    <a:stretch>
                      <a:fillRect/>
                    </a:stretch>
                  </pic:blipFill>
                  <pic:spPr>
                    <a:xfrm>
                      <a:off x="0" y="0"/>
                      <a:ext cx="111700" cy="197705"/>
                    </a:xfrm>
                    <a:prstGeom prst="rect">
                      <a:avLst/>
                    </a:prstGeom>
                  </pic:spPr>
                </pic:pic>
              </a:graphicData>
            </a:graphic>
          </wp:inline>
        </w:drawing>
      </w:r>
      <w:r>
        <w:rPr>
          <w:rFonts w:hint="eastAsia" w:ascii="仿宋" w:hAnsi="仿宋" w:eastAsia="仿宋" w:cs="仿宋"/>
          <w:spacing w:val="-2"/>
          <w:sz w:val="28"/>
          <w:szCs w:val="28"/>
        </w:rPr>
        <w:t>一般故障：系统核心业务仍能提供服务，但是性能受到严重影响；</w:t>
      </w:r>
    </w:p>
    <w:p w14:paraId="33EA298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drawing>
          <wp:inline distT="0" distB="0" distL="0" distR="0">
            <wp:extent cx="111125" cy="1974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8"/>
                    <a:stretch>
                      <a:fillRect/>
                    </a:stretch>
                  </pic:blipFill>
                  <pic:spPr>
                    <a:xfrm>
                      <a:off x="0" y="0"/>
                      <a:ext cx="111700" cy="197705"/>
                    </a:xfrm>
                    <a:prstGeom prst="rect">
                      <a:avLst/>
                    </a:prstGeom>
                  </pic:spPr>
                </pic:pic>
              </a:graphicData>
            </a:graphic>
          </wp:inline>
        </w:drawing>
      </w:r>
      <w:r>
        <w:rPr>
          <w:rFonts w:hint="eastAsia" w:ascii="仿宋" w:hAnsi="仿宋" w:eastAsia="仿宋" w:cs="仿宋"/>
          <w:spacing w:val="-2"/>
          <w:sz w:val="28"/>
          <w:szCs w:val="28"/>
        </w:rPr>
        <w:t>轻微故障：系统核心业务不受影响。</w:t>
      </w:r>
    </w:p>
    <w:p w14:paraId="27333B2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对于</w:t>
      </w:r>
      <w:r>
        <w:rPr>
          <w:rFonts w:hint="eastAsia" w:ascii="仿宋" w:hAnsi="仿宋" w:eastAsia="仿宋" w:cs="仿宋"/>
          <w:spacing w:val="-2"/>
          <w:sz w:val="28"/>
          <w:szCs w:val="28"/>
          <w:lang w:val="en-US" w:eastAsia="zh-CN"/>
        </w:rPr>
        <w:t>以上</w:t>
      </w:r>
      <w:r>
        <w:rPr>
          <w:rFonts w:hint="eastAsia" w:ascii="仿宋" w:hAnsi="仿宋" w:eastAsia="仿宋" w:cs="仿宋"/>
          <w:spacing w:val="-2"/>
          <w:sz w:val="28"/>
          <w:szCs w:val="28"/>
        </w:rPr>
        <w:t>招标人提出的技术疑问和一般故障问题，响应时限应在1小时以内。赶赴现场现场时限应在2小时内。恢复业务基本运行时限，严重故障应在2小时内，一般故障应在4小时内，轻微故障应在24小时内。</w:t>
      </w:r>
    </w:p>
    <w:p w14:paraId="0EB8F24F">
      <w:pPr>
        <w:pStyle w:val="3"/>
        <w:widowControl w:val="0"/>
        <w:numPr>
          <w:ilvl w:val="1"/>
          <w:numId w:val="0"/>
        </w:numPr>
        <w:kinsoku/>
        <w:autoSpaceDE/>
        <w:autoSpaceDN/>
        <w:adjustRightInd/>
        <w:snapToGrid/>
        <w:spacing w:line="360" w:lineRule="auto"/>
        <w:ind w:firstLine="554" w:firstLineChars="200"/>
        <w:jc w:val="both"/>
        <w:textAlignment w:val="auto"/>
        <w:rPr>
          <w:rFonts w:hint="eastAsia" w:ascii="仿宋" w:hAnsi="仿宋" w:eastAsia="仿宋" w:cs="仿宋"/>
          <w:snapToGrid/>
          <w:kern w:val="2"/>
          <w:lang w:val="en-US" w:eastAsia="zh-CN" w:bidi="ar-SA"/>
        </w:rPr>
      </w:pPr>
      <w:r>
        <w:rPr>
          <w:rFonts w:hint="eastAsia" w:ascii="仿宋" w:hAnsi="仿宋" w:eastAsia="仿宋" w:cs="仿宋"/>
          <w:spacing w:val="-2"/>
          <w:sz w:val="28"/>
          <w:szCs w:val="28"/>
          <w:lang w:val="en-US" w:eastAsia="zh-CN"/>
        </w:rPr>
        <w:t>8</w:t>
      </w:r>
      <w:r>
        <w:rPr>
          <w:rFonts w:hint="eastAsia" w:ascii="仿宋" w:hAnsi="仿宋" w:eastAsia="仿宋" w:cs="仿宋"/>
          <w:snapToGrid/>
          <w:kern w:val="2"/>
          <w:lang w:val="en-US" w:eastAsia="zh-CN" w:bidi="ar-SA"/>
        </w:rPr>
        <w:t>.3保修期后的服务要求</w:t>
      </w:r>
    </w:p>
    <w:p w14:paraId="10AA9E0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在采购方购买超过保修期的维保服务后，投标方需能够继续提供同样等级的服务响应。</w:t>
      </w:r>
    </w:p>
    <w:p w14:paraId="3AE663FE">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九、投标方要求</w:t>
      </w:r>
    </w:p>
    <w:p w14:paraId="6244DFAC">
      <w:pPr>
        <w:pStyle w:val="3"/>
        <w:widowControl w:val="0"/>
        <w:numPr>
          <w:ilvl w:val="1"/>
          <w:numId w:val="0"/>
        </w:numPr>
        <w:kinsoku/>
        <w:autoSpaceDE/>
        <w:autoSpaceDN/>
        <w:adjustRightInd/>
        <w:snapToGrid/>
        <w:spacing w:line="360" w:lineRule="auto"/>
        <w:ind w:firstLine="602" w:firstLineChars="200"/>
        <w:jc w:val="both"/>
        <w:textAlignment w:val="auto"/>
        <w:rPr>
          <w:rFonts w:ascii="Arial"/>
          <w:sz w:val="21"/>
        </w:rPr>
      </w:pPr>
      <w:r>
        <w:rPr>
          <w:rFonts w:hint="eastAsia" w:ascii="仿宋" w:hAnsi="仿宋" w:eastAsia="仿宋" w:cs="仿宋"/>
          <w:snapToGrid/>
          <w:kern w:val="2"/>
          <w:lang w:val="en-US" w:eastAsia="zh-CN" w:bidi="ar-SA"/>
        </w:rPr>
        <w:t>9.1业绩要求</w:t>
      </w:r>
    </w:p>
    <w:p w14:paraId="7B6913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投标方应提供清晰可辨的自招标公告发布之日前36个月内的类似项目的业绩材料，时间以合同签订日期为准。业绩证明以</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实际提供的合同扫描件为准(</w:t>
      </w:r>
      <w:r>
        <w:rPr>
          <w:rFonts w:hint="eastAsia" w:ascii="仿宋" w:hAnsi="仿宋" w:eastAsia="仿宋" w:cs="仿宋"/>
          <w:spacing w:val="-2"/>
          <w:sz w:val="28"/>
          <w:szCs w:val="28"/>
          <w:lang w:eastAsia="zh-CN"/>
        </w:rPr>
        <w:t>投标方</w:t>
      </w:r>
      <w:r>
        <w:rPr>
          <w:rFonts w:hint="eastAsia" w:ascii="仿宋" w:hAnsi="仿宋" w:eastAsia="仿宋" w:cs="仿宋"/>
          <w:spacing w:val="-2"/>
          <w:sz w:val="28"/>
          <w:szCs w:val="28"/>
        </w:rPr>
        <w:t>提供的合同案例应包含合同首页、金额所在页和签字盖章页等)。</w:t>
      </w:r>
    </w:p>
    <w:p w14:paraId="292DC128">
      <w:pPr>
        <w:pStyle w:val="2"/>
        <w:widowControl w:val="0"/>
        <w:numPr>
          <w:ilvl w:val="0"/>
          <w:numId w:val="0"/>
        </w:numPr>
        <w:kinsoku/>
        <w:autoSpaceDE/>
        <w:autoSpaceDN/>
        <w:adjustRightInd/>
        <w:snapToGrid/>
        <w:spacing w:line="360" w:lineRule="auto"/>
        <w:ind w:firstLine="643" w:firstLineChars="200"/>
        <w:jc w:val="both"/>
        <w:textAlignment w:val="auto"/>
        <w:rPr>
          <w:rFonts w:hint="eastAsia" w:ascii="仿宋" w:hAnsi="仿宋" w:eastAsia="仿宋" w:cs="仿宋"/>
          <w:snapToGrid/>
          <w:lang w:val="en-US" w:eastAsia="zh-CN" w:bidi="ar-SA"/>
        </w:rPr>
      </w:pPr>
      <w:r>
        <w:rPr>
          <w:rFonts w:hint="eastAsia" w:ascii="仿宋" w:hAnsi="仿宋" w:eastAsia="仿宋" w:cs="仿宋"/>
          <w:snapToGrid/>
          <w:lang w:val="en-US" w:eastAsia="zh-CN" w:bidi="ar-SA"/>
        </w:rPr>
        <w:t>十、付款方式</w:t>
      </w:r>
    </w:p>
    <w:p w14:paraId="374971F4">
      <w:pPr>
        <w:pStyle w:val="9"/>
        <w:keepNext w:val="0"/>
        <w:keepLines w:val="0"/>
        <w:pageBreakBefore w:val="0"/>
        <w:widowControl/>
        <w:numPr>
          <w:ilvl w:val="1"/>
          <w:numId w:val="0"/>
        </w:numPr>
        <w:kinsoku w:val="0"/>
        <w:wordWrap/>
        <w:overflowPunct/>
        <w:topLinePunct w:val="0"/>
        <w:autoSpaceDE w:val="0"/>
        <w:autoSpaceDN w:val="0"/>
        <w:bidi w:val="0"/>
        <w:adjustRightInd w:val="0"/>
        <w:snapToGrid w:val="0"/>
        <w:spacing w:after="0" w:line="570" w:lineRule="exact"/>
        <w:ind w:left="0" w:leftChars="0" w:right="0" w:firstLine="552" w:firstLineChars="200"/>
        <w:textAlignment w:val="baseline"/>
        <w:rPr>
          <w:rFonts w:hint="eastAsia" w:ascii="仿宋" w:hAnsi="仿宋" w:eastAsia="仿宋" w:cs="仿宋"/>
          <w:spacing w:val="-2"/>
          <w:sz w:val="28"/>
          <w:szCs w:val="28"/>
        </w:rPr>
      </w:pPr>
      <w:bookmarkStart w:id="2" w:name="_bookmark5"/>
      <w:bookmarkEnd w:id="2"/>
      <w:r>
        <w:rPr>
          <w:rFonts w:hint="eastAsia" w:ascii="仿宋" w:hAnsi="仿宋" w:eastAsia="仿宋" w:cs="仿宋"/>
          <w:spacing w:val="-2"/>
          <w:sz w:val="28"/>
          <w:szCs w:val="28"/>
        </w:rPr>
        <w:t>本项目付款分为三期付款，具体为：</w:t>
      </w:r>
    </w:p>
    <w:p w14:paraId="576A9630">
      <w:pPr>
        <w:pStyle w:val="9"/>
        <w:keepNext w:val="0"/>
        <w:keepLines w:val="0"/>
        <w:pageBreakBefore w:val="0"/>
        <w:widowControl/>
        <w:numPr>
          <w:ilvl w:val="0"/>
          <w:numId w:val="4"/>
        </w:numPr>
        <w:kinsoku w:val="0"/>
        <w:wordWrap/>
        <w:overflowPunct/>
        <w:topLinePunct w:val="0"/>
        <w:autoSpaceDE w:val="0"/>
        <w:autoSpaceDN w:val="0"/>
        <w:bidi w:val="0"/>
        <w:adjustRightInd w:val="0"/>
        <w:snapToGrid w:val="0"/>
        <w:spacing w:after="0" w:line="570" w:lineRule="exact"/>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rPr>
        <w:t>自合同生效之日起</w:t>
      </w:r>
      <w:r>
        <w:rPr>
          <w:rFonts w:hint="eastAsia" w:ascii="仿宋" w:hAnsi="仿宋" w:eastAsia="仿宋" w:cs="仿宋"/>
          <w:spacing w:val="-2"/>
          <w:sz w:val="28"/>
          <w:szCs w:val="28"/>
          <w:lang w:val="en-US" w:eastAsia="zh-CN"/>
        </w:rPr>
        <w:t>且开具发票后</w:t>
      </w:r>
      <w:r>
        <w:rPr>
          <w:rFonts w:hint="eastAsia" w:ascii="仿宋" w:hAnsi="仿宋" w:eastAsia="仿宋" w:cs="仿宋"/>
          <w:spacing w:val="-2"/>
          <w:sz w:val="28"/>
          <w:szCs w:val="28"/>
        </w:rPr>
        <w:t xml:space="preserve">10工作日内，支付合同总金额的30%作为首付款； </w:t>
      </w:r>
    </w:p>
    <w:p w14:paraId="5BDCBC13">
      <w:pPr>
        <w:pStyle w:val="9"/>
        <w:keepNext w:val="0"/>
        <w:keepLines w:val="0"/>
        <w:pageBreakBefore w:val="0"/>
        <w:widowControl/>
        <w:numPr>
          <w:ilvl w:val="0"/>
          <w:numId w:val="4"/>
        </w:numPr>
        <w:kinsoku w:val="0"/>
        <w:wordWrap/>
        <w:overflowPunct/>
        <w:topLinePunct w:val="0"/>
        <w:autoSpaceDE w:val="0"/>
        <w:autoSpaceDN w:val="0"/>
        <w:bidi w:val="0"/>
        <w:adjustRightInd w:val="0"/>
        <w:snapToGrid w:val="0"/>
        <w:spacing w:after="0" w:line="570" w:lineRule="exact"/>
        <w:ind w:left="0" w:leftChars="0" w:right="0" w:firstLine="552" w:firstLineChars="200"/>
        <w:textAlignment w:val="baseline"/>
        <w:rPr>
          <w:rFonts w:hint="eastAsia" w:ascii="仿宋" w:hAnsi="仿宋" w:eastAsia="仿宋" w:cs="仿宋"/>
          <w:spacing w:val="-2"/>
          <w:sz w:val="28"/>
          <w:szCs w:val="28"/>
        </w:rPr>
      </w:pPr>
      <w:r>
        <w:rPr>
          <w:rFonts w:hint="eastAsia" w:ascii="仿宋" w:hAnsi="仿宋" w:eastAsia="仿宋" w:cs="仿宋"/>
          <w:spacing w:val="-2"/>
          <w:sz w:val="28"/>
          <w:szCs w:val="28"/>
          <w:lang w:val="en-US" w:eastAsia="zh-CN"/>
        </w:rPr>
        <w:t>完成初验且开具发票后</w:t>
      </w:r>
      <w:r>
        <w:rPr>
          <w:rFonts w:hint="eastAsia" w:ascii="仿宋" w:hAnsi="仿宋" w:eastAsia="仿宋" w:cs="仿宋"/>
          <w:spacing w:val="-2"/>
          <w:sz w:val="28"/>
          <w:szCs w:val="28"/>
        </w:rPr>
        <w:t>10个工作日内，支付合同总金额的</w:t>
      </w:r>
      <w:r>
        <w:rPr>
          <w:rFonts w:hint="eastAsia" w:ascii="仿宋" w:hAnsi="仿宋" w:eastAsia="仿宋" w:cs="仿宋"/>
          <w:spacing w:val="-2"/>
          <w:sz w:val="28"/>
          <w:szCs w:val="28"/>
          <w:lang w:val="en-US"/>
        </w:rPr>
        <w:t>3</w:t>
      </w:r>
      <w:r>
        <w:rPr>
          <w:rFonts w:hint="eastAsia" w:ascii="仿宋" w:hAnsi="仿宋" w:eastAsia="仿宋" w:cs="仿宋"/>
          <w:spacing w:val="-2"/>
          <w:sz w:val="28"/>
          <w:szCs w:val="28"/>
        </w:rPr>
        <w:t>0%；</w:t>
      </w:r>
    </w:p>
    <w:p w14:paraId="18CFB9B1">
      <w:pPr>
        <w:pStyle w:val="9"/>
        <w:keepNext w:val="0"/>
        <w:keepLines w:val="0"/>
        <w:pageBreakBefore w:val="0"/>
        <w:widowControl/>
        <w:numPr>
          <w:ilvl w:val="0"/>
          <w:numId w:val="4"/>
        </w:numPr>
        <w:kinsoku w:val="0"/>
        <w:wordWrap/>
        <w:overflowPunct/>
        <w:topLinePunct w:val="0"/>
        <w:autoSpaceDE w:val="0"/>
        <w:autoSpaceDN w:val="0"/>
        <w:bidi w:val="0"/>
        <w:adjustRightInd w:val="0"/>
        <w:snapToGrid w:val="0"/>
        <w:spacing w:after="0" w:line="570" w:lineRule="exact"/>
        <w:ind w:left="0" w:leftChars="0" w:right="0" w:firstLine="552" w:firstLineChars="200"/>
        <w:textAlignment w:val="baseline"/>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rPr>
        <w:t>项目终验后</w:t>
      </w:r>
      <w:r>
        <w:rPr>
          <w:rFonts w:hint="eastAsia" w:ascii="仿宋" w:hAnsi="仿宋" w:eastAsia="仿宋" w:cs="仿宋"/>
          <w:spacing w:val="-2"/>
          <w:sz w:val="28"/>
          <w:szCs w:val="28"/>
          <w:lang w:val="en-US" w:eastAsia="zh-CN"/>
        </w:rPr>
        <w:t>且开具发票后</w:t>
      </w:r>
      <w:r>
        <w:rPr>
          <w:rFonts w:hint="eastAsia" w:ascii="仿宋" w:hAnsi="仿宋" w:eastAsia="仿宋" w:cs="仿宋"/>
          <w:spacing w:val="-2"/>
          <w:sz w:val="28"/>
          <w:szCs w:val="28"/>
        </w:rPr>
        <w:t>10个工作日内，支付</w:t>
      </w:r>
      <w:r>
        <w:rPr>
          <w:rFonts w:hint="eastAsia" w:ascii="仿宋" w:hAnsi="仿宋" w:eastAsia="仿宋" w:cs="仿宋"/>
          <w:spacing w:val="-2"/>
          <w:sz w:val="28"/>
          <w:szCs w:val="28"/>
          <w:lang w:val="en-US" w:eastAsia="zh-CN"/>
        </w:rPr>
        <w:t>审定金额余款。</w:t>
      </w:r>
    </w:p>
    <w:p w14:paraId="6F725634">
      <w:pPr>
        <w:pStyle w:val="10"/>
        <w:numPr>
          <w:ilvl w:val="0"/>
          <w:numId w:val="0"/>
        </w:numPr>
        <w:ind w:leftChars="200"/>
        <w:rPr>
          <w:rFonts w:hint="eastAsia"/>
        </w:rPr>
      </w:pPr>
    </w:p>
    <w:p w14:paraId="4DC364AE">
      <w:pPr>
        <w:pStyle w:val="2"/>
        <w:keepNext/>
        <w:keepLines/>
        <w:widowControl w:val="0"/>
        <w:numPr>
          <w:ilvl w:val="0"/>
          <w:numId w:val="0"/>
        </w:numPr>
        <w:adjustRightInd/>
        <w:snapToGrid/>
        <w:spacing w:line="360" w:lineRule="auto"/>
        <w:ind w:leftChars="200"/>
        <w:textAlignment w:val="auto"/>
        <w:rPr>
          <w:rFonts w:hint="eastAsia" w:ascii="宋体" w:hAnsi="宋体" w:eastAsia="宋体" w:cs="宋体"/>
          <w:bCs/>
          <w:color w:val="auto"/>
          <w:sz w:val="24"/>
          <w:szCs w:val="30"/>
          <w:lang w:eastAsia="zh-CN" w:bidi="ar"/>
        </w:rPr>
      </w:pPr>
      <w:r>
        <w:rPr>
          <w:rFonts w:hint="eastAsia" w:eastAsia="宋体"/>
          <w:lang w:eastAsia="zh-CN"/>
        </w:rPr>
        <w:t>十一、</w:t>
      </w:r>
      <w:r>
        <w:rPr>
          <w:rFonts w:hint="eastAsia" w:ascii="宋体" w:hAnsi="宋体" w:eastAsia="宋体" w:cs="宋体"/>
          <w:bCs/>
          <w:color w:val="auto"/>
          <w:sz w:val="24"/>
          <w:szCs w:val="30"/>
          <w:lang w:eastAsia="zh-CN" w:bidi="ar"/>
        </w:rPr>
        <w:t>其他</w:t>
      </w:r>
    </w:p>
    <w:p w14:paraId="15EA89C7">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投标方案中应包括但不限于如下内容：</w:t>
      </w:r>
    </w:p>
    <w:p w14:paraId="1C94E3F8">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1、供应商需提供针对本项目的</w:t>
      </w:r>
      <w:r>
        <w:rPr>
          <w:rFonts w:hint="eastAsia" w:ascii="宋体" w:hAnsi="宋体" w:eastAsia="宋体" w:cs="宋体"/>
          <w:sz w:val="24"/>
          <w:szCs w:val="24"/>
          <w:lang w:eastAsia="zh-CN" w:bidi="ar"/>
        </w:rPr>
        <w:t>需求的分析、理解以及合理化建议</w:t>
      </w:r>
      <w:r>
        <w:rPr>
          <w:rFonts w:hint="eastAsia" w:ascii="宋体" w:hAnsi="宋体" w:eastAsia="宋体" w:cs="宋体"/>
          <w:sz w:val="24"/>
          <w:szCs w:val="24"/>
          <w:lang w:val="en-US" w:eastAsia="zh-CN" w:bidi="ar"/>
        </w:rPr>
        <w:t>和</w:t>
      </w:r>
      <w:r>
        <w:rPr>
          <w:rFonts w:hint="eastAsia" w:ascii="宋体" w:hAnsi="宋体" w:eastAsia="宋体" w:cs="宋体"/>
          <w:sz w:val="24"/>
          <w:szCs w:val="24"/>
          <w:lang w:eastAsia="zh-CN" w:bidi="ar"/>
        </w:rPr>
        <w:t>风险防控；</w:t>
      </w:r>
    </w:p>
    <w:p w14:paraId="676D135E">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eastAsia="zh-CN" w:bidi="ar"/>
        </w:rPr>
        <w:t>供应商需提供针对本项目的总体方案设计、各</w:t>
      </w:r>
      <w:bookmarkStart w:id="3" w:name="_GoBack"/>
      <w:bookmarkEnd w:id="3"/>
      <w:r>
        <w:rPr>
          <w:rFonts w:hint="eastAsia" w:ascii="宋体" w:hAnsi="宋体" w:eastAsia="宋体" w:cs="宋体"/>
          <w:sz w:val="24"/>
          <w:szCs w:val="24"/>
          <w:lang w:eastAsia="zh-CN" w:bidi="ar"/>
        </w:rPr>
        <w:t>功能模块设计、数据汇集与平台信息交互对接设计方案</w:t>
      </w:r>
      <w:r>
        <w:rPr>
          <w:rFonts w:hint="eastAsia" w:ascii="宋体" w:hAnsi="宋体" w:eastAsia="宋体" w:cs="宋体"/>
          <w:sz w:val="24"/>
          <w:szCs w:val="24"/>
          <w:lang w:val="en-US" w:eastAsia="zh-CN" w:bidi="ar"/>
        </w:rPr>
        <w:t>和密码方案</w:t>
      </w:r>
      <w:r>
        <w:rPr>
          <w:rFonts w:hint="eastAsia" w:ascii="宋体" w:hAnsi="宋体" w:eastAsia="宋体" w:cs="宋体"/>
          <w:sz w:val="24"/>
          <w:szCs w:val="24"/>
          <w:lang w:eastAsia="zh-CN" w:bidi="ar"/>
        </w:rPr>
        <w:t>，方案要求清晰、结构合理、安全可靠，方案符合本区和本市信息化建设的实际情况和数据对接技术要求；</w:t>
      </w:r>
    </w:p>
    <w:p w14:paraId="1D53F046">
      <w:pPr>
        <w:spacing w:line="360" w:lineRule="auto"/>
        <w:ind w:firstLine="480" w:firstLineChars="200"/>
        <w:rPr>
          <w:rFonts w:hint="eastAsia" w:ascii="宋体" w:hAnsi="宋体" w:eastAsia="宋体" w:cs="宋体"/>
          <w:color w:val="000000"/>
          <w:kern w:val="0"/>
          <w:sz w:val="24"/>
          <w:szCs w:val="24"/>
          <w:lang w:eastAsia="zh-CN" w:bidi="ar"/>
        </w:rPr>
      </w:pPr>
      <w:r>
        <w:rPr>
          <w:rFonts w:hint="eastAsia" w:ascii="宋体" w:hAnsi="宋体" w:eastAsia="宋体" w:cs="宋体"/>
          <w:sz w:val="24"/>
          <w:szCs w:val="24"/>
          <w:lang w:val="en-US" w:eastAsia="zh-CN" w:bidi="ar"/>
        </w:rPr>
        <w:t>3、供应商需提供针对本项目的</w:t>
      </w:r>
      <w:r>
        <w:rPr>
          <w:rFonts w:hint="eastAsia" w:ascii="宋体" w:hAnsi="宋体" w:eastAsia="宋体" w:cs="宋体"/>
          <w:color w:val="000000"/>
          <w:kern w:val="0"/>
          <w:sz w:val="24"/>
          <w:szCs w:val="24"/>
          <w:lang w:eastAsia="zh-CN" w:bidi="ar"/>
        </w:rPr>
        <w:t>安装、调试和验收方案；</w:t>
      </w:r>
    </w:p>
    <w:p w14:paraId="1D88B94E">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sz w:val="24"/>
          <w:szCs w:val="24"/>
          <w:lang w:val="en-US" w:eastAsia="zh-CN" w:bidi="ar"/>
        </w:rPr>
        <w:t>4、供应商需提供针对本项目的</w:t>
      </w:r>
      <w:r>
        <w:rPr>
          <w:rFonts w:hint="eastAsia" w:ascii="宋体" w:hAnsi="宋体" w:eastAsia="宋体" w:cs="宋体"/>
          <w:kern w:val="0"/>
          <w:sz w:val="24"/>
          <w:szCs w:val="24"/>
          <w:lang w:val="en-US" w:eastAsia="zh-CN" w:bidi="ar"/>
        </w:rPr>
        <w:t>实施方案；</w:t>
      </w:r>
    </w:p>
    <w:p w14:paraId="5873C68B">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sz w:val="24"/>
          <w:szCs w:val="24"/>
          <w:lang w:val="en-US" w:eastAsia="zh-CN" w:bidi="ar"/>
        </w:rPr>
        <w:t>5、供应商需提供针对满足本项目的</w:t>
      </w:r>
      <w:r>
        <w:rPr>
          <w:rFonts w:hint="eastAsia" w:ascii="宋体" w:hAnsi="宋体" w:eastAsia="宋体" w:cs="宋体"/>
          <w:sz w:val="24"/>
          <w:szCs w:val="24"/>
          <w:lang w:eastAsia="zh-CN" w:bidi="ar"/>
        </w:rPr>
        <w:t>培训方案；</w:t>
      </w:r>
    </w:p>
    <w:p w14:paraId="69A4E106">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6、供应商需提供</w:t>
      </w:r>
      <w:r>
        <w:rPr>
          <w:rFonts w:hint="eastAsia" w:ascii="宋体" w:hAnsi="宋体" w:eastAsia="宋体" w:cs="宋体"/>
          <w:sz w:val="24"/>
          <w:szCs w:val="24"/>
          <w:lang w:eastAsia="zh-CN" w:bidi="ar"/>
        </w:rPr>
        <w:t>负责人与项目组人员学历、职称、能力及参与项目情况等并且提供最近一个季度为项目负责人依法缴纳社保费的证明及相关证明材料；</w:t>
      </w:r>
    </w:p>
    <w:p w14:paraId="3C9E1EB3">
      <w:pPr>
        <w:spacing w:line="360" w:lineRule="auto"/>
        <w:ind w:firstLine="480" w:firstLineChars="200"/>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7、供应商需提供针对项目的售后服务方案和</w:t>
      </w:r>
      <w:r>
        <w:rPr>
          <w:rFonts w:hint="eastAsia" w:ascii="宋体" w:hAnsi="宋体" w:eastAsia="宋体" w:cs="宋体"/>
          <w:sz w:val="24"/>
          <w:szCs w:val="24"/>
          <w:lang w:eastAsia="zh-CN" w:bidi="ar"/>
        </w:rPr>
        <w:t>质保期外服务方案；</w:t>
      </w:r>
    </w:p>
    <w:p w14:paraId="090F2924">
      <w:pPr>
        <w:numPr>
          <w:ilvl w:val="0"/>
          <w:numId w:val="5"/>
        </w:numPr>
        <w:spacing w:line="360" w:lineRule="auto"/>
        <w:ind w:firstLine="480" w:firstLineChars="200"/>
        <w:rPr>
          <w:rFonts w:hint="eastAsia" w:ascii="宋体" w:hAnsi="宋体" w:eastAsia="宋体" w:cs="宋体"/>
          <w:kern w:val="0"/>
          <w:sz w:val="24"/>
          <w:szCs w:val="24"/>
          <w:lang w:eastAsia="zh-CN" w:bidi="ar"/>
        </w:rPr>
      </w:pPr>
      <w:r>
        <w:rPr>
          <w:rFonts w:hint="eastAsia" w:ascii="宋体" w:hAnsi="宋体" w:eastAsia="宋体" w:cs="宋体"/>
          <w:sz w:val="24"/>
          <w:szCs w:val="24"/>
          <w:lang w:val="en-US" w:eastAsia="zh-CN" w:bidi="ar"/>
        </w:rPr>
        <w:t>供应商需提供</w:t>
      </w:r>
      <w:r>
        <w:rPr>
          <w:rFonts w:hint="eastAsia" w:ascii="宋体" w:hAnsi="宋体" w:eastAsia="宋体" w:cs="宋体"/>
          <w:kern w:val="0"/>
          <w:sz w:val="24"/>
          <w:szCs w:val="24"/>
          <w:lang w:eastAsia="zh-CN" w:bidi="ar"/>
        </w:rPr>
        <w:t>企业综合实力根据从获奖情况、履约能力、信誉度、相关资质证书等；</w:t>
      </w:r>
    </w:p>
    <w:p w14:paraId="4BFC236B">
      <w:pPr>
        <w:ind w:firstLine="480" w:firstLineChars="200"/>
        <w:rPr>
          <w:rFonts w:hint="eastAsia" w:eastAsia="宋体"/>
          <w:lang w:eastAsia="zh-CN"/>
        </w:rPr>
      </w:pPr>
      <w:r>
        <w:rPr>
          <w:rFonts w:hint="eastAsia" w:ascii="宋体" w:hAnsi="宋体" w:eastAsia="宋体" w:cs="宋体"/>
          <w:kern w:val="0"/>
          <w:sz w:val="24"/>
          <w:szCs w:val="24"/>
          <w:lang w:val="en-US" w:eastAsia="zh-CN" w:bidi="ar"/>
        </w:rPr>
        <w:t>9、</w:t>
      </w:r>
      <w:r>
        <w:rPr>
          <w:rFonts w:hint="eastAsia" w:ascii="宋体" w:hAnsi="宋体" w:eastAsia="宋体" w:cs="宋体"/>
          <w:kern w:val="0"/>
          <w:sz w:val="24"/>
          <w:szCs w:val="24"/>
          <w:lang w:eastAsia="zh-CN" w:bidi="ar"/>
        </w:rPr>
        <w:t>供应商需提供近三年来的类似项目业绩（以合同复印件为准）；</w:t>
      </w:r>
    </w:p>
    <w:sectPr>
      <w:headerReference r:id="rId5" w:type="default"/>
      <w:footerReference r:id="rId6" w:type="default"/>
      <w:pgSz w:w="11906" w:h="16839"/>
      <w:pgMar w:top="1440" w:right="1803" w:bottom="1440" w:left="1803" w:header="0" w:footer="70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E12D7">
    <w:pPr>
      <w:spacing w:before="1" w:line="185" w:lineRule="auto"/>
      <w:ind w:right="105"/>
      <w:jc w:val="right"/>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7666F">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6B2E3B"/>
    <w:multiLevelType w:val="singleLevel"/>
    <w:tmpl w:val="8A6B2E3B"/>
    <w:lvl w:ilvl="0" w:tentative="0">
      <w:start w:val="1"/>
      <w:numFmt w:val="chineseCounting"/>
      <w:suff w:val="nothing"/>
      <w:lvlText w:val="（%1）"/>
      <w:lvlJc w:val="left"/>
      <w:pPr>
        <w:ind w:left="690" w:leftChars="0" w:firstLine="0" w:firstLineChars="0"/>
      </w:pPr>
      <w:rPr>
        <w:rFonts w:hint="eastAsia"/>
      </w:rPr>
    </w:lvl>
  </w:abstractNum>
  <w:abstractNum w:abstractNumId="1">
    <w:nsid w:val="9B569715"/>
    <w:multiLevelType w:val="singleLevel"/>
    <w:tmpl w:val="9B569715"/>
    <w:lvl w:ilvl="0" w:tentative="0">
      <w:start w:val="1"/>
      <w:numFmt w:val="decimal"/>
      <w:lvlText w:val="%1)"/>
      <w:lvlJc w:val="left"/>
      <w:pPr>
        <w:tabs>
          <w:tab w:val="left" w:pos="840"/>
        </w:tabs>
        <w:ind w:left="1265" w:hanging="425"/>
      </w:pPr>
      <w:rPr>
        <w:rFonts w:hint="default"/>
      </w:rPr>
    </w:lvl>
  </w:abstractNum>
  <w:abstractNum w:abstractNumId="2">
    <w:nsid w:val="FC8FD853"/>
    <w:multiLevelType w:val="singleLevel"/>
    <w:tmpl w:val="FC8FD853"/>
    <w:lvl w:ilvl="0" w:tentative="0">
      <w:start w:val="3"/>
      <w:numFmt w:val="decimal"/>
      <w:suff w:val="nothing"/>
      <w:lvlText w:val="%1、"/>
      <w:lvlJc w:val="left"/>
    </w:lvl>
  </w:abstractNum>
  <w:abstractNum w:abstractNumId="3">
    <w:nsid w:val="4DF8EC5C"/>
    <w:multiLevelType w:val="singleLevel"/>
    <w:tmpl w:val="4DF8EC5C"/>
    <w:lvl w:ilvl="0" w:tentative="0">
      <w:start w:val="8"/>
      <w:numFmt w:val="decimal"/>
      <w:suff w:val="nothing"/>
      <w:lvlText w:val="%1、"/>
      <w:lvlJc w:val="left"/>
    </w:lvl>
  </w:abstractNum>
  <w:abstractNum w:abstractNumId="4">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mIzYzkzZjgwNDIwMjViNzQ5MDA1YTliMTg5OWRiMjcifQ=="/>
  </w:docVars>
  <w:rsids>
    <w:rsidRoot w:val="00000000"/>
    <w:rsid w:val="03990047"/>
    <w:rsid w:val="03BE09E7"/>
    <w:rsid w:val="04372FFB"/>
    <w:rsid w:val="05FE051D"/>
    <w:rsid w:val="07B0770E"/>
    <w:rsid w:val="08B8325C"/>
    <w:rsid w:val="0C616CBA"/>
    <w:rsid w:val="0ED560B1"/>
    <w:rsid w:val="0FB166C8"/>
    <w:rsid w:val="114C4274"/>
    <w:rsid w:val="132645AF"/>
    <w:rsid w:val="13335D9C"/>
    <w:rsid w:val="13E42C19"/>
    <w:rsid w:val="17046F39"/>
    <w:rsid w:val="186F7BD1"/>
    <w:rsid w:val="19851E5F"/>
    <w:rsid w:val="1AA0126A"/>
    <w:rsid w:val="1C6E6986"/>
    <w:rsid w:val="1C800AD2"/>
    <w:rsid w:val="1CA8673F"/>
    <w:rsid w:val="1D3A3784"/>
    <w:rsid w:val="1DC767A9"/>
    <w:rsid w:val="1E34479D"/>
    <w:rsid w:val="22A14280"/>
    <w:rsid w:val="24773635"/>
    <w:rsid w:val="24B71C84"/>
    <w:rsid w:val="256C1D19"/>
    <w:rsid w:val="2620319C"/>
    <w:rsid w:val="275267C3"/>
    <w:rsid w:val="281A3657"/>
    <w:rsid w:val="29D43C51"/>
    <w:rsid w:val="2AD41244"/>
    <w:rsid w:val="2D113C66"/>
    <w:rsid w:val="2ED84BF3"/>
    <w:rsid w:val="308F6C04"/>
    <w:rsid w:val="31EC37F3"/>
    <w:rsid w:val="35F25911"/>
    <w:rsid w:val="3A161E62"/>
    <w:rsid w:val="3BDD7DCA"/>
    <w:rsid w:val="409749EB"/>
    <w:rsid w:val="437973CF"/>
    <w:rsid w:val="45662688"/>
    <w:rsid w:val="45991587"/>
    <w:rsid w:val="45B61DB8"/>
    <w:rsid w:val="4A5C030F"/>
    <w:rsid w:val="4A851D59"/>
    <w:rsid w:val="4B684803"/>
    <w:rsid w:val="4B973E8D"/>
    <w:rsid w:val="4BA4056C"/>
    <w:rsid w:val="4BBB6E78"/>
    <w:rsid w:val="50602CF1"/>
    <w:rsid w:val="53325CFC"/>
    <w:rsid w:val="5BF86AB1"/>
    <w:rsid w:val="5FB81779"/>
    <w:rsid w:val="60A17849"/>
    <w:rsid w:val="634D3C76"/>
    <w:rsid w:val="670A46BE"/>
    <w:rsid w:val="671E222D"/>
    <w:rsid w:val="678A786E"/>
    <w:rsid w:val="689F40EA"/>
    <w:rsid w:val="6BAB2CCA"/>
    <w:rsid w:val="6BBE1FD5"/>
    <w:rsid w:val="6BD24008"/>
    <w:rsid w:val="6DD14373"/>
    <w:rsid w:val="6EF852BE"/>
    <w:rsid w:val="70AF698A"/>
    <w:rsid w:val="70DF7B65"/>
    <w:rsid w:val="72BC63B0"/>
    <w:rsid w:val="731955B0"/>
    <w:rsid w:val="74D6368E"/>
    <w:rsid w:val="751E235B"/>
    <w:rsid w:val="7641097A"/>
    <w:rsid w:val="773F7F7A"/>
    <w:rsid w:val="7752313C"/>
    <w:rsid w:val="7B810050"/>
    <w:rsid w:val="7C26489A"/>
    <w:rsid w:val="7F3948E4"/>
    <w:rsid w:val="7F3D7459"/>
    <w:rsid w:val="7F4375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qFormat/>
    <w:uiPriority w:val="9"/>
    <w:pPr>
      <w:keepNext/>
      <w:keepLines/>
      <w:numPr>
        <w:ilvl w:val="1"/>
        <w:numId w:val="1"/>
      </w:numPr>
      <w:spacing w:before="120" w:after="120"/>
      <w:ind w:firstLineChars="0"/>
      <w:outlineLvl w:val="1"/>
    </w:pPr>
    <w:rPr>
      <w:b/>
      <w:bCs/>
      <w:sz w:val="30"/>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afterLines="0" w:afterAutospacing="0"/>
    </w:pPr>
  </w:style>
  <w:style w:type="paragraph" w:styleId="7">
    <w:name w:val="Body Text Indent"/>
    <w:basedOn w:val="1"/>
    <w:qFormat/>
    <w:uiPriority w:val="0"/>
    <w:pPr>
      <w:spacing w:after="120"/>
      <w:ind w:firstLine="200"/>
    </w:pPr>
    <w:rPr>
      <w:rFonts w:ascii="Times New Roman" w:hAnsi="Times New Roman"/>
      <w:sz w:val="21"/>
      <w:szCs w:val="20"/>
    </w:rPr>
  </w:style>
  <w:style w:type="paragraph" w:styleId="8">
    <w:name w:val="Plain Text"/>
    <w:basedOn w:val="1"/>
    <w:qFormat/>
    <w:uiPriority w:val="99"/>
    <w:pPr>
      <w:spacing w:line="240" w:lineRule="auto"/>
    </w:pPr>
    <w:rPr>
      <w:rFonts w:ascii="宋体" w:hAnsi="Courier New"/>
      <w:kern w:val="0"/>
      <w:sz w:val="20"/>
      <w:szCs w:val="21"/>
      <w:lang w:val="zh-CN"/>
    </w:rPr>
  </w:style>
  <w:style w:type="paragraph" w:styleId="9">
    <w:name w:val="Body Text 2"/>
    <w:basedOn w:val="1"/>
    <w:next w:val="10"/>
    <w:qFormat/>
    <w:uiPriority w:val="99"/>
    <w:pPr>
      <w:spacing w:after="120" w:line="480" w:lineRule="auto"/>
    </w:pPr>
  </w:style>
  <w:style w:type="paragraph" w:styleId="10">
    <w:name w:val="Body Text First Indent 2"/>
    <w:basedOn w:val="7"/>
    <w:next w:val="1"/>
    <w:qFormat/>
    <w:uiPriority w:val="99"/>
    <w:pPr>
      <w:ind w:firstLine="420"/>
    </w:pPr>
  </w:style>
  <w:style w:type="paragraph" w:styleId="11">
    <w:name w:val="Body Text First Indent"/>
    <w:basedOn w:val="6"/>
    <w:qFormat/>
    <w:uiPriority w:val="0"/>
    <w:pPr>
      <w:ind w:firstLine="420"/>
    </w:pPr>
    <w:rPr>
      <w:szCs w:val="24"/>
      <w:lang w:val="zh-CN"/>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正文缩进1"/>
    <w:basedOn w:val="1"/>
    <w:qFormat/>
    <w:uiPriority w:val="0"/>
    <w:pPr>
      <w:spacing w:line="240" w:lineRule="auto"/>
      <w:ind w:firstLine="420"/>
    </w:pPr>
    <w:rPr>
      <w:rFonts w:ascii="Times New Roman" w:hAnsi="Times New Roman"/>
      <w:sz w:val="21"/>
      <w:szCs w:val="20"/>
    </w:rPr>
  </w:style>
  <w:style w:type="character" w:customStyle="1" w:styleId="16">
    <w:name w:val="font2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2272</Words>
  <Characters>2366</Characters>
  <TotalTime>32</TotalTime>
  <ScaleCrop>false</ScaleCrop>
  <LinksUpToDate>false</LinksUpToDate>
  <CharactersWithSpaces>2367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2023-07-07T09:55:00Z</dcterms:created>
  <dc:creator>Xu Xinkai</dc:creator>
  <cp:lastModifiedBy>待到尘埃落定时</cp:lastModifiedBy>
  <dcterms:modified xsi:type="dcterms:W3CDTF">2025-08-21T02:58:32Z</dcterms:modified>
  <dc:title>关于进一步推广政采云平台的汇报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2023-07-12T16:29:57Z</vt:filetime>
  </property>
  <property fmtid="{D5CDD505-2E9C-101B-9397-08002B2CF9AE}" pid="4" name="KSOProductBuildVer">
    <vt:lpwstr>2052-12.1.0.21915</vt:lpwstr>
  </property>
  <property fmtid="{D5CDD505-2E9C-101B-9397-08002B2CF9AE}" pid="5" name="ICV">
    <vt:lpwstr>ACF4FB32D77B4336BC55301BBE638D41_13</vt:lpwstr>
  </property>
  <property fmtid="{D5CDD505-2E9C-101B-9397-08002B2CF9AE}" pid="6" name="KSOTemplateDocerSaveRecord">
    <vt:lpwstr>eyJoZGlkIjoiYjk5ODM0YmMxOWJiYWQyNDU4MGIzYWRmYTA0ZmI5NDciLCJ1c2VySWQiOiI1NDYxNjc0MDMifQ==</vt:lpwstr>
  </property>
</Properties>
</file>