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38D46">
      <w:pPr>
        <w:pStyle w:val="3"/>
        <w:numPr>
          <w:ilvl w:val="1"/>
          <w:numId w:val="0"/>
        </w:numPr>
        <w:jc w:val="center"/>
        <w:rPr>
          <w:rFonts w:ascii="宋体" w:hAnsi="宋体" w:cs="宋体"/>
          <w:color w:val="auto"/>
          <w:sz w:val="30"/>
          <w:szCs w:val="30"/>
        </w:rPr>
      </w:pPr>
      <w:r>
        <w:rPr>
          <w:rFonts w:hint="eastAsia" w:ascii="宋体" w:hAnsi="宋体" w:cs="宋体"/>
          <w:color w:val="auto"/>
          <w:sz w:val="30"/>
          <w:szCs w:val="30"/>
        </w:rPr>
        <w:t>静安区闸北中心医院保安服务招标需求</w:t>
      </w:r>
    </w:p>
    <w:p w14:paraId="63A94BEF">
      <w:pPr>
        <w:pStyle w:val="3"/>
        <w:rPr>
          <w:rFonts w:ascii="宋体" w:hAnsi="宋体" w:cs="宋体"/>
          <w:color w:val="auto"/>
          <w:sz w:val="28"/>
          <w:szCs w:val="28"/>
        </w:rPr>
      </w:pPr>
      <w:r>
        <w:rPr>
          <w:rFonts w:hint="eastAsia" w:ascii="宋体" w:hAnsi="宋体" w:cs="宋体"/>
          <w:color w:val="auto"/>
          <w:sz w:val="28"/>
          <w:szCs w:val="28"/>
        </w:rPr>
        <w:t>项目概况</w:t>
      </w:r>
    </w:p>
    <w:p w14:paraId="00714CA2">
      <w:pPr>
        <w:ind w:firstLine="560" w:firstLineChars="200"/>
        <w:rPr>
          <w:rFonts w:ascii="宋体" w:hAnsi="宋体" w:cs="宋体"/>
          <w:color w:val="auto"/>
          <w:sz w:val="28"/>
          <w:szCs w:val="28"/>
        </w:rPr>
      </w:pPr>
      <w:r>
        <w:rPr>
          <w:rFonts w:hint="eastAsia" w:ascii="宋体" w:hAnsi="宋体" w:cs="宋体"/>
          <w:color w:val="auto"/>
          <w:sz w:val="28"/>
          <w:szCs w:val="28"/>
        </w:rPr>
        <w:t>上海市静安区闸北中心医院（原上海市闸北区中心医院）于1960年4月10日建立，1989年成为原闸北区红十字医院，2024年与同济大学合作共建同济大学附属闸北中心医院，与上海中医药大学合作成立上海中医药大学实习医院，占地面积39亩，业务用房建筑面积6.8万平方米。核定床位669张，拥有职工1000余人，是一所集医疗、急救、教学、科研、预防保健、康复等功能为一体的二级甲等综合性医院。</w:t>
      </w:r>
    </w:p>
    <w:p w14:paraId="55C8469B">
      <w:pPr>
        <w:ind w:firstLine="560" w:firstLineChars="200"/>
        <w:rPr>
          <w:rFonts w:ascii="宋体" w:hAnsi="宋体" w:cs="宋体"/>
          <w:color w:val="auto"/>
          <w:sz w:val="28"/>
          <w:szCs w:val="28"/>
        </w:rPr>
      </w:pPr>
      <w:r>
        <w:rPr>
          <w:rFonts w:hint="eastAsia" w:ascii="宋体" w:hAnsi="宋体" w:cs="宋体"/>
          <w:color w:val="auto"/>
          <w:sz w:val="28"/>
          <w:szCs w:val="28"/>
        </w:rPr>
        <w:t>招标范围：静安区闸北中心医院保安服务，主要任务为负责静安区闸北中心医院安全保卫、消防监控、维护医疗工作的正常秩序，预防和减少违法犯罪和治安灾害事故的发生，保障医院财产和员工、患者生命财产的24小时管理及院区治安巡逻；管理信件、报纸、快递；车辆停放；监控以及协助消防安全等工作。</w:t>
      </w:r>
    </w:p>
    <w:p w14:paraId="18BB4564">
      <w:pPr>
        <w:ind w:firstLine="560" w:firstLineChars="200"/>
        <w:rPr>
          <w:rFonts w:hint="eastAsia" w:ascii="宋体" w:hAnsi="宋体" w:eastAsia="宋体" w:cs="宋体"/>
          <w:color w:val="auto"/>
          <w:sz w:val="28"/>
          <w:szCs w:val="28"/>
          <w:lang w:val="en-US" w:eastAsia="zh-CN"/>
        </w:rPr>
      </w:pPr>
      <w:r>
        <w:rPr>
          <w:rFonts w:hint="eastAsia" w:ascii="宋体" w:hAnsi="宋体" w:cs="宋体"/>
          <w:color w:val="auto"/>
          <w:sz w:val="28"/>
          <w:szCs w:val="28"/>
        </w:rPr>
        <w:t>本项目采购预算：</w:t>
      </w:r>
      <w:r>
        <w:rPr>
          <w:rFonts w:hint="eastAsia" w:ascii="宋体" w:hAnsi="宋体" w:cs="宋体"/>
          <w:color w:val="auto"/>
          <w:sz w:val="28"/>
          <w:szCs w:val="28"/>
          <w:lang w:val="en-US" w:eastAsia="zh-CN"/>
        </w:rPr>
        <w:t>430万元</w:t>
      </w:r>
    </w:p>
    <w:p w14:paraId="26011A27">
      <w:pPr>
        <w:ind w:firstLine="560" w:firstLineChars="200"/>
        <w:rPr>
          <w:rFonts w:ascii="宋体" w:hAnsi="宋体" w:cs="宋体"/>
          <w:color w:val="auto"/>
          <w:sz w:val="28"/>
          <w:szCs w:val="28"/>
        </w:rPr>
      </w:pPr>
      <w:r>
        <w:rPr>
          <w:rFonts w:hint="eastAsia" w:ascii="宋体" w:hAnsi="宋体" w:cs="宋体"/>
          <w:color w:val="auto"/>
          <w:sz w:val="28"/>
          <w:szCs w:val="28"/>
        </w:rPr>
        <w:t>服务期限：一年。</w:t>
      </w:r>
    </w:p>
    <w:p w14:paraId="2C92AFCF">
      <w:pPr>
        <w:pStyle w:val="3"/>
        <w:spacing w:line="360" w:lineRule="exact"/>
        <w:rPr>
          <w:rFonts w:ascii="宋体" w:hAnsi="宋体" w:cs="宋体"/>
          <w:color w:val="auto"/>
          <w:kern w:val="0"/>
          <w:sz w:val="28"/>
          <w:szCs w:val="28"/>
        </w:rPr>
      </w:pPr>
      <w:r>
        <w:rPr>
          <w:rFonts w:hint="eastAsia" w:ascii="宋体" w:hAnsi="宋体" w:cs="宋体"/>
          <w:color w:val="auto"/>
          <w:sz w:val="28"/>
          <w:szCs w:val="28"/>
        </w:rPr>
        <w:t>保安</w:t>
      </w:r>
      <w:r>
        <w:rPr>
          <w:rFonts w:hint="eastAsia" w:ascii="宋体" w:hAnsi="宋体" w:cs="宋体"/>
          <w:color w:val="auto"/>
          <w:sz w:val="28"/>
          <w:szCs w:val="28"/>
          <w:lang w:eastAsia="zh-TW"/>
        </w:rPr>
        <w:t>服务企业资格要求</w:t>
      </w:r>
    </w:p>
    <w:p w14:paraId="5DE0CC5C">
      <w:pPr>
        <w:tabs>
          <w:tab w:val="right" w:pos="8332"/>
        </w:tabs>
        <w:autoSpaceDE w:val="0"/>
        <w:autoSpaceDN w:val="0"/>
        <w:adjustRightInd w:val="0"/>
        <w:ind w:firstLine="560" w:firstLineChars="200"/>
        <w:jc w:val="left"/>
        <w:rPr>
          <w:rFonts w:ascii="宋体" w:hAnsi="宋体" w:cs="宋体"/>
          <w:color w:val="auto"/>
          <w:kern w:val="0"/>
          <w:sz w:val="28"/>
          <w:szCs w:val="28"/>
        </w:rPr>
      </w:pPr>
      <w:r>
        <w:rPr>
          <w:rFonts w:hint="eastAsia" w:ascii="宋体" w:hAnsi="宋体" w:cs="宋体"/>
          <w:color w:val="auto"/>
          <w:kern w:val="0"/>
          <w:sz w:val="28"/>
          <w:szCs w:val="28"/>
        </w:rPr>
        <w:t>1、具有公安部颁发的保安服务许可证；</w:t>
      </w:r>
    </w:p>
    <w:p w14:paraId="493D952B">
      <w:pPr>
        <w:pStyle w:val="20"/>
        <w:ind w:firstLine="560" w:firstLineChars="200"/>
        <w:rPr>
          <w:rFonts w:ascii="宋体" w:hAnsi="宋体" w:eastAsia="宋体" w:cs="宋体"/>
          <w:color w:val="auto"/>
          <w:sz w:val="28"/>
          <w:szCs w:val="28"/>
        </w:rPr>
      </w:pPr>
      <w:r>
        <w:rPr>
          <w:rFonts w:hint="eastAsia" w:ascii="宋体" w:hAnsi="宋体" w:eastAsia="宋体" w:cs="宋体"/>
          <w:color w:val="auto"/>
          <w:kern w:val="0"/>
          <w:sz w:val="28"/>
          <w:szCs w:val="28"/>
        </w:rPr>
        <w:t>2、本项目不接受联合体投标，仅面向中小企业。</w:t>
      </w:r>
    </w:p>
    <w:p w14:paraId="03BB1CB8">
      <w:pPr>
        <w:pStyle w:val="3"/>
        <w:rPr>
          <w:rFonts w:ascii="宋体" w:hAnsi="宋体" w:cs="宋体"/>
          <w:color w:val="auto"/>
          <w:sz w:val="28"/>
          <w:szCs w:val="28"/>
        </w:rPr>
      </w:pPr>
      <w:r>
        <w:rPr>
          <w:rFonts w:hint="eastAsia" w:ascii="宋体" w:hAnsi="宋体" w:cs="宋体"/>
          <w:color w:val="auto"/>
          <w:sz w:val="28"/>
          <w:szCs w:val="28"/>
        </w:rPr>
        <w:t>岗位需求</w:t>
      </w:r>
    </w:p>
    <w:tbl>
      <w:tblPr>
        <w:tblStyle w:val="16"/>
        <w:tblpPr w:leftFromText="180" w:rightFromText="180" w:vertAnchor="text" w:horzAnchor="page" w:tblpX="1742" w:tblpY="907"/>
        <w:tblOverlap w:val="never"/>
        <w:tblW w:w="9002" w:type="dxa"/>
        <w:tblInd w:w="0" w:type="dxa"/>
        <w:tblLayout w:type="fixed"/>
        <w:tblCellMar>
          <w:top w:w="0" w:type="dxa"/>
          <w:left w:w="108" w:type="dxa"/>
          <w:bottom w:w="0" w:type="dxa"/>
          <w:right w:w="108" w:type="dxa"/>
        </w:tblCellMar>
      </w:tblPr>
      <w:tblGrid>
        <w:gridCol w:w="2284"/>
        <w:gridCol w:w="1253"/>
        <w:gridCol w:w="827"/>
        <w:gridCol w:w="827"/>
        <w:gridCol w:w="1893"/>
        <w:gridCol w:w="1918"/>
      </w:tblGrid>
      <w:tr w14:paraId="4BDFBEB3">
        <w:tblPrEx>
          <w:tblCellMar>
            <w:top w:w="0" w:type="dxa"/>
            <w:left w:w="108" w:type="dxa"/>
            <w:bottom w:w="0" w:type="dxa"/>
            <w:right w:w="108" w:type="dxa"/>
          </w:tblCellMar>
        </w:tblPrEx>
        <w:trPr>
          <w:trHeight w:val="559" w:hRule="atLeast"/>
        </w:trPr>
        <w:tc>
          <w:tcPr>
            <w:tcW w:w="2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3A280F">
            <w:pPr>
              <w:widowControl/>
              <w:jc w:val="center"/>
              <w:textAlignment w:val="center"/>
              <w:rPr>
                <w:rFonts w:ascii="宋体" w:hAnsi="宋体" w:cs="宋体"/>
                <w:color w:val="auto"/>
                <w:szCs w:val="24"/>
              </w:rPr>
            </w:pPr>
            <w:bookmarkStart w:id="0" w:name="_Toc145497095"/>
            <w:r>
              <w:rPr>
                <w:rFonts w:hint="eastAsia" w:ascii="宋体" w:hAnsi="宋体" w:cs="宋体"/>
                <w:color w:val="auto"/>
                <w:kern w:val="0"/>
                <w:szCs w:val="24"/>
                <w:lang w:bidi="ar"/>
              </w:rPr>
              <w:t>岗位名称</w:t>
            </w:r>
          </w:p>
        </w:tc>
        <w:tc>
          <w:tcPr>
            <w:tcW w:w="12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EDE52">
            <w:pPr>
              <w:widowControl/>
              <w:jc w:val="center"/>
              <w:textAlignment w:val="center"/>
              <w:rPr>
                <w:rFonts w:ascii="宋体" w:hAnsi="宋体" w:cs="宋体"/>
                <w:color w:val="auto"/>
                <w:szCs w:val="24"/>
              </w:rPr>
            </w:pPr>
            <w:r>
              <w:rPr>
                <w:rFonts w:hint="eastAsia" w:ascii="宋体" w:hAnsi="宋体" w:cs="宋体"/>
                <w:color w:val="auto"/>
                <w:kern w:val="0"/>
                <w:szCs w:val="24"/>
                <w:lang w:bidi="ar"/>
              </w:rPr>
              <w:t>岗位周期</w:t>
            </w:r>
          </w:p>
        </w:tc>
        <w:tc>
          <w:tcPr>
            <w:tcW w:w="827" w:type="dxa"/>
            <w:vMerge w:val="restart"/>
            <w:tcBorders>
              <w:top w:val="single" w:color="000000" w:sz="4" w:space="0"/>
              <w:left w:val="single" w:color="000000" w:sz="4" w:space="0"/>
              <w:right w:val="single" w:color="000000" w:sz="4" w:space="0"/>
            </w:tcBorders>
            <w:shd w:val="clear" w:color="auto" w:fill="auto"/>
            <w:vAlign w:val="center"/>
          </w:tcPr>
          <w:p w14:paraId="6F5A503C">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岗位配置</w:t>
            </w: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08AE5">
            <w:pPr>
              <w:widowControl/>
              <w:jc w:val="center"/>
              <w:textAlignment w:val="center"/>
              <w:rPr>
                <w:rFonts w:ascii="宋体" w:hAnsi="宋体" w:cs="宋体"/>
                <w:color w:val="auto"/>
                <w:szCs w:val="24"/>
              </w:rPr>
            </w:pPr>
            <w:r>
              <w:rPr>
                <w:rFonts w:hint="eastAsia" w:ascii="宋体" w:hAnsi="宋体" w:cs="宋体"/>
                <w:color w:val="auto"/>
                <w:kern w:val="0"/>
                <w:szCs w:val="24"/>
                <w:lang w:bidi="ar"/>
              </w:rPr>
              <w:t>工作时间</w:t>
            </w:r>
          </w:p>
        </w:tc>
        <w:tc>
          <w:tcPr>
            <w:tcW w:w="38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E488">
            <w:pPr>
              <w:widowControl/>
              <w:jc w:val="center"/>
              <w:textAlignment w:val="center"/>
              <w:rPr>
                <w:rFonts w:ascii="宋体" w:hAnsi="宋体" w:cs="宋体"/>
                <w:color w:val="auto"/>
                <w:szCs w:val="24"/>
              </w:rPr>
            </w:pPr>
            <w:r>
              <w:rPr>
                <w:rFonts w:hint="eastAsia" w:ascii="宋体" w:hAnsi="宋体" w:cs="宋体"/>
                <w:color w:val="auto"/>
                <w:kern w:val="0"/>
                <w:szCs w:val="24"/>
                <w:lang w:bidi="ar"/>
              </w:rPr>
              <w:t>工作时间</w:t>
            </w:r>
          </w:p>
        </w:tc>
      </w:tr>
      <w:tr w14:paraId="7755F5A9">
        <w:tblPrEx>
          <w:tblCellMar>
            <w:top w:w="0" w:type="dxa"/>
            <w:left w:w="108" w:type="dxa"/>
            <w:bottom w:w="0" w:type="dxa"/>
            <w:right w:w="108" w:type="dxa"/>
          </w:tblCellMar>
        </w:tblPrEx>
        <w:trPr>
          <w:trHeight w:val="479" w:hRule="atLeast"/>
        </w:trPr>
        <w:tc>
          <w:tcPr>
            <w:tcW w:w="2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1A547">
            <w:pPr>
              <w:jc w:val="center"/>
              <w:rPr>
                <w:rFonts w:ascii="宋体" w:hAnsi="宋体" w:cs="宋体"/>
                <w:color w:val="auto"/>
                <w:szCs w:val="24"/>
              </w:rPr>
            </w:pPr>
          </w:p>
        </w:tc>
        <w:tc>
          <w:tcPr>
            <w:tcW w:w="12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AC665">
            <w:pPr>
              <w:jc w:val="center"/>
              <w:rPr>
                <w:rFonts w:ascii="宋体" w:hAnsi="宋体" w:cs="宋体"/>
                <w:color w:val="auto"/>
                <w:szCs w:val="24"/>
              </w:rPr>
            </w:pPr>
          </w:p>
        </w:tc>
        <w:tc>
          <w:tcPr>
            <w:tcW w:w="827" w:type="dxa"/>
            <w:vMerge w:val="continue"/>
            <w:tcBorders>
              <w:left w:val="single" w:color="000000" w:sz="4" w:space="0"/>
              <w:bottom w:val="single" w:color="000000" w:sz="4" w:space="0"/>
              <w:right w:val="single" w:color="000000" w:sz="4" w:space="0"/>
            </w:tcBorders>
            <w:shd w:val="clear" w:color="auto" w:fill="auto"/>
            <w:vAlign w:val="center"/>
          </w:tcPr>
          <w:p w14:paraId="429DAAEE">
            <w:pPr>
              <w:jc w:val="center"/>
              <w:rPr>
                <w:rFonts w:ascii="宋体" w:hAnsi="宋体" w:cs="宋体"/>
                <w:color w:val="auto"/>
                <w:szCs w:val="24"/>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6D988">
            <w:pPr>
              <w:jc w:val="center"/>
              <w:rPr>
                <w:rFonts w:ascii="宋体" w:hAnsi="宋体" w:cs="宋体"/>
                <w:color w:val="auto"/>
                <w:szCs w:val="24"/>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9FD9B">
            <w:pPr>
              <w:widowControl/>
              <w:jc w:val="center"/>
              <w:textAlignment w:val="center"/>
              <w:rPr>
                <w:rFonts w:ascii="宋体" w:hAnsi="宋体" w:cs="宋体"/>
                <w:color w:val="auto"/>
                <w:szCs w:val="24"/>
              </w:rPr>
            </w:pPr>
            <w:r>
              <w:rPr>
                <w:rFonts w:hint="eastAsia" w:ascii="宋体" w:hAnsi="宋体" w:cs="宋体"/>
                <w:color w:val="auto"/>
                <w:kern w:val="0"/>
                <w:szCs w:val="24"/>
                <w:lang w:bidi="ar"/>
              </w:rPr>
              <w:t>作息时间</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31A2D">
            <w:pPr>
              <w:widowControl/>
              <w:jc w:val="center"/>
              <w:textAlignment w:val="center"/>
              <w:rPr>
                <w:rFonts w:ascii="宋体" w:hAnsi="宋体" w:cs="宋体"/>
                <w:color w:val="auto"/>
                <w:szCs w:val="24"/>
              </w:rPr>
            </w:pPr>
            <w:r>
              <w:rPr>
                <w:rFonts w:hint="eastAsia" w:ascii="宋体" w:hAnsi="宋体" w:cs="宋体"/>
                <w:color w:val="auto"/>
                <w:kern w:val="0"/>
                <w:szCs w:val="24"/>
                <w:lang w:bidi="ar"/>
              </w:rPr>
              <w:t>作息时间</w:t>
            </w:r>
          </w:p>
        </w:tc>
      </w:tr>
      <w:tr w14:paraId="3CE6FA35">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B069">
            <w:pPr>
              <w:widowControl/>
              <w:jc w:val="center"/>
              <w:textAlignment w:val="center"/>
              <w:rPr>
                <w:rFonts w:ascii="宋体" w:hAnsi="宋体" w:cs="宋体"/>
                <w:color w:val="auto"/>
                <w:szCs w:val="24"/>
              </w:rPr>
            </w:pPr>
            <w:r>
              <w:rPr>
                <w:rFonts w:hint="eastAsia" w:ascii="宋体" w:hAnsi="宋体" w:cs="宋体"/>
                <w:color w:val="auto"/>
                <w:kern w:val="0"/>
                <w:szCs w:val="24"/>
                <w:lang w:bidi="ar"/>
              </w:rPr>
              <w:t>队长</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442E">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做五休二</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60791">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8A42">
            <w:pPr>
              <w:widowControl/>
              <w:jc w:val="center"/>
              <w:textAlignment w:val="center"/>
              <w:rPr>
                <w:rFonts w:ascii="宋体" w:hAnsi="宋体" w:cs="宋体"/>
                <w:color w:val="auto"/>
                <w:szCs w:val="24"/>
              </w:rPr>
            </w:pPr>
            <w:r>
              <w:rPr>
                <w:rFonts w:hint="eastAsia" w:ascii="宋体" w:hAnsi="宋体" w:cs="宋体"/>
                <w:color w:val="auto"/>
                <w:kern w:val="0"/>
                <w:szCs w:val="24"/>
                <w:lang w:bidi="ar"/>
              </w:rPr>
              <w:t>8h</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0C0A">
            <w:pPr>
              <w:widowControl/>
              <w:jc w:val="center"/>
              <w:textAlignment w:val="center"/>
              <w:rPr>
                <w:rFonts w:ascii="宋体" w:hAnsi="宋体" w:cs="宋体"/>
                <w:color w:val="auto"/>
                <w:szCs w:val="24"/>
              </w:rPr>
            </w:pPr>
            <w:r>
              <w:rPr>
                <w:rFonts w:hint="eastAsia" w:ascii="宋体" w:hAnsi="宋体" w:cs="宋体"/>
                <w:color w:val="auto"/>
                <w:kern w:val="0"/>
                <w:szCs w:val="24"/>
                <w:lang w:bidi="ar"/>
              </w:rPr>
              <w:t>08:00-17:00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CD440">
            <w:pPr>
              <w:jc w:val="center"/>
              <w:rPr>
                <w:rFonts w:ascii="宋体" w:hAnsi="宋体" w:cs="宋体"/>
                <w:color w:val="auto"/>
                <w:szCs w:val="24"/>
              </w:rPr>
            </w:pPr>
          </w:p>
        </w:tc>
      </w:tr>
      <w:tr w14:paraId="6C82CE39">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B4B11">
            <w:pPr>
              <w:widowControl/>
              <w:jc w:val="center"/>
              <w:textAlignment w:val="center"/>
              <w:rPr>
                <w:rFonts w:ascii="宋体" w:hAnsi="宋体" w:cs="宋体"/>
                <w:color w:val="auto"/>
                <w:szCs w:val="24"/>
              </w:rPr>
            </w:pPr>
            <w:r>
              <w:rPr>
                <w:rFonts w:hint="eastAsia" w:ascii="宋体" w:hAnsi="宋体" w:cs="宋体"/>
                <w:color w:val="auto"/>
                <w:kern w:val="0"/>
                <w:szCs w:val="24"/>
                <w:lang w:bidi="ar"/>
              </w:rPr>
              <w:t>领班</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77E8">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1BE4">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91E9">
            <w:pPr>
              <w:widowControl/>
              <w:jc w:val="center"/>
              <w:textAlignment w:val="center"/>
              <w:rPr>
                <w:rFonts w:ascii="宋体" w:hAnsi="宋体" w:cs="宋体"/>
                <w:color w:val="auto"/>
                <w:szCs w:val="24"/>
              </w:rPr>
            </w:pPr>
            <w:r>
              <w:rPr>
                <w:rFonts w:hint="eastAsia" w:ascii="宋体" w:hAnsi="宋体" w:cs="宋体"/>
                <w:color w:val="auto"/>
                <w:kern w:val="0"/>
                <w:szCs w:val="24"/>
                <w:lang w:bidi="ar"/>
              </w:rPr>
              <w:t>12h</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DA62E">
            <w:pPr>
              <w:widowControl/>
              <w:jc w:val="center"/>
              <w:textAlignment w:val="center"/>
              <w:rPr>
                <w:rFonts w:ascii="宋体" w:hAnsi="宋体" w:cs="宋体"/>
                <w:color w:val="auto"/>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8AE7">
            <w:pPr>
              <w:widowControl/>
              <w:jc w:val="center"/>
              <w:textAlignment w:val="center"/>
              <w:rPr>
                <w:rFonts w:ascii="宋体" w:hAnsi="宋体" w:cs="宋体"/>
                <w:color w:val="auto"/>
                <w:szCs w:val="24"/>
              </w:rPr>
            </w:pPr>
            <w:r>
              <w:rPr>
                <w:rFonts w:hint="eastAsia" w:ascii="宋体" w:hAnsi="宋体" w:cs="宋体"/>
                <w:color w:val="auto"/>
                <w:kern w:val="0"/>
                <w:szCs w:val="24"/>
                <w:lang w:bidi="ar"/>
              </w:rPr>
              <w:t>19:00-07:00</w:t>
            </w:r>
          </w:p>
        </w:tc>
      </w:tr>
      <w:tr w14:paraId="12C4F8E5">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6BE2">
            <w:pPr>
              <w:widowControl/>
              <w:jc w:val="center"/>
              <w:textAlignment w:val="center"/>
              <w:rPr>
                <w:rFonts w:ascii="宋体" w:hAnsi="宋体" w:cs="宋体"/>
                <w:color w:val="auto"/>
                <w:szCs w:val="24"/>
              </w:rPr>
            </w:pPr>
            <w:r>
              <w:rPr>
                <w:rFonts w:hint="eastAsia" w:ascii="宋体" w:hAnsi="宋体" w:cs="宋体"/>
                <w:color w:val="auto"/>
                <w:kern w:val="0"/>
                <w:szCs w:val="24"/>
                <w:lang w:bidi="ar"/>
              </w:rPr>
              <w:t>大门岗</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8081">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4D4A">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D369">
            <w:pPr>
              <w:widowControl/>
              <w:jc w:val="center"/>
              <w:textAlignment w:val="center"/>
              <w:rPr>
                <w:rFonts w:ascii="宋体" w:hAnsi="宋体" w:cs="宋体"/>
                <w:color w:val="auto"/>
                <w:szCs w:val="24"/>
              </w:rPr>
            </w:pPr>
            <w:r>
              <w:rPr>
                <w:rFonts w:hint="eastAsia" w:ascii="宋体" w:hAnsi="宋体" w:cs="宋体"/>
                <w:color w:val="auto"/>
                <w:kern w:val="0"/>
                <w:szCs w:val="24"/>
                <w:lang w:bidi="ar"/>
              </w:rPr>
              <w:t>24h</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17267">
            <w:pPr>
              <w:widowControl/>
              <w:jc w:val="center"/>
              <w:textAlignment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2C98C">
            <w:pPr>
              <w:jc w:val="center"/>
              <w:rPr>
                <w:rFonts w:ascii="宋体" w:hAnsi="宋体" w:cs="宋体"/>
                <w:color w:val="auto"/>
                <w:szCs w:val="24"/>
              </w:rPr>
            </w:pPr>
            <w:r>
              <w:rPr>
                <w:rFonts w:hint="eastAsia" w:ascii="宋体" w:hAnsi="宋体" w:cs="宋体"/>
                <w:color w:val="auto"/>
                <w:kern w:val="0"/>
                <w:szCs w:val="24"/>
                <w:lang w:bidi="ar"/>
              </w:rPr>
              <w:t>19:00-07:00</w:t>
            </w:r>
          </w:p>
        </w:tc>
      </w:tr>
      <w:tr w14:paraId="7C0818AF">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2EB6">
            <w:pPr>
              <w:widowControl/>
              <w:jc w:val="center"/>
              <w:textAlignment w:val="center"/>
              <w:rPr>
                <w:rFonts w:ascii="宋体" w:hAnsi="宋体" w:cs="宋体"/>
                <w:color w:val="auto"/>
                <w:szCs w:val="24"/>
              </w:rPr>
            </w:pPr>
            <w:r>
              <w:rPr>
                <w:rFonts w:hint="eastAsia" w:ascii="宋体" w:hAnsi="宋体" w:cs="宋体"/>
                <w:color w:val="auto"/>
                <w:kern w:val="0"/>
                <w:szCs w:val="24"/>
                <w:lang w:bidi="ar"/>
              </w:rPr>
              <w:t>大门安检岗</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ADC4">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B949">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7FDF">
            <w:pPr>
              <w:widowControl/>
              <w:jc w:val="center"/>
              <w:textAlignment w:val="center"/>
              <w:rPr>
                <w:rFonts w:ascii="宋体" w:hAnsi="宋体" w:cs="宋体"/>
                <w:color w:val="auto"/>
                <w:szCs w:val="24"/>
              </w:rPr>
            </w:pPr>
            <w:r>
              <w:rPr>
                <w:rFonts w:hint="eastAsia" w:ascii="宋体" w:hAnsi="宋体" w:cs="宋体"/>
                <w:color w:val="auto"/>
                <w:kern w:val="0"/>
                <w:szCs w:val="24"/>
                <w:lang w:bidi="ar"/>
              </w:rPr>
              <w:t>24h</w:t>
            </w:r>
          </w:p>
        </w:tc>
        <w:tc>
          <w:tcPr>
            <w:tcW w:w="1893" w:type="dxa"/>
            <w:tcBorders>
              <w:top w:val="nil"/>
              <w:left w:val="nil"/>
              <w:bottom w:val="nil"/>
              <w:right w:val="nil"/>
            </w:tcBorders>
            <w:shd w:val="clear" w:color="auto" w:fill="auto"/>
            <w:noWrap/>
            <w:vAlign w:val="center"/>
          </w:tcPr>
          <w:p w14:paraId="27FD2CD2">
            <w:pPr>
              <w:jc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008EE">
            <w:pPr>
              <w:widowControl/>
              <w:jc w:val="center"/>
              <w:textAlignment w:val="center"/>
              <w:rPr>
                <w:rFonts w:ascii="宋体" w:hAnsi="宋体" w:cs="宋体"/>
                <w:color w:val="auto"/>
                <w:szCs w:val="24"/>
              </w:rPr>
            </w:pPr>
            <w:r>
              <w:rPr>
                <w:rFonts w:hint="eastAsia" w:ascii="宋体" w:hAnsi="宋体" w:cs="宋体"/>
                <w:color w:val="auto"/>
                <w:kern w:val="0"/>
                <w:szCs w:val="24"/>
                <w:lang w:bidi="ar"/>
              </w:rPr>
              <w:t xml:space="preserve">19:00-07:00 </w:t>
            </w:r>
          </w:p>
        </w:tc>
      </w:tr>
      <w:tr w14:paraId="611402F2">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6DC5">
            <w:pPr>
              <w:widowControl/>
              <w:jc w:val="center"/>
              <w:textAlignment w:val="center"/>
              <w:rPr>
                <w:rFonts w:ascii="宋体" w:hAnsi="宋体" w:cs="宋体"/>
                <w:color w:val="auto"/>
                <w:szCs w:val="24"/>
              </w:rPr>
            </w:pPr>
            <w:r>
              <w:rPr>
                <w:rFonts w:hint="eastAsia" w:ascii="宋体" w:hAnsi="宋体" w:cs="宋体"/>
                <w:color w:val="auto"/>
                <w:kern w:val="0"/>
                <w:szCs w:val="24"/>
                <w:lang w:bidi="ar"/>
              </w:rPr>
              <w:t>行政楼门岗</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BD9EB">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B5C9F">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C92AD">
            <w:pPr>
              <w:widowControl/>
              <w:jc w:val="center"/>
              <w:textAlignment w:val="center"/>
              <w:rPr>
                <w:rFonts w:ascii="宋体" w:hAnsi="宋体" w:cs="宋体"/>
                <w:color w:val="auto"/>
                <w:szCs w:val="24"/>
              </w:rPr>
            </w:pPr>
            <w:r>
              <w:rPr>
                <w:rFonts w:hint="eastAsia" w:ascii="宋体" w:hAnsi="宋体" w:cs="宋体"/>
                <w:color w:val="auto"/>
                <w:kern w:val="0"/>
                <w:szCs w:val="24"/>
                <w:lang w:bidi="ar"/>
              </w:rPr>
              <w:t>24h</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4F4B">
            <w:pPr>
              <w:widowControl/>
              <w:jc w:val="center"/>
              <w:textAlignment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A91A0">
            <w:pPr>
              <w:widowControl/>
              <w:jc w:val="center"/>
              <w:textAlignment w:val="center"/>
              <w:rPr>
                <w:rFonts w:ascii="宋体" w:hAnsi="宋体" w:cs="宋体"/>
                <w:color w:val="auto"/>
                <w:szCs w:val="24"/>
              </w:rPr>
            </w:pPr>
            <w:r>
              <w:rPr>
                <w:rFonts w:hint="eastAsia" w:ascii="宋体" w:hAnsi="宋体" w:cs="宋体"/>
                <w:color w:val="auto"/>
                <w:kern w:val="0"/>
                <w:szCs w:val="24"/>
                <w:lang w:bidi="ar"/>
              </w:rPr>
              <w:t>19:00-07:00</w:t>
            </w:r>
          </w:p>
        </w:tc>
      </w:tr>
      <w:tr w14:paraId="763963F0">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DEC9">
            <w:pPr>
              <w:widowControl/>
              <w:jc w:val="center"/>
              <w:textAlignment w:val="center"/>
              <w:rPr>
                <w:rFonts w:ascii="宋体" w:hAnsi="宋体" w:cs="宋体"/>
                <w:color w:val="auto"/>
                <w:szCs w:val="24"/>
              </w:rPr>
            </w:pPr>
            <w:r>
              <w:rPr>
                <w:rFonts w:hint="eastAsia" w:ascii="宋体" w:hAnsi="宋体" w:cs="宋体"/>
                <w:color w:val="auto"/>
                <w:kern w:val="0"/>
                <w:szCs w:val="24"/>
                <w:lang w:bidi="ar"/>
              </w:rPr>
              <w:t>急诊大厅岗</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54B8E">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2608">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6B067">
            <w:pPr>
              <w:widowControl/>
              <w:jc w:val="center"/>
              <w:textAlignment w:val="center"/>
              <w:rPr>
                <w:rFonts w:ascii="宋体" w:hAnsi="宋体" w:cs="宋体"/>
                <w:color w:val="auto"/>
                <w:szCs w:val="24"/>
              </w:rPr>
            </w:pPr>
            <w:r>
              <w:rPr>
                <w:rFonts w:hint="eastAsia" w:ascii="宋体" w:hAnsi="宋体" w:cs="宋体"/>
                <w:color w:val="auto"/>
                <w:kern w:val="0"/>
                <w:szCs w:val="24"/>
                <w:lang w:bidi="ar"/>
              </w:rPr>
              <w:t>24h</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C168">
            <w:pPr>
              <w:widowControl/>
              <w:jc w:val="center"/>
              <w:textAlignment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9AC12">
            <w:pPr>
              <w:widowControl/>
              <w:jc w:val="center"/>
              <w:textAlignment w:val="center"/>
              <w:rPr>
                <w:rFonts w:ascii="宋体" w:hAnsi="宋体" w:cs="宋体"/>
                <w:color w:val="auto"/>
                <w:szCs w:val="24"/>
              </w:rPr>
            </w:pPr>
            <w:r>
              <w:rPr>
                <w:rFonts w:hint="eastAsia" w:ascii="宋体" w:hAnsi="宋体" w:cs="宋体"/>
                <w:color w:val="auto"/>
                <w:kern w:val="0"/>
                <w:szCs w:val="24"/>
                <w:lang w:bidi="ar"/>
              </w:rPr>
              <w:t>19:00-07:00</w:t>
            </w:r>
          </w:p>
        </w:tc>
      </w:tr>
      <w:tr w14:paraId="098CED09">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C98D9">
            <w:pPr>
              <w:widowControl/>
              <w:jc w:val="center"/>
              <w:textAlignment w:val="center"/>
              <w:rPr>
                <w:rFonts w:ascii="宋体" w:hAnsi="宋体" w:cs="宋体"/>
                <w:color w:val="auto"/>
                <w:szCs w:val="24"/>
              </w:rPr>
            </w:pPr>
            <w:r>
              <w:rPr>
                <w:rFonts w:hint="eastAsia" w:ascii="宋体" w:hAnsi="宋体" w:cs="宋体"/>
                <w:color w:val="auto"/>
                <w:kern w:val="0"/>
                <w:szCs w:val="24"/>
                <w:lang w:bidi="ar"/>
              </w:rPr>
              <w:t>门诊大厅安检岗</w:t>
            </w:r>
          </w:p>
        </w:tc>
        <w:tc>
          <w:tcPr>
            <w:tcW w:w="12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EE7EA">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3418C">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1340F">
            <w:pPr>
              <w:widowControl/>
              <w:jc w:val="center"/>
              <w:textAlignment w:val="center"/>
              <w:rPr>
                <w:rFonts w:ascii="宋体" w:hAnsi="宋体" w:cs="宋体"/>
                <w:color w:val="auto"/>
                <w:szCs w:val="24"/>
              </w:rPr>
            </w:pPr>
            <w:r>
              <w:rPr>
                <w:rFonts w:ascii="宋体" w:hAnsi="宋体" w:cs="宋体"/>
                <w:color w:val="auto"/>
                <w:kern w:val="0"/>
                <w:szCs w:val="24"/>
                <w:lang w:bidi="ar"/>
              </w:rPr>
              <w:t>12</w:t>
            </w:r>
            <w:r>
              <w:rPr>
                <w:rFonts w:hint="eastAsia" w:ascii="宋体" w:hAnsi="宋体" w:cs="宋体"/>
                <w:color w:val="auto"/>
                <w:kern w:val="0"/>
                <w:szCs w:val="24"/>
                <w:lang w:bidi="ar"/>
              </w:rPr>
              <w:t>h</w:t>
            </w:r>
          </w:p>
        </w:tc>
        <w:tc>
          <w:tcPr>
            <w:tcW w:w="18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C28EFB">
            <w:pPr>
              <w:widowControl/>
              <w:jc w:val="center"/>
              <w:textAlignment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3D5A7">
            <w:pPr>
              <w:jc w:val="center"/>
              <w:rPr>
                <w:rFonts w:ascii="宋体" w:hAnsi="宋体" w:cs="宋体"/>
                <w:color w:val="auto"/>
                <w:szCs w:val="24"/>
              </w:rPr>
            </w:pPr>
          </w:p>
        </w:tc>
      </w:tr>
      <w:tr w14:paraId="179A7EC8">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51E83">
            <w:pPr>
              <w:widowControl/>
              <w:jc w:val="center"/>
              <w:textAlignment w:val="center"/>
              <w:rPr>
                <w:rFonts w:ascii="宋体" w:hAnsi="宋体" w:cs="宋体"/>
                <w:color w:val="auto"/>
                <w:szCs w:val="24"/>
              </w:rPr>
            </w:pPr>
            <w:r>
              <w:rPr>
                <w:rFonts w:hint="eastAsia" w:ascii="宋体" w:hAnsi="宋体" w:cs="宋体"/>
                <w:color w:val="auto"/>
                <w:kern w:val="0"/>
                <w:szCs w:val="24"/>
                <w:lang w:bidi="ar"/>
              </w:rPr>
              <w:t>巡逻岗</w:t>
            </w:r>
          </w:p>
        </w:tc>
        <w:tc>
          <w:tcPr>
            <w:tcW w:w="12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7F710">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1B539">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双岗</w:t>
            </w:r>
          </w:p>
        </w:tc>
        <w:tc>
          <w:tcPr>
            <w:tcW w:w="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28DB8">
            <w:pPr>
              <w:widowControl/>
              <w:jc w:val="center"/>
              <w:textAlignment w:val="center"/>
              <w:rPr>
                <w:rFonts w:ascii="宋体" w:hAnsi="宋体" w:cs="宋体"/>
                <w:color w:val="auto"/>
                <w:szCs w:val="24"/>
              </w:rPr>
            </w:pPr>
            <w:r>
              <w:rPr>
                <w:rFonts w:hint="eastAsia" w:ascii="宋体" w:hAnsi="宋体" w:cs="宋体"/>
                <w:color w:val="auto"/>
                <w:kern w:val="0"/>
                <w:szCs w:val="24"/>
                <w:lang w:bidi="ar"/>
              </w:rPr>
              <w:t>24h</w:t>
            </w:r>
          </w:p>
        </w:tc>
        <w:tc>
          <w:tcPr>
            <w:tcW w:w="18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12219">
            <w:pPr>
              <w:widowControl/>
              <w:jc w:val="center"/>
              <w:textAlignment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7B8CA">
            <w:pPr>
              <w:widowControl/>
              <w:jc w:val="center"/>
              <w:textAlignment w:val="center"/>
              <w:rPr>
                <w:rFonts w:ascii="宋体" w:hAnsi="宋体" w:cs="宋体"/>
                <w:color w:val="auto"/>
                <w:szCs w:val="24"/>
              </w:rPr>
            </w:pPr>
            <w:r>
              <w:rPr>
                <w:rFonts w:hint="eastAsia" w:ascii="宋体" w:hAnsi="宋体" w:cs="宋体"/>
                <w:color w:val="auto"/>
                <w:kern w:val="0"/>
                <w:szCs w:val="24"/>
                <w:lang w:bidi="ar"/>
              </w:rPr>
              <w:t>19:00-07:00</w:t>
            </w:r>
          </w:p>
        </w:tc>
      </w:tr>
      <w:tr w14:paraId="4002D01A">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8F4B">
            <w:pPr>
              <w:widowControl/>
              <w:jc w:val="center"/>
              <w:textAlignment w:val="center"/>
              <w:rPr>
                <w:rFonts w:ascii="宋体" w:hAnsi="宋体" w:cs="宋体"/>
                <w:color w:val="auto"/>
                <w:szCs w:val="24"/>
              </w:rPr>
            </w:pPr>
            <w:r>
              <w:rPr>
                <w:rFonts w:hint="eastAsia" w:ascii="宋体" w:hAnsi="宋体" w:cs="宋体"/>
                <w:color w:val="auto"/>
                <w:kern w:val="0"/>
                <w:szCs w:val="24"/>
                <w:lang w:bidi="ar"/>
              </w:rPr>
              <w:t>2号楼门岗</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CEE83">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74476">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单岗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E29A">
            <w:pPr>
              <w:widowControl/>
              <w:jc w:val="center"/>
              <w:textAlignment w:val="center"/>
              <w:rPr>
                <w:rFonts w:ascii="宋体" w:hAnsi="宋体" w:cs="宋体"/>
                <w:color w:val="auto"/>
                <w:szCs w:val="24"/>
              </w:rPr>
            </w:pPr>
            <w:r>
              <w:rPr>
                <w:rFonts w:hint="eastAsia" w:ascii="宋体" w:hAnsi="宋体" w:cs="宋体"/>
                <w:color w:val="auto"/>
                <w:kern w:val="0"/>
                <w:szCs w:val="24"/>
                <w:lang w:bidi="ar"/>
              </w:rPr>
              <w:t>12h</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F3F90">
            <w:pPr>
              <w:widowControl/>
              <w:jc w:val="center"/>
              <w:textAlignment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431CC">
            <w:pPr>
              <w:jc w:val="center"/>
              <w:rPr>
                <w:rFonts w:ascii="宋体" w:hAnsi="宋体" w:cs="宋体"/>
                <w:color w:val="auto"/>
                <w:szCs w:val="24"/>
              </w:rPr>
            </w:pPr>
          </w:p>
        </w:tc>
      </w:tr>
      <w:tr w14:paraId="4175D75B">
        <w:tblPrEx>
          <w:tblCellMar>
            <w:top w:w="0" w:type="dxa"/>
            <w:left w:w="108" w:type="dxa"/>
            <w:bottom w:w="0" w:type="dxa"/>
            <w:right w:w="108" w:type="dxa"/>
          </w:tblCellMar>
        </w:tblPrEx>
        <w:trPr>
          <w:trHeight w:val="702" w:hRule="atLeast"/>
        </w:trPr>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0741">
            <w:pPr>
              <w:widowControl/>
              <w:jc w:val="center"/>
              <w:textAlignment w:val="center"/>
              <w:rPr>
                <w:rFonts w:ascii="宋体" w:hAnsi="宋体" w:cs="宋体"/>
                <w:color w:val="auto"/>
                <w:szCs w:val="24"/>
              </w:rPr>
            </w:pPr>
            <w:r>
              <w:rPr>
                <w:rFonts w:hint="eastAsia" w:ascii="宋体" w:hAnsi="宋体" w:cs="宋体"/>
                <w:color w:val="auto"/>
                <w:kern w:val="0"/>
                <w:szCs w:val="24"/>
                <w:lang w:bidi="ar"/>
              </w:rPr>
              <w:t>监控室</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93161">
            <w:pPr>
              <w:widowControl/>
              <w:jc w:val="center"/>
              <w:textAlignment w:val="center"/>
              <w:rPr>
                <w:rFonts w:ascii="宋体" w:hAnsi="宋体" w:cs="宋体"/>
                <w:color w:val="auto"/>
                <w:szCs w:val="24"/>
              </w:rPr>
            </w:pPr>
            <w:r>
              <w:rPr>
                <w:rFonts w:hint="eastAsia" w:ascii="宋体" w:hAnsi="宋体" w:cs="宋体"/>
                <w:color w:val="auto"/>
                <w:kern w:val="0"/>
                <w:szCs w:val="24"/>
                <w:lang w:bidi="ar"/>
              </w:rPr>
              <w:t>做一休一</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C4E36">
            <w:pPr>
              <w:widowControl/>
              <w:jc w:val="center"/>
              <w:textAlignment w:val="center"/>
              <w:rPr>
                <w:rFonts w:ascii="宋体" w:hAnsi="宋体" w:cs="宋体"/>
                <w:color w:val="auto"/>
                <w:kern w:val="0"/>
                <w:szCs w:val="24"/>
                <w:lang w:bidi="ar"/>
              </w:rPr>
            </w:pPr>
            <w:r>
              <w:rPr>
                <w:rFonts w:hint="eastAsia" w:ascii="宋体" w:hAnsi="宋体" w:cs="宋体"/>
                <w:color w:val="auto"/>
                <w:kern w:val="0"/>
                <w:szCs w:val="24"/>
                <w:lang w:bidi="ar"/>
              </w:rPr>
              <w:t>双岗</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86C46">
            <w:pPr>
              <w:widowControl/>
              <w:jc w:val="center"/>
              <w:textAlignment w:val="center"/>
              <w:rPr>
                <w:rFonts w:ascii="宋体" w:hAnsi="宋体" w:cs="宋体"/>
                <w:color w:val="auto"/>
                <w:szCs w:val="24"/>
              </w:rPr>
            </w:pPr>
            <w:r>
              <w:rPr>
                <w:rFonts w:hint="eastAsia" w:ascii="宋体" w:hAnsi="宋体" w:cs="宋体"/>
                <w:color w:val="auto"/>
                <w:kern w:val="0"/>
                <w:szCs w:val="24"/>
                <w:lang w:bidi="ar"/>
              </w:rPr>
              <w:t>24h</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AB37">
            <w:pPr>
              <w:widowControl/>
              <w:jc w:val="center"/>
              <w:textAlignment w:val="center"/>
              <w:rPr>
                <w:rFonts w:ascii="宋体" w:hAnsi="宋体" w:cs="宋体"/>
                <w:color w:val="auto"/>
                <w:szCs w:val="24"/>
              </w:rPr>
            </w:pPr>
            <w:r>
              <w:rPr>
                <w:rFonts w:hint="eastAsia" w:ascii="宋体" w:hAnsi="宋体" w:cs="宋体"/>
                <w:color w:val="auto"/>
                <w:kern w:val="0"/>
                <w:szCs w:val="24"/>
                <w:lang w:bidi="ar"/>
              </w:rPr>
              <w:t>07:00-19:00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6BF17">
            <w:pPr>
              <w:widowControl/>
              <w:jc w:val="center"/>
              <w:textAlignment w:val="center"/>
              <w:rPr>
                <w:rFonts w:ascii="宋体" w:hAnsi="宋体" w:cs="宋体"/>
                <w:color w:val="auto"/>
                <w:szCs w:val="24"/>
              </w:rPr>
            </w:pPr>
            <w:r>
              <w:rPr>
                <w:rFonts w:hint="eastAsia" w:ascii="宋体" w:hAnsi="宋体" w:cs="宋体"/>
                <w:color w:val="auto"/>
                <w:kern w:val="0"/>
                <w:szCs w:val="24"/>
                <w:lang w:bidi="ar"/>
              </w:rPr>
              <w:t>19:00-07:00</w:t>
            </w:r>
          </w:p>
        </w:tc>
      </w:tr>
      <w:tr w14:paraId="11B9BC82">
        <w:tblPrEx>
          <w:tblCellMar>
            <w:top w:w="0" w:type="dxa"/>
            <w:left w:w="108" w:type="dxa"/>
            <w:bottom w:w="0" w:type="dxa"/>
            <w:right w:w="108" w:type="dxa"/>
          </w:tblCellMar>
        </w:tblPrEx>
        <w:trPr>
          <w:trHeight w:val="702" w:hRule="atLeast"/>
        </w:trPr>
        <w:tc>
          <w:tcPr>
            <w:tcW w:w="9002" w:type="dxa"/>
            <w:gridSpan w:val="6"/>
            <w:tcBorders>
              <w:top w:val="single" w:color="000000" w:sz="4" w:space="0"/>
              <w:left w:val="single" w:color="000000" w:sz="4" w:space="0"/>
              <w:bottom w:val="single" w:color="000000" w:sz="4" w:space="0"/>
              <w:right w:val="single" w:color="000000" w:sz="4" w:space="0"/>
            </w:tcBorders>
            <w:shd w:val="clear" w:color="auto" w:fill="F2F2F2"/>
            <w:vAlign w:val="center"/>
          </w:tcPr>
          <w:p w14:paraId="57D50E48">
            <w:pPr>
              <w:jc w:val="left"/>
              <w:rPr>
                <w:rFonts w:ascii="宋体" w:hAnsi="宋体" w:cs="宋体"/>
                <w:b/>
                <w:bCs/>
                <w:color w:val="auto"/>
                <w:szCs w:val="24"/>
              </w:rPr>
            </w:pPr>
            <w:r>
              <w:rPr>
                <w:rFonts w:hint="eastAsia" w:ascii="宋体" w:hAnsi="宋体" w:cs="宋体"/>
                <w:b/>
                <w:bCs/>
                <w:color w:val="auto"/>
                <w:szCs w:val="24"/>
              </w:rPr>
              <w:t>备注：根据岗位设置需合理安排安保人员配置，岗位人数必须符合国家劳动法及相关政策规定。</w:t>
            </w:r>
          </w:p>
        </w:tc>
      </w:tr>
    </w:tbl>
    <w:p w14:paraId="749E7DF9">
      <w:pPr>
        <w:rPr>
          <w:rFonts w:ascii="宋体" w:hAnsi="宋体" w:cs="宋体"/>
          <w:color w:val="auto"/>
          <w:sz w:val="28"/>
          <w:szCs w:val="28"/>
        </w:rPr>
      </w:pPr>
      <w:r>
        <w:rPr>
          <w:rFonts w:hint="eastAsia" w:ascii="宋体" w:hAnsi="宋体" w:cs="宋体"/>
          <w:color w:val="auto"/>
          <w:sz w:val="28"/>
          <w:szCs w:val="28"/>
        </w:rPr>
        <w:br w:type="page"/>
      </w:r>
    </w:p>
    <w:p w14:paraId="457505C7">
      <w:pPr>
        <w:pStyle w:val="3"/>
        <w:rPr>
          <w:rFonts w:ascii="宋体" w:hAnsi="宋体" w:cs="宋体"/>
          <w:color w:val="auto"/>
          <w:sz w:val="28"/>
          <w:szCs w:val="28"/>
        </w:rPr>
      </w:pPr>
      <w:r>
        <w:rPr>
          <w:rFonts w:hint="eastAsia" w:ascii="宋体" w:hAnsi="宋体" w:cs="宋体"/>
          <w:color w:val="auto"/>
          <w:sz w:val="28"/>
          <w:szCs w:val="28"/>
        </w:rPr>
        <w:t>人员要求：</w:t>
      </w:r>
    </w:p>
    <w:p w14:paraId="78AAA8AC">
      <w:pPr>
        <w:ind w:left="18" w:firstLine="560" w:firstLineChars="200"/>
        <w:jc w:val="left"/>
        <w:rPr>
          <w:rFonts w:ascii="宋体" w:hAnsi="宋体" w:cs="宋体"/>
          <w:color w:val="auto"/>
          <w:sz w:val="28"/>
          <w:szCs w:val="28"/>
        </w:rPr>
      </w:pPr>
      <w:r>
        <w:rPr>
          <w:rFonts w:hint="eastAsia" w:ascii="宋体" w:hAnsi="宋体" w:cs="宋体"/>
          <w:color w:val="auto"/>
          <w:sz w:val="28"/>
          <w:szCs w:val="28"/>
        </w:rPr>
        <w:t>1、所有服务人员须符合法定劳动年龄、身体健康、适合医院工作环境、具有无犯罪记录。所有安保人员必须具有保安员证及医院保安员专项培训资格证书。</w:t>
      </w:r>
    </w:p>
    <w:p w14:paraId="2108303A">
      <w:pPr>
        <w:ind w:left="3" w:firstLine="560" w:firstLineChars="200"/>
        <w:jc w:val="left"/>
        <w:rPr>
          <w:rFonts w:ascii="宋体" w:hAnsi="宋体" w:cs="宋体"/>
          <w:color w:val="auto"/>
          <w:sz w:val="28"/>
          <w:szCs w:val="28"/>
        </w:rPr>
      </w:pPr>
      <w:r>
        <w:rPr>
          <w:rFonts w:hint="eastAsia" w:ascii="宋体" w:hAnsi="宋体" w:cs="宋体"/>
          <w:color w:val="auto"/>
          <w:sz w:val="28"/>
          <w:szCs w:val="28"/>
        </w:rPr>
        <w:t>2、人员必须相对固定，避免经常更换，人员如有更换，需提前告知甲方并取得甲方同意。</w:t>
      </w:r>
    </w:p>
    <w:p w14:paraId="46D45F5B">
      <w:pPr>
        <w:ind w:left="5" w:firstLine="560" w:firstLineChars="200"/>
        <w:jc w:val="left"/>
        <w:rPr>
          <w:rFonts w:ascii="宋体" w:hAnsi="宋体" w:cs="宋体"/>
          <w:color w:val="auto"/>
          <w:sz w:val="28"/>
          <w:szCs w:val="28"/>
        </w:rPr>
      </w:pPr>
      <w:r>
        <w:rPr>
          <w:rFonts w:hint="eastAsia" w:ascii="宋体" w:hAnsi="宋体" w:cs="宋体"/>
          <w:color w:val="auto"/>
          <w:sz w:val="28"/>
          <w:szCs w:val="28"/>
        </w:rPr>
        <w:t>4、监控室保安必须持四级（中级）消控证方可上岗。安检岗需具有安检员专项培训资格证书。</w:t>
      </w:r>
    </w:p>
    <w:p w14:paraId="469D5491">
      <w:pPr>
        <w:ind w:left="5" w:firstLine="560" w:firstLineChars="200"/>
        <w:jc w:val="left"/>
        <w:rPr>
          <w:rFonts w:ascii="宋体" w:hAnsi="宋体" w:cs="宋体"/>
          <w:color w:val="auto"/>
          <w:sz w:val="28"/>
          <w:szCs w:val="28"/>
        </w:rPr>
      </w:pPr>
      <w:r>
        <w:rPr>
          <w:rFonts w:hint="eastAsia" w:ascii="宋体" w:hAnsi="宋体" w:cs="宋体"/>
          <w:color w:val="auto"/>
          <w:sz w:val="28"/>
          <w:szCs w:val="28"/>
        </w:rPr>
        <w:t>5、保安队长必须具有大专及以上学历，具备5年及以上相关工作经历</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具</w:t>
      </w:r>
      <w:r>
        <w:rPr>
          <w:rFonts w:hint="eastAsia" w:ascii="宋体" w:hAnsi="宋体" w:cs="宋体"/>
          <w:color w:val="auto"/>
          <w:sz w:val="28"/>
          <w:szCs w:val="28"/>
          <w:highlight w:val="none"/>
          <w:lang w:val="en-US" w:eastAsia="zh-CN"/>
        </w:rPr>
        <w:t>备</w:t>
      </w:r>
      <w:r>
        <w:rPr>
          <w:rFonts w:hint="eastAsia" w:ascii="宋体" w:hAnsi="宋体" w:cs="宋体"/>
          <w:color w:val="auto"/>
          <w:sz w:val="28"/>
          <w:szCs w:val="28"/>
          <w:highlight w:val="none"/>
        </w:rPr>
        <w:t>二级保卫师（或二级保安员）以上职称</w:t>
      </w:r>
      <w:r>
        <w:rPr>
          <w:rFonts w:hint="eastAsia" w:ascii="宋体" w:hAnsi="宋体" w:cs="宋体"/>
          <w:color w:val="auto"/>
          <w:sz w:val="28"/>
          <w:szCs w:val="28"/>
        </w:rPr>
        <w:t>。工作态度认真，责任心强，安全意识强，具有良好的沟通表达能力及应变能力。具有消防安全管理经验。</w:t>
      </w:r>
    </w:p>
    <w:p w14:paraId="6C99F6AA">
      <w:pPr>
        <w:ind w:left="5" w:firstLine="560" w:firstLineChars="200"/>
        <w:jc w:val="left"/>
        <w:rPr>
          <w:rFonts w:ascii="宋体" w:hAnsi="宋体" w:cs="宋体"/>
          <w:color w:val="auto"/>
          <w:sz w:val="28"/>
          <w:szCs w:val="28"/>
        </w:rPr>
      </w:pPr>
      <w:r>
        <w:rPr>
          <w:rFonts w:hint="eastAsia" w:ascii="宋体" w:hAnsi="宋体" w:cs="宋体"/>
          <w:color w:val="auto"/>
          <w:sz w:val="28"/>
          <w:szCs w:val="28"/>
        </w:rPr>
        <w:t>6、保安必须具有初中及以上学历，具有三年以上相关工作经历，无不良嗜好，工作责任心强，服从命令，能完成上级交办的各项工作。</w:t>
      </w:r>
    </w:p>
    <w:p w14:paraId="673E0251">
      <w:pPr>
        <w:pStyle w:val="3"/>
        <w:rPr>
          <w:rFonts w:ascii="宋体" w:hAnsi="宋体" w:cs="宋体"/>
          <w:color w:val="auto"/>
          <w:sz w:val="28"/>
          <w:szCs w:val="28"/>
        </w:rPr>
      </w:pPr>
      <w:r>
        <w:rPr>
          <w:rFonts w:hint="eastAsia" w:ascii="宋体" w:hAnsi="宋体" w:cs="宋体"/>
          <w:color w:val="auto"/>
          <w:sz w:val="28"/>
          <w:szCs w:val="28"/>
        </w:rPr>
        <w:t>岗位职责</w:t>
      </w:r>
      <w:bookmarkEnd w:id="0"/>
      <w:r>
        <w:rPr>
          <w:rFonts w:hint="eastAsia" w:ascii="宋体" w:hAnsi="宋体" w:cs="宋体"/>
          <w:color w:val="auto"/>
          <w:sz w:val="28"/>
          <w:szCs w:val="28"/>
        </w:rPr>
        <w:t>：</w:t>
      </w:r>
    </w:p>
    <w:p w14:paraId="122C5413">
      <w:pPr>
        <w:pStyle w:val="4"/>
        <w:rPr>
          <w:rFonts w:ascii="宋体" w:hAnsi="宋体" w:cs="宋体"/>
          <w:color w:val="auto"/>
          <w:szCs w:val="28"/>
        </w:rPr>
      </w:pPr>
      <w:bookmarkStart w:id="1" w:name="_Toc487908080"/>
      <w:r>
        <w:rPr>
          <w:rFonts w:hint="eastAsia" w:ascii="宋体" w:hAnsi="宋体" w:cs="宋体"/>
          <w:color w:val="auto"/>
          <w:szCs w:val="28"/>
        </w:rPr>
        <w:t>队长岗位职责</w:t>
      </w:r>
      <w:bookmarkEnd w:id="1"/>
    </w:p>
    <w:p w14:paraId="2AD63E33">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对保安人员落实24小时值班制度的情况进行监督和检查。密切保持保安人员的通信联络，检查各值班岗位人员的值勤情况。</w:t>
      </w:r>
    </w:p>
    <w:p w14:paraId="20E9277E">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制定突发事件的处理程序，建立和健全各项安全保卫制度。 </w:t>
      </w:r>
    </w:p>
    <w:p w14:paraId="406F1CF1">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每天定时或不定时巡视管辖区域的安全工作，并做好记录。</w:t>
      </w:r>
    </w:p>
    <w:p w14:paraId="25BD583A">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建立正常的巡逻制度并明确重点保卫目标。 </w:t>
      </w:r>
    </w:p>
    <w:p w14:paraId="53441D44">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完善管辖区域的安全防范措施，安全岗位设施、设备器材等使情况，保证其能在工作中达到预先的使用效果。</w:t>
      </w:r>
    </w:p>
    <w:p w14:paraId="77DB0225">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检查管辖区域内有无妨害公共安全和社会治安秩序的行为，并及时进行纠正，提出整改意见，跟进处理结果，并做好记录、归档。</w:t>
      </w:r>
    </w:p>
    <w:p w14:paraId="676AAB58">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接待投诉，协助院方进行处理各种医患纠纷和治安违纪行为。</w:t>
      </w:r>
    </w:p>
    <w:p w14:paraId="5BA4DDCD">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做好保安人员的出勤统计，业绩考核等的登记管理工作。 </w:t>
      </w:r>
    </w:p>
    <w:p w14:paraId="4F3EF33C">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掌握保安人员的思想动态，定期召开员工会议，做好员工的沟通工作；每周两次例会，周一：讲评安排本周的工作内容、工作重点及要注意的细节；周五：对本周工作的完成情况总结，会后做二十分钟队列训练和体能训练。</w:t>
      </w:r>
    </w:p>
    <w:p w14:paraId="40A4DA04">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每月带领队员对全院进行一次安全消防大检查。</w:t>
      </w:r>
    </w:p>
    <w:p w14:paraId="1DDA56B3">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定期对保安人员进行职业安全思想道德和各类业务技能的培训工作。</w:t>
      </w:r>
    </w:p>
    <w:p w14:paraId="498579E3">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做好各种内外文件，通信录资料的整理归档。 </w:t>
      </w:r>
    </w:p>
    <w:p w14:paraId="5E371F63">
      <w:pPr>
        <w:pStyle w:val="19"/>
        <w:numPr>
          <w:ilvl w:val="0"/>
          <w:numId w:val="2"/>
        </w:numPr>
        <w:tabs>
          <w:tab w:val="left" w:pos="540"/>
        </w:tabs>
        <w:autoSpaceDE w:val="0"/>
        <w:autoSpaceDN w:val="0"/>
        <w:adjustRightInd w:val="0"/>
        <w:ind w:left="0" w:firstLine="560"/>
        <w:jc w:val="left"/>
        <w:rPr>
          <w:rFonts w:ascii="宋体" w:hAnsi="宋体" w:cs="宋体"/>
          <w:color w:val="auto"/>
          <w:sz w:val="28"/>
          <w:szCs w:val="28"/>
        </w:rPr>
      </w:pPr>
      <w:r>
        <w:rPr>
          <w:rFonts w:hint="eastAsia" w:ascii="宋体" w:hAnsi="宋体" w:cs="宋体"/>
          <w:color w:val="auto"/>
          <w:sz w:val="28"/>
          <w:szCs w:val="28"/>
        </w:rPr>
        <w:t>以身作则，亲力亲为，全面提高安全管理工作与服务的质量。 </w:t>
      </w:r>
    </w:p>
    <w:p w14:paraId="1D923CF0">
      <w:pPr>
        <w:pStyle w:val="4"/>
        <w:rPr>
          <w:rFonts w:ascii="宋体" w:hAnsi="宋体" w:cs="宋体"/>
          <w:color w:val="auto"/>
          <w:szCs w:val="28"/>
        </w:rPr>
      </w:pPr>
      <w:bookmarkStart w:id="2" w:name="_Toc487908081"/>
      <w:r>
        <w:rPr>
          <w:rFonts w:hint="eastAsia" w:ascii="宋体" w:hAnsi="宋体" w:cs="宋体"/>
          <w:color w:val="auto"/>
          <w:szCs w:val="28"/>
        </w:rPr>
        <w:t>领班岗位职责</w:t>
      </w:r>
      <w:bookmarkEnd w:id="2"/>
    </w:p>
    <w:p w14:paraId="3BE8C186">
      <w:pPr>
        <w:pStyle w:val="19"/>
        <w:numPr>
          <w:ilvl w:val="0"/>
          <w:numId w:val="3"/>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严格遵守公司各项规章制度，服从上级指令和部署。各类情况要及时上通下达。协助保安队长搞好安全保卫工作。</w:t>
      </w:r>
    </w:p>
    <w:p w14:paraId="217B24A5">
      <w:pPr>
        <w:pStyle w:val="19"/>
        <w:numPr>
          <w:ilvl w:val="0"/>
          <w:numId w:val="3"/>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负责本班次岗位的保安日常工作。考核本班保安的岗位出勤、仪容仪表、工作态度与质量、业务能力等方面的情况，检查各岗位工作任务的落实情况，发现问题及时上报并协助处理。</w:t>
      </w:r>
    </w:p>
    <w:p w14:paraId="05A668AC">
      <w:pPr>
        <w:pStyle w:val="19"/>
        <w:numPr>
          <w:ilvl w:val="0"/>
          <w:numId w:val="3"/>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巡查当值点。善于发现问题并同监控室保持必要的联系，及时解决问题。若发生突发事件和恶性事件，应设法采取应急措施制止事态扩大，并注意保护现场，即刻向上级报告。</w:t>
      </w:r>
    </w:p>
    <w:p w14:paraId="4DD4F405">
      <w:pPr>
        <w:pStyle w:val="19"/>
        <w:numPr>
          <w:ilvl w:val="0"/>
          <w:numId w:val="3"/>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协调上级处理日常保安管理工作，熟悉所有紧急情况处理步骤、运用班会、岗位现场指导等多种形式，要求每位队员遵纪守时，保持优良的仪容仪表，为用户服务的热忱态度，实现工作达标。</w:t>
      </w:r>
    </w:p>
    <w:p w14:paraId="52D51423">
      <w:pPr>
        <w:pStyle w:val="19"/>
        <w:numPr>
          <w:ilvl w:val="0"/>
          <w:numId w:val="3"/>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与队员团结互助、关心队员生活。当班应做好详细工作记录。需要引起重视的问题，交班时应做好书面和口头移交。重大问题应到现场查看交代。</w:t>
      </w:r>
    </w:p>
    <w:p w14:paraId="1ABD8A40">
      <w:pPr>
        <w:pStyle w:val="4"/>
        <w:rPr>
          <w:rFonts w:ascii="宋体" w:hAnsi="宋体" w:cs="宋体"/>
          <w:color w:val="auto"/>
          <w:szCs w:val="28"/>
        </w:rPr>
      </w:pPr>
      <w:bookmarkStart w:id="3" w:name="_Toc487908082"/>
      <w:r>
        <w:rPr>
          <w:rFonts w:hint="eastAsia" w:ascii="宋体" w:hAnsi="宋体" w:cs="宋体"/>
          <w:color w:val="auto"/>
          <w:szCs w:val="28"/>
        </w:rPr>
        <w:t>大门岗岗位职责</w:t>
      </w:r>
      <w:bookmarkEnd w:id="3"/>
    </w:p>
    <w:p w14:paraId="5AEDDA58">
      <w:pPr>
        <w:pStyle w:val="19"/>
        <w:numPr>
          <w:ilvl w:val="0"/>
          <w:numId w:val="4"/>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医院里的医疗器材和设施设备需本院总务科发放的出门证方能允许外出，非本院证明一律禁止外出。禁止危害人身、财产或公共安全的物品进入医院。</w:t>
      </w:r>
    </w:p>
    <w:p w14:paraId="4E49766D">
      <w:pPr>
        <w:pStyle w:val="19"/>
        <w:numPr>
          <w:ilvl w:val="0"/>
          <w:numId w:val="4"/>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凡本院患者穿着病号服的病人应劝阻其回到院内，禁止出去。</w:t>
      </w:r>
    </w:p>
    <w:p w14:paraId="24B1FAEC">
      <w:pPr>
        <w:pStyle w:val="19"/>
        <w:numPr>
          <w:ilvl w:val="0"/>
          <w:numId w:val="4"/>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门岗车辆管理：非本院工作人员及血透病人之外的非机动车辆禁止入院，领导车辆应及时疏通道路让其先行并敬礼，在通报其他岗位做好准备，门口左右两边应保持秩序不允许两边有人摆地摊或发小广告，门口应保持环境良好，保持门卫内保整洁。</w:t>
      </w:r>
    </w:p>
    <w:p w14:paraId="3B211F9D">
      <w:pPr>
        <w:pStyle w:val="19"/>
        <w:numPr>
          <w:ilvl w:val="0"/>
          <w:numId w:val="4"/>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做好医院各院区人员及车辆的秩序维护、治安防范、火灾预防、人员道路车辆引导、安全巡查及各类突发事件应急响应等服务工作，保证服务质量，确保医院有序运行。</w:t>
      </w:r>
    </w:p>
    <w:p w14:paraId="140F05DA">
      <w:pPr>
        <w:pStyle w:val="19"/>
        <w:numPr>
          <w:ilvl w:val="0"/>
          <w:numId w:val="4"/>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接听值班电话时，态度要和蔼，语气要亲切。拿起听筒，首先说：“您好，闸北中心医院”，然后耐心地倾听对方的询问。回答时，应耐心细致，遇有不清楚的问题，应首先说：“对不起”，然后视情况尽可能向对方提供帮助，或作出解释，不得简单甚至粗鲁地回答对方的问题或拒绝提供可能的帮助。</w:t>
      </w:r>
    </w:p>
    <w:p w14:paraId="4099A79D">
      <w:pPr>
        <w:pStyle w:val="4"/>
        <w:rPr>
          <w:rFonts w:ascii="宋体" w:hAnsi="宋体" w:cs="宋体"/>
          <w:color w:val="auto"/>
          <w:szCs w:val="28"/>
        </w:rPr>
      </w:pPr>
      <w:bookmarkStart w:id="4" w:name="_Toc487908084"/>
      <w:r>
        <w:rPr>
          <w:rFonts w:hint="eastAsia" w:ascii="宋体" w:hAnsi="宋体" w:cs="宋体"/>
          <w:color w:val="auto"/>
          <w:szCs w:val="28"/>
        </w:rPr>
        <w:t>安检岗职责</w:t>
      </w:r>
    </w:p>
    <w:p w14:paraId="654C8140">
      <w:pPr>
        <w:numPr>
          <w:ilvl w:val="0"/>
          <w:numId w:val="5"/>
        </w:numPr>
        <w:rPr>
          <w:rFonts w:ascii="宋体" w:hAnsi="宋体" w:cs="宋体"/>
          <w:color w:val="auto"/>
          <w:sz w:val="28"/>
          <w:szCs w:val="28"/>
        </w:rPr>
      </w:pPr>
      <w:r>
        <w:rPr>
          <w:rFonts w:hint="eastAsia" w:ascii="宋体" w:hAnsi="宋体" w:cs="宋体"/>
          <w:color w:val="auto"/>
          <w:sz w:val="28"/>
          <w:szCs w:val="28"/>
        </w:rPr>
        <w:t>严格按照医院规定的安全检查流程，对所有进入门诊的人员及其携带的物品进行检查。</w:t>
      </w:r>
    </w:p>
    <w:p w14:paraId="58E7EAB9">
      <w:pPr>
        <w:numPr>
          <w:ilvl w:val="0"/>
          <w:numId w:val="5"/>
        </w:numPr>
        <w:rPr>
          <w:rFonts w:ascii="宋体" w:hAnsi="宋体" w:cs="宋体"/>
          <w:color w:val="auto"/>
          <w:sz w:val="28"/>
          <w:szCs w:val="28"/>
        </w:rPr>
      </w:pPr>
      <w:r>
        <w:rPr>
          <w:rFonts w:hint="eastAsia" w:ascii="宋体" w:hAnsi="宋体" w:cs="宋体"/>
          <w:color w:val="auto"/>
          <w:sz w:val="28"/>
          <w:szCs w:val="28"/>
        </w:rPr>
        <w:t>使用专业的安检设备（如金属探测器、X光机等）进行细致的检查，确保无遗漏。</w:t>
      </w:r>
    </w:p>
    <w:p w14:paraId="1D6B4164">
      <w:pPr>
        <w:numPr>
          <w:ilvl w:val="0"/>
          <w:numId w:val="5"/>
        </w:numPr>
        <w:rPr>
          <w:rFonts w:ascii="宋体" w:hAnsi="宋体" w:cs="宋体"/>
          <w:color w:val="auto"/>
          <w:sz w:val="28"/>
          <w:szCs w:val="28"/>
        </w:rPr>
      </w:pPr>
      <w:r>
        <w:rPr>
          <w:rFonts w:hint="eastAsia" w:ascii="宋体" w:hAnsi="宋体" w:cs="宋体"/>
          <w:color w:val="auto"/>
          <w:sz w:val="28"/>
          <w:szCs w:val="28"/>
        </w:rPr>
        <w:t>识别并处理违禁品：</w:t>
      </w:r>
    </w:p>
    <w:p w14:paraId="69AA341E">
      <w:pPr>
        <w:numPr>
          <w:ilvl w:val="0"/>
          <w:numId w:val="5"/>
        </w:numPr>
        <w:rPr>
          <w:rFonts w:ascii="宋体" w:hAnsi="宋体" w:cs="宋体"/>
          <w:color w:val="auto"/>
          <w:sz w:val="28"/>
          <w:szCs w:val="28"/>
        </w:rPr>
      </w:pPr>
      <w:r>
        <w:rPr>
          <w:rFonts w:hint="eastAsia" w:ascii="宋体" w:hAnsi="宋体" w:cs="宋体"/>
          <w:color w:val="auto"/>
          <w:sz w:val="28"/>
          <w:szCs w:val="28"/>
        </w:rPr>
        <w:t>对发现的任何违禁品（如刀具、易燃易爆物品等）进行妥善处理，并及时上报给上级主管或安保部门。</w:t>
      </w:r>
    </w:p>
    <w:p w14:paraId="49DB7B7C">
      <w:pPr>
        <w:numPr>
          <w:ilvl w:val="0"/>
          <w:numId w:val="5"/>
        </w:numPr>
        <w:rPr>
          <w:rFonts w:ascii="宋体" w:hAnsi="宋体" w:cs="宋体"/>
          <w:color w:val="auto"/>
          <w:sz w:val="28"/>
          <w:szCs w:val="28"/>
        </w:rPr>
      </w:pPr>
      <w:r>
        <w:rPr>
          <w:rFonts w:hint="eastAsia" w:ascii="宋体" w:hAnsi="宋体" w:cs="宋体"/>
          <w:color w:val="auto"/>
          <w:sz w:val="28"/>
          <w:szCs w:val="28"/>
        </w:rPr>
        <w:t>记录违禁品的详细信息及处理情况，以备后续查阅。</w:t>
      </w:r>
    </w:p>
    <w:p w14:paraId="725D0BBA">
      <w:pPr>
        <w:numPr>
          <w:ilvl w:val="0"/>
          <w:numId w:val="5"/>
        </w:numPr>
        <w:rPr>
          <w:rFonts w:ascii="宋体" w:hAnsi="宋体" w:cs="宋体"/>
          <w:color w:val="auto"/>
          <w:sz w:val="28"/>
          <w:szCs w:val="28"/>
        </w:rPr>
      </w:pPr>
      <w:r>
        <w:rPr>
          <w:rFonts w:hint="eastAsia" w:ascii="宋体" w:hAnsi="宋体" w:cs="宋体"/>
          <w:color w:val="auto"/>
          <w:sz w:val="28"/>
          <w:szCs w:val="28"/>
        </w:rPr>
        <w:t>在安检过程中，保持耐心和礼貌，解答患者及陪同人员的疑问，引导他们有序排队接受检查。</w:t>
      </w:r>
    </w:p>
    <w:p w14:paraId="2A6BC119">
      <w:pPr>
        <w:numPr>
          <w:ilvl w:val="0"/>
          <w:numId w:val="5"/>
        </w:numPr>
        <w:rPr>
          <w:rFonts w:ascii="宋体" w:hAnsi="宋体" w:cs="宋体"/>
          <w:color w:val="auto"/>
          <w:sz w:val="28"/>
          <w:szCs w:val="28"/>
        </w:rPr>
      </w:pPr>
      <w:r>
        <w:rPr>
          <w:rFonts w:hint="eastAsia" w:ascii="宋体" w:hAnsi="宋体" w:cs="宋体"/>
          <w:color w:val="auto"/>
          <w:sz w:val="28"/>
          <w:szCs w:val="28"/>
        </w:rPr>
        <w:t>对于不配合安检的人员，进行劝导和教育，必要时通知安保人员协助处理。</w:t>
      </w:r>
    </w:p>
    <w:p w14:paraId="5E1DF3D1">
      <w:pPr>
        <w:numPr>
          <w:ilvl w:val="0"/>
          <w:numId w:val="5"/>
        </w:numPr>
        <w:rPr>
          <w:rFonts w:ascii="宋体" w:hAnsi="宋体" w:cs="宋体"/>
          <w:color w:val="auto"/>
          <w:sz w:val="28"/>
          <w:szCs w:val="28"/>
        </w:rPr>
      </w:pPr>
      <w:r>
        <w:rPr>
          <w:rFonts w:hint="eastAsia" w:ascii="宋体" w:hAnsi="宋体" w:cs="宋体"/>
          <w:color w:val="auto"/>
          <w:sz w:val="28"/>
          <w:szCs w:val="28"/>
        </w:rPr>
        <w:t>在安检过程中，密切关注周围环境和人员的动态，发现可疑行为或异常情况时立即报告。</w:t>
      </w:r>
    </w:p>
    <w:p w14:paraId="28371EAB">
      <w:pPr>
        <w:numPr>
          <w:ilvl w:val="0"/>
          <w:numId w:val="5"/>
        </w:numPr>
        <w:rPr>
          <w:rFonts w:ascii="宋体" w:hAnsi="宋体" w:cs="宋体"/>
          <w:color w:val="auto"/>
          <w:sz w:val="28"/>
          <w:szCs w:val="28"/>
        </w:rPr>
      </w:pPr>
      <w:r>
        <w:rPr>
          <w:rFonts w:hint="eastAsia" w:ascii="宋体" w:hAnsi="宋体" w:cs="宋体"/>
          <w:color w:val="auto"/>
          <w:sz w:val="28"/>
          <w:szCs w:val="28"/>
        </w:rPr>
        <w:t>记录每日的安检情况，包括违禁品数量、特殊事件等，为医院安全管理提供数据支持。</w:t>
      </w:r>
    </w:p>
    <w:p w14:paraId="1EB5FD63">
      <w:pPr>
        <w:pStyle w:val="4"/>
        <w:rPr>
          <w:rFonts w:ascii="宋体" w:hAnsi="宋体" w:cs="宋体"/>
          <w:color w:val="auto"/>
          <w:szCs w:val="28"/>
        </w:rPr>
      </w:pPr>
      <w:r>
        <w:rPr>
          <w:rFonts w:hint="eastAsia" w:ascii="宋体" w:hAnsi="宋体" w:cs="宋体"/>
          <w:color w:val="auto"/>
          <w:szCs w:val="28"/>
        </w:rPr>
        <w:t>行政楼门岗职责</w:t>
      </w:r>
      <w:bookmarkEnd w:id="4"/>
    </w:p>
    <w:p w14:paraId="5B7EC45D">
      <w:pPr>
        <w:pStyle w:val="19"/>
        <w:numPr>
          <w:ilvl w:val="0"/>
          <w:numId w:val="6"/>
        </w:numPr>
        <w:tabs>
          <w:tab w:val="left" w:pos="540"/>
        </w:tabs>
        <w:autoSpaceDE w:val="0"/>
        <w:autoSpaceDN w:val="0"/>
        <w:adjustRightInd w:val="0"/>
        <w:ind w:left="0" w:firstLine="420" w:firstLineChars="0"/>
        <w:jc w:val="left"/>
        <w:rPr>
          <w:rFonts w:ascii="宋体" w:hAnsi="宋体" w:cs="宋体"/>
          <w:color w:val="auto"/>
          <w:sz w:val="28"/>
          <w:szCs w:val="28"/>
        </w:rPr>
      </w:pPr>
      <w:r>
        <w:rPr>
          <w:rFonts w:hint="eastAsia" w:ascii="宋体" w:hAnsi="宋体" w:cs="宋体"/>
          <w:color w:val="auto"/>
          <w:sz w:val="28"/>
          <w:szCs w:val="28"/>
        </w:rPr>
        <w:t>耐心礼貌的接待来访客，微笑、耐心的回答访客的问题，电话询问后才决定是否允其进入，并做好详细的登记（如：找谁、事由、访客姓名及证件、进出时间等），并用标准的手势为其指引方向。</w:t>
      </w:r>
    </w:p>
    <w:p w14:paraId="07612457">
      <w:pPr>
        <w:pStyle w:val="19"/>
        <w:numPr>
          <w:ilvl w:val="0"/>
          <w:numId w:val="6"/>
        </w:numPr>
        <w:tabs>
          <w:tab w:val="left" w:pos="540"/>
        </w:tabs>
        <w:autoSpaceDE w:val="0"/>
        <w:autoSpaceDN w:val="0"/>
        <w:adjustRightInd w:val="0"/>
        <w:ind w:left="0" w:firstLine="420" w:firstLineChars="0"/>
        <w:jc w:val="left"/>
        <w:rPr>
          <w:rFonts w:ascii="宋体" w:hAnsi="宋体" w:cs="宋体"/>
          <w:color w:val="auto"/>
          <w:sz w:val="28"/>
          <w:szCs w:val="28"/>
        </w:rPr>
      </w:pPr>
      <w:r>
        <w:rPr>
          <w:rFonts w:hint="eastAsia" w:ascii="宋体" w:hAnsi="宋体" w:cs="宋体"/>
          <w:color w:val="auto"/>
          <w:sz w:val="28"/>
          <w:szCs w:val="28"/>
        </w:rPr>
        <w:t>防止有患者或家属未经允许或其闲杂人员未经允许私自去楼上找领导导致发生争吵，如若其人员必须找领导，应电话询问方才决定是否允其上楼。</w:t>
      </w:r>
    </w:p>
    <w:p w14:paraId="2C8300E1">
      <w:pPr>
        <w:pStyle w:val="19"/>
        <w:numPr>
          <w:ilvl w:val="0"/>
          <w:numId w:val="6"/>
        </w:numPr>
        <w:tabs>
          <w:tab w:val="left" w:pos="540"/>
        </w:tabs>
        <w:autoSpaceDE w:val="0"/>
        <w:autoSpaceDN w:val="0"/>
        <w:adjustRightInd w:val="0"/>
        <w:ind w:left="0" w:firstLine="420" w:firstLineChars="0"/>
        <w:jc w:val="left"/>
        <w:rPr>
          <w:rFonts w:ascii="宋体" w:hAnsi="宋体" w:cs="宋体"/>
          <w:color w:val="auto"/>
          <w:sz w:val="28"/>
          <w:szCs w:val="28"/>
        </w:rPr>
      </w:pPr>
      <w:r>
        <w:rPr>
          <w:rFonts w:hint="eastAsia" w:ascii="宋体" w:hAnsi="宋体" w:cs="宋体"/>
          <w:color w:val="auto"/>
          <w:sz w:val="28"/>
          <w:szCs w:val="28"/>
        </w:rPr>
        <w:t>见到领导须敬礼；领导车辆应立即安排车位并指挥车辆停放。</w:t>
      </w:r>
    </w:p>
    <w:p w14:paraId="21E68CCD">
      <w:pPr>
        <w:pStyle w:val="19"/>
        <w:numPr>
          <w:ilvl w:val="0"/>
          <w:numId w:val="6"/>
        </w:numPr>
        <w:tabs>
          <w:tab w:val="left" w:pos="540"/>
        </w:tabs>
        <w:autoSpaceDE w:val="0"/>
        <w:autoSpaceDN w:val="0"/>
        <w:adjustRightInd w:val="0"/>
        <w:ind w:left="0" w:firstLine="420" w:firstLineChars="0"/>
        <w:jc w:val="left"/>
        <w:rPr>
          <w:rFonts w:ascii="宋体" w:hAnsi="宋体" w:cs="宋体"/>
          <w:color w:val="auto"/>
          <w:sz w:val="28"/>
          <w:szCs w:val="28"/>
        </w:rPr>
      </w:pPr>
      <w:r>
        <w:rPr>
          <w:rFonts w:hint="eastAsia" w:ascii="宋体" w:hAnsi="宋体" w:cs="宋体"/>
          <w:color w:val="auto"/>
          <w:sz w:val="28"/>
          <w:szCs w:val="28"/>
        </w:rPr>
        <w:t>行政楼西边应保持环境良好、道路通畅，禁止停放非机动车辆，如若停放应立即上报然后进行处理。</w:t>
      </w:r>
    </w:p>
    <w:p w14:paraId="41F981B8">
      <w:pPr>
        <w:pStyle w:val="4"/>
        <w:rPr>
          <w:rFonts w:ascii="宋体" w:hAnsi="宋体" w:cs="宋体"/>
          <w:color w:val="auto"/>
          <w:szCs w:val="28"/>
        </w:rPr>
      </w:pPr>
      <w:bookmarkStart w:id="5" w:name="_Toc487908085"/>
      <w:r>
        <w:rPr>
          <w:rFonts w:hint="eastAsia" w:ascii="宋体" w:hAnsi="宋体" w:cs="宋体"/>
          <w:color w:val="auto"/>
          <w:szCs w:val="28"/>
        </w:rPr>
        <w:t>门诊大厅岗职责</w:t>
      </w:r>
      <w:bookmarkEnd w:id="5"/>
    </w:p>
    <w:p w14:paraId="450EAD18">
      <w:pPr>
        <w:pStyle w:val="19"/>
        <w:numPr>
          <w:ilvl w:val="0"/>
          <w:numId w:val="7"/>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保持维护大厅内正常的医疗秩序，禁止患者或其家属大声喧器。；文明礼貌的回答患者的问题，并指引病人快速就诊。</w:t>
      </w:r>
    </w:p>
    <w:p w14:paraId="041E5883">
      <w:pPr>
        <w:pStyle w:val="19"/>
        <w:numPr>
          <w:ilvl w:val="0"/>
          <w:numId w:val="7"/>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如有患者与医生发生争执应保证医生的人事安全，避免患者因其情绪过大导致医生或护士受其伤害，应将患者与医生隔离并带其去有关部门解决。</w:t>
      </w:r>
    </w:p>
    <w:p w14:paraId="2DB61B6B">
      <w:pPr>
        <w:pStyle w:val="19"/>
        <w:numPr>
          <w:ilvl w:val="0"/>
          <w:numId w:val="7"/>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因门诊挂号收费和出院结账都是现金交易，所以要保持人员有序排队严禁插队防止小偷有机可乘。</w:t>
      </w:r>
    </w:p>
    <w:p w14:paraId="5DA26E9E">
      <w:pPr>
        <w:pStyle w:val="19"/>
        <w:numPr>
          <w:ilvl w:val="0"/>
          <w:numId w:val="7"/>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如有人在大厅抽烟或者拖鞋睡觉等现象应上前劝说其到规定场所吸烟，让睡觉的人穿好鞋并合理坐好看病，如若不听劝阻应及时向领班汇报情况。</w:t>
      </w:r>
    </w:p>
    <w:p w14:paraId="460B4F28">
      <w:pPr>
        <w:pStyle w:val="19"/>
        <w:numPr>
          <w:ilvl w:val="0"/>
          <w:numId w:val="7"/>
        </w:numPr>
        <w:tabs>
          <w:tab w:val="left" w:pos="540"/>
        </w:tabs>
        <w:autoSpaceDE w:val="0"/>
        <w:autoSpaceDN w:val="0"/>
        <w:adjustRightInd w:val="0"/>
        <w:ind w:left="0" w:firstLine="425" w:firstLineChars="0"/>
        <w:jc w:val="left"/>
        <w:rPr>
          <w:rFonts w:ascii="宋体" w:hAnsi="宋体" w:cs="宋体"/>
          <w:color w:val="auto"/>
          <w:sz w:val="28"/>
          <w:szCs w:val="28"/>
        </w:rPr>
      </w:pPr>
      <w:r>
        <w:rPr>
          <w:rFonts w:hint="eastAsia" w:ascii="宋体" w:hAnsi="宋体" w:cs="宋体"/>
          <w:color w:val="auto"/>
          <w:sz w:val="28"/>
          <w:szCs w:val="28"/>
        </w:rPr>
        <w:t>门诊结束及医院工作人员下班后，应对门诊区域和办公室区域进行检查。确保关闭门窗及水、电开关，现场无滞留人员。</w:t>
      </w:r>
    </w:p>
    <w:p w14:paraId="0F767CB4">
      <w:pPr>
        <w:pStyle w:val="4"/>
        <w:rPr>
          <w:rFonts w:ascii="宋体" w:hAnsi="宋体" w:cs="宋体"/>
          <w:color w:val="auto"/>
          <w:szCs w:val="28"/>
        </w:rPr>
      </w:pPr>
      <w:bookmarkStart w:id="6" w:name="_Toc487908086"/>
      <w:r>
        <w:rPr>
          <w:rFonts w:hint="eastAsia" w:ascii="宋体" w:hAnsi="宋体" w:cs="宋体"/>
          <w:color w:val="auto"/>
          <w:szCs w:val="28"/>
        </w:rPr>
        <w:t>急诊大厅岗职责</w:t>
      </w:r>
      <w:bookmarkEnd w:id="6"/>
    </w:p>
    <w:p w14:paraId="08B59D6A">
      <w:pPr>
        <w:pStyle w:val="19"/>
        <w:numPr>
          <w:ilvl w:val="0"/>
          <w:numId w:val="8"/>
        </w:numPr>
        <w:tabs>
          <w:tab w:val="left" w:pos="540"/>
        </w:tabs>
        <w:autoSpaceDE w:val="0"/>
        <w:autoSpaceDN w:val="0"/>
        <w:adjustRightInd w:val="0"/>
        <w:ind w:firstLineChars="0"/>
        <w:jc w:val="left"/>
        <w:rPr>
          <w:rFonts w:ascii="宋体" w:hAnsi="宋体" w:cs="宋体"/>
          <w:color w:val="auto"/>
          <w:sz w:val="28"/>
          <w:szCs w:val="28"/>
        </w:rPr>
      </w:pPr>
      <w:r>
        <w:rPr>
          <w:rFonts w:hint="eastAsia" w:ascii="宋体" w:hAnsi="宋体" w:cs="宋体"/>
          <w:color w:val="auto"/>
          <w:sz w:val="28"/>
          <w:szCs w:val="28"/>
        </w:rPr>
        <w:t>在岗期间若发现有醉酒或情绪过激人员应保持警惕。</w:t>
      </w:r>
    </w:p>
    <w:p w14:paraId="368E5EE4">
      <w:pPr>
        <w:pStyle w:val="19"/>
        <w:numPr>
          <w:ilvl w:val="0"/>
          <w:numId w:val="8"/>
        </w:numPr>
        <w:tabs>
          <w:tab w:val="left" w:pos="540"/>
        </w:tabs>
        <w:autoSpaceDE w:val="0"/>
        <w:autoSpaceDN w:val="0"/>
        <w:adjustRightInd w:val="0"/>
        <w:ind w:firstLineChars="0"/>
        <w:jc w:val="left"/>
        <w:rPr>
          <w:rFonts w:ascii="宋体" w:hAnsi="宋体" w:cs="宋体"/>
          <w:color w:val="auto"/>
          <w:sz w:val="28"/>
          <w:szCs w:val="28"/>
        </w:rPr>
      </w:pPr>
      <w:r>
        <w:rPr>
          <w:rFonts w:hint="eastAsia" w:ascii="宋体" w:hAnsi="宋体" w:cs="宋体"/>
          <w:color w:val="auto"/>
          <w:sz w:val="28"/>
          <w:szCs w:val="28"/>
        </w:rPr>
        <w:t>夜间急诊应维护好秩序，防止吵架打架，若发现可疑人员应向当日领班汇报。</w:t>
      </w:r>
    </w:p>
    <w:p w14:paraId="2FDD887B">
      <w:pPr>
        <w:pStyle w:val="19"/>
        <w:numPr>
          <w:ilvl w:val="0"/>
          <w:numId w:val="8"/>
        </w:numPr>
        <w:tabs>
          <w:tab w:val="left" w:pos="540"/>
        </w:tabs>
        <w:autoSpaceDE w:val="0"/>
        <w:autoSpaceDN w:val="0"/>
        <w:adjustRightInd w:val="0"/>
        <w:ind w:firstLineChars="0"/>
        <w:jc w:val="left"/>
        <w:rPr>
          <w:rFonts w:ascii="宋体" w:hAnsi="宋体" w:cs="宋体"/>
          <w:color w:val="auto"/>
          <w:sz w:val="28"/>
          <w:szCs w:val="28"/>
        </w:rPr>
      </w:pPr>
      <w:r>
        <w:rPr>
          <w:rFonts w:hint="eastAsia" w:ascii="宋体" w:hAnsi="宋体" w:cs="宋体"/>
          <w:color w:val="auto"/>
          <w:sz w:val="28"/>
          <w:szCs w:val="28"/>
        </w:rPr>
        <w:t>维持好“绿色应急通道”的畅通；及时协助救护车辆进出，确保救护车上的患者就诊畅通无阻。</w:t>
      </w:r>
    </w:p>
    <w:p w14:paraId="6EA94A90">
      <w:pPr>
        <w:pStyle w:val="4"/>
        <w:rPr>
          <w:rFonts w:ascii="宋体" w:hAnsi="宋体" w:cs="宋体"/>
          <w:color w:val="auto"/>
          <w:szCs w:val="28"/>
        </w:rPr>
      </w:pPr>
      <w:bookmarkStart w:id="7" w:name="_Toc487908089"/>
      <w:bookmarkStart w:id="8" w:name="_Toc487908087"/>
      <w:r>
        <w:rPr>
          <w:rFonts w:hint="eastAsia" w:ascii="宋体" w:hAnsi="宋体" w:cs="宋体"/>
          <w:color w:val="auto"/>
          <w:szCs w:val="28"/>
        </w:rPr>
        <w:t>巡逻岗位职责</w:t>
      </w:r>
      <w:bookmarkEnd w:id="7"/>
    </w:p>
    <w:p w14:paraId="60DDE6D8">
      <w:pPr>
        <w:pStyle w:val="19"/>
        <w:numPr>
          <w:ilvl w:val="0"/>
          <w:numId w:val="9"/>
        </w:numPr>
        <w:tabs>
          <w:tab w:val="left" w:pos="540"/>
        </w:tabs>
        <w:autoSpaceDE w:val="0"/>
        <w:autoSpaceDN w:val="0"/>
        <w:adjustRightInd w:val="0"/>
        <w:ind w:left="0" w:firstLine="431" w:firstLineChars="0"/>
        <w:jc w:val="left"/>
        <w:rPr>
          <w:rFonts w:ascii="宋体" w:hAnsi="宋体" w:cs="宋体"/>
          <w:color w:val="auto"/>
          <w:sz w:val="28"/>
          <w:szCs w:val="28"/>
        </w:rPr>
      </w:pPr>
      <w:r>
        <w:rPr>
          <w:rFonts w:hint="eastAsia" w:ascii="宋体" w:hAnsi="宋体" w:cs="宋体"/>
          <w:color w:val="auto"/>
          <w:sz w:val="28"/>
          <w:szCs w:val="28"/>
        </w:rPr>
        <w:t>巡逻，每2小时一次，主要巡逻全院各角落，各重点部位，不留死角，发现氓流、吸毒人员及时跟踪劝阻，发现问题及时处理汇报。</w:t>
      </w:r>
    </w:p>
    <w:p w14:paraId="4E108F49">
      <w:pPr>
        <w:pStyle w:val="19"/>
        <w:numPr>
          <w:ilvl w:val="0"/>
          <w:numId w:val="9"/>
        </w:numPr>
        <w:tabs>
          <w:tab w:val="left" w:pos="540"/>
        </w:tabs>
        <w:autoSpaceDE w:val="0"/>
        <w:autoSpaceDN w:val="0"/>
        <w:adjustRightInd w:val="0"/>
        <w:ind w:left="0" w:firstLine="431" w:firstLineChars="0"/>
        <w:jc w:val="left"/>
        <w:rPr>
          <w:rFonts w:ascii="宋体" w:hAnsi="宋体" w:cs="宋体"/>
          <w:color w:val="auto"/>
          <w:sz w:val="28"/>
          <w:szCs w:val="28"/>
        </w:rPr>
      </w:pPr>
      <w:r>
        <w:rPr>
          <w:rFonts w:hint="eastAsia" w:ascii="宋体" w:hAnsi="宋体" w:cs="宋体"/>
          <w:color w:val="auto"/>
          <w:sz w:val="28"/>
          <w:szCs w:val="28"/>
        </w:rPr>
        <w:t>挂号高峰时段协助维持收费、化验、药房等窗口的秩序，防止小偷和医托。</w:t>
      </w:r>
    </w:p>
    <w:p w14:paraId="5969D173">
      <w:pPr>
        <w:pStyle w:val="19"/>
        <w:numPr>
          <w:ilvl w:val="0"/>
          <w:numId w:val="9"/>
        </w:numPr>
        <w:tabs>
          <w:tab w:val="left" w:pos="540"/>
        </w:tabs>
        <w:autoSpaceDE w:val="0"/>
        <w:autoSpaceDN w:val="0"/>
        <w:adjustRightInd w:val="0"/>
        <w:ind w:left="0" w:firstLine="431" w:firstLineChars="0"/>
        <w:jc w:val="left"/>
        <w:rPr>
          <w:rFonts w:ascii="宋体" w:hAnsi="宋体" w:cs="宋体"/>
          <w:color w:val="auto"/>
          <w:sz w:val="28"/>
          <w:szCs w:val="28"/>
        </w:rPr>
      </w:pPr>
      <w:r>
        <w:rPr>
          <w:rFonts w:hint="eastAsia" w:ascii="宋体" w:hAnsi="宋体" w:cs="宋体"/>
          <w:color w:val="auto"/>
          <w:sz w:val="28"/>
          <w:szCs w:val="28"/>
        </w:rPr>
        <w:t>巡逻保安必须勤巡逻，对院内的重要部位勤巡、勤看，发现异常情况要及时报告保卫科或“110”指挥中心。</w:t>
      </w:r>
    </w:p>
    <w:p w14:paraId="06DFC890">
      <w:pPr>
        <w:pStyle w:val="19"/>
        <w:numPr>
          <w:ilvl w:val="0"/>
          <w:numId w:val="9"/>
        </w:numPr>
        <w:tabs>
          <w:tab w:val="left" w:pos="540"/>
        </w:tabs>
        <w:autoSpaceDE w:val="0"/>
        <w:autoSpaceDN w:val="0"/>
        <w:adjustRightInd w:val="0"/>
        <w:ind w:left="0" w:firstLine="431" w:firstLineChars="0"/>
        <w:jc w:val="left"/>
        <w:rPr>
          <w:rFonts w:ascii="宋体" w:hAnsi="宋体" w:cs="宋体"/>
          <w:color w:val="auto"/>
          <w:sz w:val="28"/>
          <w:szCs w:val="28"/>
        </w:rPr>
      </w:pPr>
      <w:r>
        <w:rPr>
          <w:rFonts w:hint="eastAsia" w:ascii="宋体" w:hAnsi="宋体" w:cs="宋体"/>
          <w:color w:val="auto"/>
          <w:sz w:val="28"/>
          <w:szCs w:val="28"/>
        </w:rPr>
        <w:t>在值班过程中发现火灾隐患及火情要主动及时给予处理，并及时报告相关领导或“119”火警。</w:t>
      </w:r>
    </w:p>
    <w:p w14:paraId="47C0055B">
      <w:pPr>
        <w:pStyle w:val="19"/>
        <w:numPr>
          <w:ilvl w:val="0"/>
          <w:numId w:val="9"/>
        </w:numPr>
        <w:tabs>
          <w:tab w:val="left" w:pos="540"/>
        </w:tabs>
        <w:autoSpaceDE w:val="0"/>
        <w:autoSpaceDN w:val="0"/>
        <w:adjustRightInd w:val="0"/>
        <w:ind w:left="0" w:firstLine="431" w:firstLineChars="0"/>
        <w:jc w:val="left"/>
        <w:rPr>
          <w:rFonts w:ascii="宋体" w:hAnsi="宋体" w:cs="宋体"/>
          <w:color w:val="auto"/>
          <w:sz w:val="28"/>
          <w:szCs w:val="28"/>
        </w:rPr>
      </w:pPr>
      <w:r>
        <w:rPr>
          <w:rFonts w:hint="eastAsia" w:ascii="宋体" w:hAnsi="宋体" w:cs="宋体"/>
          <w:color w:val="auto"/>
          <w:sz w:val="28"/>
          <w:szCs w:val="28"/>
        </w:rPr>
        <w:t>负责非机动车，残疾车乱停乱放，检查液氧罐、油库、药库及放射源库等重点部位及全面的消防设备设施的检查。</w:t>
      </w:r>
    </w:p>
    <w:bookmarkEnd w:id="8"/>
    <w:p w14:paraId="270A7775">
      <w:pPr>
        <w:pStyle w:val="4"/>
        <w:rPr>
          <w:rFonts w:ascii="宋体" w:hAnsi="宋体" w:cs="宋体"/>
          <w:color w:val="auto"/>
          <w:szCs w:val="28"/>
        </w:rPr>
      </w:pPr>
      <w:r>
        <w:rPr>
          <w:rFonts w:hint="eastAsia" w:ascii="宋体" w:hAnsi="宋体" w:cs="宋体"/>
          <w:color w:val="auto"/>
          <w:szCs w:val="28"/>
        </w:rPr>
        <w:t>2号楼门岗岗位职责</w:t>
      </w:r>
    </w:p>
    <w:p w14:paraId="612107A6">
      <w:pPr>
        <w:numPr>
          <w:ilvl w:val="0"/>
          <w:numId w:val="10"/>
        </w:numPr>
        <w:rPr>
          <w:rFonts w:ascii="宋体" w:hAnsi="宋体" w:cs="宋体"/>
          <w:color w:val="auto"/>
          <w:sz w:val="28"/>
          <w:szCs w:val="28"/>
        </w:rPr>
      </w:pPr>
      <w:r>
        <w:rPr>
          <w:rFonts w:hint="eastAsia" w:ascii="宋体" w:hAnsi="宋体" w:cs="宋体"/>
          <w:color w:val="auto"/>
          <w:sz w:val="28"/>
          <w:szCs w:val="28"/>
        </w:rPr>
        <w:t>负责一楼大厅和血透休息室以及门口的正常次序，禁止乱停乱放，禁止在休息室抽烟，大声喧哗，</w:t>
      </w:r>
    </w:p>
    <w:p w14:paraId="0B53344D">
      <w:pPr>
        <w:numPr>
          <w:ilvl w:val="0"/>
          <w:numId w:val="10"/>
        </w:numPr>
        <w:rPr>
          <w:rFonts w:ascii="宋体" w:hAnsi="宋体" w:cs="宋体"/>
          <w:color w:val="auto"/>
          <w:sz w:val="28"/>
          <w:szCs w:val="28"/>
        </w:rPr>
      </w:pPr>
      <w:r>
        <w:rPr>
          <w:rFonts w:hint="eastAsia" w:ascii="宋体" w:hAnsi="宋体" w:cs="宋体"/>
          <w:color w:val="auto"/>
          <w:sz w:val="28"/>
          <w:szCs w:val="28"/>
        </w:rPr>
        <w:t>负责早上，中午，对血透病人号码的发放，以及每周一血透病人缴费现场次序维护。</w:t>
      </w:r>
    </w:p>
    <w:p w14:paraId="3BF44720">
      <w:pPr>
        <w:numPr>
          <w:ilvl w:val="0"/>
          <w:numId w:val="10"/>
        </w:numPr>
        <w:rPr>
          <w:rFonts w:ascii="宋体" w:hAnsi="宋体" w:cs="宋体"/>
          <w:color w:val="auto"/>
          <w:sz w:val="28"/>
          <w:szCs w:val="28"/>
        </w:rPr>
      </w:pPr>
      <w:r>
        <w:rPr>
          <w:rFonts w:hint="eastAsia" w:ascii="宋体" w:hAnsi="宋体" w:cs="宋体"/>
          <w:color w:val="auto"/>
          <w:sz w:val="28"/>
          <w:szCs w:val="28"/>
        </w:rPr>
        <w:t>负责二号楼的日常工作，突发事件的处理，火灾火情的查看和应急处理以及上报工作。</w:t>
      </w:r>
    </w:p>
    <w:p w14:paraId="42DD3AD3">
      <w:pPr>
        <w:numPr>
          <w:ilvl w:val="0"/>
          <w:numId w:val="10"/>
        </w:numPr>
        <w:rPr>
          <w:rFonts w:ascii="宋体" w:hAnsi="宋体" w:cs="宋体"/>
          <w:color w:val="auto"/>
          <w:sz w:val="28"/>
          <w:szCs w:val="28"/>
        </w:rPr>
      </w:pPr>
      <w:r>
        <w:rPr>
          <w:rFonts w:hint="eastAsia" w:ascii="宋体" w:hAnsi="宋体" w:cs="宋体"/>
          <w:color w:val="auto"/>
          <w:sz w:val="28"/>
          <w:szCs w:val="28"/>
        </w:rPr>
        <w:t>每天对二号楼各楼层科室进行不定时的安全巡查，确保安全。</w:t>
      </w:r>
    </w:p>
    <w:p w14:paraId="2E6072C6">
      <w:pPr>
        <w:numPr>
          <w:ilvl w:val="0"/>
          <w:numId w:val="10"/>
        </w:numPr>
        <w:rPr>
          <w:rFonts w:ascii="宋体" w:hAnsi="宋体" w:cs="宋体"/>
          <w:color w:val="auto"/>
          <w:sz w:val="28"/>
          <w:szCs w:val="28"/>
        </w:rPr>
      </w:pPr>
      <w:r>
        <w:rPr>
          <w:rFonts w:hint="eastAsia" w:ascii="宋体" w:hAnsi="宋体" w:cs="宋体"/>
          <w:color w:val="auto"/>
          <w:sz w:val="28"/>
          <w:szCs w:val="28"/>
        </w:rPr>
        <w:t>结束一天工作后，检查关闭门窗，水电，确认休息室无人滞留。</w:t>
      </w:r>
    </w:p>
    <w:p w14:paraId="7A1033D3">
      <w:pPr>
        <w:pStyle w:val="4"/>
        <w:rPr>
          <w:rFonts w:ascii="宋体" w:hAnsi="宋体" w:cs="宋体"/>
          <w:color w:val="auto"/>
          <w:szCs w:val="28"/>
        </w:rPr>
      </w:pPr>
      <w:r>
        <w:rPr>
          <w:rFonts w:hint="eastAsia" w:ascii="宋体" w:hAnsi="宋体" w:cs="宋体"/>
          <w:color w:val="auto"/>
          <w:szCs w:val="28"/>
        </w:rPr>
        <w:t>监控室岗位职责</w:t>
      </w:r>
    </w:p>
    <w:p w14:paraId="301BCBE5">
      <w:pPr>
        <w:numPr>
          <w:ilvl w:val="0"/>
          <w:numId w:val="11"/>
        </w:numP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掌握消控中心设备的使用性能，按规定操作手册熟练操作，确保其运行正常。</w:t>
      </w:r>
    </w:p>
    <w:p w14:paraId="4DCBC50B">
      <w:pPr>
        <w:numPr>
          <w:ilvl w:val="0"/>
          <w:numId w:val="11"/>
        </w:numPr>
        <w:rPr>
          <w:rFonts w:asciiTheme="minorEastAsia" w:hAnsiTheme="minorEastAsia" w:eastAsiaTheme="minorEastAsia" w:cstheme="minorEastAsia"/>
          <w:color w:val="auto"/>
          <w:sz w:val="28"/>
          <w:szCs w:val="28"/>
        </w:rPr>
      </w:pPr>
      <w:r>
        <w:rPr>
          <w:rFonts w:ascii="宋体" w:hAnsi="宋体" w:cs="宋体"/>
          <w:color w:val="auto"/>
          <w:sz w:val="28"/>
          <w:szCs w:val="28"/>
        </w:rPr>
        <w:t>实行 24 小时监控值班，任何情况下，坚守岗位；监控时发现各种可疑情况，应迅速跟踪监视，并及时通报各有关岗位：发生消防系统报警或接到报警电话时，应立即用对讲机通知就近保安人员迅速赶往现场予以处理，</w:t>
      </w:r>
      <w:r>
        <w:rPr>
          <w:rFonts w:hint="eastAsia" w:asciiTheme="minorEastAsia" w:hAnsiTheme="minorEastAsia" w:eastAsiaTheme="minorEastAsia" w:cstheme="minorEastAsia"/>
          <w:color w:val="auto"/>
          <w:sz w:val="28"/>
          <w:szCs w:val="28"/>
        </w:rPr>
        <w:t>并第一时间上报当值领班或医院保卫科，</w:t>
      </w:r>
      <w:r>
        <w:rPr>
          <w:rFonts w:ascii="宋体" w:hAnsi="宋体" w:cs="宋体"/>
          <w:color w:val="auto"/>
          <w:sz w:val="28"/>
          <w:szCs w:val="28"/>
        </w:rPr>
        <w:t>同时做好详细记录。</w:t>
      </w:r>
    </w:p>
    <w:p w14:paraId="21918398">
      <w:pPr>
        <w:numPr>
          <w:ilvl w:val="0"/>
          <w:numId w:val="11"/>
        </w:numP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交接班实行对口交接班制度。接班人员须仔细查仪器设备、工具及交班记录。交班人员将本班发生情况填写记录并交给接班人员，工作环境整洁良好，每天交班前做好卫生清洁工作。</w:t>
      </w:r>
    </w:p>
    <w:p w14:paraId="10A0AFD3">
      <w:pPr>
        <w:numPr>
          <w:ilvl w:val="0"/>
          <w:numId w:val="11"/>
        </w:numP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无关人员禁止进入监控室，上级批准或陪同有关人员进入监控室参观应做好登记。</w:t>
      </w:r>
    </w:p>
    <w:p w14:paraId="131A4CB1">
      <w:pPr>
        <w:numPr>
          <w:ilvl w:val="0"/>
          <w:numId w:val="11"/>
        </w:numPr>
        <w:rPr>
          <w:rFonts w:asciiTheme="minorEastAsia" w:hAnsiTheme="minorEastAsia" w:eastAsiaTheme="minorEastAsia" w:cstheme="minorEastAsia"/>
          <w:color w:val="auto"/>
          <w:sz w:val="28"/>
          <w:szCs w:val="28"/>
        </w:rPr>
      </w:pPr>
      <w:r>
        <w:rPr>
          <w:rFonts w:ascii="宋体" w:hAnsi="宋体" w:cs="宋体"/>
          <w:color w:val="auto"/>
          <w:sz w:val="28"/>
          <w:szCs w:val="28"/>
        </w:rPr>
        <w:t>配合对监控、消防设施、设备的维护、保养工作，正确使用各类设施、设备，发现故障及时报修，并做好详细记录。</w:t>
      </w:r>
    </w:p>
    <w:p w14:paraId="5D90EAF5">
      <w:pPr>
        <w:numPr>
          <w:ilvl w:val="0"/>
          <w:numId w:val="11"/>
        </w:numP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严格执行工作纪律和规章制度。</w:t>
      </w:r>
    </w:p>
    <w:p w14:paraId="24509736">
      <w:pPr>
        <w:pStyle w:val="3"/>
        <w:ind w:firstLine="562" w:firstLineChars="200"/>
        <w:rPr>
          <w:rFonts w:ascii="宋体" w:hAnsi="宋体" w:cs="宋体"/>
          <w:color w:val="auto"/>
          <w:sz w:val="28"/>
          <w:szCs w:val="28"/>
        </w:rPr>
      </w:pPr>
      <w:r>
        <w:rPr>
          <w:rFonts w:hint="eastAsia" w:ascii="宋体" w:hAnsi="宋体" w:cs="宋体"/>
          <w:color w:val="auto"/>
          <w:sz w:val="28"/>
          <w:szCs w:val="28"/>
        </w:rPr>
        <w:t>其他要求</w:t>
      </w:r>
    </w:p>
    <w:p w14:paraId="279A1918">
      <w:pPr>
        <w:ind w:left="5" w:firstLine="560" w:firstLineChars="200"/>
        <w:jc w:val="left"/>
        <w:rPr>
          <w:rFonts w:ascii="宋体" w:hAnsi="宋体" w:cs="宋体"/>
          <w:color w:val="auto"/>
          <w:sz w:val="28"/>
          <w:szCs w:val="28"/>
        </w:rPr>
      </w:pPr>
      <w:r>
        <w:rPr>
          <w:rFonts w:hint="eastAsia" w:ascii="宋体" w:hAnsi="宋体" w:cs="宋体"/>
          <w:color w:val="auto"/>
          <w:sz w:val="28"/>
          <w:szCs w:val="28"/>
        </w:rPr>
        <w:t>1、建立突发公共事件应急预案，定期组织培训、演练（每年不少于两次消防演练，不少于四次反恐演练）。事件发生时应能立即启动相应的预案，采取有效处置措施防止影响扩大。</w:t>
      </w:r>
    </w:p>
    <w:p w14:paraId="1A5240B2">
      <w:pPr>
        <w:ind w:firstLine="560" w:firstLineChars="200"/>
        <w:rPr>
          <w:rFonts w:ascii="宋体" w:hAnsi="宋体" w:cs="宋体"/>
          <w:color w:val="auto"/>
          <w:sz w:val="28"/>
          <w:szCs w:val="28"/>
        </w:rPr>
      </w:pPr>
      <w:r>
        <w:rPr>
          <w:rFonts w:hint="eastAsia" w:ascii="宋体" w:hAnsi="宋体" w:cs="宋体"/>
          <w:color w:val="auto"/>
          <w:sz w:val="28"/>
          <w:szCs w:val="28"/>
        </w:rPr>
        <w:t>2、严格按照保安服务标准化的操作流程、完善的培训体系和服务质量控制体系，以保障医院各系统安全、高效、有序进行。</w:t>
      </w:r>
    </w:p>
    <w:p w14:paraId="2A1976AC">
      <w:pPr>
        <w:ind w:firstLine="560" w:firstLineChars="200"/>
        <w:rPr>
          <w:rFonts w:ascii="宋体" w:hAnsi="宋体" w:cs="宋体"/>
          <w:color w:val="auto"/>
          <w:sz w:val="28"/>
          <w:szCs w:val="28"/>
        </w:rPr>
      </w:pPr>
      <w:r>
        <w:rPr>
          <w:rFonts w:hint="eastAsia" w:ascii="宋体" w:hAnsi="宋体" w:cs="宋体"/>
          <w:color w:val="auto"/>
          <w:sz w:val="28"/>
          <w:szCs w:val="28"/>
        </w:rPr>
        <w:t>3、随时做好检查准备，积极配合医院接受上级领导部门的监督、检查，必须提供服务管理的相关资料。</w:t>
      </w:r>
    </w:p>
    <w:p w14:paraId="6DE3D26E">
      <w:pPr>
        <w:ind w:firstLine="560" w:firstLineChars="200"/>
        <w:rPr>
          <w:rFonts w:ascii="宋体" w:hAnsi="宋体" w:cs="宋体"/>
          <w:color w:val="auto"/>
          <w:sz w:val="28"/>
          <w:szCs w:val="28"/>
        </w:rPr>
      </w:pPr>
      <w:r>
        <w:rPr>
          <w:rFonts w:hint="eastAsia" w:ascii="宋体" w:hAnsi="宋体" w:cs="宋体"/>
          <w:color w:val="auto"/>
          <w:sz w:val="28"/>
          <w:szCs w:val="28"/>
        </w:rPr>
        <w:t>4、建立队员考勤管理制度，配备人脸识别考勤管理系统，员工上下班必须有记录，并每月将原始数据提供给医院管理部门。</w:t>
      </w:r>
    </w:p>
    <w:p w14:paraId="06942CF7">
      <w:pPr>
        <w:ind w:firstLine="560" w:firstLineChars="200"/>
        <w:rPr>
          <w:rFonts w:ascii="宋体" w:hAnsi="宋体" w:cs="宋体"/>
          <w:color w:val="auto"/>
          <w:sz w:val="28"/>
          <w:szCs w:val="28"/>
        </w:rPr>
      </w:pPr>
      <w:r>
        <w:rPr>
          <w:rFonts w:hint="eastAsia" w:ascii="宋体" w:hAnsi="宋体" w:cs="宋体"/>
          <w:color w:val="auto"/>
          <w:sz w:val="28"/>
          <w:szCs w:val="28"/>
        </w:rPr>
        <w:t>5、加强保安队内部管理，完成指令任务，实现服务目标。坚持优质服务，提高安全保障水平，加强保安队伍建设，提高员工思想素质和业务技能。</w:t>
      </w:r>
    </w:p>
    <w:p w14:paraId="7DE8D552">
      <w:pPr>
        <w:ind w:firstLine="560" w:firstLineChars="200"/>
        <w:rPr>
          <w:rFonts w:ascii="宋体" w:hAnsi="宋体" w:cs="宋体"/>
          <w:color w:val="auto"/>
          <w:sz w:val="28"/>
          <w:szCs w:val="28"/>
        </w:rPr>
      </w:pPr>
      <w:r>
        <w:rPr>
          <w:rFonts w:hint="eastAsia" w:ascii="宋体" w:hAnsi="宋体" w:cs="宋体"/>
          <w:color w:val="auto"/>
          <w:sz w:val="28"/>
          <w:szCs w:val="28"/>
          <w:lang w:val="en-US" w:eastAsia="zh-CN"/>
        </w:rPr>
        <w:t>6</w:t>
      </w:r>
      <w:r>
        <w:rPr>
          <w:rFonts w:hint="eastAsia" w:ascii="宋体" w:hAnsi="宋体" w:cs="宋体"/>
          <w:color w:val="auto"/>
          <w:sz w:val="28"/>
          <w:szCs w:val="28"/>
        </w:rPr>
        <w:t>、</w:t>
      </w:r>
      <w:r>
        <w:rPr>
          <w:rFonts w:hint="eastAsia" w:ascii="宋体" w:hAnsi="宋体" w:cs="宋体"/>
          <w:color w:val="auto"/>
          <w:sz w:val="28"/>
          <w:szCs w:val="28"/>
          <w:lang w:val="en-US" w:eastAsia="zh-CN"/>
        </w:rPr>
        <w:t>投</w:t>
      </w:r>
      <w:r>
        <w:rPr>
          <w:rFonts w:hint="eastAsia" w:ascii="宋体" w:hAnsi="宋体" w:cs="宋体"/>
          <w:color w:val="auto"/>
          <w:sz w:val="28"/>
          <w:szCs w:val="28"/>
        </w:rPr>
        <w:t>标人对医院驻点安保人员基本信息进行自我排查，包括无犯罪记录证明、无精神病史等，确保保安人员无违法犯罪行为，身体健康，能胜任所安排的工作。</w:t>
      </w:r>
    </w:p>
    <w:p w14:paraId="1CFC4FEB">
      <w:pPr>
        <w:ind w:firstLine="560" w:firstLineChars="200"/>
        <w:rPr>
          <w:rFonts w:hint="eastAsia" w:ascii="宋体" w:hAnsi="宋体" w:cs="宋体"/>
          <w:color w:val="auto"/>
          <w:sz w:val="28"/>
          <w:szCs w:val="28"/>
        </w:rPr>
      </w:pPr>
      <w:r>
        <w:rPr>
          <w:rFonts w:hint="eastAsia" w:ascii="宋体" w:hAnsi="宋体" w:cs="宋体"/>
          <w:color w:val="auto"/>
          <w:sz w:val="28"/>
          <w:szCs w:val="28"/>
          <w:lang w:val="en-US" w:eastAsia="zh-CN"/>
        </w:rPr>
        <w:t>7</w:t>
      </w:r>
      <w:r>
        <w:rPr>
          <w:rFonts w:hint="eastAsia" w:ascii="宋体" w:hAnsi="宋体" w:cs="宋体"/>
          <w:color w:val="auto"/>
          <w:sz w:val="28"/>
          <w:szCs w:val="28"/>
        </w:rPr>
        <w:t>、</w:t>
      </w:r>
      <w:r>
        <w:rPr>
          <w:rFonts w:hint="eastAsia" w:ascii="宋体" w:hAnsi="宋体" w:cs="宋体"/>
          <w:color w:val="auto"/>
          <w:sz w:val="28"/>
          <w:szCs w:val="28"/>
          <w:lang w:val="en-US" w:eastAsia="zh-CN"/>
        </w:rPr>
        <w:t>投</w:t>
      </w:r>
      <w:r>
        <w:rPr>
          <w:rFonts w:hint="eastAsia" w:ascii="宋体" w:hAnsi="宋体" w:cs="宋体"/>
          <w:color w:val="auto"/>
          <w:sz w:val="28"/>
          <w:szCs w:val="28"/>
        </w:rPr>
        <w:t>标人负责其派出服务人员的工资、福利、社会保险等开销，如发生工伤、疾病乃至死亡的一切责任及费用由中标人全部承担。服务人员的工作时间应严格按国家有关法律、法规要求的标准执行，因工作原因产生的加班（含节假日加班）应严格按国家有关法律、法规要求的标准给付员工加班薪资。正常服务时间内的加班费由投标单位负责。</w:t>
      </w:r>
    </w:p>
    <w:p w14:paraId="6BFBA8B6">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8</w:t>
      </w:r>
      <w:r>
        <w:rPr>
          <w:rFonts w:hint="default" w:ascii="宋体" w:hAnsi="宋体" w:cs="宋体"/>
          <w:color w:val="auto"/>
          <w:kern w:val="0"/>
          <w:sz w:val="28"/>
          <w:szCs w:val="28"/>
          <w:lang w:val="en-US" w:eastAsia="zh-CN"/>
        </w:rPr>
        <w:t>、投标人须针对本项目重点、难点提供相应的需求理解，并针对每项服务内容提供具体的实施安排方案。</w:t>
      </w:r>
    </w:p>
    <w:p w14:paraId="297FB797">
      <w:pPr>
        <w:ind w:firstLine="560" w:firstLineChars="200"/>
        <w:rPr>
          <w:rFonts w:hint="default"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9</w:t>
      </w:r>
      <w:r>
        <w:rPr>
          <w:rFonts w:hint="default" w:ascii="宋体" w:hAnsi="宋体" w:eastAsia="宋体" w:cs="宋体"/>
          <w:color w:val="auto"/>
          <w:kern w:val="0"/>
          <w:sz w:val="28"/>
          <w:szCs w:val="28"/>
          <w:lang w:val="en-US" w:eastAsia="zh-CN"/>
        </w:rPr>
        <w:t>、投标人须针对本项目提供实施服务方式</w:t>
      </w:r>
      <w:r>
        <w:rPr>
          <w:rFonts w:hint="eastAsia" w:ascii="宋体" w:hAnsi="宋体" w:eastAsia="宋体" w:cs="宋体"/>
          <w:color w:val="auto"/>
          <w:kern w:val="0"/>
          <w:sz w:val="28"/>
          <w:szCs w:val="28"/>
          <w:lang w:val="en-US" w:eastAsia="zh-CN"/>
        </w:rPr>
        <w:t>、特色管理或创新管理方式</w:t>
      </w:r>
      <w:r>
        <w:rPr>
          <w:rFonts w:hint="default" w:ascii="宋体" w:hAnsi="宋体" w:eastAsia="宋体" w:cs="宋体"/>
          <w:color w:val="auto"/>
          <w:kern w:val="0"/>
          <w:sz w:val="28"/>
          <w:szCs w:val="28"/>
          <w:lang w:val="en-US" w:eastAsia="zh-CN"/>
        </w:rPr>
        <w:t>。</w:t>
      </w:r>
    </w:p>
    <w:p w14:paraId="509F2687">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10</w:t>
      </w:r>
      <w:r>
        <w:rPr>
          <w:rFonts w:hint="default" w:ascii="宋体" w:hAnsi="宋体" w:cs="宋体"/>
          <w:color w:val="auto"/>
          <w:kern w:val="0"/>
          <w:sz w:val="28"/>
          <w:szCs w:val="28"/>
          <w:lang w:val="en-US" w:eastAsia="zh-CN"/>
        </w:rPr>
        <w:t>、投标人须针对本项目提供防台、防汛、防火等相关应急方案。</w:t>
      </w:r>
    </w:p>
    <w:p w14:paraId="1C66340B">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11</w:t>
      </w:r>
      <w:r>
        <w:rPr>
          <w:rFonts w:hint="default" w:ascii="宋体" w:hAnsi="宋体" w:cs="宋体"/>
          <w:color w:val="auto"/>
          <w:kern w:val="0"/>
          <w:sz w:val="28"/>
          <w:szCs w:val="28"/>
          <w:lang w:val="en-US" w:eastAsia="zh-CN"/>
        </w:rPr>
        <w:t>、投标人须针对本项目提供与物业服务公司的配合方案。</w:t>
      </w:r>
    </w:p>
    <w:p w14:paraId="0CC7272D">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12</w:t>
      </w:r>
      <w:r>
        <w:rPr>
          <w:rFonts w:hint="default" w:ascii="宋体" w:hAnsi="宋体" w:cs="宋体"/>
          <w:color w:val="auto"/>
          <w:kern w:val="0"/>
          <w:sz w:val="28"/>
          <w:szCs w:val="28"/>
          <w:lang w:val="en-US" w:eastAsia="zh-CN"/>
        </w:rPr>
        <w:t>、投标人须提供针对本项目管理机构及运作的合理制度。</w:t>
      </w:r>
    </w:p>
    <w:p w14:paraId="3EE8CB70">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13</w:t>
      </w:r>
      <w:r>
        <w:rPr>
          <w:rFonts w:hint="default" w:ascii="宋体" w:hAnsi="宋体" w:cs="宋体"/>
          <w:color w:val="auto"/>
          <w:kern w:val="0"/>
          <w:sz w:val="28"/>
          <w:szCs w:val="28"/>
          <w:lang w:val="en-US" w:eastAsia="zh-CN"/>
        </w:rPr>
        <w:t>、投标人须承诺购买足额的雇主责任险和公众责任险。</w:t>
      </w:r>
    </w:p>
    <w:p w14:paraId="2523FF99">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14</w:t>
      </w:r>
      <w:r>
        <w:rPr>
          <w:rFonts w:hint="default" w:ascii="宋体" w:hAnsi="宋体" w:cs="宋体"/>
          <w:color w:val="auto"/>
          <w:kern w:val="0"/>
          <w:sz w:val="28"/>
          <w:szCs w:val="28"/>
          <w:lang w:val="en-US" w:eastAsia="zh-CN"/>
        </w:rPr>
        <w:t>、投标人须提供针对本项目确保服务质量措施的考核方法。</w:t>
      </w:r>
    </w:p>
    <w:p w14:paraId="0E5FB6D9">
      <w:pPr>
        <w:ind w:firstLine="560" w:firstLineChars="200"/>
        <w:rPr>
          <w:rFonts w:hint="default"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15</w:t>
      </w:r>
      <w:r>
        <w:rPr>
          <w:rFonts w:hint="default" w:ascii="宋体" w:hAnsi="宋体" w:eastAsia="宋体" w:cs="宋体"/>
          <w:color w:val="auto"/>
          <w:kern w:val="0"/>
          <w:sz w:val="28"/>
          <w:szCs w:val="28"/>
          <w:lang w:val="en-US" w:eastAsia="zh-CN"/>
        </w:rPr>
        <w:t>、</w:t>
      </w:r>
      <w:r>
        <w:rPr>
          <w:rFonts w:hint="eastAsia" w:ascii="宋体" w:hAnsi="宋体" w:eastAsia="宋体" w:cs="宋体"/>
          <w:color w:val="auto"/>
          <w:kern w:val="0"/>
          <w:sz w:val="28"/>
          <w:szCs w:val="28"/>
          <w:lang w:val="en-US" w:eastAsia="zh-CN"/>
        </w:rPr>
        <w:t>投标人须提供本项目负责人和项目组人员最近三个月为项目负责人依法缴纳社保费的证明及相关证明材料。</w:t>
      </w:r>
    </w:p>
    <w:p w14:paraId="3CB0A6FF">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16</w:t>
      </w:r>
      <w:r>
        <w:rPr>
          <w:rFonts w:hint="default" w:ascii="宋体" w:hAnsi="宋体" w:cs="宋体"/>
          <w:color w:val="auto"/>
          <w:kern w:val="0"/>
          <w:sz w:val="28"/>
          <w:szCs w:val="28"/>
          <w:lang w:val="en-US" w:eastAsia="zh-CN"/>
        </w:rPr>
        <w:t>、投标人须提供能证明企业实力的材料如获奖证明</w:t>
      </w:r>
      <w:r>
        <w:rPr>
          <w:rFonts w:hint="eastAsia" w:ascii="宋体" w:hAnsi="宋体" w:cs="宋体"/>
          <w:color w:val="auto"/>
          <w:kern w:val="0"/>
          <w:sz w:val="28"/>
          <w:szCs w:val="28"/>
          <w:lang w:val="en-US" w:eastAsia="zh-CN"/>
        </w:rPr>
        <w:t>、</w:t>
      </w:r>
      <w:bookmarkStart w:id="9" w:name="_GoBack"/>
      <w:r>
        <w:rPr>
          <w:rFonts w:hint="eastAsia" w:ascii="宋体" w:hAnsi="宋体" w:cs="宋体"/>
          <w:color w:val="auto"/>
          <w:kern w:val="0"/>
          <w:sz w:val="28"/>
          <w:szCs w:val="28"/>
          <w:lang w:val="en-US" w:eastAsia="zh-CN"/>
        </w:rPr>
        <w:t>履约能力、信誉度</w:t>
      </w:r>
      <w:r>
        <w:rPr>
          <w:rFonts w:hint="default" w:ascii="宋体" w:hAnsi="宋体" w:cs="宋体"/>
          <w:color w:val="auto"/>
          <w:kern w:val="0"/>
          <w:sz w:val="28"/>
          <w:szCs w:val="28"/>
          <w:lang w:val="en-US" w:eastAsia="zh-CN"/>
        </w:rPr>
        <w:t>及</w:t>
      </w:r>
      <w:r>
        <w:rPr>
          <w:rFonts w:hint="eastAsia" w:ascii="宋体" w:hAnsi="宋体" w:cs="宋体"/>
          <w:color w:val="auto"/>
          <w:kern w:val="0"/>
          <w:sz w:val="28"/>
          <w:szCs w:val="28"/>
          <w:lang w:val="en-US" w:eastAsia="zh-CN"/>
        </w:rPr>
        <w:t>质量管理体系、环境管理体系、职业健康体系等</w:t>
      </w:r>
      <w:r>
        <w:rPr>
          <w:rFonts w:hint="default" w:ascii="宋体" w:hAnsi="宋体" w:cs="宋体"/>
          <w:color w:val="auto"/>
          <w:kern w:val="0"/>
          <w:sz w:val="28"/>
          <w:szCs w:val="28"/>
          <w:lang w:val="en-US" w:eastAsia="zh-CN"/>
        </w:rPr>
        <w:t>其</w:t>
      </w:r>
      <w:bookmarkEnd w:id="9"/>
      <w:r>
        <w:rPr>
          <w:rFonts w:hint="default" w:ascii="宋体" w:hAnsi="宋体" w:cs="宋体"/>
          <w:color w:val="auto"/>
          <w:kern w:val="0"/>
          <w:sz w:val="28"/>
          <w:szCs w:val="28"/>
          <w:lang w:val="en-US" w:eastAsia="zh-CN"/>
        </w:rPr>
        <w:t>他相关证明材料。</w:t>
      </w:r>
    </w:p>
    <w:p w14:paraId="1F3DE619">
      <w:pPr>
        <w:ind w:firstLine="560" w:firstLineChars="200"/>
        <w:rPr>
          <w:rFonts w:hint="default"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17、</w:t>
      </w:r>
      <w:r>
        <w:rPr>
          <w:rFonts w:hint="default" w:ascii="宋体" w:hAnsi="宋体" w:cs="宋体"/>
          <w:color w:val="auto"/>
          <w:kern w:val="0"/>
          <w:sz w:val="28"/>
          <w:szCs w:val="28"/>
          <w:lang w:val="en-US" w:eastAsia="zh-CN"/>
        </w:rPr>
        <w:t>投标人须提供近三年以来类似项目业绩合同复印件；</w:t>
      </w:r>
    </w:p>
    <w:p w14:paraId="2A0BA39D">
      <w:pPr>
        <w:rPr>
          <w:rFonts w:hint="eastAsia" w:ascii="宋体" w:hAnsi="宋体" w:cs="宋体"/>
          <w:color w:val="auto"/>
          <w:sz w:val="28"/>
          <w:szCs w:val="28"/>
        </w:rPr>
      </w:pPr>
    </w:p>
    <w:p w14:paraId="02B69513">
      <w:pPr>
        <w:pStyle w:val="3"/>
        <w:rPr>
          <w:rFonts w:ascii="宋体" w:hAnsi="宋体" w:cs="宋体"/>
          <w:color w:val="auto"/>
          <w:sz w:val="28"/>
          <w:szCs w:val="28"/>
        </w:rPr>
      </w:pPr>
      <w:r>
        <w:rPr>
          <w:rFonts w:hint="eastAsia" w:ascii="宋体" w:hAnsi="宋体" w:cs="宋体"/>
          <w:color w:val="auto"/>
          <w:sz w:val="28"/>
          <w:szCs w:val="28"/>
        </w:rPr>
        <w:t>监管考核要求：</w:t>
      </w:r>
    </w:p>
    <w:p w14:paraId="4DDAB4C8">
      <w:pPr>
        <w:pStyle w:val="19"/>
        <w:tabs>
          <w:tab w:val="left" w:pos="764"/>
        </w:tabs>
        <w:ind w:firstLine="552"/>
        <w:rPr>
          <w:rFonts w:ascii="宋体" w:hAnsi="宋体" w:cs="宋体"/>
          <w:color w:val="auto"/>
          <w:sz w:val="28"/>
          <w:szCs w:val="28"/>
        </w:rPr>
      </w:pPr>
      <w:r>
        <w:rPr>
          <w:rFonts w:hint="eastAsia" w:ascii="宋体" w:hAnsi="宋体" w:cs="宋体"/>
          <w:color w:val="auto"/>
          <w:spacing w:val="-2"/>
          <w:sz w:val="28"/>
          <w:szCs w:val="28"/>
        </w:rPr>
        <w:t>1、考核标准：</w:t>
      </w:r>
    </w:p>
    <w:p w14:paraId="204FF7F2">
      <w:pPr>
        <w:pStyle w:val="19"/>
        <w:ind w:firstLine="560"/>
        <w:jc w:val="left"/>
        <w:rPr>
          <w:rFonts w:ascii="宋体" w:hAnsi="宋体" w:cs="宋体"/>
          <w:color w:val="auto"/>
          <w:sz w:val="28"/>
          <w:szCs w:val="28"/>
        </w:rPr>
      </w:pPr>
      <w:r>
        <w:rPr>
          <w:rFonts w:hint="eastAsia" w:ascii="宋体" w:hAnsi="宋体" w:cs="宋体"/>
          <w:color w:val="auto"/>
          <w:sz w:val="28"/>
          <w:szCs w:val="28"/>
        </w:rPr>
        <w:t>1.1管理考核分平时考核和年终考核，考核分数低于90为不合格。</w:t>
      </w:r>
    </w:p>
    <w:p w14:paraId="6F1B73B0">
      <w:pPr>
        <w:pStyle w:val="19"/>
        <w:ind w:firstLine="560"/>
        <w:jc w:val="left"/>
        <w:rPr>
          <w:rFonts w:ascii="宋体" w:hAnsi="宋体" w:cs="宋体"/>
          <w:color w:val="auto"/>
          <w:sz w:val="28"/>
          <w:szCs w:val="28"/>
        </w:rPr>
      </w:pPr>
      <w:r>
        <w:rPr>
          <w:rFonts w:hint="eastAsia" w:ascii="宋体" w:hAnsi="宋体" w:cs="宋体"/>
          <w:color w:val="auto"/>
          <w:sz w:val="28"/>
          <w:szCs w:val="28"/>
        </w:rPr>
        <w:t>1.2平时考核由招标人对中标人履行合同的情况进行检查考核，并以此作为对年终考核打分的依据。</w:t>
      </w:r>
    </w:p>
    <w:p w14:paraId="43432027">
      <w:pPr>
        <w:pStyle w:val="19"/>
        <w:numPr>
          <w:ilvl w:val="0"/>
          <w:numId w:val="12"/>
        </w:numPr>
        <w:ind w:firstLine="560"/>
        <w:jc w:val="left"/>
        <w:rPr>
          <w:rFonts w:ascii="宋体" w:hAnsi="宋体" w:cs="宋体"/>
          <w:color w:val="auto"/>
          <w:sz w:val="28"/>
          <w:szCs w:val="28"/>
        </w:rPr>
      </w:pPr>
      <w:r>
        <w:rPr>
          <w:rFonts w:hint="eastAsia" w:ascii="宋体" w:hAnsi="宋体" w:cs="宋体"/>
          <w:color w:val="auto"/>
          <w:sz w:val="28"/>
          <w:szCs w:val="28"/>
        </w:rPr>
        <w:t>年终考核由招标人根据需要对服务进行评估以及进行满意率调查的考核。</w:t>
      </w:r>
    </w:p>
    <w:p w14:paraId="1C626A0C">
      <w:pPr>
        <w:pStyle w:val="19"/>
        <w:numPr>
          <w:ilvl w:val="0"/>
          <w:numId w:val="12"/>
        </w:numPr>
        <w:ind w:firstLine="560"/>
        <w:jc w:val="left"/>
        <w:rPr>
          <w:rFonts w:ascii="宋体" w:hAnsi="宋体" w:cs="宋体"/>
          <w:color w:val="auto"/>
          <w:sz w:val="28"/>
          <w:szCs w:val="28"/>
        </w:rPr>
      </w:pPr>
      <w:r>
        <w:rPr>
          <w:rFonts w:hint="eastAsia" w:ascii="宋体" w:hAnsi="宋体" w:cs="宋体"/>
          <w:color w:val="auto"/>
          <w:sz w:val="28"/>
          <w:szCs w:val="28"/>
        </w:rPr>
        <w:t>因中标人管理原因造成安全事故及其他重大社会影响的事件的，则直接判为考核不合格。</w:t>
      </w:r>
    </w:p>
    <w:p w14:paraId="221DE8F2">
      <w:pPr>
        <w:pStyle w:val="19"/>
        <w:ind w:firstLine="560"/>
        <w:jc w:val="left"/>
        <w:rPr>
          <w:rFonts w:ascii="宋体" w:hAnsi="宋体" w:cs="宋体"/>
          <w:color w:val="auto"/>
          <w:sz w:val="28"/>
          <w:szCs w:val="28"/>
        </w:rPr>
      </w:pPr>
      <w:r>
        <w:rPr>
          <w:rFonts w:hint="eastAsia" w:ascii="宋体" w:hAnsi="宋体" w:cs="宋体"/>
          <w:color w:val="auto"/>
          <w:sz w:val="28"/>
          <w:szCs w:val="28"/>
        </w:rPr>
        <w:t>4、考核内容</w:t>
      </w:r>
    </w:p>
    <w:p w14:paraId="75918EE2">
      <w:pPr>
        <w:pStyle w:val="19"/>
        <w:ind w:firstLine="560"/>
        <w:jc w:val="left"/>
        <w:rPr>
          <w:rFonts w:ascii="宋体" w:hAnsi="宋体" w:cs="宋体"/>
          <w:color w:val="auto"/>
          <w:sz w:val="28"/>
          <w:szCs w:val="28"/>
        </w:rPr>
      </w:pPr>
    </w:p>
    <w:tbl>
      <w:tblPr>
        <w:tblStyle w:val="16"/>
        <w:tblW w:w="8587"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49"/>
        <w:gridCol w:w="825"/>
        <w:gridCol w:w="4913"/>
        <w:gridCol w:w="625"/>
        <w:gridCol w:w="1475"/>
      </w:tblGrid>
      <w:tr w14:paraId="483F0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Align w:val="center"/>
          </w:tcPr>
          <w:p w14:paraId="31D887A6">
            <w:pPr>
              <w:pStyle w:val="21"/>
              <w:ind w:left="169" w:right="169"/>
              <w:jc w:val="center"/>
              <w:rPr>
                <w:b/>
                <w:color w:val="auto"/>
                <w:szCs w:val="24"/>
              </w:rPr>
            </w:pPr>
            <w:r>
              <w:rPr>
                <w:rFonts w:hint="eastAsia"/>
                <w:b/>
                <w:color w:val="auto"/>
                <w:spacing w:val="-5"/>
                <w:szCs w:val="24"/>
              </w:rPr>
              <w:t>项目</w:t>
            </w:r>
          </w:p>
        </w:tc>
        <w:tc>
          <w:tcPr>
            <w:tcW w:w="826" w:type="dxa"/>
            <w:vAlign w:val="center"/>
          </w:tcPr>
          <w:p w14:paraId="52EBD9DE">
            <w:pPr>
              <w:pStyle w:val="21"/>
              <w:ind w:left="192" w:right="192"/>
              <w:jc w:val="center"/>
              <w:rPr>
                <w:b/>
                <w:color w:val="auto"/>
                <w:szCs w:val="24"/>
              </w:rPr>
            </w:pPr>
            <w:r>
              <w:rPr>
                <w:rFonts w:hint="eastAsia"/>
                <w:b/>
                <w:color w:val="auto"/>
                <w:spacing w:val="-5"/>
                <w:szCs w:val="24"/>
              </w:rPr>
              <w:t>序号</w:t>
            </w:r>
          </w:p>
        </w:tc>
        <w:tc>
          <w:tcPr>
            <w:tcW w:w="4921" w:type="dxa"/>
            <w:vAlign w:val="center"/>
          </w:tcPr>
          <w:p w14:paraId="2DC4C2E1">
            <w:pPr>
              <w:pStyle w:val="21"/>
              <w:ind w:right="2182"/>
              <w:jc w:val="center"/>
              <w:rPr>
                <w:b/>
                <w:color w:val="auto"/>
                <w:szCs w:val="24"/>
              </w:rPr>
            </w:pPr>
            <w:r>
              <w:rPr>
                <w:rFonts w:hint="eastAsia"/>
                <w:b/>
                <w:color w:val="auto"/>
                <w:spacing w:val="-3"/>
                <w:szCs w:val="24"/>
              </w:rPr>
              <w:t>考核内容</w:t>
            </w:r>
          </w:p>
        </w:tc>
        <w:tc>
          <w:tcPr>
            <w:tcW w:w="613" w:type="dxa"/>
            <w:vAlign w:val="center"/>
          </w:tcPr>
          <w:p w14:paraId="092A4229">
            <w:pPr>
              <w:pStyle w:val="21"/>
              <w:ind w:left="192" w:right="192"/>
              <w:jc w:val="center"/>
              <w:rPr>
                <w:b/>
                <w:color w:val="auto"/>
                <w:szCs w:val="24"/>
              </w:rPr>
            </w:pPr>
            <w:r>
              <w:rPr>
                <w:rFonts w:hint="eastAsia"/>
                <w:b/>
                <w:color w:val="auto"/>
                <w:spacing w:val="-5"/>
                <w:szCs w:val="24"/>
              </w:rPr>
              <w:t>配分</w:t>
            </w:r>
          </w:p>
        </w:tc>
        <w:tc>
          <w:tcPr>
            <w:tcW w:w="1477" w:type="dxa"/>
            <w:vAlign w:val="center"/>
          </w:tcPr>
          <w:p w14:paraId="5BF644DF">
            <w:pPr>
              <w:pStyle w:val="21"/>
              <w:ind w:left="146" w:right="146"/>
              <w:jc w:val="center"/>
              <w:rPr>
                <w:b/>
                <w:color w:val="auto"/>
                <w:szCs w:val="24"/>
              </w:rPr>
            </w:pPr>
            <w:r>
              <w:rPr>
                <w:rFonts w:hint="eastAsia"/>
                <w:b/>
                <w:color w:val="auto"/>
                <w:spacing w:val="-3"/>
                <w:szCs w:val="24"/>
              </w:rPr>
              <w:t>扣分标准</w:t>
            </w:r>
          </w:p>
        </w:tc>
      </w:tr>
      <w:tr w14:paraId="4B74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restart"/>
            <w:vAlign w:val="center"/>
          </w:tcPr>
          <w:p w14:paraId="6952D661">
            <w:pPr>
              <w:pStyle w:val="21"/>
              <w:ind w:left="173" w:right="164"/>
              <w:rPr>
                <w:color w:val="auto"/>
                <w:szCs w:val="24"/>
              </w:rPr>
            </w:pPr>
            <w:r>
              <w:rPr>
                <w:rFonts w:hint="eastAsia"/>
                <w:color w:val="auto"/>
                <w:spacing w:val="-5"/>
                <w:szCs w:val="24"/>
              </w:rPr>
              <w:t>服务</w:t>
            </w:r>
          </w:p>
          <w:p w14:paraId="5668619F">
            <w:pPr>
              <w:pStyle w:val="21"/>
              <w:ind w:left="173" w:right="164"/>
              <w:rPr>
                <w:color w:val="auto"/>
                <w:szCs w:val="24"/>
              </w:rPr>
            </w:pPr>
            <w:r>
              <w:rPr>
                <w:rFonts w:hint="eastAsia"/>
                <w:color w:val="auto"/>
                <w:spacing w:val="-5"/>
                <w:szCs w:val="24"/>
              </w:rPr>
              <w:t>质量</w:t>
            </w:r>
          </w:p>
        </w:tc>
        <w:tc>
          <w:tcPr>
            <w:tcW w:w="826" w:type="dxa"/>
            <w:vAlign w:val="center"/>
          </w:tcPr>
          <w:p w14:paraId="04C17ED1">
            <w:pPr>
              <w:pStyle w:val="21"/>
              <w:jc w:val="center"/>
              <w:rPr>
                <w:color w:val="auto"/>
                <w:szCs w:val="24"/>
              </w:rPr>
            </w:pPr>
            <w:r>
              <w:rPr>
                <w:rFonts w:hint="eastAsia"/>
                <w:color w:val="auto"/>
                <w:szCs w:val="24"/>
              </w:rPr>
              <w:t>1</w:t>
            </w:r>
          </w:p>
        </w:tc>
        <w:tc>
          <w:tcPr>
            <w:tcW w:w="4921" w:type="dxa"/>
            <w:vAlign w:val="center"/>
          </w:tcPr>
          <w:p w14:paraId="2817177C">
            <w:pPr>
              <w:pStyle w:val="21"/>
              <w:ind w:left="105"/>
              <w:rPr>
                <w:color w:val="auto"/>
                <w:szCs w:val="24"/>
              </w:rPr>
            </w:pPr>
            <w:r>
              <w:rPr>
                <w:rFonts w:hint="eastAsia"/>
                <w:color w:val="auto"/>
                <w:spacing w:val="-3"/>
                <w:szCs w:val="24"/>
              </w:rPr>
              <w:t>仪容仪表、行为举止、用语规范，持证上岗，遵守职业操守，无违纪、违规情况发生</w:t>
            </w:r>
          </w:p>
        </w:tc>
        <w:tc>
          <w:tcPr>
            <w:tcW w:w="613" w:type="dxa"/>
            <w:vMerge w:val="restart"/>
            <w:vAlign w:val="center"/>
          </w:tcPr>
          <w:p w14:paraId="162A9598">
            <w:pPr>
              <w:pStyle w:val="21"/>
              <w:spacing w:before="140"/>
              <w:ind w:firstLine="218" w:firstLineChars="100"/>
              <w:rPr>
                <w:color w:val="auto"/>
                <w:szCs w:val="24"/>
              </w:rPr>
            </w:pPr>
            <w:r>
              <w:rPr>
                <w:rFonts w:hint="eastAsia"/>
                <w:color w:val="auto"/>
                <w:spacing w:val="-5"/>
                <w:w w:val="95"/>
                <w:szCs w:val="24"/>
              </w:rPr>
              <w:t>100</w:t>
            </w:r>
          </w:p>
        </w:tc>
        <w:tc>
          <w:tcPr>
            <w:tcW w:w="1477" w:type="dxa"/>
            <w:vMerge w:val="restart"/>
            <w:vAlign w:val="center"/>
          </w:tcPr>
          <w:p w14:paraId="6DF70A15">
            <w:pPr>
              <w:pStyle w:val="21"/>
              <w:ind w:left="105"/>
              <w:rPr>
                <w:color w:val="auto"/>
                <w:szCs w:val="24"/>
              </w:rPr>
            </w:pPr>
            <w:r>
              <w:rPr>
                <w:rFonts w:hint="eastAsia"/>
                <w:color w:val="auto"/>
                <w:spacing w:val="-3"/>
                <w:szCs w:val="24"/>
              </w:rPr>
              <w:t>每发生一次不符项，扣1分</w:t>
            </w:r>
          </w:p>
        </w:tc>
      </w:tr>
      <w:tr w14:paraId="569D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5886A0E8">
            <w:pPr>
              <w:pStyle w:val="21"/>
              <w:rPr>
                <w:color w:val="auto"/>
                <w:szCs w:val="24"/>
              </w:rPr>
            </w:pPr>
          </w:p>
        </w:tc>
        <w:tc>
          <w:tcPr>
            <w:tcW w:w="826" w:type="dxa"/>
            <w:vAlign w:val="center"/>
          </w:tcPr>
          <w:p w14:paraId="41E3A997">
            <w:pPr>
              <w:pStyle w:val="21"/>
              <w:jc w:val="center"/>
              <w:rPr>
                <w:color w:val="auto"/>
                <w:szCs w:val="24"/>
              </w:rPr>
            </w:pPr>
            <w:r>
              <w:rPr>
                <w:rFonts w:hint="eastAsia"/>
                <w:color w:val="auto"/>
                <w:szCs w:val="24"/>
              </w:rPr>
              <w:t>2</w:t>
            </w:r>
          </w:p>
        </w:tc>
        <w:tc>
          <w:tcPr>
            <w:tcW w:w="4921" w:type="dxa"/>
            <w:vAlign w:val="center"/>
          </w:tcPr>
          <w:p w14:paraId="1A9E2027">
            <w:pPr>
              <w:pStyle w:val="21"/>
              <w:ind w:left="105"/>
              <w:rPr>
                <w:color w:val="auto"/>
                <w:szCs w:val="24"/>
              </w:rPr>
            </w:pPr>
            <w:r>
              <w:rPr>
                <w:rFonts w:hint="eastAsia"/>
                <w:color w:val="auto"/>
                <w:spacing w:val="-3"/>
                <w:szCs w:val="24"/>
              </w:rPr>
              <w:t>按甲方要求开展各类员工岗前、岗中安全及专业培训，并做好相关培训记录</w:t>
            </w:r>
          </w:p>
        </w:tc>
        <w:tc>
          <w:tcPr>
            <w:tcW w:w="613" w:type="dxa"/>
            <w:vMerge w:val="continue"/>
            <w:vAlign w:val="center"/>
          </w:tcPr>
          <w:p w14:paraId="797AE178">
            <w:pPr>
              <w:rPr>
                <w:rFonts w:ascii="宋体" w:hAnsi="宋体" w:cs="宋体"/>
                <w:color w:val="auto"/>
                <w:szCs w:val="24"/>
              </w:rPr>
            </w:pPr>
          </w:p>
        </w:tc>
        <w:tc>
          <w:tcPr>
            <w:tcW w:w="1477" w:type="dxa"/>
            <w:vMerge w:val="continue"/>
            <w:vAlign w:val="center"/>
          </w:tcPr>
          <w:p w14:paraId="6C180BED">
            <w:pPr>
              <w:pStyle w:val="21"/>
              <w:rPr>
                <w:color w:val="auto"/>
                <w:szCs w:val="24"/>
              </w:rPr>
            </w:pPr>
          </w:p>
        </w:tc>
      </w:tr>
      <w:tr w14:paraId="2FB8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57AF39D6">
            <w:pPr>
              <w:pStyle w:val="21"/>
              <w:rPr>
                <w:color w:val="auto"/>
                <w:szCs w:val="24"/>
              </w:rPr>
            </w:pPr>
          </w:p>
        </w:tc>
        <w:tc>
          <w:tcPr>
            <w:tcW w:w="826" w:type="dxa"/>
            <w:vAlign w:val="center"/>
          </w:tcPr>
          <w:p w14:paraId="0E4532E5">
            <w:pPr>
              <w:pStyle w:val="21"/>
              <w:jc w:val="center"/>
              <w:rPr>
                <w:color w:val="auto"/>
                <w:szCs w:val="24"/>
              </w:rPr>
            </w:pPr>
            <w:r>
              <w:rPr>
                <w:rFonts w:hint="eastAsia"/>
                <w:color w:val="auto"/>
                <w:szCs w:val="24"/>
              </w:rPr>
              <w:t>3</w:t>
            </w:r>
          </w:p>
        </w:tc>
        <w:tc>
          <w:tcPr>
            <w:tcW w:w="4921" w:type="dxa"/>
            <w:vAlign w:val="center"/>
          </w:tcPr>
          <w:p w14:paraId="3AA01142">
            <w:pPr>
              <w:pStyle w:val="21"/>
              <w:ind w:left="105"/>
              <w:rPr>
                <w:color w:val="auto"/>
                <w:szCs w:val="24"/>
              </w:rPr>
            </w:pPr>
            <w:r>
              <w:rPr>
                <w:rFonts w:hint="eastAsia"/>
                <w:color w:val="auto"/>
                <w:spacing w:val="-3"/>
                <w:szCs w:val="24"/>
              </w:rPr>
              <w:t>工作场所整洁有序，无安全隐患</w:t>
            </w:r>
          </w:p>
        </w:tc>
        <w:tc>
          <w:tcPr>
            <w:tcW w:w="613" w:type="dxa"/>
            <w:vMerge w:val="continue"/>
            <w:vAlign w:val="center"/>
          </w:tcPr>
          <w:p w14:paraId="2C4B3625">
            <w:pPr>
              <w:rPr>
                <w:rFonts w:ascii="宋体" w:hAnsi="宋体" w:cs="宋体"/>
                <w:color w:val="auto"/>
                <w:szCs w:val="24"/>
              </w:rPr>
            </w:pPr>
          </w:p>
        </w:tc>
        <w:tc>
          <w:tcPr>
            <w:tcW w:w="1477" w:type="dxa"/>
            <w:vMerge w:val="continue"/>
            <w:vAlign w:val="center"/>
          </w:tcPr>
          <w:p w14:paraId="3D96EEBD">
            <w:pPr>
              <w:pStyle w:val="21"/>
              <w:rPr>
                <w:color w:val="auto"/>
                <w:szCs w:val="24"/>
              </w:rPr>
            </w:pPr>
          </w:p>
        </w:tc>
      </w:tr>
      <w:tr w14:paraId="676A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4B4A8B5E">
            <w:pPr>
              <w:pStyle w:val="21"/>
              <w:rPr>
                <w:color w:val="auto"/>
                <w:szCs w:val="24"/>
              </w:rPr>
            </w:pPr>
          </w:p>
        </w:tc>
        <w:tc>
          <w:tcPr>
            <w:tcW w:w="826" w:type="dxa"/>
            <w:vAlign w:val="center"/>
          </w:tcPr>
          <w:p w14:paraId="38342EBD">
            <w:pPr>
              <w:pStyle w:val="21"/>
              <w:jc w:val="center"/>
              <w:rPr>
                <w:color w:val="auto"/>
                <w:szCs w:val="24"/>
              </w:rPr>
            </w:pPr>
            <w:r>
              <w:rPr>
                <w:rFonts w:hint="eastAsia"/>
                <w:color w:val="auto"/>
                <w:szCs w:val="24"/>
              </w:rPr>
              <w:t>4</w:t>
            </w:r>
          </w:p>
        </w:tc>
        <w:tc>
          <w:tcPr>
            <w:tcW w:w="4921" w:type="dxa"/>
            <w:vAlign w:val="center"/>
          </w:tcPr>
          <w:p w14:paraId="3F732B5A">
            <w:pPr>
              <w:pStyle w:val="21"/>
              <w:ind w:left="105"/>
              <w:rPr>
                <w:color w:val="auto"/>
                <w:szCs w:val="24"/>
              </w:rPr>
            </w:pPr>
            <w:r>
              <w:rPr>
                <w:rFonts w:hint="eastAsia"/>
                <w:color w:val="auto"/>
                <w:spacing w:val="-3"/>
                <w:szCs w:val="24"/>
              </w:rPr>
              <w:t>警用用具及器械管理符合要求</w:t>
            </w:r>
          </w:p>
        </w:tc>
        <w:tc>
          <w:tcPr>
            <w:tcW w:w="613" w:type="dxa"/>
            <w:vMerge w:val="continue"/>
            <w:vAlign w:val="center"/>
          </w:tcPr>
          <w:p w14:paraId="026CF10E">
            <w:pPr>
              <w:rPr>
                <w:rFonts w:ascii="宋体" w:hAnsi="宋体" w:cs="宋体"/>
                <w:color w:val="auto"/>
                <w:szCs w:val="24"/>
              </w:rPr>
            </w:pPr>
          </w:p>
        </w:tc>
        <w:tc>
          <w:tcPr>
            <w:tcW w:w="1477" w:type="dxa"/>
            <w:vMerge w:val="continue"/>
            <w:vAlign w:val="center"/>
          </w:tcPr>
          <w:p w14:paraId="61F84C34">
            <w:pPr>
              <w:pStyle w:val="21"/>
              <w:rPr>
                <w:color w:val="auto"/>
                <w:szCs w:val="24"/>
              </w:rPr>
            </w:pPr>
          </w:p>
        </w:tc>
      </w:tr>
      <w:tr w14:paraId="2DFE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255F9DF6">
            <w:pPr>
              <w:pStyle w:val="21"/>
              <w:rPr>
                <w:color w:val="auto"/>
                <w:szCs w:val="24"/>
              </w:rPr>
            </w:pPr>
          </w:p>
        </w:tc>
        <w:tc>
          <w:tcPr>
            <w:tcW w:w="826" w:type="dxa"/>
            <w:vAlign w:val="center"/>
          </w:tcPr>
          <w:p w14:paraId="3ED89816">
            <w:pPr>
              <w:pStyle w:val="21"/>
              <w:jc w:val="center"/>
              <w:rPr>
                <w:color w:val="auto"/>
                <w:szCs w:val="24"/>
              </w:rPr>
            </w:pPr>
            <w:r>
              <w:rPr>
                <w:rFonts w:hint="eastAsia"/>
                <w:color w:val="auto"/>
                <w:szCs w:val="24"/>
              </w:rPr>
              <w:t>5</w:t>
            </w:r>
          </w:p>
        </w:tc>
        <w:tc>
          <w:tcPr>
            <w:tcW w:w="4921" w:type="dxa"/>
            <w:vAlign w:val="center"/>
          </w:tcPr>
          <w:p w14:paraId="1403775B">
            <w:pPr>
              <w:pStyle w:val="21"/>
              <w:ind w:left="105"/>
              <w:rPr>
                <w:color w:val="auto"/>
                <w:szCs w:val="24"/>
              </w:rPr>
            </w:pPr>
            <w:r>
              <w:rPr>
                <w:rFonts w:hint="eastAsia"/>
                <w:color w:val="auto"/>
                <w:spacing w:val="-3"/>
                <w:szCs w:val="24"/>
              </w:rPr>
              <w:t>交接班工作符合要求</w:t>
            </w:r>
          </w:p>
        </w:tc>
        <w:tc>
          <w:tcPr>
            <w:tcW w:w="613" w:type="dxa"/>
            <w:vMerge w:val="continue"/>
            <w:vAlign w:val="center"/>
          </w:tcPr>
          <w:p w14:paraId="08135FFB">
            <w:pPr>
              <w:rPr>
                <w:rFonts w:ascii="宋体" w:hAnsi="宋体" w:cs="宋体"/>
                <w:color w:val="auto"/>
                <w:szCs w:val="24"/>
              </w:rPr>
            </w:pPr>
          </w:p>
        </w:tc>
        <w:tc>
          <w:tcPr>
            <w:tcW w:w="1477" w:type="dxa"/>
            <w:vMerge w:val="continue"/>
            <w:vAlign w:val="center"/>
          </w:tcPr>
          <w:p w14:paraId="6A47930C">
            <w:pPr>
              <w:pStyle w:val="21"/>
              <w:rPr>
                <w:color w:val="auto"/>
                <w:szCs w:val="24"/>
              </w:rPr>
            </w:pPr>
          </w:p>
        </w:tc>
      </w:tr>
      <w:tr w14:paraId="1A3FC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103B0775">
            <w:pPr>
              <w:pStyle w:val="21"/>
              <w:rPr>
                <w:color w:val="auto"/>
                <w:szCs w:val="24"/>
              </w:rPr>
            </w:pPr>
          </w:p>
        </w:tc>
        <w:tc>
          <w:tcPr>
            <w:tcW w:w="826" w:type="dxa"/>
            <w:vAlign w:val="center"/>
          </w:tcPr>
          <w:p w14:paraId="54661B59">
            <w:pPr>
              <w:pStyle w:val="21"/>
              <w:jc w:val="center"/>
              <w:rPr>
                <w:color w:val="auto"/>
                <w:szCs w:val="24"/>
              </w:rPr>
            </w:pPr>
            <w:r>
              <w:rPr>
                <w:rFonts w:hint="eastAsia"/>
                <w:color w:val="auto"/>
                <w:szCs w:val="24"/>
              </w:rPr>
              <w:t>6</w:t>
            </w:r>
          </w:p>
        </w:tc>
        <w:tc>
          <w:tcPr>
            <w:tcW w:w="4921" w:type="dxa"/>
            <w:vAlign w:val="center"/>
          </w:tcPr>
          <w:p w14:paraId="6AFB8098">
            <w:pPr>
              <w:pStyle w:val="21"/>
              <w:ind w:left="105"/>
              <w:rPr>
                <w:color w:val="auto"/>
                <w:szCs w:val="24"/>
              </w:rPr>
            </w:pPr>
            <w:r>
              <w:rPr>
                <w:rFonts w:hint="eastAsia"/>
                <w:color w:val="auto"/>
                <w:spacing w:val="-3"/>
                <w:szCs w:val="24"/>
              </w:rPr>
              <w:t>人员出入管理符合要求</w:t>
            </w:r>
          </w:p>
        </w:tc>
        <w:tc>
          <w:tcPr>
            <w:tcW w:w="613" w:type="dxa"/>
            <w:vMerge w:val="continue"/>
            <w:vAlign w:val="center"/>
          </w:tcPr>
          <w:p w14:paraId="0A31B151">
            <w:pPr>
              <w:rPr>
                <w:rFonts w:ascii="宋体" w:hAnsi="宋体" w:cs="宋体"/>
                <w:color w:val="auto"/>
                <w:szCs w:val="24"/>
              </w:rPr>
            </w:pPr>
          </w:p>
        </w:tc>
        <w:tc>
          <w:tcPr>
            <w:tcW w:w="1477" w:type="dxa"/>
            <w:vMerge w:val="continue"/>
            <w:vAlign w:val="center"/>
          </w:tcPr>
          <w:p w14:paraId="7ABF9366">
            <w:pPr>
              <w:pStyle w:val="21"/>
              <w:rPr>
                <w:color w:val="auto"/>
                <w:szCs w:val="24"/>
              </w:rPr>
            </w:pPr>
          </w:p>
        </w:tc>
      </w:tr>
      <w:tr w14:paraId="76B1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7BDE26BF">
            <w:pPr>
              <w:pStyle w:val="21"/>
              <w:rPr>
                <w:color w:val="auto"/>
                <w:szCs w:val="24"/>
              </w:rPr>
            </w:pPr>
          </w:p>
        </w:tc>
        <w:tc>
          <w:tcPr>
            <w:tcW w:w="826" w:type="dxa"/>
            <w:vAlign w:val="center"/>
          </w:tcPr>
          <w:p w14:paraId="79798AEC">
            <w:pPr>
              <w:pStyle w:val="21"/>
              <w:jc w:val="center"/>
              <w:rPr>
                <w:color w:val="auto"/>
                <w:szCs w:val="24"/>
              </w:rPr>
            </w:pPr>
            <w:r>
              <w:rPr>
                <w:rFonts w:hint="eastAsia"/>
                <w:color w:val="auto"/>
                <w:szCs w:val="24"/>
              </w:rPr>
              <w:t>7</w:t>
            </w:r>
          </w:p>
        </w:tc>
        <w:tc>
          <w:tcPr>
            <w:tcW w:w="4921" w:type="dxa"/>
            <w:vAlign w:val="center"/>
          </w:tcPr>
          <w:p w14:paraId="3198B8BA">
            <w:pPr>
              <w:pStyle w:val="21"/>
              <w:ind w:left="105"/>
              <w:rPr>
                <w:color w:val="auto"/>
                <w:szCs w:val="24"/>
              </w:rPr>
            </w:pPr>
            <w:r>
              <w:rPr>
                <w:rFonts w:hint="eastAsia"/>
                <w:color w:val="auto"/>
                <w:spacing w:val="-3"/>
                <w:szCs w:val="24"/>
              </w:rPr>
              <w:t>车辆进出、引导停放管理符合要求</w:t>
            </w:r>
          </w:p>
        </w:tc>
        <w:tc>
          <w:tcPr>
            <w:tcW w:w="613" w:type="dxa"/>
            <w:vMerge w:val="continue"/>
            <w:vAlign w:val="center"/>
          </w:tcPr>
          <w:p w14:paraId="2023EB9D">
            <w:pPr>
              <w:rPr>
                <w:rFonts w:ascii="宋体" w:hAnsi="宋体" w:cs="宋体"/>
                <w:color w:val="auto"/>
                <w:szCs w:val="24"/>
              </w:rPr>
            </w:pPr>
          </w:p>
        </w:tc>
        <w:tc>
          <w:tcPr>
            <w:tcW w:w="1477" w:type="dxa"/>
            <w:vMerge w:val="continue"/>
            <w:vAlign w:val="center"/>
          </w:tcPr>
          <w:p w14:paraId="4F9CCCC7">
            <w:pPr>
              <w:pStyle w:val="21"/>
              <w:spacing w:before="140"/>
              <w:ind w:left="168"/>
              <w:rPr>
                <w:color w:val="auto"/>
                <w:szCs w:val="24"/>
              </w:rPr>
            </w:pPr>
          </w:p>
        </w:tc>
      </w:tr>
      <w:tr w14:paraId="6FB3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063B64C4">
            <w:pPr>
              <w:rPr>
                <w:rFonts w:ascii="宋体" w:hAnsi="宋体" w:cs="宋体"/>
                <w:color w:val="auto"/>
                <w:szCs w:val="24"/>
              </w:rPr>
            </w:pPr>
          </w:p>
        </w:tc>
        <w:tc>
          <w:tcPr>
            <w:tcW w:w="826" w:type="dxa"/>
            <w:vAlign w:val="center"/>
          </w:tcPr>
          <w:p w14:paraId="3CE401BA">
            <w:pPr>
              <w:pStyle w:val="21"/>
              <w:jc w:val="center"/>
              <w:rPr>
                <w:color w:val="auto"/>
                <w:szCs w:val="24"/>
              </w:rPr>
            </w:pPr>
            <w:r>
              <w:rPr>
                <w:rFonts w:hint="eastAsia"/>
                <w:color w:val="auto"/>
                <w:szCs w:val="24"/>
              </w:rPr>
              <w:t>8</w:t>
            </w:r>
          </w:p>
        </w:tc>
        <w:tc>
          <w:tcPr>
            <w:tcW w:w="4921" w:type="dxa"/>
            <w:vAlign w:val="center"/>
          </w:tcPr>
          <w:p w14:paraId="565497F7">
            <w:pPr>
              <w:pStyle w:val="21"/>
              <w:ind w:left="105"/>
              <w:rPr>
                <w:color w:val="auto"/>
                <w:szCs w:val="24"/>
              </w:rPr>
            </w:pPr>
            <w:r>
              <w:rPr>
                <w:rFonts w:hint="eastAsia"/>
                <w:color w:val="auto"/>
                <w:spacing w:val="-3"/>
                <w:szCs w:val="24"/>
              </w:rPr>
              <w:t>物品进出管理符合要求</w:t>
            </w:r>
          </w:p>
        </w:tc>
        <w:tc>
          <w:tcPr>
            <w:tcW w:w="613" w:type="dxa"/>
            <w:vMerge w:val="continue"/>
            <w:vAlign w:val="center"/>
          </w:tcPr>
          <w:p w14:paraId="6B6AC055">
            <w:pPr>
              <w:rPr>
                <w:rFonts w:ascii="宋体" w:hAnsi="宋体" w:cs="宋体"/>
                <w:color w:val="auto"/>
                <w:szCs w:val="24"/>
              </w:rPr>
            </w:pPr>
          </w:p>
        </w:tc>
        <w:tc>
          <w:tcPr>
            <w:tcW w:w="1477" w:type="dxa"/>
            <w:vMerge w:val="continue"/>
            <w:vAlign w:val="center"/>
          </w:tcPr>
          <w:p w14:paraId="2A1FFA46">
            <w:pPr>
              <w:rPr>
                <w:rFonts w:ascii="宋体" w:hAnsi="宋体" w:cs="宋体"/>
                <w:color w:val="auto"/>
                <w:szCs w:val="24"/>
              </w:rPr>
            </w:pPr>
          </w:p>
        </w:tc>
      </w:tr>
      <w:tr w14:paraId="3AD5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613EE0C0">
            <w:pPr>
              <w:pStyle w:val="21"/>
              <w:ind w:left="173" w:right="164"/>
              <w:rPr>
                <w:color w:val="auto"/>
                <w:szCs w:val="24"/>
              </w:rPr>
            </w:pPr>
          </w:p>
        </w:tc>
        <w:tc>
          <w:tcPr>
            <w:tcW w:w="826" w:type="dxa"/>
            <w:vAlign w:val="center"/>
          </w:tcPr>
          <w:p w14:paraId="65F3C2EE">
            <w:pPr>
              <w:pStyle w:val="21"/>
              <w:jc w:val="center"/>
              <w:rPr>
                <w:color w:val="auto"/>
                <w:szCs w:val="24"/>
              </w:rPr>
            </w:pPr>
            <w:r>
              <w:rPr>
                <w:rFonts w:hint="eastAsia"/>
                <w:color w:val="auto"/>
                <w:szCs w:val="24"/>
              </w:rPr>
              <w:t>9</w:t>
            </w:r>
          </w:p>
        </w:tc>
        <w:tc>
          <w:tcPr>
            <w:tcW w:w="4921" w:type="dxa"/>
            <w:vAlign w:val="center"/>
          </w:tcPr>
          <w:p w14:paraId="4AEE40D8">
            <w:pPr>
              <w:pStyle w:val="21"/>
              <w:ind w:left="105"/>
              <w:rPr>
                <w:color w:val="auto"/>
                <w:szCs w:val="24"/>
              </w:rPr>
            </w:pPr>
            <w:r>
              <w:rPr>
                <w:rFonts w:hint="eastAsia"/>
                <w:color w:val="auto"/>
                <w:spacing w:val="-3"/>
                <w:szCs w:val="24"/>
              </w:rPr>
              <w:t>消防器材及消防设施的日常检查工作符合要求</w:t>
            </w:r>
          </w:p>
        </w:tc>
        <w:tc>
          <w:tcPr>
            <w:tcW w:w="613" w:type="dxa"/>
            <w:vMerge w:val="continue"/>
            <w:vAlign w:val="center"/>
          </w:tcPr>
          <w:p w14:paraId="73907CBD">
            <w:pPr>
              <w:rPr>
                <w:rFonts w:ascii="宋体" w:hAnsi="宋体" w:cs="宋体"/>
                <w:color w:val="auto"/>
                <w:szCs w:val="24"/>
              </w:rPr>
            </w:pPr>
          </w:p>
        </w:tc>
        <w:tc>
          <w:tcPr>
            <w:tcW w:w="1477" w:type="dxa"/>
            <w:vMerge w:val="continue"/>
            <w:vAlign w:val="center"/>
          </w:tcPr>
          <w:p w14:paraId="0536C947">
            <w:pPr>
              <w:pStyle w:val="21"/>
              <w:ind w:left="151" w:right="141"/>
              <w:rPr>
                <w:color w:val="auto"/>
                <w:szCs w:val="24"/>
              </w:rPr>
            </w:pPr>
          </w:p>
        </w:tc>
      </w:tr>
      <w:tr w14:paraId="093A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522743DA">
            <w:pPr>
              <w:rPr>
                <w:rFonts w:ascii="宋体" w:hAnsi="宋体" w:cs="宋体"/>
                <w:color w:val="auto"/>
                <w:szCs w:val="24"/>
              </w:rPr>
            </w:pPr>
          </w:p>
        </w:tc>
        <w:tc>
          <w:tcPr>
            <w:tcW w:w="826" w:type="dxa"/>
            <w:vAlign w:val="center"/>
          </w:tcPr>
          <w:p w14:paraId="07880A7C">
            <w:pPr>
              <w:pStyle w:val="21"/>
              <w:jc w:val="center"/>
              <w:rPr>
                <w:color w:val="auto"/>
                <w:szCs w:val="24"/>
              </w:rPr>
            </w:pPr>
            <w:r>
              <w:rPr>
                <w:rFonts w:hint="eastAsia"/>
                <w:color w:val="auto"/>
                <w:szCs w:val="24"/>
              </w:rPr>
              <w:t>10</w:t>
            </w:r>
          </w:p>
        </w:tc>
        <w:tc>
          <w:tcPr>
            <w:tcW w:w="4921" w:type="dxa"/>
            <w:vAlign w:val="center"/>
          </w:tcPr>
          <w:p w14:paraId="0EE95524">
            <w:pPr>
              <w:pStyle w:val="21"/>
              <w:ind w:left="105"/>
              <w:rPr>
                <w:color w:val="auto"/>
                <w:szCs w:val="24"/>
              </w:rPr>
            </w:pPr>
            <w:r>
              <w:rPr>
                <w:rFonts w:hint="eastAsia"/>
                <w:color w:val="auto"/>
                <w:spacing w:val="-2"/>
                <w:szCs w:val="24"/>
              </w:rPr>
              <w:t>消防报警系统（含广播系统）</w:t>
            </w:r>
            <w:r>
              <w:rPr>
                <w:rFonts w:hint="eastAsia"/>
                <w:color w:val="auto"/>
                <w:spacing w:val="-3"/>
                <w:szCs w:val="24"/>
              </w:rPr>
              <w:t>的监控管理符合要求</w:t>
            </w:r>
          </w:p>
        </w:tc>
        <w:tc>
          <w:tcPr>
            <w:tcW w:w="613" w:type="dxa"/>
            <w:vMerge w:val="continue"/>
            <w:vAlign w:val="center"/>
          </w:tcPr>
          <w:p w14:paraId="0C812B54">
            <w:pPr>
              <w:rPr>
                <w:rFonts w:ascii="宋体" w:hAnsi="宋体" w:cs="宋体"/>
                <w:color w:val="auto"/>
                <w:szCs w:val="24"/>
              </w:rPr>
            </w:pPr>
          </w:p>
        </w:tc>
        <w:tc>
          <w:tcPr>
            <w:tcW w:w="1477" w:type="dxa"/>
            <w:vMerge w:val="continue"/>
            <w:vAlign w:val="center"/>
          </w:tcPr>
          <w:p w14:paraId="0569BC6A">
            <w:pPr>
              <w:rPr>
                <w:rFonts w:ascii="宋体" w:hAnsi="宋体" w:cs="宋体"/>
                <w:color w:val="auto"/>
                <w:szCs w:val="24"/>
              </w:rPr>
            </w:pPr>
          </w:p>
        </w:tc>
      </w:tr>
      <w:tr w14:paraId="5FFF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26C1572C">
            <w:pPr>
              <w:pStyle w:val="21"/>
              <w:rPr>
                <w:color w:val="auto"/>
                <w:szCs w:val="24"/>
              </w:rPr>
            </w:pPr>
          </w:p>
        </w:tc>
        <w:tc>
          <w:tcPr>
            <w:tcW w:w="826" w:type="dxa"/>
            <w:vAlign w:val="center"/>
          </w:tcPr>
          <w:p w14:paraId="106F2285">
            <w:pPr>
              <w:pStyle w:val="21"/>
              <w:jc w:val="center"/>
              <w:rPr>
                <w:color w:val="auto"/>
                <w:szCs w:val="24"/>
              </w:rPr>
            </w:pPr>
            <w:r>
              <w:rPr>
                <w:rFonts w:hint="eastAsia"/>
                <w:color w:val="auto"/>
                <w:szCs w:val="24"/>
              </w:rPr>
              <w:t>11</w:t>
            </w:r>
          </w:p>
        </w:tc>
        <w:tc>
          <w:tcPr>
            <w:tcW w:w="4921" w:type="dxa"/>
            <w:vAlign w:val="center"/>
          </w:tcPr>
          <w:p w14:paraId="65D8FF75">
            <w:pPr>
              <w:pStyle w:val="21"/>
              <w:ind w:left="105"/>
              <w:rPr>
                <w:color w:val="auto"/>
                <w:szCs w:val="24"/>
              </w:rPr>
            </w:pPr>
            <w:r>
              <w:rPr>
                <w:rFonts w:hint="eastAsia"/>
                <w:color w:val="auto"/>
                <w:spacing w:val="-3"/>
                <w:szCs w:val="24"/>
              </w:rPr>
              <w:t>电视监控系统、红外监控系统、周界报警系统的监控管</w:t>
            </w:r>
            <w:r>
              <w:rPr>
                <w:rFonts w:hint="eastAsia"/>
                <w:color w:val="auto"/>
                <w:spacing w:val="-2"/>
                <w:szCs w:val="24"/>
              </w:rPr>
              <w:t>理符合要求</w:t>
            </w:r>
          </w:p>
        </w:tc>
        <w:tc>
          <w:tcPr>
            <w:tcW w:w="613" w:type="dxa"/>
            <w:vMerge w:val="continue"/>
            <w:vAlign w:val="center"/>
          </w:tcPr>
          <w:p w14:paraId="3BD2BECE">
            <w:pPr>
              <w:rPr>
                <w:rFonts w:ascii="宋体" w:hAnsi="宋体" w:cs="宋体"/>
                <w:color w:val="auto"/>
                <w:szCs w:val="24"/>
              </w:rPr>
            </w:pPr>
          </w:p>
        </w:tc>
        <w:tc>
          <w:tcPr>
            <w:tcW w:w="1477" w:type="dxa"/>
            <w:vMerge w:val="continue"/>
            <w:vAlign w:val="center"/>
          </w:tcPr>
          <w:p w14:paraId="1F800A1B">
            <w:pPr>
              <w:pStyle w:val="21"/>
              <w:rPr>
                <w:color w:val="auto"/>
                <w:szCs w:val="24"/>
              </w:rPr>
            </w:pPr>
          </w:p>
        </w:tc>
      </w:tr>
      <w:tr w14:paraId="796BE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53914EAF">
            <w:pPr>
              <w:pStyle w:val="21"/>
              <w:rPr>
                <w:color w:val="auto"/>
                <w:szCs w:val="24"/>
              </w:rPr>
            </w:pPr>
          </w:p>
        </w:tc>
        <w:tc>
          <w:tcPr>
            <w:tcW w:w="826" w:type="dxa"/>
            <w:vAlign w:val="center"/>
          </w:tcPr>
          <w:p w14:paraId="5CDF398E">
            <w:pPr>
              <w:pStyle w:val="21"/>
              <w:jc w:val="center"/>
              <w:rPr>
                <w:color w:val="auto"/>
                <w:szCs w:val="24"/>
              </w:rPr>
            </w:pPr>
            <w:r>
              <w:rPr>
                <w:rFonts w:hint="eastAsia"/>
                <w:color w:val="auto"/>
                <w:szCs w:val="24"/>
              </w:rPr>
              <w:t>12</w:t>
            </w:r>
          </w:p>
        </w:tc>
        <w:tc>
          <w:tcPr>
            <w:tcW w:w="4921" w:type="dxa"/>
            <w:vAlign w:val="center"/>
          </w:tcPr>
          <w:p w14:paraId="7FDF1F81">
            <w:pPr>
              <w:pStyle w:val="21"/>
              <w:ind w:left="105"/>
              <w:rPr>
                <w:color w:val="auto"/>
                <w:szCs w:val="24"/>
              </w:rPr>
            </w:pPr>
            <w:r>
              <w:rPr>
                <w:rFonts w:hint="eastAsia"/>
                <w:color w:val="auto"/>
                <w:spacing w:val="-3"/>
                <w:szCs w:val="24"/>
              </w:rPr>
              <w:t>严格把好动火关，做到“七不、四要、一清”</w:t>
            </w:r>
          </w:p>
        </w:tc>
        <w:tc>
          <w:tcPr>
            <w:tcW w:w="613" w:type="dxa"/>
            <w:vMerge w:val="continue"/>
            <w:vAlign w:val="center"/>
          </w:tcPr>
          <w:p w14:paraId="7ADE728C">
            <w:pPr>
              <w:rPr>
                <w:rFonts w:ascii="宋体" w:hAnsi="宋体" w:cs="宋体"/>
                <w:color w:val="auto"/>
                <w:szCs w:val="24"/>
              </w:rPr>
            </w:pPr>
          </w:p>
        </w:tc>
        <w:tc>
          <w:tcPr>
            <w:tcW w:w="1477" w:type="dxa"/>
            <w:vMerge w:val="continue"/>
            <w:vAlign w:val="center"/>
          </w:tcPr>
          <w:p w14:paraId="587C29B2">
            <w:pPr>
              <w:pStyle w:val="21"/>
              <w:rPr>
                <w:color w:val="auto"/>
                <w:szCs w:val="24"/>
              </w:rPr>
            </w:pPr>
          </w:p>
        </w:tc>
      </w:tr>
      <w:tr w14:paraId="6773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0C8DF7B6">
            <w:pPr>
              <w:pStyle w:val="21"/>
              <w:rPr>
                <w:color w:val="auto"/>
                <w:szCs w:val="24"/>
              </w:rPr>
            </w:pPr>
          </w:p>
        </w:tc>
        <w:tc>
          <w:tcPr>
            <w:tcW w:w="826" w:type="dxa"/>
            <w:vAlign w:val="center"/>
          </w:tcPr>
          <w:p w14:paraId="45F8FD8F">
            <w:pPr>
              <w:pStyle w:val="21"/>
              <w:jc w:val="center"/>
              <w:rPr>
                <w:color w:val="auto"/>
                <w:szCs w:val="24"/>
              </w:rPr>
            </w:pPr>
            <w:r>
              <w:rPr>
                <w:rFonts w:hint="eastAsia"/>
                <w:color w:val="auto"/>
                <w:szCs w:val="24"/>
              </w:rPr>
              <w:t>13</w:t>
            </w:r>
          </w:p>
        </w:tc>
        <w:tc>
          <w:tcPr>
            <w:tcW w:w="4921" w:type="dxa"/>
            <w:vAlign w:val="center"/>
          </w:tcPr>
          <w:p w14:paraId="0DBEB712">
            <w:pPr>
              <w:pStyle w:val="21"/>
              <w:ind w:left="105"/>
              <w:rPr>
                <w:color w:val="auto"/>
                <w:szCs w:val="24"/>
              </w:rPr>
            </w:pPr>
            <w:r>
              <w:rPr>
                <w:rFonts w:hint="eastAsia"/>
                <w:color w:val="auto"/>
                <w:spacing w:val="-3"/>
                <w:szCs w:val="24"/>
              </w:rPr>
              <w:t>制订防火、防恐、防非法入侵、防盗、防台防汛等工作预案，落实各项准备工作，并进行演练</w:t>
            </w:r>
          </w:p>
        </w:tc>
        <w:tc>
          <w:tcPr>
            <w:tcW w:w="613" w:type="dxa"/>
            <w:vMerge w:val="continue"/>
            <w:vAlign w:val="center"/>
          </w:tcPr>
          <w:p w14:paraId="6C65C4DA">
            <w:pPr>
              <w:rPr>
                <w:rFonts w:ascii="宋体" w:hAnsi="宋体" w:cs="宋体"/>
                <w:color w:val="auto"/>
                <w:szCs w:val="24"/>
              </w:rPr>
            </w:pPr>
          </w:p>
        </w:tc>
        <w:tc>
          <w:tcPr>
            <w:tcW w:w="1477" w:type="dxa"/>
            <w:vMerge w:val="continue"/>
            <w:vAlign w:val="center"/>
          </w:tcPr>
          <w:p w14:paraId="325CFA97">
            <w:pPr>
              <w:pStyle w:val="21"/>
              <w:rPr>
                <w:color w:val="auto"/>
                <w:szCs w:val="24"/>
              </w:rPr>
            </w:pPr>
          </w:p>
        </w:tc>
      </w:tr>
      <w:tr w14:paraId="7A7B1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7CB519AE">
            <w:pPr>
              <w:pStyle w:val="21"/>
              <w:rPr>
                <w:color w:val="auto"/>
                <w:szCs w:val="24"/>
              </w:rPr>
            </w:pPr>
          </w:p>
        </w:tc>
        <w:tc>
          <w:tcPr>
            <w:tcW w:w="826" w:type="dxa"/>
            <w:vAlign w:val="center"/>
          </w:tcPr>
          <w:p w14:paraId="0FA93765">
            <w:pPr>
              <w:pStyle w:val="21"/>
              <w:jc w:val="center"/>
              <w:rPr>
                <w:color w:val="auto"/>
                <w:szCs w:val="24"/>
              </w:rPr>
            </w:pPr>
            <w:r>
              <w:rPr>
                <w:rFonts w:hint="eastAsia"/>
                <w:color w:val="auto"/>
                <w:szCs w:val="24"/>
              </w:rPr>
              <w:t>14</w:t>
            </w:r>
          </w:p>
        </w:tc>
        <w:tc>
          <w:tcPr>
            <w:tcW w:w="4921" w:type="dxa"/>
            <w:vAlign w:val="center"/>
          </w:tcPr>
          <w:p w14:paraId="24BDAAEE">
            <w:pPr>
              <w:pStyle w:val="21"/>
              <w:ind w:left="105"/>
              <w:rPr>
                <w:color w:val="auto"/>
                <w:szCs w:val="24"/>
              </w:rPr>
            </w:pPr>
            <w:r>
              <w:rPr>
                <w:rFonts w:hint="eastAsia"/>
                <w:color w:val="auto"/>
                <w:spacing w:val="-3"/>
                <w:szCs w:val="24"/>
              </w:rPr>
              <w:t>各项工作记录使用统一表式，按要求填写，字迹清晰，幅面整洁，并保存完好</w:t>
            </w:r>
          </w:p>
        </w:tc>
        <w:tc>
          <w:tcPr>
            <w:tcW w:w="613" w:type="dxa"/>
            <w:vMerge w:val="continue"/>
            <w:vAlign w:val="center"/>
          </w:tcPr>
          <w:p w14:paraId="2A7E3418">
            <w:pPr>
              <w:rPr>
                <w:rFonts w:ascii="宋体" w:hAnsi="宋体" w:cs="宋体"/>
                <w:color w:val="auto"/>
                <w:szCs w:val="24"/>
              </w:rPr>
            </w:pPr>
          </w:p>
        </w:tc>
        <w:tc>
          <w:tcPr>
            <w:tcW w:w="1477" w:type="dxa"/>
            <w:vMerge w:val="continue"/>
            <w:vAlign w:val="center"/>
          </w:tcPr>
          <w:p w14:paraId="281360A8">
            <w:pPr>
              <w:pStyle w:val="21"/>
              <w:rPr>
                <w:color w:val="auto"/>
                <w:szCs w:val="24"/>
              </w:rPr>
            </w:pPr>
          </w:p>
        </w:tc>
      </w:tr>
      <w:tr w14:paraId="7578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0D812F09">
            <w:pPr>
              <w:pStyle w:val="21"/>
              <w:rPr>
                <w:color w:val="auto"/>
                <w:szCs w:val="24"/>
              </w:rPr>
            </w:pPr>
          </w:p>
        </w:tc>
        <w:tc>
          <w:tcPr>
            <w:tcW w:w="826" w:type="dxa"/>
            <w:vAlign w:val="center"/>
          </w:tcPr>
          <w:p w14:paraId="115B76DE">
            <w:pPr>
              <w:pStyle w:val="21"/>
              <w:ind w:left="192" w:right="192"/>
              <w:jc w:val="center"/>
              <w:rPr>
                <w:bCs/>
                <w:color w:val="auto"/>
                <w:szCs w:val="24"/>
              </w:rPr>
            </w:pPr>
            <w:r>
              <w:rPr>
                <w:rFonts w:hint="eastAsia"/>
                <w:bCs/>
                <w:color w:val="auto"/>
                <w:spacing w:val="-5"/>
                <w:w w:val="95"/>
                <w:szCs w:val="24"/>
              </w:rPr>
              <w:t>15</w:t>
            </w:r>
          </w:p>
        </w:tc>
        <w:tc>
          <w:tcPr>
            <w:tcW w:w="4921" w:type="dxa"/>
            <w:vAlign w:val="center"/>
          </w:tcPr>
          <w:p w14:paraId="46B3BE6D">
            <w:pPr>
              <w:pStyle w:val="21"/>
              <w:ind w:left="105"/>
              <w:rPr>
                <w:color w:val="auto"/>
                <w:szCs w:val="24"/>
              </w:rPr>
            </w:pPr>
            <w:r>
              <w:rPr>
                <w:rFonts w:hint="eastAsia"/>
                <w:color w:val="auto"/>
                <w:spacing w:val="-3"/>
                <w:szCs w:val="24"/>
              </w:rPr>
              <w:t>遵守岗点所在各业主单位的各项规章制度要求</w:t>
            </w:r>
          </w:p>
        </w:tc>
        <w:tc>
          <w:tcPr>
            <w:tcW w:w="613" w:type="dxa"/>
            <w:vMerge w:val="continue"/>
            <w:vAlign w:val="center"/>
          </w:tcPr>
          <w:p w14:paraId="6CADA035">
            <w:pPr>
              <w:rPr>
                <w:rFonts w:ascii="宋体" w:hAnsi="宋体" w:cs="宋体"/>
                <w:color w:val="auto"/>
                <w:szCs w:val="24"/>
              </w:rPr>
            </w:pPr>
          </w:p>
        </w:tc>
        <w:tc>
          <w:tcPr>
            <w:tcW w:w="1477" w:type="dxa"/>
            <w:vMerge w:val="continue"/>
            <w:vAlign w:val="center"/>
          </w:tcPr>
          <w:p w14:paraId="648E1617">
            <w:pPr>
              <w:pStyle w:val="21"/>
              <w:rPr>
                <w:color w:val="auto"/>
                <w:szCs w:val="24"/>
              </w:rPr>
            </w:pPr>
          </w:p>
        </w:tc>
      </w:tr>
      <w:tr w14:paraId="2605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restart"/>
            <w:vAlign w:val="center"/>
          </w:tcPr>
          <w:p w14:paraId="55DE37A8">
            <w:pPr>
              <w:pStyle w:val="21"/>
              <w:spacing w:before="137"/>
              <w:ind w:left="191" w:right="180"/>
              <w:rPr>
                <w:color w:val="auto"/>
                <w:szCs w:val="24"/>
              </w:rPr>
            </w:pPr>
            <w:r>
              <w:rPr>
                <w:rFonts w:hint="eastAsia"/>
                <w:color w:val="auto"/>
                <w:spacing w:val="-6"/>
                <w:szCs w:val="24"/>
              </w:rPr>
              <w:t>否决</w:t>
            </w:r>
            <w:r>
              <w:rPr>
                <w:rFonts w:hint="eastAsia"/>
                <w:color w:val="auto"/>
                <w:spacing w:val="-5"/>
                <w:szCs w:val="24"/>
              </w:rPr>
              <w:t>指标</w:t>
            </w:r>
          </w:p>
        </w:tc>
        <w:tc>
          <w:tcPr>
            <w:tcW w:w="826" w:type="dxa"/>
            <w:vAlign w:val="center"/>
          </w:tcPr>
          <w:p w14:paraId="5DC3847F">
            <w:pPr>
              <w:pStyle w:val="21"/>
              <w:jc w:val="center"/>
              <w:rPr>
                <w:color w:val="auto"/>
                <w:szCs w:val="24"/>
              </w:rPr>
            </w:pPr>
            <w:r>
              <w:rPr>
                <w:rFonts w:hint="eastAsia"/>
                <w:color w:val="auto"/>
                <w:szCs w:val="24"/>
              </w:rPr>
              <w:t>1</w:t>
            </w:r>
          </w:p>
        </w:tc>
        <w:tc>
          <w:tcPr>
            <w:tcW w:w="4921" w:type="dxa"/>
            <w:vAlign w:val="center"/>
          </w:tcPr>
          <w:p w14:paraId="54D51E90">
            <w:pPr>
              <w:pStyle w:val="21"/>
              <w:ind w:left="105"/>
              <w:rPr>
                <w:bCs/>
                <w:color w:val="auto"/>
                <w:szCs w:val="24"/>
              </w:rPr>
            </w:pPr>
            <w:r>
              <w:rPr>
                <w:rFonts w:hint="eastAsia"/>
                <w:bCs/>
                <w:color w:val="auto"/>
                <w:spacing w:val="-3"/>
                <w:szCs w:val="24"/>
              </w:rPr>
              <w:t>发生脱岗无人职守情况</w:t>
            </w:r>
          </w:p>
        </w:tc>
        <w:tc>
          <w:tcPr>
            <w:tcW w:w="613" w:type="dxa"/>
            <w:vAlign w:val="center"/>
          </w:tcPr>
          <w:p w14:paraId="315185C9">
            <w:pPr>
              <w:pStyle w:val="11"/>
              <w:jc w:val="center"/>
              <w:rPr>
                <w:color w:val="auto"/>
                <w:szCs w:val="24"/>
              </w:rPr>
            </w:pPr>
            <w:r>
              <w:rPr>
                <w:rFonts w:hint="eastAsia"/>
                <w:color w:val="auto"/>
                <w:szCs w:val="24"/>
              </w:rPr>
              <w:t>5</w:t>
            </w:r>
          </w:p>
        </w:tc>
        <w:tc>
          <w:tcPr>
            <w:tcW w:w="1134" w:type="dxa"/>
            <w:vMerge w:val="restart"/>
            <w:vAlign w:val="center"/>
          </w:tcPr>
          <w:p w14:paraId="157355DA">
            <w:pPr>
              <w:pStyle w:val="21"/>
              <w:spacing w:before="5"/>
              <w:ind w:left="151" w:right="141"/>
              <w:rPr>
                <w:color w:val="auto"/>
                <w:szCs w:val="24"/>
              </w:rPr>
            </w:pPr>
            <w:r>
              <w:rPr>
                <w:rFonts w:hint="eastAsia"/>
                <w:bCs/>
                <w:color w:val="auto"/>
                <w:spacing w:val="-3"/>
                <w:szCs w:val="24"/>
              </w:rPr>
              <w:t>每发生一次否决指标中的内容，在当月服务质量得分基础上，再扣除发生否决指标对应配分的。</w:t>
            </w:r>
          </w:p>
        </w:tc>
      </w:tr>
      <w:tr w14:paraId="2037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24E3B5C7">
            <w:pPr>
              <w:rPr>
                <w:rFonts w:ascii="宋体" w:hAnsi="宋体" w:cs="宋体"/>
                <w:color w:val="auto"/>
                <w:szCs w:val="24"/>
              </w:rPr>
            </w:pPr>
          </w:p>
        </w:tc>
        <w:tc>
          <w:tcPr>
            <w:tcW w:w="826" w:type="dxa"/>
            <w:vAlign w:val="center"/>
          </w:tcPr>
          <w:p w14:paraId="78158020">
            <w:pPr>
              <w:pStyle w:val="21"/>
              <w:jc w:val="center"/>
              <w:rPr>
                <w:color w:val="auto"/>
                <w:szCs w:val="24"/>
              </w:rPr>
            </w:pPr>
            <w:r>
              <w:rPr>
                <w:rFonts w:hint="eastAsia"/>
                <w:color w:val="auto"/>
                <w:szCs w:val="24"/>
              </w:rPr>
              <w:t>2</w:t>
            </w:r>
          </w:p>
        </w:tc>
        <w:tc>
          <w:tcPr>
            <w:tcW w:w="4921" w:type="dxa"/>
            <w:vAlign w:val="center"/>
          </w:tcPr>
          <w:p w14:paraId="0AC985DF">
            <w:pPr>
              <w:pStyle w:val="21"/>
              <w:ind w:left="105"/>
              <w:rPr>
                <w:bCs/>
                <w:color w:val="auto"/>
                <w:szCs w:val="24"/>
              </w:rPr>
            </w:pPr>
            <w:r>
              <w:rPr>
                <w:rFonts w:hint="eastAsia"/>
                <w:bCs/>
                <w:color w:val="auto"/>
                <w:spacing w:val="-3"/>
                <w:szCs w:val="24"/>
              </w:rPr>
              <w:t>发生有责安全责任事故</w:t>
            </w:r>
          </w:p>
        </w:tc>
        <w:tc>
          <w:tcPr>
            <w:tcW w:w="613" w:type="dxa"/>
            <w:vAlign w:val="center"/>
          </w:tcPr>
          <w:p w14:paraId="13D8C628">
            <w:pPr>
              <w:pStyle w:val="11"/>
              <w:jc w:val="center"/>
              <w:rPr>
                <w:color w:val="auto"/>
                <w:szCs w:val="24"/>
              </w:rPr>
            </w:pPr>
            <w:r>
              <w:rPr>
                <w:rFonts w:hint="eastAsia"/>
                <w:color w:val="auto"/>
                <w:szCs w:val="24"/>
              </w:rPr>
              <w:t>5</w:t>
            </w:r>
          </w:p>
        </w:tc>
        <w:tc>
          <w:tcPr>
            <w:tcW w:w="1477" w:type="dxa"/>
            <w:vMerge w:val="continue"/>
            <w:vAlign w:val="center"/>
          </w:tcPr>
          <w:p w14:paraId="43B094B9">
            <w:pPr>
              <w:rPr>
                <w:rFonts w:ascii="宋体" w:hAnsi="宋体" w:cs="宋体"/>
                <w:color w:val="auto"/>
                <w:szCs w:val="24"/>
              </w:rPr>
            </w:pPr>
          </w:p>
        </w:tc>
      </w:tr>
      <w:tr w14:paraId="30F2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164BCE1F">
            <w:pPr>
              <w:rPr>
                <w:rFonts w:ascii="宋体" w:hAnsi="宋体" w:cs="宋体"/>
                <w:color w:val="auto"/>
                <w:szCs w:val="24"/>
              </w:rPr>
            </w:pPr>
          </w:p>
        </w:tc>
        <w:tc>
          <w:tcPr>
            <w:tcW w:w="826" w:type="dxa"/>
            <w:vAlign w:val="center"/>
          </w:tcPr>
          <w:p w14:paraId="44FC98DC">
            <w:pPr>
              <w:pStyle w:val="21"/>
              <w:jc w:val="center"/>
              <w:rPr>
                <w:color w:val="auto"/>
                <w:szCs w:val="24"/>
              </w:rPr>
            </w:pPr>
            <w:r>
              <w:rPr>
                <w:rFonts w:hint="eastAsia"/>
                <w:color w:val="auto"/>
                <w:szCs w:val="24"/>
              </w:rPr>
              <w:t>3</w:t>
            </w:r>
          </w:p>
        </w:tc>
        <w:tc>
          <w:tcPr>
            <w:tcW w:w="4921" w:type="dxa"/>
            <w:vAlign w:val="center"/>
          </w:tcPr>
          <w:p w14:paraId="525D6316">
            <w:pPr>
              <w:pStyle w:val="21"/>
              <w:ind w:left="105"/>
              <w:rPr>
                <w:bCs/>
                <w:color w:val="auto"/>
                <w:szCs w:val="24"/>
              </w:rPr>
            </w:pPr>
            <w:r>
              <w:rPr>
                <w:rFonts w:hint="eastAsia"/>
                <w:bCs/>
                <w:color w:val="auto"/>
                <w:spacing w:val="-4"/>
                <w:szCs w:val="24"/>
              </w:rPr>
              <w:t>发生违法事件</w:t>
            </w:r>
          </w:p>
        </w:tc>
        <w:tc>
          <w:tcPr>
            <w:tcW w:w="613" w:type="dxa"/>
            <w:vAlign w:val="center"/>
          </w:tcPr>
          <w:p w14:paraId="585F870C">
            <w:pPr>
              <w:pStyle w:val="11"/>
              <w:jc w:val="center"/>
              <w:rPr>
                <w:color w:val="auto"/>
                <w:szCs w:val="24"/>
              </w:rPr>
            </w:pPr>
            <w:r>
              <w:rPr>
                <w:rFonts w:hint="eastAsia"/>
                <w:color w:val="auto"/>
                <w:szCs w:val="24"/>
              </w:rPr>
              <w:t>5</w:t>
            </w:r>
          </w:p>
        </w:tc>
        <w:tc>
          <w:tcPr>
            <w:tcW w:w="1477" w:type="dxa"/>
            <w:vMerge w:val="continue"/>
            <w:vAlign w:val="center"/>
          </w:tcPr>
          <w:p w14:paraId="67DDA77E">
            <w:pPr>
              <w:rPr>
                <w:rFonts w:ascii="宋体" w:hAnsi="宋体" w:cs="宋体"/>
                <w:color w:val="auto"/>
                <w:szCs w:val="24"/>
              </w:rPr>
            </w:pPr>
          </w:p>
        </w:tc>
      </w:tr>
      <w:tr w14:paraId="54D6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4179EEFB">
            <w:pPr>
              <w:rPr>
                <w:rFonts w:ascii="宋体" w:hAnsi="宋体" w:cs="宋体"/>
                <w:color w:val="auto"/>
                <w:szCs w:val="24"/>
              </w:rPr>
            </w:pPr>
          </w:p>
        </w:tc>
        <w:tc>
          <w:tcPr>
            <w:tcW w:w="826" w:type="dxa"/>
            <w:vAlign w:val="center"/>
          </w:tcPr>
          <w:p w14:paraId="02B37C14">
            <w:pPr>
              <w:pStyle w:val="21"/>
              <w:jc w:val="center"/>
              <w:rPr>
                <w:color w:val="auto"/>
                <w:szCs w:val="24"/>
              </w:rPr>
            </w:pPr>
            <w:r>
              <w:rPr>
                <w:rFonts w:hint="eastAsia"/>
                <w:color w:val="auto"/>
                <w:szCs w:val="24"/>
              </w:rPr>
              <w:t>4</w:t>
            </w:r>
          </w:p>
        </w:tc>
        <w:tc>
          <w:tcPr>
            <w:tcW w:w="4921" w:type="dxa"/>
            <w:vAlign w:val="center"/>
          </w:tcPr>
          <w:p w14:paraId="07AC826C">
            <w:pPr>
              <w:pStyle w:val="21"/>
              <w:ind w:left="105"/>
              <w:rPr>
                <w:bCs/>
                <w:color w:val="auto"/>
                <w:szCs w:val="24"/>
              </w:rPr>
            </w:pPr>
            <w:r>
              <w:rPr>
                <w:rFonts w:hint="eastAsia"/>
                <w:bCs/>
                <w:color w:val="auto"/>
                <w:spacing w:val="-3"/>
                <w:szCs w:val="24"/>
              </w:rPr>
              <w:t>发生政府相关部门、行业归口单位检查中出现不合格的</w:t>
            </w:r>
          </w:p>
        </w:tc>
        <w:tc>
          <w:tcPr>
            <w:tcW w:w="613" w:type="dxa"/>
            <w:vAlign w:val="center"/>
          </w:tcPr>
          <w:p w14:paraId="2223D501">
            <w:pPr>
              <w:pStyle w:val="11"/>
              <w:jc w:val="center"/>
              <w:rPr>
                <w:color w:val="auto"/>
                <w:szCs w:val="24"/>
              </w:rPr>
            </w:pPr>
            <w:r>
              <w:rPr>
                <w:rFonts w:hint="eastAsia"/>
                <w:color w:val="auto"/>
                <w:szCs w:val="24"/>
              </w:rPr>
              <w:t>5</w:t>
            </w:r>
          </w:p>
        </w:tc>
        <w:tc>
          <w:tcPr>
            <w:tcW w:w="1477" w:type="dxa"/>
            <w:vMerge w:val="continue"/>
            <w:vAlign w:val="center"/>
          </w:tcPr>
          <w:p w14:paraId="3BAD841F">
            <w:pPr>
              <w:rPr>
                <w:rFonts w:ascii="宋体" w:hAnsi="宋体" w:cs="宋体"/>
                <w:color w:val="auto"/>
                <w:szCs w:val="24"/>
              </w:rPr>
            </w:pPr>
          </w:p>
        </w:tc>
      </w:tr>
      <w:tr w14:paraId="3641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493A2C2E">
            <w:pPr>
              <w:pStyle w:val="21"/>
              <w:rPr>
                <w:color w:val="auto"/>
                <w:szCs w:val="24"/>
              </w:rPr>
            </w:pPr>
          </w:p>
        </w:tc>
        <w:tc>
          <w:tcPr>
            <w:tcW w:w="826" w:type="dxa"/>
            <w:vAlign w:val="center"/>
          </w:tcPr>
          <w:p w14:paraId="187D0BA0">
            <w:pPr>
              <w:pStyle w:val="21"/>
              <w:ind w:left="9"/>
              <w:jc w:val="center"/>
              <w:rPr>
                <w:color w:val="auto"/>
                <w:szCs w:val="24"/>
              </w:rPr>
            </w:pPr>
            <w:r>
              <w:rPr>
                <w:rFonts w:hint="eastAsia"/>
                <w:color w:val="auto"/>
                <w:szCs w:val="24"/>
              </w:rPr>
              <w:t>5</w:t>
            </w:r>
          </w:p>
        </w:tc>
        <w:tc>
          <w:tcPr>
            <w:tcW w:w="4921" w:type="dxa"/>
            <w:vAlign w:val="center"/>
          </w:tcPr>
          <w:p w14:paraId="0ECF1A24">
            <w:pPr>
              <w:pStyle w:val="21"/>
              <w:ind w:left="110"/>
              <w:rPr>
                <w:bCs/>
                <w:color w:val="auto"/>
                <w:szCs w:val="24"/>
              </w:rPr>
            </w:pPr>
            <w:r>
              <w:rPr>
                <w:rFonts w:hint="eastAsia"/>
                <w:bCs/>
                <w:color w:val="auto"/>
                <w:spacing w:val="-3"/>
                <w:szCs w:val="24"/>
              </w:rPr>
              <w:t>发生上级主管单位通报批评的</w:t>
            </w:r>
          </w:p>
        </w:tc>
        <w:tc>
          <w:tcPr>
            <w:tcW w:w="613" w:type="dxa"/>
            <w:vAlign w:val="center"/>
          </w:tcPr>
          <w:p w14:paraId="573226C6">
            <w:pPr>
              <w:pStyle w:val="11"/>
              <w:jc w:val="center"/>
              <w:rPr>
                <w:color w:val="auto"/>
                <w:szCs w:val="24"/>
              </w:rPr>
            </w:pPr>
            <w:r>
              <w:rPr>
                <w:rFonts w:hint="eastAsia"/>
                <w:color w:val="auto"/>
                <w:szCs w:val="24"/>
              </w:rPr>
              <w:t>5</w:t>
            </w:r>
          </w:p>
        </w:tc>
        <w:tc>
          <w:tcPr>
            <w:tcW w:w="1477" w:type="dxa"/>
            <w:vMerge w:val="continue"/>
            <w:vAlign w:val="center"/>
          </w:tcPr>
          <w:p w14:paraId="2D2D3D46">
            <w:pPr>
              <w:pStyle w:val="21"/>
              <w:spacing w:before="1"/>
              <w:ind w:left="14"/>
              <w:rPr>
                <w:color w:val="auto"/>
                <w:szCs w:val="24"/>
              </w:rPr>
            </w:pPr>
          </w:p>
        </w:tc>
      </w:tr>
      <w:tr w14:paraId="79A0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7682C914">
            <w:pPr>
              <w:rPr>
                <w:rFonts w:ascii="宋体" w:hAnsi="宋体" w:cs="宋体"/>
                <w:color w:val="auto"/>
                <w:szCs w:val="24"/>
              </w:rPr>
            </w:pPr>
          </w:p>
        </w:tc>
        <w:tc>
          <w:tcPr>
            <w:tcW w:w="826" w:type="dxa"/>
            <w:vAlign w:val="center"/>
          </w:tcPr>
          <w:p w14:paraId="668ED6C1">
            <w:pPr>
              <w:pStyle w:val="21"/>
              <w:ind w:left="9"/>
              <w:jc w:val="center"/>
              <w:rPr>
                <w:color w:val="auto"/>
                <w:szCs w:val="24"/>
              </w:rPr>
            </w:pPr>
            <w:r>
              <w:rPr>
                <w:rFonts w:hint="eastAsia"/>
                <w:color w:val="auto"/>
                <w:szCs w:val="24"/>
              </w:rPr>
              <w:t>6</w:t>
            </w:r>
          </w:p>
        </w:tc>
        <w:tc>
          <w:tcPr>
            <w:tcW w:w="4921" w:type="dxa"/>
            <w:vAlign w:val="center"/>
          </w:tcPr>
          <w:p w14:paraId="4BFE81ED">
            <w:pPr>
              <w:pStyle w:val="21"/>
              <w:ind w:left="110"/>
              <w:rPr>
                <w:bCs/>
                <w:color w:val="auto"/>
                <w:szCs w:val="24"/>
              </w:rPr>
            </w:pPr>
            <w:r>
              <w:rPr>
                <w:rFonts w:hint="eastAsia"/>
                <w:bCs/>
                <w:color w:val="auto"/>
                <w:spacing w:val="-4"/>
                <w:szCs w:val="24"/>
              </w:rPr>
              <w:t>发生用户有理申告</w:t>
            </w:r>
          </w:p>
        </w:tc>
        <w:tc>
          <w:tcPr>
            <w:tcW w:w="613" w:type="dxa"/>
            <w:vAlign w:val="center"/>
          </w:tcPr>
          <w:p w14:paraId="2BBC8AB3">
            <w:pPr>
              <w:pStyle w:val="11"/>
              <w:jc w:val="center"/>
              <w:rPr>
                <w:color w:val="auto"/>
                <w:szCs w:val="24"/>
              </w:rPr>
            </w:pPr>
            <w:r>
              <w:rPr>
                <w:rFonts w:hint="eastAsia"/>
                <w:color w:val="auto"/>
                <w:szCs w:val="24"/>
              </w:rPr>
              <w:t>5</w:t>
            </w:r>
          </w:p>
        </w:tc>
        <w:tc>
          <w:tcPr>
            <w:tcW w:w="1477" w:type="dxa"/>
            <w:vMerge w:val="continue"/>
            <w:vAlign w:val="center"/>
          </w:tcPr>
          <w:p w14:paraId="1B3A9964">
            <w:pPr>
              <w:rPr>
                <w:rFonts w:ascii="宋体" w:hAnsi="宋体" w:cs="宋体"/>
                <w:color w:val="auto"/>
                <w:szCs w:val="24"/>
              </w:rPr>
            </w:pPr>
          </w:p>
        </w:tc>
      </w:tr>
      <w:tr w14:paraId="7A22D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trPr>
        <w:tc>
          <w:tcPr>
            <w:tcW w:w="750" w:type="dxa"/>
            <w:vMerge w:val="continue"/>
            <w:vAlign w:val="center"/>
          </w:tcPr>
          <w:p w14:paraId="0CA522E4">
            <w:pPr>
              <w:rPr>
                <w:rFonts w:ascii="宋体" w:hAnsi="宋体" w:cs="宋体"/>
                <w:color w:val="auto"/>
                <w:szCs w:val="24"/>
              </w:rPr>
            </w:pPr>
          </w:p>
        </w:tc>
        <w:tc>
          <w:tcPr>
            <w:tcW w:w="826" w:type="dxa"/>
            <w:vAlign w:val="center"/>
          </w:tcPr>
          <w:p w14:paraId="6EEC5B0F">
            <w:pPr>
              <w:pStyle w:val="21"/>
              <w:ind w:left="9"/>
              <w:jc w:val="center"/>
              <w:rPr>
                <w:color w:val="auto"/>
                <w:szCs w:val="24"/>
              </w:rPr>
            </w:pPr>
            <w:r>
              <w:rPr>
                <w:rFonts w:hint="eastAsia"/>
                <w:color w:val="auto"/>
                <w:szCs w:val="24"/>
              </w:rPr>
              <w:t>7</w:t>
            </w:r>
          </w:p>
        </w:tc>
        <w:tc>
          <w:tcPr>
            <w:tcW w:w="4921" w:type="dxa"/>
            <w:vAlign w:val="center"/>
          </w:tcPr>
          <w:p w14:paraId="5F55BCE9">
            <w:pPr>
              <w:pStyle w:val="21"/>
              <w:ind w:left="110"/>
              <w:rPr>
                <w:bCs/>
                <w:color w:val="auto"/>
                <w:szCs w:val="24"/>
              </w:rPr>
            </w:pPr>
            <w:r>
              <w:rPr>
                <w:rFonts w:hint="eastAsia"/>
                <w:bCs/>
                <w:color w:val="auto"/>
                <w:spacing w:val="-4"/>
                <w:szCs w:val="24"/>
              </w:rPr>
              <w:t>发生媒体曝光</w:t>
            </w:r>
          </w:p>
        </w:tc>
        <w:tc>
          <w:tcPr>
            <w:tcW w:w="613" w:type="dxa"/>
            <w:vAlign w:val="center"/>
          </w:tcPr>
          <w:p w14:paraId="566D5FFB">
            <w:pPr>
              <w:pStyle w:val="11"/>
              <w:jc w:val="center"/>
              <w:rPr>
                <w:color w:val="auto"/>
                <w:szCs w:val="24"/>
              </w:rPr>
            </w:pPr>
            <w:r>
              <w:rPr>
                <w:rFonts w:hint="eastAsia"/>
                <w:color w:val="auto"/>
                <w:szCs w:val="24"/>
              </w:rPr>
              <w:t>5</w:t>
            </w:r>
          </w:p>
        </w:tc>
        <w:tc>
          <w:tcPr>
            <w:tcW w:w="1477" w:type="dxa"/>
            <w:vMerge w:val="continue"/>
            <w:vAlign w:val="center"/>
          </w:tcPr>
          <w:p w14:paraId="0D47DB74">
            <w:pPr>
              <w:rPr>
                <w:rFonts w:ascii="宋体" w:hAnsi="宋体" w:cs="宋体"/>
                <w:color w:val="auto"/>
                <w:szCs w:val="24"/>
              </w:rPr>
            </w:pPr>
          </w:p>
        </w:tc>
      </w:tr>
    </w:tbl>
    <w:p w14:paraId="428FF640">
      <w:pPr>
        <w:rPr>
          <w:rFonts w:ascii="宋体" w:hAnsi="宋体" w:cs="宋体"/>
          <w:color w:val="auto"/>
          <w:sz w:val="28"/>
          <w:szCs w:val="28"/>
        </w:rPr>
      </w:pPr>
    </w:p>
    <w:p w14:paraId="177E5A31">
      <w:pPr>
        <w:pStyle w:val="3"/>
        <w:rPr>
          <w:rFonts w:ascii="宋体" w:hAnsi="宋体" w:cs="宋体"/>
          <w:color w:val="auto"/>
          <w:sz w:val="28"/>
          <w:szCs w:val="28"/>
        </w:rPr>
      </w:pPr>
      <w:r>
        <w:rPr>
          <w:rFonts w:hint="eastAsia" w:ascii="宋体" w:hAnsi="宋体" w:cs="宋体"/>
          <w:color w:val="auto"/>
          <w:sz w:val="28"/>
          <w:szCs w:val="28"/>
        </w:rPr>
        <w:t>报价要求：</w:t>
      </w:r>
    </w:p>
    <w:p w14:paraId="58476866">
      <w:pPr>
        <w:autoSpaceDE w:val="0"/>
        <w:autoSpaceDN w:val="0"/>
        <w:adjustRightInd w:val="0"/>
        <w:ind w:firstLine="560" w:firstLineChars="200"/>
        <w:jc w:val="left"/>
        <w:rPr>
          <w:rFonts w:ascii="宋体" w:hAnsi="宋体" w:cs="宋体"/>
          <w:color w:val="auto"/>
          <w:kern w:val="0"/>
          <w:sz w:val="28"/>
          <w:szCs w:val="28"/>
        </w:rPr>
      </w:pPr>
      <w:r>
        <w:rPr>
          <w:rFonts w:hint="eastAsia" w:ascii="宋体" w:hAnsi="宋体" w:cs="宋体"/>
          <w:color w:val="auto"/>
          <w:kern w:val="0"/>
          <w:sz w:val="28"/>
          <w:szCs w:val="28"/>
        </w:rPr>
        <w:t>1、报价采用人民币报价。</w:t>
      </w:r>
    </w:p>
    <w:p w14:paraId="451A5552">
      <w:pPr>
        <w:autoSpaceDE w:val="0"/>
        <w:autoSpaceDN w:val="0"/>
        <w:adjustRightInd w:val="0"/>
        <w:ind w:firstLine="560" w:firstLineChars="200"/>
        <w:jc w:val="left"/>
        <w:rPr>
          <w:rFonts w:ascii="宋体" w:hAnsi="宋体" w:cs="宋体"/>
          <w:color w:val="auto"/>
          <w:kern w:val="0"/>
          <w:sz w:val="28"/>
          <w:szCs w:val="28"/>
        </w:rPr>
      </w:pPr>
      <w:r>
        <w:rPr>
          <w:rFonts w:hint="eastAsia" w:ascii="宋体" w:hAnsi="宋体" w:cs="宋体"/>
          <w:color w:val="auto"/>
          <w:kern w:val="0"/>
          <w:sz w:val="28"/>
          <w:szCs w:val="28"/>
        </w:rPr>
        <w:t>2、报价应包括完成本项目的所有费用，且符合国家及上海市相关政策的规定。</w:t>
      </w:r>
    </w:p>
    <w:p w14:paraId="289E1320">
      <w:pPr>
        <w:ind w:firstLine="560" w:firstLineChars="200"/>
        <w:rPr>
          <w:rFonts w:hint="eastAsia" w:ascii="宋体" w:hAnsi="宋体" w:cs="宋体"/>
          <w:color w:val="auto"/>
          <w:kern w:val="0"/>
          <w:sz w:val="28"/>
          <w:szCs w:val="28"/>
        </w:rPr>
      </w:pPr>
      <w:r>
        <w:rPr>
          <w:rFonts w:hint="eastAsia" w:ascii="宋体" w:hAnsi="宋体" w:cs="宋体"/>
          <w:color w:val="auto"/>
          <w:kern w:val="0"/>
          <w:sz w:val="28"/>
          <w:szCs w:val="28"/>
        </w:rPr>
        <w:t>3、</w:t>
      </w:r>
      <w:r>
        <w:rPr>
          <w:rFonts w:hint="eastAsia" w:ascii="宋体" w:hAnsi="宋体" w:cs="宋体"/>
          <w:color w:val="auto"/>
          <w:sz w:val="28"/>
          <w:szCs w:val="28"/>
        </w:rPr>
        <w:t>人员工资不得低于本市市区现行最低工资标准，社会保险（养老保险、医疗保险、工伤保险、生育保险及失业保险）按国家相关规定执行。</w:t>
      </w:r>
      <w:r>
        <w:rPr>
          <w:rFonts w:hint="eastAsia" w:ascii="宋体" w:hAnsi="宋体" w:cs="宋体"/>
          <w:color w:val="auto"/>
          <w:kern w:val="0"/>
          <w:sz w:val="28"/>
          <w:szCs w:val="28"/>
        </w:rPr>
        <w:t>请投标人充分考虑服务期内国家、上海市的政策性调整、人工工资、福利、物价浮动等因素，合理报价。</w:t>
      </w:r>
    </w:p>
    <w:p w14:paraId="1ECB6D09">
      <w:pPr>
        <w:ind w:firstLine="560" w:firstLineChars="200"/>
        <w:rPr>
          <w:rFonts w:hint="eastAsia" w:ascii="宋体" w:hAnsi="宋体" w:cs="宋体"/>
          <w:color w:val="auto"/>
          <w:kern w:val="0"/>
          <w:sz w:val="28"/>
          <w:szCs w:val="28"/>
        </w:rPr>
      </w:pPr>
    </w:p>
    <w:p w14:paraId="4F9C25EE">
      <w:pPr>
        <w:pStyle w:val="3"/>
        <w:rPr>
          <w:rFonts w:ascii="宋体" w:hAnsi="宋体" w:cs="宋体"/>
          <w:color w:val="auto"/>
          <w:sz w:val="28"/>
          <w:szCs w:val="28"/>
        </w:rPr>
      </w:pPr>
      <w:r>
        <w:rPr>
          <w:rFonts w:hint="eastAsia" w:ascii="宋体" w:hAnsi="宋体" w:cs="宋体"/>
          <w:color w:val="auto"/>
          <w:sz w:val="28"/>
          <w:szCs w:val="28"/>
        </w:rPr>
        <w:t>支付方式</w:t>
      </w:r>
    </w:p>
    <w:p w14:paraId="081CCFDF">
      <w:pPr>
        <w:ind w:firstLine="560" w:firstLineChars="200"/>
        <w:rPr>
          <w:rFonts w:ascii="宋体" w:hAnsi="宋体" w:cs="宋体"/>
          <w:color w:val="auto"/>
          <w:sz w:val="28"/>
          <w:szCs w:val="28"/>
        </w:rPr>
      </w:pPr>
      <w:r>
        <w:rPr>
          <w:rFonts w:hint="eastAsia" w:ascii="宋体" w:hAnsi="宋体" w:cs="宋体"/>
          <w:color w:val="auto"/>
          <w:sz w:val="28"/>
          <w:szCs w:val="28"/>
        </w:rPr>
        <w:t>在本项目管理服务期限内，经考核合格后，实行按月付款方式，所需款项汇入提供服务公司账号。</w:t>
      </w:r>
    </w:p>
    <w:p w14:paraId="746987D0">
      <w:pPr>
        <w:ind w:firstLine="560" w:firstLineChars="200"/>
        <w:rPr>
          <w:rFonts w:ascii="宋体" w:hAnsi="宋体" w:cs="宋体"/>
          <w:color w:val="auto"/>
          <w:sz w:val="28"/>
          <w:szCs w:val="28"/>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D9120">
    <w:pPr>
      <w:pStyle w:val="14"/>
      <w:jc w:val="center"/>
    </w:pPr>
    <w:r>
      <w:fldChar w:fldCharType="begin"/>
    </w:r>
    <w:r>
      <w:instrText xml:space="preserve">PAGE   \* MERGEFORMAT</w:instrText>
    </w:r>
    <w:r>
      <w:fldChar w:fldCharType="separate"/>
    </w:r>
    <w:r>
      <w:rPr>
        <w:lang w:val="zh-CN"/>
      </w:rPr>
      <w:t>2</w:t>
    </w:r>
    <w:r>
      <w:fldChar w:fldCharType="end"/>
    </w:r>
  </w:p>
  <w:p w14:paraId="63E99941">
    <w:pPr>
      <w:spacing w:line="211" w:lineRule="auto"/>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3196C"/>
    <w:multiLevelType w:val="singleLevel"/>
    <w:tmpl w:val="8B93196C"/>
    <w:lvl w:ilvl="0" w:tentative="0">
      <w:start w:val="2"/>
      <w:numFmt w:val="decimal"/>
      <w:suff w:val="nothing"/>
      <w:lvlText w:val="%1、"/>
      <w:lvlJc w:val="left"/>
    </w:lvl>
  </w:abstractNum>
  <w:abstractNum w:abstractNumId="1">
    <w:nsid w:val="BD2B390D"/>
    <w:multiLevelType w:val="singleLevel"/>
    <w:tmpl w:val="BD2B390D"/>
    <w:lvl w:ilvl="0" w:tentative="0">
      <w:start w:val="1"/>
      <w:numFmt w:val="decimal"/>
      <w:lvlText w:val="(%1)"/>
      <w:lvlJc w:val="left"/>
      <w:pPr>
        <w:ind w:left="425" w:hanging="425"/>
      </w:pPr>
      <w:rPr>
        <w:rFonts w:hint="default"/>
      </w:rPr>
    </w:lvl>
  </w:abstractNum>
  <w:abstractNum w:abstractNumId="2">
    <w:nsid w:val="CD8E25EF"/>
    <w:multiLevelType w:val="singleLevel"/>
    <w:tmpl w:val="CD8E25EF"/>
    <w:lvl w:ilvl="0" w:tentative="0">
      <w:start w:val="1"/>
      <w:numFmt w:val="decimal"/>
      <w:lvlText w:val="(%1)"/>
      <w:lvlJc w:val="left"/>
      <w:pPr>
        <w:ind w:left="425" w:hanging="425"/>
      </w:pPr>
      <w:rPr>
        <w:rFonts w:hint="default"/>
        <w:color w:val="auto"/>
      </w:rPr>
    </w:lvl>
  </w:abstractNum>
  <w:abstractNum w:abstractNumId="3">
    <w:nsid w:val="E9551A78"/>
    <w:multiLevelType w:val="singleLevel"/>
    <w:tmpl w:val="E9551A78"/>
    <w:lvl w:ilvl="0" w:tentative="0">
      <w:start w:val="1"/>
      <w:numFmt w:val="decimal"/>
      <w:lvlText w:val="(%1)"/>
      <w:lvlJc w:val="left"/>
      <w:pPr>
        <w:ind w:left="425" w:hanging="425"/>
      </w:pPr>
      <w:rPr>
        <w:rFonts w:hint="default"/>
      </w:rPr>
    </w:lvl>
  </w:abstractNum>
  <w:abstractNum w:abstractNumId="4">
    <w:nsid w:val="EF05C28C"/>
    <w:multiLevelType w:val="multilevel"/>
    <w:tmpl w:val="EF05C28C"/>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tabs>
          <w:tab w:val="left" w:pos="0"/>
        </w:tabs>
        <w:ind w:left="0" w:firstLine="400"/>
      </w:pPr>
      <w:rPr>
        <w:rFonts w:hint="default" w:asciiTheme="majorEastAsia" w:hAnsiTheme="majorEastAsia" w:eastAsiaTheme="majorEastAsia" w:cstheme="major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5">
    <w:nsid w:val="F90575EE"/>
    <w:multiLevelType w:val="singleLevel"/>
    <w:tmpl w:val="F90575EE"/>
    <w:lvl w:ilvl="0" w:tentative="0">
      <w:start w:val="1"/>
      <w:numFmt w:val="decimal"/>
      <w:lvlText w:val="(%1)"/>
      <w:lvlJc w:val="left"/>
      <w:pPr>
        <w:ind w:left="425" w:hanging="425"/>
      </w:pPr>
      <w:rPr>
        <w:rFonts w:hint="default"/>
      </w:rPr>
    </w:lvl>
  </w:abstractNum>
  <w:abstractNum w:abstractNumId="6">
    <w:nsid w:val="034B98B4"/>
    <w:multiLevelType w:val="singleLevel"/>
    <w:tmpl w:val="034B98B4"/>
    <w:lvl w:ilvl="0" w:tentative="0">
      <w:start w:val="1"/>
      <w:numFmt w:val="decimal"/>
      <w:lvlText w:val="(%1)"/>
      <w:lvlJc w:val="left"/>
      <w:pPr>
        <w:ind w:left="425" w:hanging="425"/>
      </w:pPr>
      <w:rPr>
        <w:rFonts w:hint="default"/>
      </w:rPr>
    </w:lvl>
  </w:abstractNum>
  <w:abstractNum w:abstractNumId="7">
    <w:nsid w:val="164F633C"/>
    <w:multiLevelType w:val="singleLevel"/>
    <w:tmpl w:val="164F633C"/>
    <w:lvl w:ilvl="0" w:tentative="0">
      <w:start w:val="1"/>
      <w:numFmt w:val="decimal"/>
      <w:lvlText w:val="(%1)"/>
      <w:lvlJc w:val="left"/>
      <w:pPr>
        <w:ind w:left="425" w:hanging="425"/>
      </w:pPr>
      <w:rPr>
        <w:rFonts w:hint="default" w:asciiTheme="minorEastAsia" w:hAnsiTheme="minorEastAsia" w:eastAsiaTheme="minorEastAsia" w:cstheme="minorEastAsia"/>
      </w:rPr>
    </w:lvl>
  </w:abstractNum>
  <w:abstractNum w:abstractNumId="8">
    <w:nsid w:val="2F27F053"/>
    <w:multiLevelType w:val="singleLevel"/>
    <w:tmpl w:val="2F27F053"/>
    <w:lvl w:ilvl="0" w:tentative="0">
      <w:start w:val="1"/>
      <w:numFmt w:val="decimal"/>
      <w:lvlText w:val="(%1)"/>
      <w:lvlJc w:val="left"/>
      <w:pPr>
        <w:ind w:left="425" w:hanging="425"/>
      </w:pPr>
      <w:rPr>
        <w:rFonts w:hint="default"/>
      </w:rPr>
    </w:lvl>
  </w:abstractNum>
  <w:abstractNum w:abstractNumId="9">
    <w:nsid w:val="37ECB37A"/>
    <w:multiLevelType w:val="singleLevel"/>
    <w:tmpl w:val="37ECB37A"/>
    <w:lvl w:ilvl="0" w:tentative="0">
      <w:start w:val="1"/>
      <w:numFmt w:val="decimal"/>
      <w:lvlText w:val="(%1)"/>
      <w:lvlJc w:val="left"/>
      <w:pPr>
        <w:ind w:left="425" w:hanging="425"/>
      </w:pPr>
      <w:rPr>
        <w:rFonts w:hint="default"/>
      </w:rPr>
    </w:lvl>
  </w:abstractNum>
  <w:abstractNum w:abstractNumId="10">
    <w:nsid w:val="5D000D71"/>
    <w:multiLevelType w:val="singleLevel"/>
    <w:tmpl w:val="5D000D71"/>
    <w:lvl w:ilvl="0" w:tentative="0">
      <w:start w:val="1"/>
      <w:numFmt w:val="decimal"/>
      <w:lvlText w:val="(%1)"/>
      <w:lvlJc w:val="left"/>
      <w:pPr>
        <w:ind w:left="425" w:hanging="425"/>
      </w:pPr>
      <w:rPr>
        <w:rFonts w:hint="default"/>
      </w:rPr>
    </w:lvl>
  </w:abstractNum>
  <w:abstractNum w:abstractNumId="11">
    <w:nsid w:val="7885F8D5"/>
    <w:multiLevelType w:val="singleLevel"/>
    <w:tmpl w:val="7885F8D5"/>
    <w:lvl w:ilvl="0" w:tentative="0">
      <w:start w:val="1"/>
      <w:numFmt w:val="decimal"/>
      <w:lvlText w:val="(%1)"/>
      <w:lvlJc w:val="left"/>
      <w:pPr>
        <w:ind w:left="425" w:hanging="425"/>
      </w:pPr>
      <w:rPr>
        <w:rFonts w:hint="default"/>
      </w:rPr>
    </w:lvl>
  </w:abstractNum>
  <w:num w:numId="1">
    <w:abstractNumId w:val="4"/>
  </w:num>
  <w:num w:numId="2">
    <w:abstractNumId w:val="11"/>
  </w:num>
  <w:num w:numId="3">
    <w:abstractNumId w:val="6"/>
  </w:num>
  <w:num w:numId="4">
    <w:abstractNumId w:val="5"/>
  </w:num>
  <w:num w:numId="5">
    <w:abstractNumId w:val="9"/>
  </w:num>
  <w:num w:numId="6">
    <w:abstractNumId w:val="8"/>
  </w:num>
  <w:num w:numId="7">
    <w:abstractNumId w:val="1"/>
  </w:num>
  <w:num w:numId="8">
    <w:abstractNumId w:val="3"/>
  </w:num>
  <w:num w:numId="9">
    <w:abstractNumId w:val="10"/>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E42"/>
    <w:rsid w:val="000330D2"/>
    <w:rsid w:val="001E22BE"/>
    <w:rsid w:val="00242575"/>
    <w:rsid w:val="0069405C"/>
    <w:rsid w:val="007C7E42"/>
    <w:rsid w:val="00951177"/>
    <w:rsid w:val="00A06C03"/>
    <w:rsid w:val="00AB21BF"/>
    <w:rsid w:val="00AF1C29"/>
    <w:rsid w:val="00C60EFF"/>
    <w:rsid w:val="00D64ED0"/>
    <w:rsid w:val="01B033D2"/>
    <w:rsid w:val="02DA1035"/>
    <w:rsid w:val="0622233D"/>
    <w:rsid w:val="08053EFD"/>
    <w:rsid w:val="09225432"/>
    <w:rsid w:val="0AD35BED"/>
    <w:rsid w:val="0C4D6A26"/>
    <w:rsid w:val="11936410"/>
    <w:rsid w:val="166B04F5"/>
    <w:rsid w:val="18E86D07"/>
    <w:rsid w:val="19D652F0"/>
    <w:rsid w:val="1E9E754D"/>
    <w:rsid w:val="21093CBF"/>
    <w:rsid w:val="253B2944"/>
    <w:rsid w:val="256B5BB0"/>
    <w:rsid w:val="27960601"/>
    <w:rsid w:val="27A9455C"/>
    <w:rsid w:val="286F383B"/>
    <w:rsid w:val="2A9F6830"/>
    <w:rsid w:val="2B762959"/>
    <w:rsid w:val="2C762EB5"/>
    <w:rsid w:val="2D321736"/>
    <w:rsid w:val="2F56223D"/>
    <w:rsid w:val="2F704F5A"/>
    <w:rsid w:val="311760A3"/>
    <w:rsid w:val="3A626C88"/>
    <w:rsid w:val="3B49429C"/>
    <w:rsid w:val="3D3B56F0"/>
    <w:rsid w:val="43EF3932"/>
    <w:rsid w:val="4523037F"/>
    <w:rsid w:val="474F3E50"/>
    <w:rsid w:val="4A2E075D"/>
    <w:rsid w:val="4C4261D4"/>
    <w:rsid w:val="51DD4713"/>
    <w:rsid w:val="52746ACA"/>
    <w:rsid w:val="54BC6850"/>
    <w:rsid w:val="5755646D"/>
    <w:rsid w:val="5774197E"/>
    <w:rsid w:val="57F242E1"/>
    <w:rsid w:val="59831B59"/>
    <w:rsid w:val="5B82719C"/>
    <w:rsid w:val="63717D32"/>
    <w:rsid w:val="638B46E2"/>
    <w:rsid w:val="64281E11"/>
    <w:rsid w:val="66A93FB2"/>
    <w:rsid w:val="67896ED4"/>
    <w:rsid w:val="6AD8378F"/>
    <w:rsid w:val="6B847AA3"/>
    <w:rsid w:val="6D2D44C3"/>
    <w:rsid w:val="70385327"/>
    <w:rsid w:val="70E007FC"/>
    <w:rsid w:val="71AC58BC"/>
    <w:rsid w:val="770544D1"/>
    <w:rsid w:val="77157BE8"/>
    <w:rsid w:val="77FF20BE"/>
    <w:rsid w:val="78FE08A5"/>
    <w:rsid w:val="7B817162"/>
    <w:rsid w:val="7C8E7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宋体" w:asciiTheme="minorHAnsi" w:hAnsiTheme="minorHAnsi" w:cstheme="minorBidi"/>
      <w:kern w:val="2"/>
      <w:sz w:val="24"/>
      <w:szCs w:val="22"/>
      <w:lang w:val="en-US" w:eastAsia="zh-CN" w:bidi="ar-SA"/>
      <w14:ligatures w14:val="standardContextual"/>
    </w:rPr>
  </w:style>
  <w:style w:type="paragraph" w:styleId="2">
    <w:name w:val="heading 1"/>
    <w:basedOn w:val="1"/>
    <w:next w:val="1"/>
    <w:qFormat/>
    <w:uiPriority w:val="0"/>
    <w:pPr>
      <w:keepNext/>
      <w:keepLines/>
      <w:numPr>
        <w:ilvl w:val="0"/>
        <w:numId w:val="1"/>
      </w:numPr>
      <w:tabs>
        <w:tab w:val="left" w:pos="0"/>
      </w:tabs>
      <w:jc w:val="center"/>
      <w:outlineLvl w:val="0"/>
    </w:pPr>
    <w:rPr>
      <w:rFonts w:ascii="宋体" w:hAnsi="宋体" w:cs="宋体"/>
      <w:b/>
      <w:bCs/>
      <w:kern w:val="44"/>
      <w:sz w:val="32"/>
      <w:szCs w:val="24"/>
    </w:rPr>
  </w:style>
  <w:style w:type="paragraph" w:styleId="3">
    <w:name w:val="heading 2"/>
    <w:basedOn w:val="1"/>
    <w:next w:val="1"/>
    <w:unhideWhenUsed/>
    <w:qFormat/>
    <w:uiPriority w:val="0"/>
    <w:pPr>
      <w:keepNext/>
      <w:keepLines/>
      <w:numPr>
        <w:ilvl w:val="1"/>
        <w:numId w:val="1"/>
      </w:numPr>
      <w:tabs>
        <w:tab w:val="left" w:pos="420"/>
      </w:tabs>
      <w:spacing w:before="260" w:after="260" w:line="413" w:lineRule="auto"/>
      <w:outlineLvl w:val="1"/>
    </w:pPr>
    <w:rPr>
      <w:rFonts w:ascii="Arial" w:hAnsi="Arial"/>
      <w:b/>
      <w:sz w:val="32"/>
    </w:rPr>
  </w:style>
  <w:style w:type="paragraph" w:styleId="4">
    <w:name w:val="heading 3"/>
    <w:basedOn w:val="1"/>
    <w:next w:val="1"/>
    <w:unhideWhenUsed/>
    <w:qFormat/>
    <w:uiPriority w:val="0"/>
    <w:pPr>
      <w:keepNext/>
      <w:keepLines/>
      <w:numPr>
        <w:ilvl w:val="2"/>
        <w:numId w:val="1"/>
      </w:numPr>
      <w:tabs>
        <w:tab w:val="left" w:pos="420"/>
        <w:tab w:val="clear" w:pos="0"/>
      </w:tabs>
      <w:spacing w:before="260" w:after="260" w:line="413" w:lineRule="auto"/>
      <w:outlineLvl w:val="2"/>
    </w:pPr>
    <w:rPr>
      <w:b/>
      <w:sz w:val="28"/>
    </w:rPr>
  </w:style>
  <w:style w:type="paragraph" w:styleId="5">
    <w:name w:val="heading 4"/>
    <w:basedOn w:val="1"/>
    <w:next w:val="1"/>
    <w:semiHidden/>
    <w:unhideWhenUsed/>
    <w:qFormat/>
    <w:uiPriority w:val="0"/>
    <w:pPr>
      <w:numPr>
        <w:ilvl w:val="3"/>
        <w:numId w:val="1"/>
      </w:numPr>
      <w:tabs>
        <w:tab w:val="left" w:pos="420"/>
      </w:tabs>
      <w:jc w:val="left"/>
      <w:outlineLvl w:val="3"/>
    </w:pPr>
    <w:rPr>
      <w:rFonts w:ascii="Arial" w:hAnsi="Arial" w:cs="Arial"/>
      <w:snapToGrid w:val="0"/>
      <w:color w:val="000000"/>
      <w:kern w:val="44"/>
      <w:sz w:val="28"/>
      <w:szCs w:val="21"/>
      <w:lang w:eastAsia="en-US"/>
    </w:rPr>
  </w:style>
  <w:style w:type="paragraph" w:styleId="6">
    <w:name w:val="heading 5"/>
    <w:basedOn w:val="1"/>
    <w:next w:val="1"/>
    <w:link w:val="18"/>
    <w:semiHidden/>
    <w:unhideWhenUsed/>
    <w:qFormat/>
    <w:uiPriority w:val="0"/>
    <w:pPr>
      <w:keepNext/>
      <w:keepLines/>
      <w:numPr>
        <w:ilvl w:val="4"/>
        <w:numId w:val="1"/>
      </w:numPr>
      <w:tabs>
        <w:tab w:val="left" w:pos="420"/>
      </w:tabs>
      <w:adjustRightInd w:val="0"/>
      <w:snapToGrid w:val="0"/>
      <w:outlineLvl w:val="4"/>
    </w:pPr>
    <w:rPr>
      <w:rFonts w:ascii="Times New Roman" w:hAnsi="Times New Roman"/>
      <w:b/>
      <w:bCs/>
      <w:sz w:val="28"/>
      <w:szCs w:val="28"/>
    </w:rPr>
  </w:style>
  <w:style w:type="paragraph" w:styleId="7">
    <w:name w:val="heading 6"/>
    <w:basedOn w:val="1"/>
    <w:next w:val="1"/>
    <w:semiHidden/>
    <w:unhideWhenUsed/>
    <w:qFormat/>
    <w:uiPriority w:val="0"/>
    <w:pPr>
      <w:keepNext/>
      <w:keepLines/>
      <w:numPr>
        <w:ilvl w:val="5"/>
        <w:numId w:val="1"/>
      </w:numPr>
      <w:tabs>
        <w:tab w:val="left" w:pos="0"/>
      </w:tabs>
      <w:spacing w:before="240" w:after="64" w:line="317" w:lineRule="auto"/>
      <w:outlineLvl w:val="5"/>
    </w:pPr>
    <w:rPr>
      <w:rFonts w:ascii="Arial" w:hAnsi="Arial" w:eastAsia="黑体"/>
      <w:b/>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qFormat/>
    <w:uiPriority w:val="1"/>
    <w:rPr>
      <w:rFonts w:ascii="宋体" w:hAnsi="宋体" w:cs="宋体"/>
      <w:szCs w:val="21"/>
    </w:rPr>
  </w:style>
  <w:style w:type="paragraph" w:styleId="12">
    <w:name w:val="Date"/>
    <w:basedOn w:val="1"/>
    <w:next w:val="1"/>
    <w:qFormat/>
    <w:uiPriority w:val="0"/>
    <w:rPr>
      <w:sz w:val="32"/>
    </w:rPr>
  </w:style>
  <w:style w:type="paragraph" w:styleId="13">
    <w:name w:val="Balloon Text"/>
    <w:basedOn w:val="1"/>
    <w:link w:val="23"/>
    <w:qFormat/>
    <w:uiPriority w:val="0"/>
    <w:pPr>
      <w:spacing w:line="240" w:lineRule="auto"/>
    </w:pPr>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22"/>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8">
    <w:name w:val="标题 5 Char"/>
    <w:link w:val="6"/>
    <w:qFormat/>
    <w:uiPriority w:val="0"/>
    <w:rPr>
      <w:rFonts w:ascii="Times New Roman" w:hAnsi="Times New Roman" w:eastAsia="宋体"/>
      <w:b/>
      <w:bCs/>
      <w:sz w:val="28"/>
      <w:szCs w:val="28"/>
    </w:rPr>
  </w:style>
  <w:style w:type="paragraph" w:styleId="19">
    <w:name w:val="List Paragraph"/>
    <w:basedOn w:val="1"/>
    <w:qFormat/>
    <w:uiPriority w:val="34"/>
    <w:pPr>
      <w:ind w:firstLine="420" w:firstLineChars="200"/>
    </w:pPr>
  </w:style>
  <w:style w:type="paragraph" w:customStyle="1" w:styleId="20">
    <w:name w:val="四级标题"/>
    <w:basedOn w:val="12"/>
    <w:qFormat/>
    <w:uiPriority w:val="0"/>
    <w:rPr>
      <w:rFonts w:eastAsia="黑体"/>
    </w:rPr>
  </w:style>
  <w:style w:type="paragraph" w:customStyle="1" w:styleId="21">
    <w:name w:val="Table Paragraph"/>
    <w:basedOn w:val="1"/>
    <w:qFormat/>
    <w:uiPriority w:val="1"/>
    <w:rPr>
      <w:rFonts w:ascii="宋体" w:hAnsi="宋体" w:cs="宋体"/>
    </w:rPr>
  </w:style>
  <w:style w:type="character" w:customStyle="1" w:styleId="22">
    <w:name w:val="页眉 Char"/>
    <w:basedOn w:val="17"/>
    <w:link w:val="15"/>
    <w:qFormat/>
    <w:uiPriority w:val="0"/>
    <w:rPr>
      <w:rFonts w:asciiTheme="minorHAnsi" w:hAnsiTheme="minorHAnsi" w:cstheme="minorBidi"/>
      <w:kern w:val="2"/>
      <w:sz w:val="18"/>
      <w:szCs w:val="18"/>
      <w14:ligatures w14:val="standardContextual"/>
    </w:rPr>
  </w:style>
  <w:style w:type="character" w:customStyle="1" w:styleId="23">
    <w:name w:val="批注框文本 Char"/>
    <w:basedOn w:val="17"/>
    <w:link w:val="13"/>
    <w:qFormat/>
    <w:uiPriority w:val="0"/>
    <w:rPr>
      <w:rFonts w:asciiTheme="minorHAnsi" w:hAnsiTheme="minorHAnsi"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14</Pages>
  <Words>3800</Words>
  <Characters>4006</Characters>
  <Lines>41</Lines>
  <Paragraphs>11</Paragraphs>
  <TotalTime>0</TotalTime>
  <ScaleCrop>false</ScaleCrop>
  <LinksUpToDate>false</LinksUpToDate>
  <CharactersWithSpaces>4014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2024-02-22T07:33:00Z</dcterms:created>
  <dc:creator>Administrator.DESKTOP-BL3DFQF</dc:creator>
  <cp:lastModifiedBy>待到尘埃落定时</cp:lastModifiedBy>
  <cp:lastPrinted>2025-08-22T02:22:00Z</cp:lastPrinted>
  <dcterms:modified xsi:type="dcterms:W3CDTF">2025-09-02T02:10:39Z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2B7ABA9F0AE04ADAA65D6EC707D1E49A_13</vt:lpwstr>
  </property>
  <property fmtid="{D5CDD505-2E9C-101B-9397-08002B2CF9AE}" pid="4" name="KSOTemplateDocerSaveRecord">
    <vt:lpwstr>eyJoZGlkIjoiNDNjYTQ2YWNiNzgyOWI1ZWExNjQ2NWQ3Y2I3ZWNlOGMiLCJ1c2VySWQiOiI1NDYxNjc0MDMifQ==</vt:lpwstr>
  </property>
</Properties>
</file>