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70B84">
      <w:pPr>
        <w:pStyle w:val="3"/>
        <w:spacing w:before="0" w:after="0" w:line="560" w:lineRule="exact"/>
        <w:rPr>
          <w:szCs w:val="28"/>
        </w:rPr>
      </w:pPr>
      <w:r>
        <w:rPr>
          <w:rFonts w:hint="eastAsia"/>
          <w:szCs w:val="28"/>
        </w:rPr>
        <w:t>静安区能源和双碳监管平台综合管理</w:t>
      </w:r>
    </w:p>
    <w:p w14:paraId="2A260402">
      <w:pPr>
        <w:pStyle w:val="3"/>
        <w:spacing w:before="0" w:after="0" w:line="560" w:lineRule="exact"/>
        <w:rPr>
          <w:szCs w:val="28"/>
        </w:rPr>
      </w:pPr>
      <w:r>
        <w:rPr>
          <w:rFonts w:hint="eastAsia"/>
          <w:szCs w:val="28"/>
        </w:rPr>
        <w:t>项目</w:t>
      </w:r>
      <w:r>
        <w:rPr>
          <w:szCs w:val="28"/>
        </w:rPr>
        <w:t>需求</w:t>
      </w:r>
    </w:p>
    <w:p w14:paraId="0F749D44">
      <w:pPr>
        <w:pStyle w:val="2"/>
        <w:ind w:left="0"/>
        <w:jc w:val="left"/>
      </w:pPr>
      <w:r>
        <w:rPr>
          <w:rFonts w:hint="eastAsia"/>
        </w:rPr>
        <w:t>采购项目名称</w:t>
      </w:r>
    </w:p>
    <w:p w14:paraId="07C1F9B2">
      <w:r>
        <w:rPr>
          <w:rFonts w:hint="eastAsia"/>
          <w:szCs w:val="28"/>
        </w:rPr>
        <w:t>静安区能源和双碳监管平台综合管理</w:t>
      </w:r>
    </w:p>
    <w:p w14:paraId="3794D9C9">
      <w:pPr>
        <w:pStyle w:val="2"/>
        <w:ind w:left="0"/>
        <w:jc w:val="left"/>
      </w:pPr>
      <w:r>
        <w:rPr>
          <w:rFonts w:hint="eastAsia"/>
        </w:rPr>
        <w:t>采购预算情况</w:t>
      </w:r>
    </w:p>
    <w:p w14:paraId="6473CFBB">
      <w:pPr>
        <w:widowControl/>
        <w:spacing w:line="440" w:lineRule="exact"/>
        <w:ind w:firstLine="420"/>
        <w:rPr>
          <w:caps/>
          <w:color w:val="000000"/>
          <w:sz w:val="24"/>
          <w:szCs w:val="24"/>
        </w:rPr>
      </w:pPr>
      <w:r>
        <w:rPr>
          <w:rFonts w:hint="eastAsia"/>
          <w:caps/>
          <w:color w:val="000000"/>
          <w:sz w:val="24"/>
          <w:szCs w:val="24"/>
        </w:rPr>
        <w:t>1、采购预算：人民币</w:t>
      </w:r>
      <w:r>
        <w:rPr>
          <w:caps/>
          <w:color w:val="000000"/>
          <w:sz w:val="24"/>
          <w:szCs w:val="24"/>
        </w:rPr>
        <w:t>1</w:t>
      </w:r>
      <w:r>
        <w:rPr>
          <w:rFonts w:hint="eastAsia"/>
          <w:caps/>
          <w:color w:val="000000"/>
          <w:sz w:val="24"/>
          <w:szCs w:val="24"/>
        </w:rPr>
        <w:t>,</w:t>
      </w:r>
      <w:r>
        <w:rPr>
          <w:caps/>
          <w:color w:val="000000"/>
          <w:sz w:val="24"/>
          <w:szCs w:val="24"/>
        </w:rPr>
        <w:t>333</w:t>
      </w:r>
      <w:r>
        <w:rPr>
          <w:rFonts w:hint="eastAsia"/>
          <w:caps/>
          <w:color w:val="000000"/>
          <w:sz w:val="24"/>
          <w:szCs w:val="24"/>
        </w:rPr>
        <w:t>,</w:t>
      </w:r>
      <w:r>
        <w:rPr>
          <w:caps/>
          <w:color w:val="000000"/>
          <w:sz w:val="24"/>
          <w:szCs w:val="24"/>
        </w:rPr>
        <w:t>300</w:t>
      </w:r>
      <w:r>
        <w:rPr>
          <w:rFonts w:hint="eastAsia"/>
          <w:caps/>
          <w:color w:val="000000"/>
          <w:sz w:val="24"/>
          <w:szCs w:val="24"/>
        </w:rPr>
        <w:t>元</w:t>
      </w:r>
    </w:p>
    <w:p w14:paraId="49F51F5C">
      <w:pPr>
        <w:widowControl/>
        <w:spacing w:line="440" w:lineRule="exact"/>
        <w:ind w:firstLine="420"/>
        <w:rPr>
          <w:caps/>
          <w:color w:val="000000"/>
          <w:sz w:val="24"/>
          <w:szCs w:val="24"/>
        </w:rPr>
      </w:pPr>
      <w:r>
        <w:rPr>
          <w:rFonts w:hint="eastAsia"/>
          <w:caps/>
          <w:color w:val="000000"/>
          <w:sz w:val="24"/>
          <w:szCs w:val="24"/>
        </w:rPr>
        <w:t>2、采购明细编号：</w:t>
      </w:r>
      <w:r>
        <w:rPr>
          <w:caps/>
          <w:color w:val="000000"/>
          <w:sz w:val="24"/>
          <w:szCs w:val="24"/>
        </w:rPr>
        <w:t>0625-00002425</w:t>
      </w:r>
    </w:p>
    <w:p w14:paraId="140BF5F8">
      <w:pPr>
        <w:widowControl/>
        <w:spacing w:line="440" w:lineRule="exact"/>
        <w:ind w:firstLine="420"/>
        <w:rPr>
          <w:caps/>
          <w:color w:val="000000"/>
          <w:sz w:val="24"/>
          <w:szCs w:val="24"/>
        </w:rPr>
      </w:pPr>
      <w:r>
        <w:rPr>
          <w:caps/>
          <w:color w:val="000000"/>
          <w:sz w:val="24"/>
          <w:szCs w:val="24"/>
        </w:rPr>
        <w:t>3</w:t>
      </w:r>
      <w:r>
        <w:rPr>
          <w:rFonts w:hint="eastAsia"/>
          <w:caps/>
          <w:color w:val="000000"/>
          <w:sz w:val="24"/>
          <w:szCs w:val="24"/>
        </w:rPr>
        <w:t>、付款方式：甲方在合同生效后15个工作日内，收到乙方提交的实施方案和增值税发票后，向乙方支付合同额80%的首付款；项目完成验收合格后，支付剩余合同款。</w:t>
      </w:r>
    </w:p>
    <w:p w14:paraId="29E7EB89">
      <w:pPr>
        <w:widowControl/>
        <w:spacing w:line="440" w:lineRule="exact"/>
        <w:ind w:firstLine="420"/>
        <w:rPr>
          <w:caps/>
          <w:color w:val="000000"/>
          <w:sz w:val="24"/>
          <w:szCs w:val="24"/>
        </w:rPr>
      </w:pPr>
      <w:r>
        <w:rPr>
          <w:rFonts w:hint="eastAsia"/>
          <w:caps/>
          <w:color w:val="000000"/>
          <w:sz w:val="24"/>
          <w:szCs w:val="24"/>
        </w:rPr>
        <w:t>4、服务期：2025年10月19日至2026年6月30日</w:t>
      </w:r>
    </w:p>
    <w:p w14:paraId="4143A256">
      <w:pPr>
        <w:widowControl/>
        <w:spacing w:line="440" w:lineRule="exact"/>
        <w:ind w:firstLine="420"/>
        <w:rPr>
          <w:caps/>
          <w:color w:val="000000"/>
          <w:sz w:val="24"/>
          <w:szCs w:val="24"/>
        </w:rPr>
      </w:pPr>
      <w:r>
        <w:rPr>
          <w:caps/>
          <w:color w:val="000000"/>
          <w:sz w:val="24"/>
          <w:szCs w:val="24"/>
        </w:rPr>
        <w:t>5</w:t>
      </w:r>
      <w:r>
        <w:rPr>
          <w:rFonts w:hint="eastAsia"/>
          <w:caps/>
          <w:color w:val="000000"/>
          <w:sz w:val="24"/>
          <w:szCs w:val="24"/>
        </w:rPr>
        <w:t>、本项目面向中小企业采购</w:t>
      </w:r>
    </w:p>
    <w:p w14:paraId="5AB7A697"/>
    <w:p w14:paraId="527ED788">
      <w:pPr>
        <w:pStyle w:val="2"/>
        <w:ind w:left="0"/>
        <w:jc w:val="left"/>
      </w:pPr>
      <w:r>
        <w:rPr>
          <w:rFonts w:hint="eastAsia"/>
        </w:rPr>
        <w:t>基本情况</w:t>
      </w:r>
    </w:p>
    <w:p w14:paraId="671F4CBA">
      <w:pPr>
        <w:spacing w:line="360" w:lineRule="auto"/>
        <w:ind w:firstLine="480"/>
        <w:rPr>
          <w:caps/>
          <w:color w:val="000000"/>
          <w:sz w:val="24"/>
          <w:szCs w:val="24"/>
        </w:rPr>
      </w:pPr>
      <w:r>
        <w:rPr>
          <w:rFonts w:hint="eastAsia"/>
          <w:caps/>
          <w:color w:val="000000"/>
          <w:sz w:val="24"/>
          <w:szCs w:val="24"/>
        </w:rPr>
        <w:t>在原有区级能耗监测平台的基础上，升级建立静安区能源和双碳智慧监管平台。围绕“一张图、两个重点、三个领域”的总体构架，全面掌握碳排放信息，关注重点用能建筑和单位管理，覆盖建筑、企业和交通三大领域，深化管理职能，为重点用能主体建立碳账户，打造官方数据出口，远期将支撑绿色金融和碳普惠数据。为打造本市能源与双碳数字化转型创新示范城区，实现“双碳”目标提供坚实支撑。</w:t>
      </w:r>
    </w:p>
    <w:p w14:paraId="36CF70FC">
      <w:pPr>
        <w:spacing w:line="360" w:lineRule="auto"/>
        <w:ind w:firstLine="480"/>
        <w:rPr>
          <w:caps/>
          <w:color w:val="000000"/>
          <w:sz w:val="24"/>
          <w:szCs w:val="24"/>
        </w:rPr>
      </w:pPr>
      <w:r>
        <w:rPr>
          <w:rFonts w:hint="eastAsia"/>
          <w:caps/>
          <w:color w:val="000000"/>
          <w:sz w:val="24"/>
          <w:szCs w:val="24"/>
        </w:rPr>
        <w:t>为有序推进静安区能源和双碳智慧监管平台的正常平稳运行，需要开展平台运行环境保障工作，进行专业系统的数据质量管理和数据应用。</w:t>
      </w:r>
    </w:p>
    <w:p w14:paraId="4F2E3F39">
      <w:pPr>
        <w:spacing w:line="360" w:lineRule="auto"/>
        <w:ind w:firstLine="480"/>
        <w:rPr>
          <w:caps/>
          <w:color w:val="000000"/>
          <w:sz w:val="24"/>
          <w:szCs w:val="24"/>
        </w:rPr>
      </w:pPr>
      <w:r>
        <w:rPr>
          <w:rFonts w:hint="eastAsia"/>
          <w:caps/>
          <w:color w:val="000000"/>
          <w:sz w:val="24"/>
          <w:szCs w:val="24"/>
        </w:rPr>
        <w:t>本系统开发语言采用JAVA JDK11、采用Spring Cloud微服务框架、Dameng Database8数据库。采用B/S架构和前后端分离等技术。后端采用WEBAPI提供服务接口，前端采用Vuejs3.0+TS开发展示界面平台。具有HTTPS、MQTT、TCP、WebService等多种接口，实时接入各种业务数据，为满足海量数据传输、处理和访问需求。</w:t>
      </w:r>
    </w:p>
    <w:p w14:paraId="3C3C5914">
      <w:pPr>
        <w:pStyle w:val="2"/>
        <w:ind w:left="0"/>
        <w:jc w:val="left"/>
      </w:pPr>
      <w:r>
        <w:rPr>
          <w:rFonts w:hint="eastAsia"/>
        </w:rPr>
        <w:t>实施标准</w:t>
      </w:r>
    </w:p>
    <w:p w14:paraId="7CDD49D4">
      <w:pPr>
        <w:spacing w:line="360" w:lineRule="auto"/>
        <w:ind w:firstLine="480"/>
        <w:rPr>
          <w:caps/>
          <w:color w:val="000000"/>
          <w:sz w:val="24"/>
          <w:szCs w:val="24"/>
        </w:rPr>
      </w:pPr>
      <w:r>
        <w:rPr>
          <w:rFonts w:hint="eastAsia"/>
          <w:caps/>
          <w:color w:val="000000"/>
          <w:sz w:val="24"/>
          <w:szCs w:val="24"/>
        </w:rPr>
        <w:t>《上海市绿色建筑条例》</w:t>
      </w:r>
    </w:p>
    <w:p w14:paraId="72323944">
      <w:pPr>
        <w:spacing w:line="360" w:lineRule="auto"/>
        <w:ind w:firstLine="480"/>
        <w:rPr>
          <w:caps/>
          <w:color w:val="000000"/>
          <w:sz w:val="24"/>
          <w:szCs w:val="24"/>
        </w:rPr>
      </w:pPr>
      <w:r>
        <w:rPr>
          <w:rFonts w:hint="eastAsia"/>
          <w:caps/>
          <w:color w:val="000000"/>
          <w:sz w:val="24"/>
          <w:szCs w:val="24"/>
        </w:rPr>
        <w:t>既有建筑：上海市《公共建筑用能监测系统工程技术规范》（DGJ08-2068-2012）</w:t>
      </w:r>
    </w:p>
    <w:p w14:paraId="0BCBE037">
      <w:pPr>
        <w:spacing w:line="360" w:lineRule="auto"/>
        <w:ind w:firstLine="480"/>
        <w:rPr>
          <w:caps/>
          <w:color w:val="000000"/>
          <w:sz w:val="24"/>
          <w:szCs w:val="24"/>
        </w:rPr>
      </w:pPr>
      <w:r>
        <w:rPr>
          <w:rFonts w:hint="eastAsia"/>
          <w:caps/>
          <w:color w:val="000000"/>
          <w:sz w:val="24"/>
          <w:szCs w:val="24"/>
        </w:rPr>
        <w:t>新建建筑：上海市《公共建筑用能监测系统工程技术规范》（DGJ08-2068-2024）</w:t>
      </w:r>
    </w:p>
    <w:p w14:paraId="276550DC">
      <w:pPr>
        <w:spacing w:line="360" w:lineRule="auto"/>
        <w:ind w:firstLine="480"/>
        <w:rPr>
          <w:caps/>
          <w:color w:val="000000"/>
          <w:sz w:val="24"/>
          <w:szCs w:val="24"/>
        </w:rPr>
      </w:pPr>
      <w:r>
        <w:rPr>
          <w:rFonts w:hint="eastAsia"/>
          <w:caps/>
          <w:color w:val="000000"/>
          <w:sz w:val="24"/>
          <w:szCs w:val="24"/>
        </w:rPr>
        <w:t>《上海市国家机关办公建筑和大型公共建筑能耗监测系统管理办法》的通知（沪住建规范</w:t>
      </w:r>
      <w:r>
        <w:rPr>
          <w:rFonts w:hint="eastAsia" w:ascii="宋体" w:hAnsi="宋体" w:eastAsia="宋体"/>
          <w:caps/>
          <w:color w:val="000000"/>
          <w:sz w:val="24"/>
          <w:szCs w:val="24"/>
        </w:rPr>
        <w:t>﹝</w:t>
      </w:r>
      <w:r>
        <w:rPr>
          <w:rFonts w:hint="eastAsia"/>
          <w:caps/>
          <w:color w:val="000000"/>
          <w:sz w:val="24"/>
          <w:szCs w:val="24"/>
        </w:rPr>
        <w:t>2018</w:t>
      </w:r>
      <w:r>
        <w:rPr>
          <w:rFonts w:hint="eastAsia" w:ascii="宋体" w:hAnsi="宋体" w:eastAsia="宋体"/>
          <w:caps/>
          <w:color w:val="000000"/>
          <w:sz w:val="24"/>
          <w:szCs w:val="24"/>
        </w:rPr>
        <w:t>﹞</w:t>
      </w:r>
      <w:r>
        <w:rPr>
          <w:rFonts w:hint="eastAsia"/>
          <w:caps/>
          <w:color w:val="000000"/>
          <w:sz w:val="24"/>
          <w:szCs w:val="24"/>
        </w:rPr>
        <w:t>2号）</w:t>
      </w:r>
    </w:p>
    <w:p w14:paraId="74DBC835">
      <w:pPr>
        <w:spacing w:line="360" w:lineRule="auto"/>
        <w:ind w:firstLine="480"/>
        <w:rPr>
          <w:caps/>
          <w:color w:val="000000"/>
          <w:sz w:val="24"/>
          <w:szCs w:val="24"/>
        </w:rPr>
      </w:pPr>
      <w:r>
        <w:rPr>
          <w:rFonts w:hint="eastAsia"/>
          <w:caps/>
          <w:color w:val="000000"/>
          <w:sz w:val="24"/>
          <w:szCs w:val="24"/>
        </w:rPr>
        <w:t>《关于延长&lt;上海市国家机关办公建筑和大型公共建筑能耗监测系统管理办法&gt;有效期的通知》（沪住建规范</w:t>
      </w:r>
      <w:r>
        <w:rPr>
          <w:rFonts w:hint="eastAsia" w:ascii="宋体" w:hAnsi="宋体" w:eastAsia="宋体"/>
          <w:caps/>
          <w:color w:val="000000"/>
          <w:sz w:val="24"/>
          <w:szCs w:val="24"/>
        </w:rPr>
        <w:t>﹝</w:t>
      </w:r>
      <w:r>
        <w:rPr>
          <w:rFonts w:hint="eastAsia"/>
          <w:caps/>
          <w:color w:val="000000"/>
          <w:sz w:val="24"/>
          <w:szCs w:val="24"/>
        </w:rPr>
        <w:t>20</w:t>
      </w:r>
      <w:r>
        <w:rPr>
          <w:caps/>
          <w:color w:val="000000"/>
          <w:sz w:val="24"/>
          <w:szCs w:val="24"/>
        </w:rPr>
        <w:t>23</w:t>
      </w:r>
      <w:r>
        <w:rPr>
          <w:rFonts w:hint="eastAsia" w:ascii="宋体" w:hAnsi="宋体" w:eastAsia="宋体"/>
          <w:caps/>
          <w:color w:val="000000"/>
          <w:sz w:val="24"/>
          <w:szCs w:val="24"/>
        </w:rPr>
        <w:t>﹞</w:t>
      </w:r>
      <w:r>
        <w:rPr>
          <w:caps/>
          <w:color w:val="000000"/>
          <w:sz w:val="24"/>
          <w:szCs w:val="24"/>
        </w:rPr>
        <w:t>5</w:t>
      </w:r>
      <w:r>
        <w:rPr>
          <w:rFonts w:hint="eastAsia"/>
          <w:caps/>
          <w:color w:val="000000"/>
          <w:sz w:val="24"/>
          <w:szCs w:val="24"/>
        </w:rPr>
        <w:t>号）</w:t>
      </w:r>
    </w:p>
    <w:p w14:paraId="2E9C939D">
      <w:pPr>
        <w:spacing w:line="360" w:lineRule="auto"/>
        <w:ind w:firstLine="480"/>
        <w:rPr>
          <w:caps/>
          <w:color w:val="000000"/>
          <w:sz w:val="24"/>
          <w:szCs w:val="24"/>
        </w:rPr>
      </w:pPr>
      <w:r>
        <w:rPr>
          <w:rFonts w:hint="eastAsia"/>
          <w:caps/>
          <w:color w:val="000000"/>
          <w:sz w:val="24"/>
          <w:szCs w:val="24"/>
        </w:rPr>
        <w:t>《上海市静安区公共建筑能耗监测管理工作方案》（静建管</w:t>
      </w:r>
      <w:r>
        <w:rPr>
          <w:rFonts w:hint="eastAsia" w:ascii="宋体" w:hAnsi="宋体" w:eastAsia="宋体"/>
          <w:caps/>
          <w:color w:val="000000"/>
          <w:sz w:val="24"/>
          <w:szCs w:val="24"/>
        </w:rPr>
        <w:t>﹝</w:t>
      </w:r>
      <w:r>
        <w:rPr>
          <w:rFonts w:hint="eastAsia"/>
          <w:caps/>
          <w:color w:val="000000"/>
          <w:sz w:val="24"/>
          <w:szCs w:val="24"/>
        </w:rPr>
        <w:t>2019</w:t>
      </w:r>
      <w:r>
        <w:rPr>
          <w:rFonts w:hint="eastAsia" w:ascii="宋体" w:hAnsi="宋体" w:eastAsia="宋体"/>
          <w:caps/>
          <w:color w:val="000000"/>
          <w:sz w:val="24"/>
          <w:szCs w:val="24"/>
        </w:rPr>
        <w:t>﹞</w:t>
      </w:r>
      <w:r>
        <w:rPr>
          <w:rFonts w:hint="eastAsia"/>
          <w:caps/>
          <w:color w:val="000000"/>
          <w:sz w:val="24"/>
          <w:szCs w:val="24"/>
        </w:rPr>
        <w:t>3号）</w:t>
      </w:r>
    </w:p>
    <w:p w14:paraId="47D7B957">
      <w:pPr>
        <w:spacing w:line="360" w:lineRule="auto"/>
        <w:ind w:firstLine="480"/>
        <w:rPr>
          <w:caps/>
          <w:color w:val="000000"/>
          <w:sz w:val="24"/>
          <w:szCs w:val="24"/>
        </w:rPr>
      </w:pPr>
      <w:r>
        <w:rPr>
          <w:rFonts w:hint="eastAsia"/>
          <w:caps/>
          <w:color w:val="000000"/>
          <w:sz w:val="24"/>
          <w:szCs w:val="24"/>
        </w:rPr>
        <w:t>《关于印发&lt;上海市国家机关办公建筑和大型公共建筑能耗监测系统数据（用电量）采集判定要求&gt;的通知》（沪建市管</w:t>
      </w:r>
      <w:r>
        <w:rPr>
          <w:rFonts w:hint="eastAsia" w:ascii="宋体" w:hAnsi="宋体" w:eastAsia="宋体"/>
          <w:caps/>
          <w:color w:val="000000"/>
          <w:sz w:val="24"/>
          <w:szCs w:val="24"/>
        </w:rPr>
        <w:t>﹝</w:t>
      </w:r>
      <w:r>
        <w:rPr>
          <w:rFonts w:hint="eastAsia"/>
          <w:caps/>
          <w:color w:val="000000"/>
          <w:sz w:val="24"/>
          <w:szCs w:val="24"/>
        </w:rPr>
        <w:t>2016</w:t>
      </w:r>
      <w:r>
        <w:rPr>
          <w:rFonts w:hint="eastAsia" w:ascii="宋体" w:hAnsi="宋体" w:eastAsia="宋体"/>
          <w:caps/>
          <w:color w:val="000000"/>
          <w:sz w:val="24"/>
          <w:szCs w:val="24"/>
        </w:rPr>
        <w:t>﹞</w:t>
      </w:r>
      <w:r>
        <w:rPr>
          <w:rFonts w:hint="eastAsia"/>
          <w:caps/>
          <w:color w:val="000000"/>
          <w:sz w:val="24"/>
          <w:szCs w:val="24"/>
        </w:rPr>
        <w:t>48号）</w:t>
      </w:r>
    </w:p>
    <w:p w14:paraId="39EE0723">
      <w:pPr>
        <w:spacing w:line="360" w:lineRule="auto"/>
        <w:ind w:firstLine="480"/>
        <w:rPr>
          <w:caps/>
          <w:color w:val="000000"/>
          <w:sz w:val="24"/>
          <w:szCs w:val="24"/>
        </w:rPr>
      </w:pPr>
      <w:r>
        <w:rPr>
          <w:caps/>
          <w:color w:val="000000"/>
          <w:sz w:val="24"/>
          <w:szCs w:val="24"/>
        </w:rPr>
        <w:t>《国家机关办公建筑和大型公共建筑能耗监测系统建设分项能耗数据采集技术导则》</w:t>
      </w:r>
    </w:p>
    <w:p w14:paraId="7B949CF5">
      <w:pPr>
        <w:spacing w:line="360" w:lineRule="auto"/>
        <w:ind w:firstLine="480"/>
        <w:rPr>
          <w:caps/>
          <w:color w:val="000000"/>
          <w:sz w:val="24"/>
          <w:szCs w:val="24"/>
        </w:rPr>
      </w:pPr>
      <w:r>
        <w:rPr>
          <w:caps/>
          <w:color w:val="000000"/>
          <w:sz w:val="24"/>
          <w:szCs w:val="24"/>
        </w:rPr>
        <w:t>《国家机关办公建筑和大型公共建筑能耗监测系统分项能耗数据传输技术导则》</w:t>
      </w:r>
    </w:p>
    <w:p w14:paraId="0F565BA4">
      <w:pPr>
        <w:spacing w:line="360" w:lineRule="auto"/>
        <w:ind w:firstLine="480"/>
        <w:rPr>
          <w:caps/>
          <w:color w:val="000000"/>
          <w:sz w:val="24"/>
          <w:szCs w:val="24"/>
        </w:rPr>
      </w:pPr>
      <w:r>
        <w:rPr>
          <w:caps/>
          <w:color w:val="000000"/>
          <w:sz w:val="24"/>
          <w:szCs w:val="24"/>
        </w:rPr>
        <w:t>《国家机关办公建筑和大型公共建筑能耗监测系统楼宇分项计量设计安装技术导则》</w:t>
      </w:r>
    </w:p>
    <w:p w14:paraId="7F066722">
      <w:pPr>
        <w:spacing w:line="360" w:lineRule="auto"/>
        <w:ind w:firstLine="480"/>
        <w:rPr>
          <w:caps/>
          <w:color w:val="000000"/>
          <w:sz w:val="24"/>
          <w:szCs w:val="24"/>
        </w:rPr>
      </w:pPr>
      <w:r>
        <w:rPr>
          <w:caps/>
          <w:color w:val="000000"/>
          <w:sz w:val="24"/>
          <w:szCs w:val="24"/>
        </w:rPr>
        <w:t>《国家机关办公建筑和大型公共建筑能耗监测系统建设、验收与运行管理规范》</w:t>
      </w:r>
    </w:p>
    <w:p w14:paraId="33AF8B46">
      <w:pPr>
        <w:spacing w:line="360" w:lineRule="auto"/>
        <w:ind w:firstLine="480"/>
        <w:rPr>
          <w:caps/>
          <w:color w:val="000000"/>
          <w:sz w:val="24"/>
          <w:szCs w:val="24"/>
        </w:rPr>
      </w:pPr>
      <w:r>
        <w:rPr>
          <w:caps/>
          <w:color w:val="000000"/>
          <w:sz w:val="24"/>
          <w:szCs w:val="24"/>
        </w:rPr>
        <w:t>《上海市人民政府印发关于加快推进本市国家机关办公建筑和大型公共建筑能耗监测系统建设实施意见的通知》（沪府发</w:t>
      </w:r>
      <w:r>
        <w:rPr>
          <w:rFonts w:hint="eastAsia" w:ascii="宋体" w:hAnsi="宋体" w:eastAsia="宋体"/>
          <w:caps/>
          <w:color w:val="000000"/>
          <w:sz w:val="24"/>
          <w:szCs w:val="24"/>
        </w:rPr>
        <w:t>﹝</w:t>
      </w:r>
      <w:r>
        <w:rPr>
          <w:caps/>
          <w:color w:val="000000"/>
          <w:sz w:val="24"/>
          <w:szCs w:val="24"/>
        </w:rPr>
        <w:t>2012</w:t>
      </w:r>
      <w:r>
        <w:rPr>
          <w:rFonts w:hint="eastAsia" w:ascii="宋体" w:hAnsi="宋体" w:eastAsia="宋体"/>
          <w:caps/>
          <w:color w:val="000000"/>
          <w:sz w:val="24"/>
          <w:szCs w:val="24"/>
        </w:rPr>
        <w:t>﹞</w:t>
      </w:r>
      <w:r>
        <w:rPr>
          <w:caps/>
          <w:color w:val="000000"/>
          <w:sz w:val="24"/>
          <w:szCs w:val="24"/>
        </w:rPr>
        <w:t>49号）</w:t>
      </w:r>
    </w:p>
    <w:p w14:paraId="707EC316">
      <w:pPr>
        <w:pStyle w:val="2"/>
        <w:ind w:left="0"/>
        <w:jc w:val="left"/>
      </w:pPr>
      <w:r>
        <w:rPr>
          <w:rFonts w:hint="eastAsia"/>
        </w:rPr>
        <w:t>服务内容要求</w:t>
      </w:r>
    </w:p>
    <w:p w14:paraId="4A0F07D8">
      <w:pPr>
        <w:spacing w:line="360" w:lineRule="auto"/>
        <w:ind w:firstLine="480"/>
        <w:rPr>
          <w:caps/>
          <w:color w:val="000000"/>
          <w:sz w:val="24"/>
          <w:szCs w:val="24"/>
        </w:rPr>
      </w:pPr>
      <w:r>
        <w:rPr>
          <w:rFonts w:hint="eastAsia"/>
          <w:caps/>
          <w:color w:val="000000"/>
          <w:sz w:val="24"/>
          <w:szCs w:val="24"/>
        </w:rPr>
        <w:t>1、负责静安区平台的运行管理工作，具体职责包括：</w:t>
      </w:r>
    </w:p>
    <w:p w14:paraId="3DACD631">
      <w:pPr>
        <w:pStyle w:val="30"/>
        <w:numPr>
          <w:ilvl w:val="0"/>
          <w:numId w:val="2"/>
        </w:numPr>
        <w:rPr>
          <w:rFonts w:hint="eastAsia"/>
          <w:caps/>
          <w:color w:val="000000"/>
        </w:rPr>
      </w:pPr>
      <w:r>
        <w:rPr>
          <w:rFonts w:hint="eastAsia"/>
          <w:caps/>
          <w:color w:val="000000"/>
        </w:rPr>
        <w:t>投标人需按照要求落实完善管理制度，制定年度工作计划，编写具体实施方案，开展平台和已联网建筑的日常运行管理工作。</w:t>
      </w:r>
    </w:p>
    <w:p w14:paraId="1EEC755A">
      <w:pPr>
        <w:pStyle w:val="30"/>
        <w:numPr>
          <w:ilvl w:val="0"/>
          <w:numId w:val="2"/>
        </w:numPr>
        <w:rPr>
          <w:rFonts w:hint="eastAsia"/>
          <w:caps/>
          <w:color w:val="000000"/>
        </w:rPr>
      </w:pPr>
      <w:r>
        <w:rPr>
          <w:rFonts w:hint="eastAsia"/>
          <w:caps/>
          <w:color w:val="000000"/>
        </w:rPr>
        <w:t>投标人需具体执行国家和本市发布的建筑能耗监测系统相关政策文件和标准规范，并按照静安区特色管理要求制定和落实本区的管理要求。</w:t>
      </w:r>
    </w:p>
    <w:p w14:paraId="705EB73D">
      <w:pPr>
        <w:pStyle w:val="30"/>
        <w:numPr>
          <w:ilvl w:val="0"/>
          <w:numId w:val="2"/>
        </w:numPr>
        <w:rPr>
          <w:rFonts w:hint="eastAsia"/>
          <w:caps/>
          <w:color w:val="000000"/>
        </w:rPr>
      </w:pPr>
      <w:r>
        <w:rPr>
          <w:rFonts w:hint="eastAsia"/>
          <w:caps/>
          <w:color w:val="000000"/>
        </w:rPr>
        <w:t>投标人需配合招标人需求提供建筑能源审计清单和能耗公示工作。</w:t>
      </w:r>
    </w:p>
    <w:p w14:paraId="7CA88C2D">
      <w:pPr>
        <w:pStyle w:val="30"/>
        <w:numPr>
          <w:ilvl w:val="0"/>
          <w:numId w:val="2"/>
        </w:numPr>
        <w:rPr>
          <w:rFonts w:hint="eastAsia"/>
          <w:caps/>
          <w:color w:val="000000"/>
        </w:rPr>
      </w:pPr>
      <w:r>
        <w:rPr>
          <w:rFonts w:hint="eastAsia"/>
          <w:caps/>
          <w:color w:val="000000"/>
        </w:rPr>
        <w:t>投标人需每年配合招标人，组织楼宇用户开展专项政策宣贯及业务培训等交流活动。</w:t>
      </w:r>
    </w:p>
    <w:p w14:paraId="6916A5A3">
      <w:pPr>
        <w:pStyle w:val="30"/>
        <w:numPr>
          <w:ilvl w:val="0"/>
          <w:numId w:val="2"/>
        </w:numPr>
        <w:rPr>
          <w:rFonts w:hint="eastAsia"/>
          <w:caps/>
          <w:color w:val="000000"/>
        </w:rPr>
      </w:pPr>
      <w:r>
        <w:rPr>
          <w:rFonts w:hint="eastAsia"/>
          <w:caps/>
          <w:color w:val="000000"/>
        </w:rPr>
        <w:t>对于已联网建筑，投标人需按照相关规范做好建筑能耗监测数据接入，按要求将能耗监测数据上传至上级平台。</w:t>
      </w:r>
    </w:p>
    <w:p w14:paraId="24DD51D5">
      <w:pPr>
        <w:pStyle w:val="30"/>
        <w:numPr>
          <w:ilvl w:val="0"/>
          <w:numId w:val="2"/>
        </w:numPr>
        <w:rPr>
          <w:rFonts w:hint="eastAsia"/>
          <w:caps/>
          <w:color w:val="000000"/>
        </w:rPr>
      </w:pPr>
      <w:r>
        <w:rPr>
          <w:rFonts w:hint="eastAsia"/>
          <w:caps/>
          <w:color w:val="000000"/>
        </w:rPr>
        <w:t>对于新建建筑接入，投标人需按照本市相关技术规范及本区接入要求要求，采集公共建筑基础信息和用能数据。建筑基础信息按照规定的表式填报，设置审核环节确保基础信息的准确完整；建筑用能数据应采集建筑用能分项计量系统所有分类、分项及支路数据；在项目竣工验收阶段配合招标人对新建建筑能耗监测系统开展的专项验收。</w:t>
      </w:r>
    </w:p>
    <w:p w14:paraId="59991645">
      <w:pPr>
        <w:pStyle w:val="30"/>
        <w:numPr>
          <w:ilvl w:val="0"/>
          <w:numId w:val="2"/>
        </w:numPr>
        <w:rPr>
          <w:rFonts w:hint="eastAsia"/>
          <w:caps/>
          <w:color w:val="000000"/>
        </w:rPr>
      </w:pPr>
      <w:r>
        <w:rPr>
          <w:rFonts w:hint="eastAsia"/>
          <w:caps/>
          <w:color w:val="000000"/>
        </w:rPr>
        <w:t>投标人需配合招标人，监督楼宇分项计量维保单位工作，组织实施相关考核，协调能耗监测各层面对接和工作推进。</w:t>
      </w:r>
    </w:p>
    <w:p w14:paraId="60F83041">
      <w:pPr>
        <w:pStyle w:val="30"/>
        <w:numPr>
          <w:ilvl w:val="0"/>
          <w:numId w:val="2"/>
        </w:numPr>
        <w:rPr>
          <w:rFonts w:hint="eastAsia"/>
          <w:caps/>
          <w:color w:val="000000"/>
        </w:rPr>
      </w:pPr>
      <w:r>
        <w:rPr>
          <w:rFonts w:hint="eastAsia"/>
          <w:caps/>
          <w:color w:val="000000"/>
        </w:rPr>
        <w:t>投标人应对楼宇维保单位日常维护工作中变更的楼宇信息进行更新。</w:t>
      </w:r>
    </w:p>
    <w:p w14:paraId="2C6009A0">
      <w:pPr>
        <w:pStyle w:val="30"/>
        <w:numPr>
          <w:ilvl w:val="0"/>
          <w:numId w:val="2"/>
        </w:numPr>
        <w:rPr>
          <w:rFonts w:hint="eastAsia"/>
          <w:caps/>
          <w:color w:val="000000"/>
        </w:rPr>
      </w:pPr>
      <w:r>
        <w:rPr>
          <w:rFonts w:hint="eastAsia"/>
          <w:caps/>
          <w:color w:val="000000"/>
        </w:rPr>
        <w:t>投标人应根据全市统一异常判别依据，对建筑用能数据进行自动实时校验，实现建筑异常用能报警，并向维保单位推送数据修复提醒。数据管理要求应匹配静安区管理要求。</w:t>
      </w:r>
    </w:p>
    <w:p w14:paraId="36DEECA5">
      <w:pPr>
        <w:pStyle w:val="30"/>
        <w:numPr>
          <w:ilvl w:val="0"/>
          <w:numId w:val="2"/>
        </w:numPr>
        <w:ind w:left="1281" w:hanging="442"/>
        <w:rPr>
          <w:rFonts w:hint="eastAsia"/>
          <w:caps/>
          <w:color w:val="000000"/>
        </w:rPr>
      </w:pPr>
      <w:r>
        <w:rPr>
          <w:rFonts w:hint="eastAsia"/>
          <w:caps/>
          <w:color w:val="000000"/>
        </w:rPr>
        <w:t>投标人需配合招标人完成重要节点或活动的保障工作，提供应对及保障方案。</w:t>
      </w:r>
    </w:p>
    <w:p w14:paraId="7B5E1B0F">
      <w:pPr>
        <w:spacing w:line="360" w:lineRule="auto"/>
        <w:ind w:firstLine="480"/>
        <w:rPr>
          <w:caps/>
          <w:color w:val="000000"/>
          <w:sz w:val="24"/>
          <w:szCs w:val="24"/>
        </w:rPr>
      </w:pPr>
      <w:r>
        <w:rPr>
          <w:rFonts w:hint="eastAsia"/>
          <w:caps/>
          <w:color w:val="000000"/>
          <w:sz w:val="24"/>
          <w:szCs w:val="24"/>
        </w:rPr>
        <w:t>2、负责静安区平台监测数据的质量管理工作，具体职责包括：</w:t>
      </w:r>
    </w:p>
    <w:p w14:paraId="644109C8">
      <w:pPr>
        <w:pStyle w:val="30"/>
        <w:numPr>
          <w:ilvl w:val="0"/>
          <w:numId w:val="3"/>
        </w:numPr>
        <w:rPr>
          <w:rFonts w:hint="eastAsia"/>
          <w:caps/>
          <w:color w:val="000000"/>
        </w:rPr>
      </w:pPr>
      <w:r>
        <w:rPr>
          <w:rFonts w:hint="eastAsia"/>
          <w:caps/>
          <w:color w:val="000000"/>
        </w:rPr>
        <w:t>投标人需向区域内相关行业主管部门提供权限范围内建筑用能状况查询、统计汇总、图表分析及其他应用功能；向建筑产权人或受委托的使用人提供本建筑用能状况实时查询、数据分析等服务。</w:t>
      </w:r>
    </w:p>
    <w:p w14:paraId="2E2116E6">
      <w:pPr>
        <w:pStyle w:val="30"/>
        <w:numPr>
          <w:ilvl w:val="0"/>
          <w:numId w:val="3"/>
        </w:numPr>
        <w:rPr>
          <w:rFonts w:hint="eastAsia"/>
          <w:caps/>
          <w:color w:val="000000"/>
        </w:rPr>
      </w:pPr>
      <w:r>
        <w:rPr>
          <w:rFonts w:hint="eastAsia"/>
          <w:caps/>
          <w:color w:val="000000"/>
        </w:rPr>
        <w:t>投标人需按照要求做好建筑基础数据和能耗监测数据管理工作，每月进行异常数据的核对与反馈，监督楼宇维保单位异常修复进度，确保数据稳定、准确上传。平台数据质量达到市、区管理部门考核要求。</w:t>
      </w:r>
    </w:p>
    <w:p w14:paraId="467835D8">
      <w:pPr>
        <w:pStyle w:val="30"/>
        <w:numPr>
          <w:ilvl w:val="0"/>
          <w:numId w:val="3"/>
        </w:numPr>
        <w:rPr>
          <w:rFonts w:hint="eastAsia"/>
          <w:caps/>
          <w:color w:val="000000"/>
        </w:rPr>
      </w:pPr>
      <w:r>
        <w:rPr>
          <w:rFonts w:hint="eastAsia"/>
          <w:caps/>
          <w:color w:val="000000"/>
        </w:rPr>
        <w:t>投标人需建立数据管理机制，对照平台上级管理部门考核要求，定期开展数据校核工作，确保监测数据准确性。</w:t>
      </w:r>
    </w:p>
    <w:p w14:paraId="0CB67378">
      <w:pPr>
        <w:spacing w:line="360" w:lineRule="auto"/>
        <w:ind w:firstLine="480"/>
        <w:rPr>
          <w:caps/>
          <w:color w:val="000000"/>
          <w:sz w:val="24"/>
          <w:szCs w:val="24"/>
        </w:rPr>
      </w:pPr>
      <w:r>
        <w:rPr>
          <w:caps/>
          <w:color w:val="000000"/>
          <w:sz w:val="24"/>
          <w:szCs w:val="24"/>
        </w:rPr>
        <w:t>3</w:t>
      </w:r>
      <w:r>
        <w:rPr>
          <w:rFonts w:hint="eastAsia"/>
          <w:caps/>
          <w:color w:val="000000"/>
          <w:sz w:val="24"/>
          <w:szCs w:val="24"/>
        </w:rPr>
        <w:t>、负责静安区平台监测数据的应用工作，具体职责包括：</w:t>
      </w:r>
    </w:p>
    <w:p w14:paraId="4E786775">
      <w:pPr>
        <w:pStyle w:val="30"/>
        <w:numPr>
          <w:ilvl w:val="0"/>
          <w:numId w:val="4"/>
        </w:numPr>
        <w:rPr>
          <w:rFonts w:hint="eastAsia"/>
          <w:caps/>
          <w:color w:val="000000"/>
        </w:rPr>
      </w:pPr>
      <w:r>
        <w:rPr>
          <w:rFonts w:hint="eastAsia"/>
          <w:caps/>
          <w:color w:val="000000"/>
        </w:rPr>
        <w:t>投标人需对所监测建筑的用能数据应用分析，每季度及年度编写建筑用能监测情况报告，报送相关平台主管部门。报告内容包括建筑能耗监测系统运行情况、分类建筑能耗强度分析情况及典型建筑能耗对标情况等。季报于每季度后一个月内提交，年报于每个自然年后两个月内提交。</w:t>
      </w:r>
    </w:p>
    <w:p w14:paraId="7C25DB6D">
      <w:pPr>
        <w:pStyle w:val="30"/>
        <w:numPr>
          <w:ilvl w:val="0"/>
          <w:numId w:val="4"/>
        </w:numPr>
        <w:rPr>
          <w:rFonts w:hint="eastAsia"/>
          <w:caps/>
          <w:color w:val="000000"/>
        </w:rPr>
      </w:pPr>
      <w:r>
        <w:rPr>
          <w:rFonts w:hint="eastAsia"/>
          <w:caps/>
          <w:color w:val="000000"/>
        </w:rPr>
        <w:t>投标人熟悉上海市市级平台数据内容和数据情况，通过多个数据渠道完善数据对标，形成区公共建筑的节能重点工作对象和建议审计名单。</w:t>
      </w:r>
    </w:p>
    <w:p w14:paraId="3A175224">
      <w:pPr>
        <w:spacing w:line="360" w:lineRule="auto"/>
        <w:ind w:firstLine="480"/>
        <w:rPr>
          <w:caps/>
          <w:color w:val="000000"/>
          <w:sz w:val="24"/>
          <w:szCs w:val="24"/>
        </w:rPr>
      </w:pPr>
      <w:r>
        <w:rPr>
          <w:rFonts w:hint="eastAsia"/>
          <w:caps/>
          <w:color w:val="000000"/>
          <w:sz w:val="24"/>
          <w:szCs w:val="24"/>
        </w:rPr>
        <w:t>4、负责静安区平台重点用能单位功能板块相关工作，具体职责包括：</w:t>
      </w:r>
    </w:p>
    <w:p w14:paraId="058A4E08">
      <w:pPr>
        <w:pStyle w:val="30"/>
        <w:numPr>
          <w:ilvl w:val="0"/>
          <w:numId w:val="5"/>
        </w:numPr>
        <w:rPr>
          <w:rFonts w:hint="eastAsia"/>
          <w:caps/>
          <w:color w:val="000000"/>
        </w:rPr>
      </w:pPr>
      <w:r>
        <w:rPr>
          <w:rFonts w:hint="eastAsia"/>
          <w:caps/>
          <w:color w:val="000000"/>
        </w:rPr>
        <w:t>提供重点用能单位各类能源的数据填报及资料上传入口，及答疑服务。</w:t>
      </w:r>
    </w:p>
    <w:p w14:paraId="20F88490">
      <w:pPr>
        <w:pStyle w:val="30"/>
        <w:numPr>
          <w:ilvl w:val="0"/>
          <w:numId w:val="5"/>
        </w:numPr>
        <w:rPr>
          <w:rFonts w:hint="eastAsia"/>
          <w:caps/>
          <w:color w:val="000000"/>
        </w:rPr>
      </w:pPr>
      <w:r>
        <w:rPr>
          <w:rFonts w:hint="eastAsia"/>
          <w:caps/>
          <w:color w:val="000000"/>
        </w:rPr>
        <w:t>技术支撑管理部门对重点用能单位的节能目标责任下达、进度跟踪与年度考核管理等工作。</w:t>
      </w:r>
    </w:p>
    <w:p w14:paraId="00F14697">
      <w:pPr>
        <w:pStyle w:val="30"/>
        <w:numPr>
          <w:ilvl w:val="0"/>
          <w:numId w:val="5"/>
        </w:numPr>
        <w:rPr>
          <w:rFonts w:hint="eastAsia"/>
          <w:caps/>
          <w:color w:val="000000"/>
        </w:rPr>
      </w:pPr>
      <w:r>
        <w:rPr>
          <w:rFonts w:hint="eastAsia"/>
          <w:caps/>
          <w:color w:val="000000"/>
        </w:rPr>
        <w:t>根据管理部门实际管理需求，对部分已有功能进行适配性微调与用户体验优化，以提升平台的实用性与响应效率。</w:t>
      </w:r>
    </w:p>
    <w:p w14:paraId="418283EE">
      <w:pPr>
        <w:spacing w:line="360" w:lineRule="auto"/>
        <w:ind w:firstLine="480"/>
        <w:rPr>
          <w:caps/>
          <w:color w:val="000000"/>
          <w:sz w:val="24"/>
          <w:szCs w:val="24"/>
        </w:rPr>
      </w:pPr>
      <w:r>
        <w:rPr>
          <w:rFonts w:hint="eastAsia"/>
          <w:caps/>
          <w:color w:val="000000"/>
          <w:sz w:val="24"/>
          <w:szCs w:val="24"/>
        </w:rPr>
        <w:t>5、负责可再生能源的信息梳理接入和管理工作。投标人需按照本市相关技术规范的要求，跟进新建建筑可再生能源数据的信息更新，并梳理展示。</w:t>
      </w:r>
    </w:p>
    <w:p w14:paraId="2BE5CE9D">
      <w:pPr>
        <w:spacing w:line="360" w:lineRule="auto"/>
        <w:ind w:firstLine="480"/>
        <w:rPr>
          <w:caps/>
          <w:color w:val="000000"/>
          <w:sz w:val="24"/>
          <w:szCs w:val="24"/>
        </w:rPr>
      </w:pPr>
      <w:r>
        <w:rPr>
          <w:rFonts w:hint="eastAsia"/>
          <w:caps/>
          <w:color w:val="000000"/>
          <w:sz w:val="24"/>
          <w:szCs w:val="24"/>
        </w:rPr>
        <w:t>6、负责交通领域充电桩信息数据整合和分析工作。完善楼宇侧充电桩数据梳理，开展充电桩计量分析，实现充电桩计量准确性在线监测。</w:t>
      </w:r>
    </w:p>
    <w:p w14:paraId="18C020B0">
      <w:pPr>
        <w:spacing w:line="360" w:lineRule="auto"/>
        <w:ind w:firstLine="480"/>
        <w:rPr>
          <w:caps/>
          <w:color w:val="000000"/>
          <w:sz w:val="24"/>
          <w:szCs w:val="24"/>
        </w:rPr>
      </w:pPr>
      <w:r>
        <w:rPr>
          <w:rFonts w:hint="eastAsia"/>
          <w:caps/>
          <w:color w:val="000000"/>
          <w:sz w:val="24"/>
          <w:szCs w:val="24"/>
        </w:rPr>
        <w:t>7、负责静安区平台运行环境保障工作，具体职责包括：</w:t>
      </w:r>
    </w:p>
    <w:p w14:paraId="4B7D6CE3">
      <w:pPr>
        <w:pStyle w:val="30"/>
        <w:numPr>
          <w:ilvl w:val="0"/>
          <w:numId w:val="6"/>
        </w:numPr>
        <w:rPr>
          <w:rFonts w:hint="eastAsia"/>
          <w:caps/>
          <w:color w:val="000000"/>
        </w:rPr>
      </w:pPr>
      <w:r>
        <w:rPr>
          <w:rFonts w:hint="eastAsia"/>
          <w:caps/>
          <w:color w:val="000000"/>
        </w:rPr>
        <w:t>SSL证书定期更新</w:t>
      </w:r>
    </w:p>
    <w:p w14:paraId="25C72FF6">
      <w:pPr>
        <w:pStyle w:val="30"/>
        <w:numPr>
          <w:ilvl w:val="0"/>
          <w:numId w:val="6"/>
        </w:numPr>
        <w:rPr>
          <w:rFonts w:hint="eastAsia"/>
          <w:caps/>
          <w:color w:val="000000"/>
        </w:rPr>
      </w:pPr>
      <w:r>
        <w:rPr>
          <w:rFonts w:hint="eastAsia"/>
          <w:caps/>
          <w:color w:val="000000"/>
        </w:rPr>
        <w:t>系统使用用户证书定期更新</w:t>
      </w:r>
    </w:p>
    <w:p w14:paraId="6587AEA1">
      <w:pPr>
        <w:pStyle w:val="30"/>
        <w:numPr>
          <w:ilvl w:val="0"/>
          <w:numId w:val="6"/>
        </w:numPr>
        <w:rPr>
          <w:rFonts w:hint="eastAsia"/>
          <w:caps/>
          <w:color w:val="000000"/>
        </w:rPr>
      </w:pPr>
      <w:r>
        <w:rPr>
          <w:rFonts w:hint="eastAsia"/>
          <w:caps/>
          <w:color w:val="000000"/>
        </w:rPr>
        <w:t>地图优化运维：增加、删除、更新地图模型、各类建筑打点标签等</w:t>
      </w:r>
    </w:p>
    <w:p w14:paraId="21435485">
      <w:pPr>
        <w:pStyle w:val="30"/>
        <w:numPr>
          <w:ilvl w:val="0"/>
          <w:numId w:val="6"/>
        </w:numPr>
        <w:rPr>
          <w:rFonts w:hint="eastAsia"/>
          <w:caps/>
          <w:color w:val="000000"/>
        </w:rPr>
      </w:pPr>
      <w:r>
        <w:rPr>
          <w:rFonts w:hint="eastAsia"/>
          <w:caps/>
          <w:color w:val="000000"/>
        </w:rPr>
        <w:t>数据质量修复服务：数据校核、数据过滤、数据修正等</w:t>
      </w:r>
    </w:p>
    <w:p w14:paraId="4FBD3755">
      <w:pPr>
        <w:pStyle w:val="30"/>
        <w:numPr>
          <w:ilvl w:val="0"/>
          <w:numId w:val="6"/>
        </w:numPr>
        <w:rPr>
          <w:rFonts w:hint="eastAsia"/>
          <w:caps/>
          <w:color w:val="000000"/>
        </w:rPr>
      </w:pPr>
      <w:r>
        <w:rPr>
          <w:rFonts w:hint="eastAsia"/>
          <w:caps/>
          <w:color w:val="000000"/>
        </w:rPr>
        <w:t>数据共享：提供相关业务接口、配合更新完善数据资源编目</w:t>
      </w:r>
    </w:p>
    <w:p w14:paraId="6EEC471A">
      <w:pPr>
        <w:spacing w:line="360" w:lineRule="auto"/>
        <w:ind w:firstLine="480"/>
        <w:rPr>
          <w:caps/>
          <w:color w:val="000000"/>
        </w:rPr>
      </w:pPr>
      <w:r>
        <w:rPr>
          <w:rFonts w:hint="eastAsia"/>
          <w:caps/>
          <w:color w:val="000000"/>
          <w:sz w:val="24"/>
          <w:szCs w:val="24"/>
        </w:rPr>
        <w:t>8、投标人需负责静安区云平台托管相关服务，按照静安区政策要求，在线系统统一布置于云平台，确保按照安全等级要求维护平台信息系统、管理制度，做好数据备份，排查修复安全漏洞，实施人员权限动态管理，并根据信息系统密码应用的要求，执行系统的安全管理措施。</w:t>
      </w:r>
    </w:p>
    <w:p w14:paraId="207A8290">
      <w:pPr>
        <w:spacing w:line="360" w:lineRule="auto"/>
        <w:ind w:firstLine="480"/>
        <w:rPr>
          <w:caps/>
          <w:color w:val="000000"/>
          <w:sz w:val="24"/>
          <w:szCs w:val="24"/>
        </w:rPr>
      </w:pPr>
      <w:r>
        <w:rPr>
          <w:rFonts w:hint="eastAsia"/>
          <w:caps/>
          <w:color w:val="000000"/>
          <w:sz w:val="24"/>
          <w:szCs w:val="24"/>
        </w:rPr>
        <w:t>9、负责静安区平台管理考核工作，具体职责包括：</w:t>
      </w:r>
    </w:p>
    <w:p w14:paraId="16EFA42F">
      <w:pPr>
        <w:pStyle w:val="30"/>
        <w:numPr>
          <w:ilvl w:val="0"/>
          <w:numId w:val="7"/>
        </w:numPr>
        <w:rPr>
          <w:rFonts w:hint="eastAsia"/>
          <w:caps/>
          <w:color w:val="000000"/>
        </w:rPr>
      </w:pPr>
      <w:r>
        <w:rPr>
          <w:rFonts w:hint="eastAsia"/>
          <w:caps/>
          <w:color w:val="000000"/>
        </w:rPr>
        <w:t>投标人需制定管理细则，落实考核细则和考核依据。</w:t>
      </w:r>
    </w:p>
    <w:p w14:paraId="027A58B3">
      <w:pPr>
        <w:pStyle w:val="30"/>
        <w:numPr>
          <w:ilvl w:val="0"/>
          <w:numId w:val="7"/>
        </w:numPr>
        <w:rPr>
          <w:rFonts w:hint="eastAsia"/>
          <w:caps/>
          <w:color w:val="000000"/>
        </w:rPr>
      </w:pPr>
      <w:r>
        <w:rPr>
          <w:rFonts w:hint="eastAsia"/>
          <w:caps/>
          <w:color w:val="000000"/>
        </w:rPr>
        <w:t>投标人需定期形成考核意见，供上级部门落实管理。</w:t>
      </w:r>
    </w:p>
    <w:p w14:paraId="2AA9724B">
      <w:pPr>
        <w:pStyle w:val="30"/>
        <w:numPr>
          <w:ilvl w:val="0"/>
          <w:numId w:val="7"/>
        </w:numPr>
        <w:rPr>
          <w:rFonts w:hint="eastAsia"/>
          <w:caps/>
          <w:color w:val="000000"/>
        </w:rPr>
      </w:pPr>
      <w:r>
        <w:rPr>
          <w:rFonts w:hint="eastAsia"/>
          <w:caps/>
          <w:color w:val="000000"/>
        </w:rPr>
        <w:t>投标人需定期对已联网的建筑运行情况进行巡查，督促建筑产权人或受委托的使用人及时处理故障和异常情况。</w:t>
      </w:r>
    </w:p>
    <w:p w14:paraId="4192619E">
      <w:pPr>
        <w:pStyle w:val="30"/>
        <w:numPr>
          <w:ilvl w:val="0"/>
          <w:numId w:val="7"/>
        </w:numPr>
        <w:rPr>
          <w:rFonts w:hint="eastAsia"/>
          <w:caps/>
          <w:color w:val="000000"/>
        </w:rPr>
      </w:pPr>
      <w:r>
        <w:rPr>
          <w:rFonts w:hint="eastAsia"/>
          <w:caps/>
          <w:color w:val="000000"/>
        </w:rPr>
        <w:t>投标人需指导相关物业管理人员使用建筑能耗监测应用系统开展建筑用能系统优化。</w:t>
      </w:r>
    </w:p>
    <w:p w14:paraId="27B7C7FC">
      <w:pPr>
        <w:spacing w:line="360" w:lineRule="auto"/>
        <w:ind w:firstLine="480"/>
        <w:rPr>
          <w:caps/>
          <w:color w:val="000000"/>
          <w:sz w:val="24"/>
          <w:szCs w:val="24"/>
        </w:rPr>
      </w:pPr>
      <w:r>
        <w:rPr>
          <w:rFonts w:hint="eastAsia"/>
          <w:caps/>
          <w:color w:val="000000"/>
          <w:sz w:val="24"/>
          <w:szCs w:val="24"/>
        </w:rPr>
        <w:t>10、资料归档：投标人需针对静安区公共建筑能耗监测平台及楼宇能耗监测系统相关资料，应建立相关档案管理机制，进行集中管理，落实对建设运行中涉及的设备资产、文档资料按要求登记造册、归档安置等工作。</w:t>
      </w:r>
    </w:p>
    <w:p w14:paraId="507FE35D">
      <w:pPr>
        <w:spacing w:line="360" w:lineRule="auto"/>
        <w:ind w:firstLine="480"/>
        <w:rPr>
          <w:caps/>
          <w:color w:val="000000"/>
          <w:sz w:val="24"/>
          <w:szCs w:val="24"/>
        </w:rPr>
      </w:pPr>
      <w:r>
        <w:rPr>
          <w:rFonts w:hint="eastAsia"/>
          <w:caps/>
          <w:color w:val="000000"/>
          <w:sz w:val="24"/>
          <w:szCs w:val="24"/>
        </w:rPr>
        <w:t>11、投标人应提供5*8小时的市级平台现场服务以及后台支持，提供7*24小时的电话咨询，操作性问题及软件运行故障1小时候内响应，2小时内解决、重大软件问题或软件变更由双方协商后决定解决期限。</w:t>
      </w:r>
    </w:p>
    <w:p w14:paraId="5542584D">
      <w:pPr>
        <w:spacing w:line="360" w:lineRule="auto"/>
        <w:ind w:firstLine="480"/>
        <w:rPr>
          <w:caps/>
          <w:color w:val="000000"/>
          <w:sz w:val="24"/>
          <w:szCs w:val="24"/>
        </w:rPr>
      </w:pPr>
      <w:r>
        <w:rPr>
          <w:rFonts w:hint="eastAsia"/>
          <w:caps/>
          <w:color w:val="000000"/>
          <w:sz w:val="24"/>
          <w:szCs w:val="24"/>
        </w:rPr>
        <w:t>12、完成</w:t>
      </w:r>
      <w:r>
        <w:rPr>
          <w:rFonts w:hint="eastAsia"/>
          <w:caps/>
          <w:color w:val="000000"/>
          <w:sz w:val="24"/>
          <w:szCs w:val="24"/>
          <w:lang w:val="en-US" w:eastAsia="zh-CN"/>
        </w:rPr>
        <w:t>采购人</w:t>
      </w:r>
      <w:bookmarkStart w:id="0" w:name="_GoBack"/>
      <w:bookmarkEnd w:id="0"/>
      <w:r>
        <w:rPr>
          <w:rFonts w:hint="eastAsia"/>
          <w:caps/>
          <w:color w:val="000000"/>
          <w:sz w:val="24"/>
          <w:szCs w:val="24"/>
        </w:rPr>
        <w:t>交办的其他相关工作。</w:t>
      </w:r>
    </w:p>
    <w:p w14:paraId="6D4262ED">
      <w:pPr>
        <w:pStyle w:val="2"/>
        <w:ind w:left="0"/>
        <w:jc w:val="left"/>
      </w:pPr>
      <w:r>
        <w:rPr>
          <w:rFonts w:hint="eastAsia"/>
        </w:rPr>
        <w:t>投标人及人员要求</w:t>
      </w:r>
    </w:p>
    <w:p w14:paraId="26DA1FF3">
      <w:pPr>
        <w:spacing w:line="360" w:lineRule="auto"/>
        <w:ind w:firstLine="480"/>
        <w:rPr>
          <w:caps/>
          <w:color w:val="000000"/>
          <w:sz w:val="24"/>
          <w:szCs w:val="24"/>
        </w:rPr>
      </w:pPr>
      <w:r>
        <w:rPr>
          <w:rFonts w:hint="eastAsia"/>
          <w:caps/>
          <w:color w:val="000000"/>
          <w:sz w:val="24"/>
          <w:szCs w:val="24"/>
        </w:rPr>
        <w:t>1、投标人为符合《中华人民共和国政府采购法》第二十二条规定的供应商，具备以下条件的优先：</w:t>
      </w:r>
    </w:p>
    <w:p w14:paraId="75F829CB">
      <w:pPr>
        <w:pStyle w:val="30"/>
        <w:numPr>
          <w:ilvl w:val="0"/>
          <w:numId w:val="8"/>
        </w:numPr>
        <w:rPr>
          <w:rFonts w:hint="eastAsia"/>
          <w:caps/>
          <w:color w:val="000000"/>
        </w:rPr>
      </w:pPr>
      <w:r>
        <w:rPr>
          <w:rFonts w:hint="eastAsia"/>
          <w:caps/>
          <w:color w:val="000000"/>
        </w:rPr>
        <w:t>具有节能相关工程咨询单位资信证书。</w:t>
      </w:r>
    </w:p>
    <w:p w14:paraId="4C684975">
      <w:pPr>
        <w:pStyle w:val="30"/>
        <w:numPr>
          <w:ilvl w:val="0"/>
          <w:numId w:val="8"/>
        </w:numPr>
        <w:rPr>
          <w:rFonts w:hint="eastAsia"/>
          <w:caps/>
          <w:color w:val="000000"/>
        </w:rPr>
      </w:pPr>
      <w:r>
        <w:rPr>
          <w:rFonts w:hint="eastAsia"/>
          <w:caps/>
          <w:color w:val="000000"/>
        </w:rPr>
        <w:t>编制过能耗监测相关的行业标准（GB或JGJ）</w:t>
      </w:r>
    </w:p>
    <w:p w14:paraId="57D6D8F5">
      <w:pPr>
        <w:pStyle w:val="30"/>
        <w:numPr>
          <w:ilvl w:val="0"/>
          <w:numId w:val="8"/>
        </w:numPr>
        <w:rPr>
          <w:rFonts w:hint="eastAsia"/>
          <w:caps/>
          <w:color w:val="000000"/>
        </w:rPr>
      </w:pPr>
      <w:r>
        <w:rPr>
          <w:rFonts w:hint="eastAsia"/>
          <w:caps/>
          <w:color w:val="000000"/>
        </w:rPr>
        <w:t>编制过省市级或本市区级以上公共建筑能耗监测相关管理办法、大型公共建筑合理用能指南。</w:t>
      </w:r>
    </w:p>
    <w:p w14:paraId="684E0578">
      <w:pPr>
        <w:pStyle w:val="30"/>
        <w:numPr>
          <w:ilvl w:val="0"/>
          <w:numId w:val="8"/>
        </w:numPr>
        <w:rPr>
          <w:rFonts w:hint="eastAsia"/>
          <w:caps/>
          <w:color w:val="000000"/>
        </w:rPr>
      </w:pPr>
      <w:r>
        <w:rPr>
          <w:rFonts w:hint="eastAsia"/>
          <w:caps/>
          <w:color w:val="000000"/>
        </w:rPr>
        <w:t>承担过国家或者省市级以上、或本市区级以上公共建筑能耗监测系统相关服务工作。</w:t>
      </w:r>
    </w:p>
    <w:p w14:paraId="1434BDF7">
      <w:pPr>
        <w:pStyle w:val="30"/>
        <w:numPr>
          <w:ilvl w:val="0"/>
          <w:numId w:val="8"/>
        </w:numPr>
        <w:rPr>
          <w:rFonts w:hint="eastAsia"/>
          <w:caps/>
          <w:color w:val="000000"/>
        </w:rPr>
      </w:pPr>
      <w:r>
        <w:rPr>
          <w:rFonts w:hint="eastAsia"/>
          <w:caps/>
          <w:color w:val="000000"/>
        </w:rPr>
        <w:t>承担过楼宇分项计量或能耗监测建设项目。</w:t>
      </w:r>
    </w:p>
    <w:p w14:paraId="46685963">
      <w:pPr>
        <w:pStyle w:val="30"/>
        <w:numPr>
          <w:ilvl w:val="0"/>
          <w:numId w:val="8"/>
        </w:numPr>
        <w:rPr>
          <w:rFonts w:hint="eastAsia"/>
          <w:caps/>
          <w:color w:val="000000"/>
        </w:rPr>
      </w:pPr>
      <w:r>
        <w:rPr>
          <w:rFonts w:hint="eastAsia"/>
          <w:caps/>
          <w:color w:val="000000"/>
        </w:rPr>
        <w:t>企业具有的ISO9001认证。</w:t>
      </w:r>
    </w:p>
    <w:p w14:paraId="2C3A0EB2">
      <w:pPr>
        <w:pStyle w:val="30"/>
        <w:numPr>
          <w:ilvl w:val="0"/>
          <w:numId w:val="8"/>
        </w:numPr>
        <w:rPr>
          <w:rFonts w:hint="eastAsia"/>
          <w:caps/>
          <w:color w:val="000000"/>
        </w:rPr>
      </w:pPr>
      <w:r>
        <w:rPr>
          <w:rFonts w:hint="eastAsia"/>
          <w:caps/>
          <w:color w:val="000000"/>
        </w:rPr>
        <w:t>获得</w:t>
      </w:r>
      <w:r>
        <w:rPr>
          <w:rFonts w:hint="eastAsia"/>
          <w:caps/>
          <w:color w:val="000000"/>
          <w:lang w:val="en-US" w:eastAsia="zh-CN"/>
        </w:rPr>
        <w:t>过</w:t>
      </w:r>
      <w:r>
        <w:rPr>
          <w:rFonts w:hint="eastAsia"/>
          <w:caps/>
          <w:color w:val="000000"/>
        </w:rPr>
        <w:t>省级以上颁发的建筑节能相关的奖励证明。</w:t>
      </w:r>
    </w:p>
    <w:p w14:paraId="4A529370">
      <w:pPr>
        <w:pStyle w:val="30"/>
        <w:numPr>
          <w:ilvl w:val="0"/>
          <w:numId w:val="8"/>
        </w:numPr>
        <w:rPr>
          <w:rFonts w:hint="eastAsia"/>
          <w:caps/>
          <w:color w:val="000000"/>
        </w:rPr>
      </w:pPr>
      <w:r>
        <w:rPr>
          <w:rFonts w:hint="eastAsia"/>
          <w:caps/>
          <w:color w:val="000000"/>
        </w:rPr>
        <w:t>获得过节能相关的奖励证明。</w:t>
      </w:r>
    </w:p>
    <w:p w14:paraId="105D7B47">
      <w:pPr>
        <w:pStyle w:val="30"/>
        <w:numPr>
          <w:ilvl w:val="0"/>
          <w:numId w:val="8"/>
        </w:numPr>
        <w:rPr>
          <w:rFonts w:hint="eastAsia"/>
          <w:caps/>
          <w:color w:val="000000"/>
          <w:highlight w:val="none"/>
        </w:rPr>
      </w:pPr>
      <w:r>
        <w:rPr>
          <w:rFonts w:hint="eastAsia"/>
          <w:caps/>
          <w:color w:val="000000"/>
          <w:highlight w:val="none"/>
          <w:lang w:val="en-US" w:eastAsia="zh-CN"/>
        </w:rPr>
        <w:t>具有近三年类似项目业绩及对应业绩客户满意度反馈为满意的。</w:t>
      </w:r>
    </w:p>
    <w:p w14:paraId="2778A89D">
      <w:pPr>
        <w:pStyle w:val="30"/>
        <w:numPr>
          <w:ilvl w:val="0"/>
          <w:numId w:val="0"/>
        </w:numPr>
        <w:ind w:left="480" w:leftChars="0" w:firstLine="0" w:firstLineChars="0"/>
        <w:rPr>
          <w:rFonts w:hint="default"/>
          <w:caps/>
          <w:color w:val="000000"/>
          <w:highlight w:val="none"/>
          <w:lang w:val="en-US" w:eastAsia="zh-CN"/>
        </w:rPr>
      </w:pPr>
      <w:r>
        <w:rPr>
          <w:rFonts w:hint="default" w:ascii="宋体" w:hAnsi="宋体" w:eastAsia="宋体" w:cs="宋体"/>
          <w:caps/>
          <w:color w:val="000000"/>
          <w:kern w:val="0"/>
          <w:sz w:val="24"/>
          <w:szCs w:val="24"/>
          <w:highlight w:val="none"/>
          <w:lang w:val="en-US" w:eastAsia="zh-CN" w:bidi="ar-SA"/>
        </w:rPr>
        <w:t>2、</w:t>
      </w:r>
      <w:r>
        <w:rPr>
          <w:rFonts w:hint="eastAsia"/>
          <w:caps/>
          <w:color w:val="000000"/>
          <w:highlight w:val="none"/>
          <w:lang w:val="en-US" w:eastAsia="zh-CN"/>
        </w:rPr>
        <w:t>投标人应根据本项目需求在投标文件中包含以下几方面内容：</w:t>
      </w:r>
    </w:p>
    <w:p w14:paraId="6289DBAC">
      <w:pPr>
        <w:pStyle w:val="30"/>
        <w:numPr>
          <w:ilvl w:val="0"/>
          <w:numId w:val="0"/>
        </w:numPr>
        <w:ind w:left="480" w:leftChars="0" w:firstLine="480" w:firstLineChars="200"/>
        <w:rPr>
          <w:rFonts w:hint="eastAsia"/>
          <w:caps/>
          <w:color w:val="000000"/>
          <w:highlight w:val="none"/>
          <w:lang w:val="en-US" w:eastAsia="zh-CN"/>
        </w:rPr>
      </w:pPr>
      <w:r>
        <w:rPr>
          <w:rFonts w:hint="eastAsia"/>
          <w:caps/>
          <w:color w:val="000000"/>
          <w:highlight w:val="none"/>
          <w:lang w:val="en-US" w:eastAsia="zh-CN"/>
        </w:rPr>
        <w:t>1）针对本项目的需求理解：国家、上海市的建筑低碳管理需求，本项目背景与项目需求，本区平台运行及相关管理工作等。</w:t>
      </w:r>
    </w:p>
    <w:p w14:paraId="00233A20">
      <w:pPr>
        <w:pStyle w:val="30"/>
        <w:numPr>
          <w:ilvl w:val="0"/>
          <w:numId w:val="0"/>
        </w:numPr>
        <w:ind w:left="480" w:leftChars="0" w:firstLine="480" w:firstLineChars="200"/>
        <w:rPr>
          <w:rFonts w:hint="eastAsia" w:ascii="宋体" w:hAnsi="宋体"/>
          <w:highlight w:val="none"/>
        </w:rPr>
      </w:pPr>
      <w:r>
        <w:rPr>
          <w:rFonts w:hint="eastAsia"/>
          <w:caps/>
          <w:color w:val="000000"/>
          <w:highlight w:val="none"/>
          <w:lang w:val="en-US" w:eastAsia="zh-CN"/>
        </w:rPr>
        <w:t>2）</w:t>
      </w:r>
      <w:r>
        <w:rPr>
          <w:rFonts w:hint="eastAsia" w:ascii="宋体" w:hAnsi="宋体"/>
          <w:highlight w:val="none"/>
        </w:rPr>
        <w:t>服务质量保证措施</w:t>
      </w:r>
      <w:r>
        <w:rPr>
          <w:rFonts w:hint="eastAsia"/>
          <w:highlight w:val="none"/>
          <w:lang w:eastAsia="zh-CN"/>
        </w:rPr>
        <w:t>：</w:t>
      </w:r>
      <w:r>
        <w:rPr>
          <w:rFonts w:hint="eastAsia"/>
          <w:highlight w:val="none"/>
          <w:lang w:val="en-US" w:eastAsia="zh-CN"/>
        </w:rPr>
        <w:t>在</w:t>
      </w:r>
      <w:r>
        <w:rPr>
          <w:rFonts w:hint="eastAsia" w:ascii="宋体" w:hAnsi="宋体"/>
          <w:highlight w:val="none"/>
        </w:rPr>
        <w:t>人员、时间、技术、管理、安全等方面的质量保障措施，需保证服务意识强，承诺清晰具体、需贴近静安区服务需求。</w:t>
      </w:r>
    </w:p>
    <w:p w14:paraId="3AB6EA49">
      <w:pPr>
        <w:pStyle w:val="30"/>
        <w:numPr>
          <w:ilvl w:val="0"/>
          <w:numId w:val="0"/>
        </w:numPr>
        <w:ind w:left="480" w:leftChars="0" w:firstLine="480" w:firstLineChars="200"/>
        <w:rPr>
          <w:rFonts w:hint="eastAsia"/>
          <w:highlight w:val="none"/>
          <w:lang w:val="en-US" w:eastAsia="zh-CN"/>
        </w:rPr>
      </w:pPr>
      <w:r>
        <w:rPr>
          <w:rFonts w:hint="eastAsia"/>
          <w:highlight w:val="none"/>
          <w:lang w:val="en-US" w:eastAsia="zh-CN"/>
        </w:rPr>
        <w:t>3）内部管理制度：</w:t>
      </w:r>
      <w:r>
        <w:rPr>
          <w:rFonts w:hint="eastAsia" w:ascii="宋体" w:hAnsi="宋体"/>
          <w:highlight w:val="none"/>
        </w:rPr>
        <w:t>针对本项目制定有针对性的内部管理制度。</w:t>
      </w:r>
    </w:p>
    <w:p w14:paraId="3289C105">
      <w:pPr>
        <w:pStyle w:val="30"/>
        <w:numPr>
          <w:ilvl w:val="0"/>
          <w:numId w:val="0"/>
        </w:numPr>
        <w:ind w:left="480" w:leftChars="0" w:firstLine="480" w:firstLineChars="200"/>
        <w:rPr>
          <w:rFonts w:hint="eastAsia" w:eastAsia="宋体"/>
          <w:highlight w:val="none"/>
          <w:lang w:val="en-US" w:eastAsia="zh-CN"/>
        </w:rPr>
      </w:pPr>
      <w:r>
        <w:rPr>
          <w:rFonts w:hint="eastAsia"/>
          <w:highlight w:val="none"/>
          <w:lang w:val="en-US" w:eastAsia="zh-CN"/>
        </w:rPr>
        <w:t>4）</w:t>
      </w:r>
      <w:r>
        <w:rPr>
          <w:rFonts w:hint="eastAsia" w:ascii="宋体" w:hAnsi="宋体"/>
          <w:highlight w:val="none"/>
        </w:rPr>
        <w:t>应急预案</w:t>
      </w:r>
      <w:r>
        <w:rPr>
          <w:rFonts w:hint="eastAsia"/>
          <w:highlight w:val="none"/>
          <w:lang w:eastAsia="zh-CN"/>
        </w:rPr>
        <w:t>：</w:t>
      </w:r>
      <w:r>
        <w:rPr>
          <w:rFonts w:hint="eastAsia"/>
          <w:highlight w:val="none"/>
          <w:lang w:val="en-US" w:eastAsia="zh-CN"/>
        </w:rPr>
        <w:t>针对</w:t>
      </w:r>
      <w:r>
        <w:rPr>
          <w:rFonts w:hint="eastAsia" w:ascii="宋体" w:hAnsi="宋体"/>
          <w:highlight w:val="none"/>
        </w:rPr>
        <w:t>本项目制定针对性强的应急响应预案</w:t>
      </w:r>
      <w:r>
        <w:rPr>
          <w:rFonts w:hint="eastAsia"/>
          <w:highlight w:val="none"/>
          <w:lang w:eastAsia="zh-CN"/>
        </w:rPr>
        <w:t>。</w:t>
      </w:r>
    </w:p>
    <w:p w14:paraId="5CEF022F">
      <w:pPr>
        <w:spacing w:line="360" w:lineRule="auto"/>
        <w:ind w:firstLine="480"/>
        <w:rPr>
          <w:caps/>
          <w:color w:val="000000"/>
          <w:sz w:val="24"/>
          <w:szCs w:val="24"/>
        </w:rPr>
      </w:pPr>
      <w:r>
        <w:rPr>
          <w:rFonts w:hint="eastAsia"/>
          <w:caps/>
          <w:color w:val="000000"/>
          <w:sz w:val="24"/>
          <w:szCs w:val="24"/>
          <w:lang w:val="en-US" w:eastAsia="zh-CN"/>
        </w:rPr>
        <w:t>3</w:t>
      </w:r>
      <w:r>
        <w:rPr>
          <w:rFonts w:hint="eastAsia"/>
          <w:caps/>
          <w:color w:val="000000"/>
          <w:sz w:val="24"/>
          <w:szCs w:val="24"/>
        </w:rPr>
        <w:t>、项目人员需具备以下条件：</w:t>
      </w:r>
    </w:p>
    <w:p w14:paraId="0FC317A2">
      <w:pPr>
        <w:pStyle w:val="30"/>
        <w:numPr>
          <w:ilvl w:val="0"/>
          <w:numId w:val="9"/>
        </w:numPr>
        <w:rPr>
          <w:rFonts w:hint="eastAsia"/>
          <w:caps/>
          <w:color w:val="000000"/>
        </w:rPr>
      </w:pPr>
      <w:r>
        <w:rPr>
          <w:rFonts w:hint="eastAsia"/>
          <w:caps/>
          <w:color w:val="000000"/>
        </w:rPr>
        <w:t>参加本项目实施人员不少于9人，应有：1名项目经理；1名资料员；</w:t>
      </w:r>
      <w:r>
        <w:rPr>
          <w:caps/>
          <w:color w:val="000000"/>
        </w:rPr>
        <w:t>3</w:t>
      </w:r>
      <w:r>
        <w:rPr>
          <w:rFonts w:hint="eastAsia"/>
          <w:caps/>
          <w:color w:val="000000"/>
        </w:rPr>
        <w:t>名咨询服务人员和</w:t>
      </w:r>
      <w:r>
        <w:rPr>
          <w:caps/>
          <w:color w:val="000000"/>
        </w:rPr>
        <w:t>3</w:t>
      </w:r>
      <w:r>
        <w:rPr>
          <w:rFonts w:hint="eastAsia"/>
          <w:caps/>
          <w:color w:val="000000"/>
        </w:rPr>
        <w:t xml:space="preserve">名软件技术人员，并指定专门的平台运行管理专员1名派驻平台现场进行日常工作。 </w:t>
      </w:r>
    </w:p>
    <w:p w14:paraId="4F502996">
      <w:pPr>
        <w:pStyle w:val="30"/>
        <w:numPr>
          <w:ilvl w:val="0"/>
          <w:numId w:val="9"/>
        </w:numPr>
        <w:rPr>
          <w:rFonts w:hint="eastAsia"/>
          <w:caps/>
          <w:color w:val="000000"/>
        </w:rPr>
      </w:pPr>
      <w:r>
        <w:rPr>
          <w:rFonts w:hint="eastAsia"/>
          <w:caps/>
          <w:color w:val="000000"/>
        </w:rPr>
        <w:t>项目经理具备高级以上职称的优先，需有相关专业和职业背景，具有政务信息系统开发运维项目管理经验的优先。</w:t>
      </w:r>
    </w:p>
    <w:p w14:paraId="51582F5D">
      <w:pPr>
        <w:pStyle w:val="30"/>
        <w:numPr>
          <w:ilvl w:val="0"/>
          <w:numId w:val="9"/>
        </w:numPr>
        <w:rPr>
          <w:rFonts w:hint="eastAsia"/>
          <w:caps/>
          <w:color w:val="000000"/>
        </w:rPr>
      </w:pPr>
      <w:r>
        <w:rPr>
          <w:rFonts w:hint="eastAsia"/>
          <w:caps/>
          <w:color w:val="000000"/>
        </w:rPr>
        <w:t>投标人具有节能领域的专家团队的优先，需有相关专业和职业背景，有合理用能等导则编制经验的优先，从而指导数据充分发挥价值。（需提供相关证明文件）</w:t>
      </w:r>
    </w:p>
    <w:p w14:paraId="3F1DF4C0">
      <w:pPr>
        <w:pStyle w:val="30"/>
        <w:numPr>
          <w:ilvl w:val="0"/>
          <w:numId w:val="9"/>
        </w:numPr>
        <w:rPr>
          <w:rFonts w:hint="eastAsia"/>
          <w:caps/>
          <w:color w:val="000000"/>
        </w:rPr>
      </w:pPr>
      <w:r>
        <w:rPr>
          <w:rFonts w:hint="eastAsia"/>
          <w:caps/>
          <w:color w:val="000000"/>
        </w:rPr>
        <w:t>投标人需安排专业团队，按需设置各类管理和技术人员，依据本区平台管理办法开展相关工作。项目组人员配备数量充足、结构合理。咨询服务人员、软件技术人员及派驻人员需有相关专业和职业背景，取得相关职称或持有相应技能证书的优先。</w:t>
      </w:r>
    </w:p>
    <w:p w14:paraId="63FC6C17">
      <w:pPr>
        <w:pStyle w:val="2"/>
        <w:ind w:left="0"/>
        <w:jc w:val="left"/>
      </w:pPr>
      <w:r>
        <w:rPr>
          <w:rFonts w:hint="eastAsia"/>
        </w:rPr>
        <w:t>交付成果</w:t>
      </w:r>
    </w:p>
    <w:p w14:paraId="65CB9202">
      <w:pPr>
        <w:spacing w:line="360" w:lineRule="auto"/>
        <w:ind w:firstLine="480"/>
        <w:rPr>
          <w:caps/>
          <w:color w:val="000000"/>
          <w:sz w:val="24"/>
          <w:szCs w:val="24"/>
        </w:rPr>
      </w:pPr>
      <w:r>
        <w:rPr>
          <w:rFonts w:hint="eastAsia"/>
          <w:caps/>
          <w:color w:val="000000"/>
          <w:sz w:val="24"/>
          <w:szCs w:val="24"/>
        </w:rPr>
        <w:t>1、编写建筑用能监测情况的季度、年度报告和相关专项报告。</w:t>
      </w:r>
    </w:p>
    <w:p w14:paraId="4DAD46E5">
      <w:pPr>
        <w:spacing w:line="360" w:lineRule="auto"/>
        <w:ind w:firstLine="480"/>
        <w:rPr>
          <w:caps/>
          <w:color w:val="000000"/>
          <w:sz w:val="24"/>
          <w:szCs w:val="24"/>
        </w:rPr>
      </w:pPr>
      <w:r>
        <w:rPr>
          <w:caps/>
          <w:color w:val="000000"/>
          <w:sz w:val="24"/>
          <w:szCs w:val="24"/>
        </w:rPr>
        <w:t>2</w:t>
      </w:r>
      <w:r>
        <w:rPr>
          <w:rFonts w:hint="eastAsia"/>
          <w:caps/>
          <w:color w:val="000000"/>
          <w:sz w:val="24"/>
          <w:szCs w:val="24"/>
        </w:rPr>
        <w:t>、配合完成当年平台运维单位维保情况管理工作。</w:t>
      </w:r>
    </w:p>
    <w:p w14:paraId="0B8595D0">
      <w:pPr>
        <w:spacing w:line="360" w:lineRule="auto"/>
        <w:ind w:firstLine="480"/>
        <w:rPr>
          <w:caps/>
          <w:color w:val="000000"/>
          <w:sz w:val="24"/>
          <w:szCs w:val="24"/>
        </w:rPr>
      </w:pPr>
      <w:r>
        <w:rPr>
          <w:caps/>
          <w:color w:val="000000"/>
          <w:sz w:val="24"/>
          <w:szCs w:val="24"/>
        </w:rPr>
        <w:t>3</w:t>
      </w:r>
      <w:r>
        <w:rPr>
          <w:rFonts w:hint="eastAsia"/>
          <w:caps/>
          <w:color w:val="000000"/>
          <w:sz w:val="24"/>
          <w:szCs w:val="24"/>
        </w:rPr>
        <w:t>、提供全套完善的资料文档，建立相关档案管理机制，并完成当年相关档案整理。</w:t>
      </w:r>
    </w:p>
    <w:p w14:paraId="1ED0FF24">
      <w:pPr>
        <w:spacing w:line="360" w:lineRule="auto"/>
        <w:ind w:firstLine="480"/>
        <w:rPr>
          <w:caps/>
          <w:color w:val="000000"/>
          <w:sz w:val="24"/>
          <w:szCs w:val="24"/>
        </w:rPr>
      </w:pPr>
      <w:r>
        <w:rPr>
          <w:rFonts w:hint="eastAsia"/>
          <w:caps/>
          <w:color w:val="000000"/>
          <w:sz w:val="24"/>
          <w:szCs w:val="24"/>
        </w:rPr>
        <w:t>4、对系统做好运行维护和自验收，同时提供工作总结报告。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141007"/>
      <w:docPartObj>
        <w:docPartGallery w:val="autotext"/>
      </w:docPartObj>
    </w:sdtPr>
    <w:sdtContent>
      <w:p w14:paraId="4C978726">
        <w:pPr>
          <w:pStyle w:val="13"/>
          <w:jc w:val="center"/>
        </w:pPr>
        <w:r>
          <w:fldChar w:fldCharType="begin"/>
        </w:r>
        <w:r>
          <w:instrText xml:space="preserve">PAGE   \* MERGEFORMAT</w:instrText>
        </w:r>
        <w:r>
          <w:fldChar w:fldCharType="separate"/>
        </w:r>
        <w:r>
          <w:rPr>
            <w:lang w:val="zh-CN"/>
          </w:rPr>
          <w:t>2</w:t>
        </w:r>
        <w:r>
          <w:fldChar w:fldCharType="end"/>
        </w:r>
      </w:p>
    </w:sdtContent>
  </w:sdt>
  <w:p w14:paraId="750298C4">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56DA0"/>
    <w:multiLevelType w:val="multilevel"/>
    <w:tmpl w:val="02256DA0"/>
    <w:lvl w:ilvl="0" w:tentative="0">
      <w:start w:val="1"/>
      <w:numFmt w:val="decimal"/>
      <w:lvlText w:val="%1）"/>
      <w:lvlJc w:val="left"/>
      <w:pPr>
        <w:ind w:left="1280" w:hanging="440"/>
      </w:pPr>
      <w:rPr>
        <w:rFonts w:hint="default" w:ascii="Times New Roman" w:hAnsi="Times New Roman" w:eastAsia="宋体"/>
        <w:b w:val="0"/>
        <w:i w:val="0"/>
        <w:sz w:val="24"/>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
    <w:nsid w:val="0C2D4111"/>
    <w:multiLevelType w:val="multilevel"/>
    <w:tmpl w:val="0C2D4111"/>
    <w:lvl w:ilvl="0" w:tentative="0">
      <w:start w:val="1"/>
      <w:numFmt w:val="decimal"/>
      <w:lvlText w:val="%1）"/>
      <w:lvlJc w:val="left"/>
      <w:pPr>
        <w:ind w:left="1280" w:hanging="440"/>
      </w:pPr>
      <w:rPr>
        <w:rFonts w:hint="default" w:ascii="Times New Roman" w:hAnsi="Times New Roman" w:eastAsia="宋体"/>
        <w:b w:val="0"/>
        <w:i w:val="0"/>
        <w:sz w:val="24"/>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
    <w:nsid w:val="17E274D2"/>
    <w:multiLevelType w:val="multilevel"/>
    <w:tmpl w:val="17E274D2"/>
    <w:lvl w:ilvl="0" w:tentative="0">
      <w:start w:val="1"/>
      <w:numFmt w:val="decimal"/>
      <w:lvlText w:val="%1）"/>
      <w:lvlJc w:val="left"/>
      <w:pPr>
        <w:ind w:left="1280" w:hanging="440"/>
      </w:pPr>
      <w:rPr>
        <w:rFonts w:hint="default" w:ascii="Times New Roman" w:hAnsi="Times New Roman" w:eastAsia="宋体"/>
        <w:b w:val="0"/>
        <w:i w:val="0"/>
        <w:sz w:val="24"/>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
    <w:nsid w:val="1BC752FA"/>
    <w:multiLevelType w:val="multilevel"/>
    <w:tmpl w:val="1BC752FA"/>
    <w:lvl w:ilvl="0" w:tentative="0">
      <w:start w:val="1"/>
      <w:numFmt w:val="decimal"/>
      <w:lvlText w:val="%1）"/>
      <w:lvlJc w:val="left"/>
      <w:pPr>
        <w:ind w:left="1280" w:hanging="440"/>
      </w:pPr>
      <w:rPr>
        <w:rFonts w:hint="default" w:ascii="Times New Roman" w:hAnsi="Times New Roman" w:eastAsia="宋体"/>
        <w:b w:val="0"/>
        <w:i w:val="0"/>
        <w:sz w:val="24"/>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
    <w:nsid w:val="46880052"/>
    <w:multiLevelType w:val="multilevel"/>
    <w:tmpl w:val="46880052"/>
    <w:lvl w:ilvl="0" w:tentative="0">
      <w:start w:val="1"/>
      <w:numFmt w:val="decimal"/>
      <w:lvlText w:val="%1）"/>
      <w:lvlJc w:val="left"/>
      <w:pPr>
        <w:ind w:left="1280" w:hanging="440"/>
      </w:pPr>
      <w:rPr>
        <w:rFonts w:hint="default" w:ascii="Times New Roman" w:hAnsi="Times New Roman" w:eastAsia="宋体"/>
        <w:b w:val="0"/>
        <w:i w:val="0"/>
        <w:sz w:val="24"/>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
    <w:nsid w:val="474A36F4"/>
    <w:multiLevelType w:val="multilevel"/>
    <w:tmpl w:val="474A36F4"/>
    <w:lvl w:ilvl="0" w:tentative="0">
      <w:start w:val="1"/>
      <w:numFmt w:val="chineseCountingThousand"/>
      <w:pStyle w:val="2"/>
      <w:suff w:val="space"/>
      <w:lvlText w:val="%1、"/>
      <w:lvlJc w:val="left"/>
      <w:pPr>
        <w:ind w:left="-900" w:firstLine="0"/>
      </w:pPr>
      <w:rPr>
        <w:rFonts w:hint="eastAsia"/>
        <w:sz w:val="28"/>
        <w:szCs w:val="28"/>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
      <w:lvlJc w:val="left"/>
      <w:pPr>
        <w:ind w:left="0" w:firstLine="0"/>
      </w:pPr>
      <w:rPr>
        <w:rFonts w:hint="eastAsia"/>
      </w:rPr>
    </w:lvl>
    <w:lvl w:ilvl="3" w:tentative="0">
      <w:start w:val="1"/>
      <w:numFmt w:val="decimal"/>
      <w:pStyle w:val="6"/>
      <w:isLgl/>
      <w:suff w:val="space"/>
      <w:lvlText w:val="%1.%2.%3.%4"/>
      <w:lvlJc w:val="left"/>
      <w:pPr>
        <w:ind w:left="0" w:firstLine="0"/>
      </w:pPr>
      <w:rPr>
        <w:rFonts w:hint="eastAsia"/>
      </w:rPr>
    </w:lvl>
    <w:lvl w:ilvl="4" w:tentative="0">
      <w:start w:val="1"/>
      <w:numFmt w:val="none"/>
      <w:pStyle w:val="7"/>
      <w:isLgl/>
      <w:suff w:val="space"/>
      <w:lvlText w:val=""/>
      <w:lvlJc w:val="left"/>
      <w:pPr>
        <w:ind w:left="0" w:firstLine="0"/>
      </w:pPr>
      <w:rPr>
        <w:rFonts w:hint="eastAsia"/>
      </w:rPr>
    </w:lvl>
    <w:lvl w:ilvl="5" w:tentative="0">
      <w:start w:val="1"/>
      <w:numFmt w:val="none"/>
      <w:pStyle w:val="8"/>
      <w:suff w:val="nothing"/>
      <w:lvlText w:val=""/>
      <w:lvlJc w:val="left"/>
      <w:pPr>
        <w:ind w:left="-900" w:firstLine="0"/>
      </w:pPr>
      <w:rPr>
        <w:rFonts w:hint="eastAsia"/>
      </w:rPr>
    </w:lvl>
    <w:lvl w:ilvl="6" w:tentative="0">
      <w:start w:val="1"/>
      <w:numFmt w:val="none"/>
      <w:pStyle w:val="9"/>
      <w:suff w:val="nothing"/>
      <w:lvlText w:val=""/>
      <w:lvlJc w:val="left"/>
      <w:pPr>
        <w:ind w:left="-900" w:firstLine="0"/>
      </w:pPr>
      <w:rPr>
        <w:rFonts w:hint="eastAsia"/>
      </w:rPr>
    </w:lvl>
    <w:lvl w:ilvl="7" w:tentative="0">
      <w:start w:val="1"/>
      <w:numFmt w:val="none"/>
      <w:pStyle w:val="10"/>
      <w:suff w:val="nothing"/>
      <w:lvlText w:val=""/>
      <w:lvlJc w:val="left"/>
      <w:pPr>
        <w:ind w:left="-900" w:firstLine="0"/>
      </w:pPr>
      <w:rPr>
        <w:rFonts w:hint="eastAsia"/>
      </w:rPr>
    </w:lvl>
    <w:lvl w:ilvl="8" w:tentative="0">
      <w:start w:val="1"/>
      <w:numFmt w:val="none"/>
      <w:pStyle w:val="11"/>
      <w:suff w:val="nothing"/>
      <w:lvlText w:val=""/>
      <w:lvlJc w:val="left"/>
      <w:pPr>
        <w:ind w:left="-900" w:firstLine="0"/>
      </w:pPr>
      <w:rPr>
        <w:rFonts w:hint="eastAsia"/>
      </w:rPr>
    </w:lvl>
  </w:abstractNum>
  <w:abstractNum w:abstractNumId="6">
    <w:nsid w:val="55FB3EFE"/>
    <w:multiLevelType w:val="multilevel"/>
    <w:tmpl w:val="55FB3EFE"/>
    <w:lvl w:ilvl="0" w:tentative="0">
      <w:start w:val="1"/>
      <w:numFmt w:val="decimal"/>
      <w:lvlText w:val="%1）"/>
      <w:lvlJc w:val="left"/>
      <w:pPr>
        <w:ind w:left="1280" w:hanging="440"/>
      </w:pPr>
      <w:rPr>
        <w:rFonts w:hint="default" w:ascii="Times New Roman" w:hAnsi="Times New Roman" w:eastAsia="宋体"/>
        <w:b w:val="0"/>
        <w:i w:val="0"/>
        <w:sz w:val="24"/>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7">
    <w:nsid w:val="59195556"/>
    <w:multiLevelType w:val="multilevel"/>
    <w:tmpl w:val="59195556"/>
    <w:lvl w:ilvl="0" w:tentative="0">
      <w:start w:val="1"/>
      <w:numFmt w:val="decimal"/>
      <w:lvlText w:val="%1）"/>
      <w:lvlJc w:val="left"/>
      <w:pPr>
        <w:ind w:left="1280" w:hanging="440"/>
      </w:pPr>
      <w:rPr>
        <w:rFonts w:hint="default" w:ascii="Times New Roman" w:hAnsi="Times New Roman" w:eastAsia="宋体"/>
        <w:b w:val="0"/>
        <w:i w:val="0"/>
        <w:sz w:val="24"/>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8">
    <w:nsid w:val="6EAB57D9"/>
    <w:multiLevelType w:val="multilevel"/>
    <w:tmpl w:val="6EAB57D9"/>
    <w:lvl w:ilvl="0" w:tentative="0">
      <w:start w:val="1"/>
      <w:numFmt w:val="decimal"/>
      <w:lvlText w:val="%1）"/>
      <w:lvlJc w:val="left"/>
      <w:pPr>
        <w:ind w:left="1280" w:hanging="440"/>
      </w:pPr>
      <w:rPr>
        <w:rFonts w:hint="default" w:ascii="Times New Roman" w:hAnsi="Times New Roman" w:eastAsia="宋体"/>
        <w:b w:val="0"/>
        <w:i w:val="0"/>
        <w:sz w:val="24"/>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num w:numId="1">
    <w:abstractNumId w:val="5"/>
  </w:num>
  <w:num w:numId="2">
    <w:abstractNumId w:val="7"/>
  </w:num>
  <w:num w:numId="3">
    <w:abstractNumId w:val="6"/>
  </w:num>
  <w:num w:numId="4">
    <w:abstractNumId w:val="1"/>
  </w:num>
  <w:num w:numId="5">
    <w:abstractNumId w:val="3"/>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DM4NWVlYWVjMzkyOTAyNTFlMjlmMzBlNjZhZGMifQ=="/>
  </w:docVars>
  <w:rsids>
    <w:rsidRoot w:val="00C7138F"/>
    <w:rsid w:val="000046C9"/>
    <w:rsid w:val="000058A0"/>
    <w:rsid w:val="00022593"/>
    <w:rsid w:val="000273C7"/>
    <w:rsid w:val="00032729"/>
    <w:rsid w:val="00034426"/>
    <w:rsid w:val="00037369"/>
    <w:rsid w:val="000433AF"/>
    <w:rsid w:val="0004420E"/>
    <w:rsid w:val="000509A2"/>
    <w:rsid w:val="000646B2"/>
    <w:rsid w:val="00074408"/>
    <w:rsid w:val="000767A8"/>
    <w:rsid w:val="000852A3"/>
    <w:rsid w:val="000872C8"/>
    <w:rsid w:val="00093052"/>
    <w:rsid w:val="00094178"/>
    <w:rsid w:val="00096E2C"/>
    <w:rsid w:val="00097E1C"/>
    <w:rsid w:val="000A138E"/>
    <w:rsid w:val="000A33A9"/>
    <w:rsid w:val="000A38C2"/>
    <w:rsid w:val="000A6AC5"/>
    <w:rsid w:val="000A7991"/>
    <w:rsid w:val="000B2638"/>
    <w:rsid w:val="000B43DB"/>
    <w:rsid w:val="000B4416"/>
    <w:rsid w:val="000C1C92"/>
    <w:rsid w:val="000C6380"/>
    <w:rsid w:val="000D70A4"/>
    <w:rsid w:val="001058E8"/>
    <w:rsid w:val="00107129"/>
    <w:rsid w:val="00111DDC"/>
    <w:rsid w:val="00114AAB"/>
    <w:rsid w:val="001163F0"/>
    <w:rsid w:val="00125065"/>
    <w:rsid w:val="00125F7A"/>
    <w:rsid w:val="00141D93"/>
    <w:rsid w:val="00161628"/>
    <w:rsid w:val="0016720B"/>
    <w:rsid w:val="00182A95"/>
    <w:rsid w:val="001A0D90"/>
    <w:rsid w:val="001A3369"/>
    <w:rsid w:val="001A4471"/>
    <w:rsid w:val="001A7177"/>
    <w:rsid w:val="001B1A72"/>
    <w:rsid w:val="001C7A21"/>
    <w:rsid w:val="001D1897"/>
    <w:rsid w:val="001D2FA6"/>
    <w:rsid w:val="001D5492"/>
    <w:rsid w:val="001E2DE1"/>
    <w:rsid w:val="001E5BA9"/>
    <w:rsid w:val="001E6FC4"/>
    <w:rsid w:val="001F5AAA"/>
    <w:rsid w:val="001F61B6"/>
    <w:rsid w:val="001F7015"/>
    <w:rsid w:val="0020169E"/>
    <w:rsid w:val="00223B70"/>
    <w:rsid w:val="00233769"/>
    <w:rsid w:val="00234183"/>
    <w:rsid w:val="00242D14"/>
    <w:rsid w:val="0025267A"/>
    <w:rsid w:val="002542A3"/>
    <w:rsid w:val="00256B24"/>
    <w:rsid w:val="00264A68"/>
    <w:rsid w:val="00271BE0"/>
    <w:rsid w:val="00284BB4"/>
    <w:rsid w:val="00284FE3"/>
    <w:rsid w:val="0028715A"/>
    <w:rsid w:val="00291911"/>
    <w:rsid w:val="002A4ED7"/>
    <w:rsid w:val="002A56E9"/>
    <w:rsid w:val="002B5691"/>
    <w:rsid w:val="002B7281"/>
    <w:rsid w:val="002C527B"/>
    <w:rsid w:val="002E4CF0"/>
    <w:rsid w:val="002F4E3B"/>
    <w:rsid w:val="00321DE9"/>
    <w:rsid w:val="00324A80"/>
    <w:rsid w:val="0036541E"/>
    <w:rsid w:val="00366FC6"/>
    <w:rsid w:val="00367213"/>
    <w:rsid w:val="003922B7"/>
    <w:rsid w:val="003945EE"/>
    <w:rsid w:val="003A3603"/>
    <w:rsid w:val="003B14B1"/>
    <w:rsid w:val="003B1A0C"/>
    <w:rsid w:val="003B60C5"/>
    <w:rsid w:val="003C0090"/>
    <w:rsid w:val="003C57BF"/>
    <w:rsid w:val="003C681C"/>
    <w:rsid w:val="003D4990"/>
    <w:rsid w:val="003D7530"/>
    <w:rsid w:val="003E004F"/>
    <w:rsid w:val="003E68EF"/>
    <w:rsid w:val="003F306B"/>
    <w:rsid w:val="003F5933"/>
    <w:rsid w:val="0040629A"/>
    <w:rsid w:val="00410352"/>
    <w:rsid w:val="00413272"/>
    <w:rsid w:val="00417B7F"/>
    <w:rsid w:val="00420F1F"/>
    <w:rsid w:val="004217E6"/>
    <w:rsid w:val="004466AD"/>
    <w:rsid w:val="004478B3"/>
    <w:rsid w:val="0045418B"/>
    <w:rsid w:val="004654DB"/>
    <w:rsid w:val="00467EDC"/>
    <w:rsid w:val="00482011"/>
    <w:rsid w:val="004905D5"/>
    <w:rsid w:val="00492AE1"/>
    <w:rsid w:val="004A0D57"/>
    <w:rsid w:val="004A1605"/>
    <w:rsid w:val="004C41A4"/>
    <w:rsid w:val="004D04AE"/>
    <w:rsid w:val="004E182F"/>
    <w:rsid w:val="004E214B"/>
    <w:rsid w:val="004F0734"/>
    <w:rsid w:val="00530BF6"/>
    <w:rsid w:val="00542620"/>
    <w:rsid w:val="005470D7"/>
    <w:rsid w:val="005532AF"/>
    <w:rsid w:val="00553E6D"/>
    <w:rsid w:val="005603A0"/>
    <w:rsid w:val="005654B9"/>
    <w:rsid w:val="00565DA6"/>
    <w:rsid w:val="00587F61"/>
    <w:rsid w:val="00595E69"/>
    <w:rsid w:val="005A3828"/>
    <w:rsid w:val="005A5494"/>
    <w:rsid w:val="005A58DA"/>
    <w:rsid w:val="005A6B8E"/>
    <w:rsid w:val="005B330D"/>
    <w:rsid w:val="005D4B9F"/>
    <w:rsid w:val="005E0412"/>
    <w:rsid w:val="005E30B3"/>
    <w:rsid w:val="005E7EC2"/>
    <w:rsid w:val="005F44D3"/>
    <w:rsid w:val="005F70A2"/>
    <w:rsid w:val="005F76E1"/>
    <w:rsid w:val="00600DA8"/>
    <w:rsid w:val="00624D24"/>
    <w:rsid w:val="0062520A"/>
    <w:rsid w:val="0063581A"/>
    <w:rsid w:val="006361A3"/>
    <w:rsid w:val="00665A95"/>
    <w:rsid w:val="006673F8"/>
    <w:rsid w:val="006707CC"/>
    <w:rsid w:val="006710FB"/>
    <w:rsid w:val="006848FA"/>
    <w:rsid w:val="00684BE5"/>
    <w:rsid w:val="0068711A"/>
    <w:rsid w:val="006878B0"/>
    <w:rsid w:val="006A3CA1"/>
    <w:rsid w:val="006B493D"/>
    <w:rsid w:val="006D0DCA"/>
    <w:rsid w:val="006D1C1C"/>
    <w:rsid w:val="006D1C9F"/>
    <w:rsid w:val="006D517E"/>
    <w:rsid w:val="006D551F"/>
    <w:rsid w:val="006E1370"/>
    <w:rsid w:val="006E2C13"/>
    <w:rsid w:val="006E74CC"/>
    <w:rsid w:val="006F3B55"/>
    <w:rsid w:val="006F59AD"/>
    <w:rsid w:val="006F78D0"/>
    <w:rsid w:val="00700C50"/>
    <w:rsid w:val="00707C65"/>
    <w:rsid w:val="00712AE9"/>
    <w:rsid w:val="00720A66"/>
    <w:rsid w:val="007401B5"/>
    <w:rsid w:val="00741C64"/>
    <w:rsid w:val="00743385"/>
    <w:rsid w:val="0074422F"/>
    <w:rsid w:val="0074441B"/>
    <w:rsid w:val="00751A16"/>
    <w:rsid w:val="00754FF7"/>
    <w:rsid w:val="00757501"/>
    <w:rsid w:val="00765B42"/>
    <w:rsid w:val="00765D26"/>
    <w:rsid w:val="00771E03"/>
    <w:rsid w:val="00780C35"/>
    <w:rsid w:val="00783E10"/>
    <w:rsid w:val="00787BAD"/>
    <w:rsid w:val="00790C4F"/>
    <w:rsid w:val="00797C90"/>
    <w:rsid w:val="00797F06"/>
    <w:rsid w:val="007A0924"/>
    <w:rsid w:val="007E4073"/>
    <w:rsid w:val="007E4C8C"/>
    <w:rsid w:val="00802CFF"/>
    <w:rsid w:val="00803A65"/>
    <w:rsid w:val="0080481C"/>
    <w:rsid w:val="00806293"/>
    <w:rsid w:val="00815D63"/>
    <w:rsid w:val="00831A30"/>
    <w:rsid w:val="008455B3"/>
    <w:rsid w:val="00846BCE"/>
    <w:rsid w:val="00852665"/>
    <w:rsid w:val="0085458F"/>
    <w:rsid w:val="00855970"/>
    <w:rsid w:val="008578CA"/>
    <w:rsid w:val="00872E03"/>
    <w:rsid w:val="00876AA9"/>
    <w:rsid w:val="0087750B"/>
    <w:rsid w:val="008865A9"/>
    <w:rsid w:val="0088752F"/>
    <w:rsid w:val="008970B5"/>
    <w:rsid w:val="008A40F0"/>
    <w:rsid w:val="008B601E"/>
    <w:rsid w:val="008C08CC"/>
    <w:rsid w:val="008C292F"/>
    <w:rsid w:val="008C38EB"/>
    <w:rsid w:val="008D0DCA"/>
    <w:rsid w:val="008D598D"/>
    <w:rsid w:val="008D65FC"/>
    <w:rsid w:val="008E40F8"/>
    <w:rsid w:val="008F63BE"/>
    <w:rsid w:val="00910CC0"/>
    <w:rsid w:val="00912933"/>
    <w:rsid w:val="0092470D"/>
    <w:rsid w:val="009335F8"/>
    <w:rsid w:val="00934B81"/>
    <w:rsid w:val="00943A8C"/>
    <w:rsid w:val="009459C2"/>
    <w:rsid w:val="0095138D"/>
    <w:rsid w:val="00952CCB"/>
    <w:rsid w:val="00976D96"/>
    <w:rsid w:val="00987044"/>
    <w:rsid w:val="00993B42"/>
    <w:rsid w:val="009A20AE"/>
    <w:rsid w:val="009B3F7E"/>
    <w:rsid w:val="009C6F14"/>
    <w:rsid w:val="009D5442"/>
    <w:rsid w:val="009D79F0"/>
    <w:rsid w:val="009F19DA"/>
    <w:rsid w:val="00A02F52"/>
    <w:rsid w:val="00A10731"/>
    <w:rsid w:val="00A24587"/>
    <w:rsid w:val="00A30895"/>
    <w:rsid w:val="00A365A3"/>
    <w:rsid w:val="00A379C3"/>
    <w:rsid w:val="00A431BA"/>
    <w:rsid w:val="00A468B9"/>
    <w:rsid w:val="00A61C7C"/>
    <w:rsid w:val="00A61DE6"/>
    <w:rsid w:val="00A76727"/>
    <w:rsid w:val="00A77FF9"/>
    <w:rsid w:val="00AA1A32"/>
    <w:rsid w:val="00AA354E"/>
    <w:rsid w:val="00AC3BDB"/>
    <w:rsid w:val="00AC4001"/>
    <w:rsid w:val="00AC598B"/>
    <w:rsid w:val="00AC79D8"/>
    <w:rsid w:val="00AD2210"/>
    <w:rsid w:val="00AD75A6"/>
    <w:rsid w:val="00AE1844"/>
    <w:rsid w:val="00AF016B"/>
    <w:rsid w:val="00AF13D5"/>
    <w:rsid w:val="00AF5BEA"/>
    <w:rsid w:val="00AF67C9"/>
    <w:rsid w:val="00B10B69"/>
    <w:rsid w:val="00B14EC6"/>
    <w:rsid w:val="00B154F9"/>
    <w:rsid w:val="00B20A4A"/>
    <w:rsid w:val="00B30B25"/>
    <w:rsid w:val="00B332AF"/>
    <w:rsid w:val="00B4398B"/>
    <w:rsid w:val="00B53FDB"/>
    <w:rsid w:val="00B62B13"/>
    <w:rsid w:val="00B678F8"/>
    <w:rsid w:val="00B77A4F"/>
    <w:rsid w:val="00BB0830"/>
    <w:rsid w:val="00BB3E52"/>
    <w:rsid w:val="00BB4867"/>
    <w:rsid w:val="00BB6826"/>
    <w:rsid w:val="00BC4B42"/>
    <w:rsid w:val="00BC5A35"/>
    <w:rsid w:val="00BC61BF"/>
    <w:rsid w:val="00BC7751"/>
    <w:rsid w:val="00BD4EF1"/>
    <w:rsid w:val="00BE4722"/>
    <w:rsid w:val="00BE4C16"/>
    <w:rsid w:val="00BF1F77"/>
    <w:rsid w:val="00BF289A"/>
    <w:rsid w:val="00BF6775"/>
    <w:rsid w:val="00C02287"/>
    <w:rsid w:val="00C20C67"/>
    <w:rsid w:val="00C229DD"/>
    <w:rsid w:val="00C34AEA"/>
    <w:rsid w:val="00C40D53"/>
    <w:rsid w:val="00C4376F"/>
    <w:rsid w:val="00C43CBA"/>
    <w:rsid w:val="00C44DF6"/>
    <w:rsid w:val="00C53646"/>
    <w:rsid w:val="00C7138F"/>
    <w:rsid w:val="00C721D7"/>
    <w:rsid w:val="00C73926"/>
    <w:rsid w:val="00C73FF6"/>
    <w:rsid w:val="00C75FCB"/>
    <w:rsid w:val="00C7796F"/>
    <w:rsid w:val="00C825B8"/>
    <w:rsid w:val="00C83F1B"/>
    <w:rsid w:val="00C843E1"/>
    <w:rsid w:val="00C91874"/>
    <w:rsid w:val="00C96BE6"/>
    <w:rsid w:val="00CA3E8E"/>
    <w:rsid w:val="00CB1485"/>
    <w:rsid w:val="00CB7852"/>
    <w:rsid w:val="00CC3B35"/>
    <w:rsid w:val="00CD2BBE"/>
    <w:rsid w:val="00CE4F7D"/>
    <w:rsid w:val="00CF08D6"/>
    <w:rsid w:val="00CF7EF8"/>
    <w:rsid w:val="00D0168C"/>
    <w:rsid w:val="00D027E4"/>
    <w:rsid w:val="00D108E1"/>
    <w:rsid w:val="00D11BD5"/>
    <w:rsid w:val="00D43194"/>
    <w:rsid w:val="00D439FE"/>
    <w:rsid w:val="00D43C43"/>
    <w:rsid w:val="00D554CA"/>
    <w:rsid w:val="00D60A15"/>
    <w:rsid w:val="00D73B91"/>
    <w:rsid w:val="00D759BA"/>
    <w:rsid w:val="00D76978"/>
    <w:rsid w:val="00D820BB"/>
    <w:rsid w:val="00D8352A"/>
    <w:rsid w:val="00D85F27"/>
    <w:rsid w:val="00D86AB2"/>
    <w:rsid w:val="00DA528E"/>
    <w:rsid w:val="00DA73EE"/>
    <w:rsid w:val="00DB2FEC"/>
    <w:rsid w:val="00DB34A1"/>
    <w:rsid w:val="00DB6D7C"/>
    <w:rsid w:val="00DC3B1A"/>
    <w:rsid w:val="00DC485B"/>
    <w:rsid w:val="00DC7753"/>
    <w:rsid w:val="00DD0250"/>
    <w:rsid w:val="00DD21E5"/>
    <w:rsid w:val="00DD4E3F"/>
    <w:rsid w:val="00DE12A0"/>
    <w:rsid w:val="00DE148D"/>
    <w:rsid w:val="00DF02D4"/>
    <w:rsid w:val="00DF166D"/>
    <w:rsid w:val="00DF24EB"/>
    <w:rsid w:val="00E02B34"/>
    <w:rsid w:val="00E0559A"/>
    <w:rsid w:val="00E10CBB"/>
    <w:rsid w:val="00E20A12"/>
    <w:rsid w:val="00E2391E"/>
    <w:rsid w:val="00E24818"/>
    <w:rsid w:val="00E24924"/>
    <w:rsid w:val="00E3304A"/>
    <w:rsid w:val="00E36735"/>
    <w:rsid w:val="00E37208"/>
    <w:rsid w:val="00E4185E"/>
    <w:rsid w:val="00E51C8B"/>
    <w:rsid w:val="00E552A5"/>
    <w:rsid w:val="00E55812"/>
    <w:rsid w:val="00E57975"/>
    <w:rsid w:val="00E71651"/>
    <w:rsid w:val="00E71AD3"/>
    <w:rsid w:val="00E725CF"/>
    <w:rsid w:val="00E74F03"/>
    <w:rsid w:val="00E766FF"/>
    <w:rsid w:val="00E84287"/>
    <w:rsid w:val="00EA5930"/>
    <w:rsid w:val="00EA64AF"/>
    <w:rsid w:val="00EC59F5"/>
    <w:rsid w:val="00ED06C3"/>
    <w:rsid w:val="00EE1CCE"/>
    <w:rsid w:val="00EE61C9"/>
    <w:rsid w:val="00F014AF"/>
    <w:rsid w:val="00F10089"/>
    <w:rsid w:val="00F125E8"/>
    <w:rsid w:val="00F13A79"/>
    <w:rsid w:val="00F3004D"/>
    <w:rsid w:val="00F349AC"/>
    <w:rsid w:val="00F560E9"/>
    <w:rsid w:val="00F6224F"/>
    <w:rsid w:val="00F6241F"/>
    <w:rsid w:val="00F70C56"/>
    <w:rsid w:val="00F74CE1"/>
    <w:rsid w:val="00F76D4E"/>
    <w:rsid w:val="00F837D2"/>
    <w:rsid w:val="00F86544"/>
    <w:rsid w:val="00FB0B62"/>
    <w:rsid w:val="00FB11A6"/>
    <w:rsid w:val="00FB1441"/>
    <w:rsid w:val="00FC11B8"/>
    <w:rsid w:val="00FC5B64"/>
    <w:rsid w:val="00FD45D0"/>
    <w:rsid w:val="00FE37D4"/>
    <w:rsid w:val="00FE63F5"/>
    <w:rsid w:val="00FF1DBA"/>
    <w:rsid w:val="00FF3536"/>
    <w:rsid w:val="00FF3FB1"/>
    <w:rsid w:val="00FF44A6"/>
    <w:rsid w:val="00FF7349"/>
    <w:rsid w:val="1FB632D0"/>
    <w:rsid w:val="28170EDC"/>
    <w:rsid w:val="2E7E40C7"/>
    <w:rsid w:val="3B19180F"/>
    <w:rsid w:val="46D85E21"/>
    <w:rsid w:val="49234B95"/>
    <w:rsid w:val="4BB379CA"/>
    <w:rsid w:val="57AE030C"/>
    <w:rsid w:val="60372B4A"/>
    <w:rsid w:val="692A14A4"/>
    <w:rsid w:val="7C335C80"/>
    <w:rsid w:val="7DF04A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1"/>
    <w:qFormat/>
    <w:uiPriority w:val="0"/>
    <w:pPr>
      <w:keepNext/>
      <w:keepLines/>
      <w:widowControl/>
      <w:numPr>
        <w:ilvl w:val="0"/>
        <w:numId w:val="1"/>
      </w:numPr>
      <w:spacing w:before="360" w:after="240" w:line="480" w:lineRule="auto"/>
    </w:pPr>
    <w:rPr>
      <w:rFonts w:ascii="Arial" w:hAnsi="Arial" w:eastAsia="黑体" w:cs="宋体"/>
      <w:bCs w:val="0"/>
      <w:kern w:val="44"/>
      <w:sz w:val="28"/>
      <w:szCs w:val="28"/>
    </w:rPr>
  </w:style>
  <w:style w:type="paragraph" w:styleId="4">
    <w:name w:val="heading 2"/>
    <w:basedOn w:val="2"/>
    <w:next w:val="1"/>
    <w:link w:val="22"/>
    <w:qFormat/>
    <w:uiPriority w:val="0"/>
    <w:pPr>
      <w:numPr>
        <w:ilvl w:val="1"/>
      </w:numPr>
      <w:spacing w:before="240" w:after="120" w:line="360" w:lineRule="auto"/>
      <w:jc w:val="both"/>
      <w:outlineLvl w:val="1"/>
    </w:pPr>
    <w:rPr>
      <w:rFonts w:ascii="Times New Roman" w:hAnsi="Times New Roman"/>
      <w:sz w:val="24"/>
    </w:rPr>
  </w:style>
  <w:style w:type="paragraph" w:styleId="5">
    <w:name w:val="heading 3"/>
    <w:basedOn w:val="4"/>
    <w:next w:val="1"/>
    <w:link w:val="23"/>
    <w:qFormat/>
    <w:uiPriority w:val="0"/>
    <w:pPr>
      <w:numPr>
        <w:ilvl w:val="2"/>
      </w:numPr>
      <w:outlineLvl w:val="2"/>
    </w:pPr>
  </w:style>
  <w:style w:type="paragraph" w:styleId="6">
    <w:name w:val="heading 4"/>
    <w:basedOn w:val="5"/>
    <w:next w:val="1"/>
    <w:link w:val="24"/>
    <w:qFormat/>
    <w:uiPriority w:val="0"/>
    <w:pPr>
      <w:numPr>
        <w:ilvl w:val="3"/>
      </w:numPr>
      <w:outlineLvl w:val="3"/>
    </w:pPr>
    <w:rPr>
      <w:szCs w:val="24"/>
    </w:rPr>
  </w:style>
  <w:style w:type="paragraph" w:styleId="7">
    <w:name w:val="heading 5"/>
    <w:basedOn w:val="6"/>
    <w:next w:val="1"/>
    <w:link w:val="25"/>
    <w:qFormat/>
    <w:uiPriority w:val="0"/>
    <w:pPr>
      <w:numPr>
        <w:ilvl w:val="4"/>
      </w:numPr>
      <w:spacing w:before="120" w:after="60"/>
      <w:outlineLvl w:val="4"/>
    </w:pPr>
  </w:style>
  <w:style w:type="paragraph" w:styleId="8">
    <w:name w:val="heading 6"/>
    <w:basedOn w:val="1"/>
    <w:next w:val="1"/>
    <w:link w:val="26"/>
    <w:qFormat/>
    <w:uiPriority w:val="0"/>
    <w:pPr>
      <w:keepNext/>
      <w:keepLines/>
      <w:widowControl/>
      <w:numPr>
        <w:ilvl w:val="5"/>
        <w:numId w:val="1"/>
      </w:numPr>
      <w:spacing w:before="240" w:after="64" w:line="320" w:lineRule="auto"/>
      <w:jc w:val="left"/>
      <w:outlineLvl w:val="5"/>
    </w:pPr>
    <w:rPr>
      <w:rFonts w:ascii="Arial" w:hAnsi="Arial" w:eastAsia="黑体" w:cs="宋体"/>
      <w:b/>
      <w:kern w:val="0"/>
      <w:sz w:val="24"/>
      <w:szCs w:val="24"/>
    </w:rPr>
  </w:style>
  <w:style w:type="paragraph" w:styleId="9">
    <w:name w:val="heading 7"/>
    <w:basedOn w:val="1"/>
    <w:next w:val="1"/>
    <w:link w:val="27"/>
    <w:qFormat/>
    <w:uiPriority w:val="0"/>
    <w:pPr>
      <w:keepNext/>
      <w:keepLines/>
      <w:widowControl/>
      <w:numPr>
        <w:ilvl w:val="6"/>
        <w:numId w:val="1"/>
      </w:numPr>
      <w:spacing w:before="240" w:after="64" w:line="320" w:lineRule="auto"/>
      <w:jc w:val="left"/>
      <w:outlineLvl w:val="6"/>
    </w:pPr>
    <w:rPr>
      <w:rFonts w:ascii="宋体" w:hAnsi="宋体" w:eastAsia="黑体" w:cs="宋体"/>
      <w:b/>
      <w:kern w:val="0"/>
      <w:sz w:val="24"/>
      <w:szCs w:val="24"/>
    </w:rPr>
  </w:style>
  <w:style w:type="paragraph" w:styleId="10">
    <w:name w:val="heading 8"/>
    <w:basedOn w:val="1"/>
    <w:next w:val="1"/>
    <w:link w:val="28"/>
    <w:qFormat/>
    <w:uiPriority w:val="0"/>
    <w:pPr>
      <w:keepNext/>
      <w:keepLines/>
      <w:widowControl/>
      <w:numPr>
        <w:ilvl w:val="7"/>
        <w:numId w:val="1"/>
      </w:numPr>
      <w:spacing w:before="240" w:after="64" w:line="320" w:lineRule="auto"/>
      <w:jc w:val="left"/>
      <w:outlineLvl w:val="7"/>
    </w:pPr>
    <w:rPr>
      <w:rFonts w:ascii="Arial" w:hAnsi="Arial" w:eastAsia="黑体" w:cs="宋体"/>
      <w:kern w:val="0"/>
      <w:sz w:val="24"/>
      <w:szCs w:val="24"/>
    </w:rPr>
  </w:style>
  <w:style w:type="paragraph" w:styleId="11">
    <w:name w:val="heading 9"/>
    <w:basedOn w:val="1"/>
    <w:next w:val="1"/>
    <w:link w:val="29"/>
    <w:qFormat/>
    <w:uiPriority w:val="0"/>
    <w:pPr>
      <w:keepNext/>
      <w:keepLines/>
      <w:widowControl/>
      <w:numPr>
        <w:ilvl w:val="8"/>
        <w:numId w:val="1"/>
      </w:numPr>
      <w:spacing w:before="240" w:after="64" w:line="320" w:lineRule="auto"/>
      <w:jc w:val="left"/>
      <w:outlineLvl w:val="8"/>
    </w:pPr>
    <w:rPr>
      <w:rFonts w:ascii="Arial" w:hAnsi="Arial" w:eastAsia="黑体" w:cs="宋体"/>
      <w:kern w:val="0"/>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33"/>
    <w:qFormat/>
    <w:uiPriority w:val="10"/>
    <w:pPr>
      <w:spacing w:before="240" w:after="60"/>
      <w:jc w:val="center"/>
      <w:outlineLvl w:val="0"/>
    </w:pPr>
    <w:rPr>
      <w:rFonts w:eastAsia="宋体" w:asciiTheme="majorHAnsi" w:hAnsiTheme="majorHAnsi" w:cstheme="majorBidi"/>
      <w:b/>
      <w:bCs/>
      <w:sz w:val="32"/>
      <w:szCs w:val="32"/>
    </w:rPr>
  </w:style>
  <w:style w:type="paragraph" w:styleId="12">
    <w:name w:val="annotation text"/>
    <w:basedOn w:val="1"/>
    <w:link w:val="39"/>
    <w:unhideWhenUsed/>
    <w:qFormat/>
    <w:uiPriority w:val="99"/>
    <w:pPr>
      <w:jc w:val="left"/>
    </w:pPr>
  </w:style>
  <w:style w:type="paragraph" w:styleId="13">
    <w:name w:val="footer"/>
    <w:basedOn w:val="1"/>
    <w:link w:val="36"/>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12"/>
    <w:next w:val="12"/>
    <w:link w:val="40"/>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0"/>
    <w:rPr>
      <w:rFonts w:ascii="Arial" w:hAnsi="Arial" w:eastAsia="黑体" w:cs="宋体"/>
      <w:b/>
      <w:kern w:val="44"/>
      <w:sz w:val="28"/>
      <w:szCs w:val="28"/>
    </w:rPr>
  </w:style>
  <w:style w:type="character" w:customStyle="1" w:styleId="22">
    <w:name w:val="标题 2 字符"/>
    <w:basedOn w:val="18"/>
    <w:link w:val="4"/>
    <w:qFormat/>
    <w:uiPriority w:val="0"/>
    <w:rPr>
      <w:rFonts w:ascii="Times New Roman" w:hAnsi="Times New Roman" w:eastAsia="黑体" w:cs="宋体"/>
      <w:b/>
      <w:kern w:val="44"/>
      <w:sz w:val="24"/>
      <w:szCs w:val="28"/>
    </w:rPr>
  </w:style>
  <w:style w:type="character" w:customStyle="1" w:styleId="23">
    <w:name w:val="标题 3 字符"/>
    <w:basedOn w:val="18"/>
    <w:link w:val="5"/>
    <w:qFormat/>
    <w:uiPriority w:val="0"/>
    <w:rPr>
      <w:rFonts w:ascii="Times New Roman" w:hAnsi="Times New Roman" w:eastAsia="黑体" w:cs="宋体"/>
      <w:b/>
      <w:kern w:val="44"/>
      <w:sz w:val="24"/>
      <w:szCs w:val="28"/>
    </w:rPr>
  </w:style>
  <w:style w:type="character" w:customStyle="1" w:styleId="24">
    <w:name w:val="标题 4 字符"/>
    <w:basedOn w:val="18"/>
    <w:link w:val="6"/>
    <w:qFormat/>
    <w:uiPriority w:val="0"/>
    <w:rPr>
      <w:rFonts w:ascii="Times New Roman" w:hAnsi="Times New Roman" w:eastAsia="黑体" w:cs="宋体"/>
      <w:b/>
      <w:kern w:val="44"/>
      <w:sz w:val="24"/>
      <w:szCs w:val="24"/>
    </w:rPr>
  </w:style>
  <w:style w:type="character" w:customStyle="1" w:styleId="25">
    <w:name w:val="标题 5 字符"/>
    <w:basedOn w:val="18"/>
    <w:link w:val="7"/>
    <w:qFormat/>
    <w:uiPriority w:val="0"/>
    <w:rPr>
      <w:rFonts w:ascii="Times New Roman" w:hAnsi="Times New Roman" w:eastAsia="黑体" w:cs="宋体"/>
      <w:b/>
      <w:kern w:val="44"/>
      <w:sz w:val="24"/>
      <w:szCs w:val="24"/>
    </w:rPr>
  </w:style>
  <w:style w:type="character" w:customStyle="1" w:styleId="26">
    <w:name w:val="标题 6 字符"/>
    <w:basedOn w:val="18"/>
    <w:link w:val="8"/>
    <w:qFormat/>
    <w:uiPriority w:val="0"/>
    <w:rPr>
      <w:rFonts w:ascii="Arial" w:hAnsi="Arial" w:eastAsia="黑体" w:cs="宋体"/>
      <w:b/>
      <w:kern w:val="0"/>
      <w:sz w:val="24"/>
      <w:szCs w:val="24"/>
    </w:rPr>
  </w:style>
  <w:style w:type="character" w:customStyle="1" w:styleId="27">
    <w:name w:val="标题 7 字符"/>
    <w:basedOn w:val="18"/>
    <w:link w:val="9"/>
    <w:qFormat/>
    <w:uiPriority w:val="0"/>
    <w:rPr>
      <w:rFonts w:ascii="宋体" w:hAnsi="宋体" w:eastAsia="黑体" w:cs="宋体"/>
      <w:b/>
      <w:kern w:val="0"/>
      <w:sz w:val="24"/>
      <w:szCs w:val="24"/>
    </w:rPr>
  </w:style>
  <w:style w:type="character" w:customStyle="1" w:styleId="28">
    <w:name w:val="标题 8 字符"/>
    <w:basedOn w:val="18"/>
    <w:link w:val="10"/>
    <w:qFormat/>
    <w:uiPriority w:val="0"/>
    <w:rPr>
      <w:rFonts w:ascii="Arial" w:hAnsi="Arial" w:eastAsia="黑体" w:cs="宋体"/>
      <w:kern w:val="0"/>
      <w:sz w:val="24"/>
      <w:szCs w:val="24"/>
    </w:rPr>
  </w:style>
  <w:style w:type="character" w:customStyle="1" w:styleId="29">
    <w:name w:val="标题 9 字符"/>
    <w:basedOn w:val="18"/>
    <w:link w:val="11"/>
    <w:qFormat/>
    <w:uiPriority w:val="0"/>
    <w:rPr>
      <w:rFonts w:ascii="Arial" w:hAnsi="Arial" w:eastAsia="黑体" w:cs="宋体"/>
      <w:kern w:val="0"/>
      <w:sz w:val="24"/>
      <w:szCs w:val="24"/>
    </w:rPr>
  </w:style>
  <w:style w:type="paragraph" w:styleId="30">
    <w:name w:val="List Paragraph"/>
    <w:basedOn w:val="1"/>
    <w:link w:val="31"/>
    <w:qFormat/>
    <w:uiPriority w:val="34"/>
    <w:pPr>
      <w:widowControl/>
      <w:spacing w:line="360" w:lineRule="auto"/>
      <w:ind w:firstLine="420"/>
      <w:jc w:val="left"/>
    </w:pPr>
    <w:rPr>
      <w:rFonts w:ascii="宋体" w:hAnsi="宋体" w:eastAsia="宋体" w:cs="宋体"/>
      <w:kern w:val="0"/>
      <w:sz w:val="24"/>
      <w:szCs w:val="24"/>
    </w:rPr>
  </w:style>
  <w:style w:type="character" w:customStyle="1" w:styleId="31">
    <w:name w:val="列表段落 字符"/>
    <w:link w:val="30"/>
    <w:qFormat/>
    <w:uiPriority w:val="34"/>
    <w:rPr>
      <w:rFonts w:ascii="宋体" w:hAnsi="宋体" w:eastAsia="宋体" w:cs="宋体"/>
      <w:kern w:val="0"/>
      <w:sz w:val="24"/>
      <w:szCs w:val="24"/>
    </w:rPr>
  </w:style>
  <w:style w:type="paragraph" w:customStyle="1" w:styleId="32">
    <w:name w:val="正文模板"/>
    <w:qFormat/>
    <w:uiPriority w:val="0"/>
    <w:pPr>
      <w:spacing w:line="360" w:lineRule="auto"/>
      <w:ind w:firstLine="200" w:firstLineChars="200"/>
    </w:pPr>
    <w:rPr>
      <w:rFonts w:ascii="Calibri" w:hAnsi="Calibri" w:eastAsia="宋体" w:cs="Times New Roman"/>
      <w:kern w:val="2"/>
      <w:sz w:val="24"/>
      <w:szCs w:val="24"/>
      <w:lang w:val="en-US" w:eastAsia="zh-CN" w:bidi="ar-SA"/>
    </w:rPr>
  </w:style>
  <w:style w:type="character" w:customStyle="1" w:styleId="33">
    <w:name w:val="标题 字符"/>
    <w:basedOn w:val="18"/>
    <w:link w:val="3"/>
    <w:qFormat/>
    <w:uiPriority w:val="10"/>
    <w:rPr>
      <w:rFonts w:eastAsia="宋体" w:asciiTheme="majorHAnsi" w:hAnsiTheme="majorHAnsi" w:cstheme="majorBidi"/>
      <w:b/>
      <w:bCs/>
      <w:sz w:val="32"/>
      <w:szCs w:val="32"/>
    </w:rPr>
  </w:style>
  <w:style w:type="paragraph" w:customStyle="1" w:styleId="34">
    <w:name w:val="列出段落1"/>
    <w:basedOn w:val="1"/>
    <w:qFormat/>
    <w:uiPriority w:val="34"/>
    <w:pPr>
      <w:spacing w:line="360" w:lineRule="auto"/>
      <w:ind w:firstLine="420" w:firstLineChars="200"/>
    </w:pPr>
    <w:rPr>
      <w:rFonts w:ascii="Times New Roman" w:hAnsi="Times New Roman" w:eastAsia="宋体"/>
      <w:sz w:val="24"/>
    </w:rPr>
  </w:style>
  <w:style w:type="character" w:customStyle="1" w:styleId="35">
    <w:name w:val="页眉 字符"/>
    <w:basedOn w:val="18"/>
    <w:link w:val="14"/>
    <w:qFormat/>
    <w:uiPriority w:val="99"/>
    <w:rPr>
      <w:sz w:val="18"/>
      <w:szCs w:val="18"/>
    </w:rPr>
  </w:style>
  <w:style w:type="character" w:customStyle="1" w:styleId="36">
    <w:name w:val="页脚 字符"/>
    <w:basedOn w:val="18"/>
    <w:link w:val="13"/>
    <w:qFormat/>
    <w:uiPriority w:val="99"/>
    <w:rPr>
      <w:sz w:val="18"/>
      <w:szCs w:val="18"/>
    </w:rPr>
  </w:style>
  <w:style w:type="paragraph" w:customStyle="1" w:styleId="37">
    <w:name w:val="表格"/>
    <w:basedOn w:val="1"/>
    <w:link w:val="38"/>
    <w:qFormat/>
    <w:uiPriority w:val="0"/>
    <w:pPr>
      <w:widowControl/>
      <w:spacing w:line="276" w:lineRule="auto"/>
    </w:pPr>
    <w:rPr>
      <w:rFonts w:ascii="宋体" w:hAnsi="宋体" w:cs="宋体"/>
      <w:bCs/>
      <w:kern w:val="0"/>
      <w:szCs w:val="21"/>
    </w:rPr>
  </w:style>
  <w:style w:type="character" w:customStyle="1" w:styleId="38">
    <w:name w:val="表格 字符"/>
    <w:basedOn w:val="18"/>
    <w:link w:val="37"/>
    <w:qFormat/>
    <w:uiPriority w:val="0"/>
    <w:rPr>
      <w:rFonts w:ascii="宋体" w:hAnsi="宋体" w:cs="宋体"/>
      <w:bCs/>
      <w:kern w:val="0"/>
      <w:szCs w:val="21"/>
    </w:rPr>
  </w:style>
  <w:style w:type="character" w:customStyle="1" w:styleId="39">
    <w:name w:val="批注文字 字符"/>
    <w:basedOn w:val="18"/>
    <w:link w:val="12"/>
    <w:qFormat/>
    <w:uiPriority w:val="99"/>
  </w:style>
  <w:style w:type="character" w:customStyle="1" w:styleId="40">
    <w:name w:val="批注主题 字符"/>
    <w:basedOn w:val="39"/>
    <w:link w:val="15"/>
    <w:semiHidden/>
    <w:qFormat/>
    <w:uiPriority w:val="99"/>
    <w:rPr>
      <w:b/>
      <w:bCs/>
    </w:rPr>
  </w:style>
  <w:style w:type="paragraph" w:customStyle="1" w:styleId="41">
    <w:name w:val="_Style 40"/>
    <w:basedOn w:val="1"/>
    <w:next w:val="30"/>
    <w:link w:val="42"/>
    <w:qFormat/>
    <w:uiPriority w:val="34"/>
    <w:pPr>
      <w:ind w:firstLine="420" w:firstLineChars="200"/>
    </w:pPr>
    <w:rPr>
      <w:rFonts w:ascii="Calibri" w:hAnsi="Calibri"/>
    </w:rPr>
  </w:style>
  <w:style w:type="character" w:customStyle="1" w:styleId="42">
    <w:name w:val="列出段落 Char"/>
    <w:link w:val="41"/>
    <w:qFormat/>
    <w:locked/>
    <w:uiPriority w:val="34"/>
    <w:rPr>
      <w:rFonts w:ascii="Calibri" w:hAnsi="Calibri"/>
      <w:kern w:val="2"/>
      <w:sz w:val="21"/>
      <w:szCs w:val="22"/>
    </w:rPr>
  </w:style>
  <w:style w:type="paragraph" w:customStyle="1" w:styleId="4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045E-0A6F-4011-9D0F-DDDD071F04C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2923</Words>
  <Characters>3073</Characters>
  <Lines>27</Lines>
  <Paragraphs>7</Paragraphs>
  <TotalTime>188</TotalTime>
  <ScaleCrop>false</ScaleCrop>
  <LinksUpToDate>false</LinksUpToDate>
  <CharactersWithSpaces>3076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2024-08-19T11:11:00Z</dcterms:created>
  <dc:creator>Lynn</dc:creator>
  <cp:lastModifiedBy>锋利的剑</cp:lastModifiedBy>
  <cp:lastPrinted>2024-08-19T12:28:00Z</cp:lastPrinted>
  <dcterms:modified xsi:type="dcterms:W3CDTF">2025-08-28T06:26:14Z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F5BEC9CCFEE44745A7D89C57DF28AD45_12</vt:lpwstr>
  </property>
  <property fmtid="{D5CDD505-2E9C-101B-9397-08002B2CF9AE}" pid="4" name="KSOTemplateDocerSaveRecord">
    <vt:lpwstr>eyJoZGlkIjoiYjk5ODM0YmMxOWJiYWQyNDU4MGIzYWRmYTA0ZmI5NDciLCJ1c2VySWQiOiI2Mzc2ODk0NDEifQ==</vt:lpwstr>
  </property>
</Properties>
</file>