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5C" w:rsidRDefault="0086125C" w:rsidP="0086125C">
      <w:pPr>
        <w:widowControl/>
        <w:adjustRightInd w:val="0"/>
        <w:snapToGrid w:val="0"/>
        <w:spacing w:line="300" w:lineRule="auto"/>
        <w:jc w:val="center"/>
        <w:outlineLvl w:val="0"/>
        <w:rPr>
          <w:rFonts w:ascii="Times New Roman" w:eastAsia="黑体" w:hAnsi="Times New Roman"/>
          <w:b/>
          <w:kern w:val="0"/>
          <w:sz w:val="30"/>
          <w:szCs w:val="30"/>
        </w:rPr>
      </w:pPr>
      <w:bookmarkStart w:id="0" w:name="_Toc30879"/>
      <w:bookmarkStart w:id="1" w:name="_GoBack"/>
      <w:r w:rsidRPr="0086125C">
        <w:rPr>
          <w:rFonts w:ascii="Times New Roman" w:eastAsia="黑体" w:hAnsi="Times New Roman" w:hint="eastAsia"/>
          <w:b/>
          <w:kern w:val="0"/>
          <w:sz w:val="30"/>
          <w:szCs w:val="30"/>
        </w:rPr>
        <w:t>上海市浦东新区规划管理事务中心（上海市浦东新区城市规划和公共艺术中心）物业管理服务</w:t>
      </w:r>
      <w:r>
        <w:rPr>
          <w:rFonts w:ascii="Times New Roman" w:eastAsia="黑体" w:hAnsi="Times New Roman"/>
          <w:b/>
          <w:kern w:val="0"/>
          <w:sz w:val="30"/>
          <w:szCs w:val="30"/>
        </w:rPr>
        <w:t>项目采购需求</w:t>
      </w:r>
      <w:bookmarkEnd w:id="0"/>
    </w:p>
    <w:p w:rsidR="0086125C" w:rsidRDefault="0086125C" w:rsidP="0086125C">
      <w:pPr>
        <w:adjustRightInd w:val="0"/>
        <w:snapToGrid w:val="0"/>
        <w:spacing w:line="300" w:lineRule="auto"/>
        <w:jc w:val="center"/>
        <w:outlineLvl w:val="1"/>
        <w:rPr>
          <w:rFonts w:ascii="Times New Roman" w:eastAsia="黑体" w:hAnsi="Times New Roman"/>
          <w:sz w:val="30"/>
          <w:szCs w:val="30"/>
        </w:rPr>
      </w:pPr>
      <w:bookmarkStart w:id="2" w:name="_Toc21343"/>
      <w:bookmarkStart w:id="3" w:name="_Toc464465671"/>
      <w:bookmarkStart w:id="4" w:name="_Toc460922281"/>
      <w:bookmarkStart w:id="5" w:name="_Toc460922283"/>
      <w:bookmarkStart w:id="6" w:name="_Toc460922282"/>
      <w:bookmarkStart w:id="7" w:name="_Toc464465674"/>
      <w:bookmarkStart w:id="8" w:name="_Toc464465670"/>
      <w:bookmarkStart w:id="9" w:name="_Toc464465673"/>
      <w:bookmarkStart w:id="10" w:name="_Toc464465672"/>
      <w:bookmarkStart w:id="11" w:name="_Toc464465675"/>
      <w:bookmarkStart w:id="12" w:name="_Toc460922279"/>
      <w:bookmarkStart w:id="13" w:name="_Toc464465676"/>
      <w:bookmarkStart w:id="14" w:name="_Toc460922284"/>
      <w:bookmarkStart w:id="15" w:name="_Toc464465677"/>
      <w:bookmarkStart w:id="16" w:name="_Toc460922285"/>
      <w:bookmarkStart w:id="17" w:name="_Toc464465679"/>
      <w:bookmarkStart w:id="18" w:name="_Toc460922287"/>
      <w:bookmarkStart w:id="19" w:name="_Toc464465678"/>
      <w:bookmarkStart w:id="20" w:name="_Toc460922286"/>
      <w:bookmarkEnd w:id="1"/>
      <w:r>
        <w:rPr>
          <w:rFonts w:ascii="Times New Roman" w:eastAsia="黑体" w:hAnsi="Times New Roman"/>
          <w:sz w:val="30"/>
          <w:szCs w:val="30"/>
        </w:rPr>
        <w:t>一、说明</w:t>
      </w:r>
      <w:bookmarkEnd w:id="2"/>
    </w:p>
    <w:p w:rsidR="0086125C" w:rsidRDefault="0086125C" w:rsidP="0086125C">
      <w:pPr>
        <w:adjustRightInd w:val="0"/>
        <w:snapToGrid w:val="0"/>
        <w:spacing w:line="300" w:lineRule="auto"/>
        <w:ind w:firstLineChars="200" w:firstLine="442"/>
        <w:outlineLvl w:val="2"/>
        <w:rPr>
          <w:rFonts w:ascii="Times New Roman" w:hAnsi="Times New Roman"/>
          <w:b/>
          <w:bCs/>
          <w:sz w:val="22"/>
        </w:rPr>
      </w:pPr>
      <w:bookmarkStart w:id="21" w:name="_Toc25741"/>
      <w:r>
        <w:rPr>
          <w:rFonts w:ascii="Times New Roman" w:hAnsi="Times New Roman"/>
          <w:b/>
          <w:bCs/>
          <w:sz w:val="22"/>
        </w:rPr>
        <w:t xml:space="preserve">1 </w:t>
      </w:r>
      <w:r>
        <w:rPr>
          <w:rFonts w:ascii="Times New Roman" w:hAnsi="Times New Roman"/>
          <w:b/>
          <w:bCs/>
          <w:sz w:val="22"/>
        </w:rPr>
        <w:t>总则</w:t>
      </w:r>
      <w:bookmarkEnd w:id="21"/>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bookmarkEnd w:id="3"/>
      <w:bookmarkEnd w:id="4"/>
      <w:bookmarkEnd w:id="5"/>
      <w:bookmarkEnd w:id="6"/>
      <w:bookmarkEnd w:id="7"/>
      <w:bookmarkEnd w:id="8"/>
      <w:bookmarkEnd w:id="9"/>
      <w:bookmarkEnd w:id="10"/>
      <w:bookmarkEnd w:id="11"/>
      <w:bookmarkEnd w:id="12"/>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86125C" w:rsidRDefault="0086125C" w:rsidP="0086125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86125C" w:rsidRDefault="0086125C" w:rsidP="0086125C">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p>
    <w:p w:rsidR="0086125C" w:rsidRDefault="0086125C" w:rsidP="0086125C">
      <w:pPr>
        <w:adjustRightInd w:val="0"/>
        <w:snapToGrid w:val="0"/>
        <w:spacing w:line="300" w:lineRule="auto"/>
        <w:jc w:val="center"/>
        <w:outlineLvl w:val="1"/>
        <w:rPr>
          <w:rFonts w:ascii="Times New Roman" w:eastAsia="黑体" w:hAnsi="Times New Roman"/>
          <w:sz w:val="30"/>
          <w:szCs w:val="30"/>
        </w:rPr>
      </w:pPr>
      <w:bookmarkStart w:id="22" w:name="_Toc6567"/>
      <w:r>
        <w:rPr>
          <w:rFonts w:ascii="Times New Roman" w:eastAsia="黑体" w:hAnsi="Times New Roman"/>
          <w:sz w:val="30"/>
          <w:szCs w:val="30"/>
        </w:rPr>
        <w:t>二、项目概况</w:t>
      </w:r>
      <w:bookmarkEnd w:id="22"/>
    </w:p>
    <w:p w:rsidR="0086125C" w:rsidRDefault="0086125C" w:rsidP="0086125C">
      <w:pPr>
        <w:adjustRightInd w:val="0"/>
        <w:snapToGrid w:val="0"/>
        <w:spacing w:line="300" w:lineRule="auto"/>
        <w:ind w:firstLineChars="200" w:firstLine="442"/>
        <w:outlineLvl w:val="2"/>
        <w:rPr>
          <w:rFonts w:ascii="Times New Roman" w:hAnsi="Times New Roman"/>
          <w:b/>
          <w:bCs/>
          <w:sz w:val="22"/>
        </w:rPr>
      </w:pPr>
      <w:bookmarkStart w:id="23" w:name="_Toc6553"/>
      <w:r>
        <w:rPr>
          <w:rFonts w:ascii="Times New Roman" w:hAnsi="Times New Roman"/>
          <w:b/>
          <w:bCs/>
          <w:sz w:val="22"/>
        </w:rPr>
        <w:t xml:space="preserve">2 </w:t>
      </w:r>
      <w:r>
        <w:rPr>
          <w:rFonts w:ascii="Times New Roman" w:hAnsi="Times New Roman"/>
          <w:b/>
          <w:bCs/>
          <w:sz w:val="22"/>
        </w:rPr>
        <w:t>项目名称</w:t>
      </w:r>
      <w:bookmarkEnd w:id="23"/>
    </w:p>
    <w:p w:rsidR="0086125C" w:rsidRPr="00B114CF" w:rsidRDefault="0086125C" w:rsidP="0086125C">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sidRPr="00B114CF">
        <w:rPr>
          <w:rFonts w:ascii="Times New Roman" w:hAnsi="Times New Roman" w:hint="eastAsia"/>
          <w:bCs/>
          <w:sz w:val="22"/>
        </w:rPr>
        <w:t>上海市浦东新区规划管理事务中心（上海市浦东新区城市规划和公共艺术中心）物业管理服务</w:t>
      </w:r>
    </w:p>
    <w:p w:rsidR="0086125C" w:rsidRDefault="0086125C" w:rsidP="0086125C">
      <w:pPr>
        <w:adjustRightInd w:val="0"/>
        <w:snapToGrid w:val="0"/>
        <w:spacing w:line="300" w:lineRule="auto"/>
        <w:ind w:firstLineChars="200" w:firstLine="442"/>
        <w:outlineLvl w:val="2"/>
        <w:rPr>
          <w:rFonts w:ascii="Times New Roman" w:hAnsi="Times New Roman"/>
          <w:b/>
          <w:bCs/>
          <w:sz w:val="22"/>
        </w:rPr>
      </w:pPr>
      <w:bookmarkStart w:id="24" w:name="_Toc28781"/>
      <w:r>
        <w:rPr>
          <w:rFonts w:ascii="Times New Roman" w:hAnsi="Times New Roman"/>
          <w:b/>
          <w:bCs/>
          <w:sz w:val="22"/>
        </w:rPr>
        <w:t>3</w:t>
      </w:r>
      <w:r>
        <w:rPr>
          <w:rFonts w:ascii="Times New Roman" w:hAnsi="Times New Roman" w:hint="eastAsia"/>
          <w:b/>
          <w:bCs/>
          <w:sz w:val="22"/>
        </w:rPr>
        <w:t xml:space="preserve"> </w:t>
      </w:r>
      <w:r>
        <w:rPr>
          <w:rFonts w:ascii="Times New Roman" w:hAnsi="Times New Roman"/>
          <w:b/>
          <w:bCs/>
          <w:sz w:val="22"/>
        </w:rPr>
        <w:t>物业基本情况</w:t>
      </w:r>
      <w:bookmarkEnd w:id="24"/>
    </w:p>
    <w:p w:rsidR="0086125C" w:rsidRDefault="0086125C" w:rsidP="0086125C">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hint="eastAsia"/>
          <w:sz w:val="22"/>
        </w:rPr>
        <w:t>上海市浦东新区城市规划和公共艺术中心用地面积</w:t>
      </w:r>
      <w:r>
        <w:rPr>
          <w:rFonts w:ascii="Times New Roman" w:hAnsi="Times New Roman" w:hint="eastAsia"/>
          <w:sz w:val="22"/>
        </w:rPr>
        <w:t>15000m</w:t>
      </w:r>
      <w:r w:rsidRPr="007535C1">
        <w:rPr>
          <w:rFonts w:ascii="Times New Roman" w:hAnsi="Times New Roman" w:hint="eastAsia"/>
          <w:sz w:val="22"/>
          <w:vertAlign w:val="superscript"/>
        </w:rPr>
        <w:t>2</w:t>
      </w:r>
      <w:r>
        <w:rPr>
          <w:rFonts w:ascii="Times New Roman" w:hAnsi="Times New Roman" w:hint="eastAsia"/>
          <w:sz w:val="22"/>
        </w:rPr>
        <w:t>，总建筑面积</w:t>
      </w:r>
      <w:r>
        <w:rPr>
          <w:rFonts w:ascii="Times New Roman" w:hAnsi="Times New Roman" w:hint="eastAsia"/>
          <w:sz w:val="22"/>
        </w:rPr>
        <w:t>49948</w:t>
      </w:r>
      <w:r w:rsidRPr="007535C1">
        <w:rPr>
          <w:rFonts w:ascii="Times New Roman" w:hAnsi="Times New Roman" w:hint="eastAsia"/>
          <w:sz w:val="22"/>
        </w:rPr>
        <w:t xml:space="preserve"> </w:t>
      </w:r>
      <w:r>
        <w:rPr>
          <w:rFonts w:ascii="Times New Roman" w:hAnsi="Times New Roman" w:hint="eastAsia"/>
          <w:sz w:val="22"/>
        </w:rPr>
        <w:t>m</w:t>
      </w:r>
      <w:r w:rsidRPr="007535C1">
        <w:rPr>
          <w:rFonts w:ascii="Times New Roman" w:hAnsi="Times New Roman" w:hint="eastAsia"/>
          <w:sz w:val="22"/>
          <w:vertAlign w:val="superscript"/>
        </w:rPr>
        <w:t>2</w:t>
      </w:r>
      <w:r>
        <w:rPr>
          <w:rFonts w:ascii="Times New Roman" w:hAnsi="Times New Roman" w:hint="eastAsia"/>
          <w:sz w:val="22"/>
        </w:rPr>
        <w:t>，地上建筑面积</w:t>
      </w:r>
      <w:r>
        <w:rPr>
          <w:rFonts w:ascii="Times New Roman" w:hAnsi="Times New Roman" w:hint="eastAsia"/>
          <w:sz w:val="22"/>
        </w:rPr>
        <w:t>30548.5</w:t>
      </w:r>
      <w:r w:rsidRPr="007535C1">
        <w:rPr>
          <w:rFonts w:ascii="Times New Roman" w:hAnsi="Times New Roman" w:hint="eastAsia"/>
          <w:sz w:val="22"/>
        </w:rPr>
        <w:t xml:space="preserve"> </w:t>
      </w:r>
      <w:r>
        <w:rPr>
          <w:rFonts w:ascii="Times New Roman" w:hAnsi="Times New Roman" w:hint="eastAsia"/>
          <w:sz w:val="22"/>
        </w:rPr>
        <w:t>m</w:t>
      </w:r>
      <w:r w:rsidRPr="007535C1">
        <w:rPr>
          <w:rFonts w:ascii="Times New Roman" w:hAnsi="Times New Roman" w:hint="eastAsia"/>
          <w:sz w:val="22"/>
          <w:vertAlign w:val="superscript"/>
        </w:rPr>
        <w:t>2</w:t>
      </w:r>
      <w:r>
        <w:rPr>
          <w:rFonts w:ascii="Times New Roman" w:hAnsi="Times New Roman" w:hint="eastAsia"/>
          <w:sz w:val="22"/>
        </w:rPr>
        <w:t>，地下建筑面积</w:t>
      </w:r>
      <w:r>
        <w:rPr>
          <w:rFonts w:ascii="Times New Roman" w:hAnsi="Times New Roman" w:hint="eastAsia"/>
          <w:sz w:val="22"/>
        </w:rPr>
        <w:t>19399.5</w:t>
      </w:r>
      <w:r w:rsidRPr="007535C1">
        <w:rPr>
          <w:rFonts w:ascii="Times New Roman" w:hAnsi="Times New Roman" w:hint="eastAsia"/>
          <w:sz w:val="22"/>
        </w:rPr>
        <w:t xml:space="preserve"> </w:t>
      </w:r>
      <w:r>
        <w:rPr>
          <w:rFonts w:ascii="Times New Roman" w:hAnsi="Times New Roman" w:hint="eastAsia"/>
          <w:sz w:val="22"/>
        </w:rPr>
        <w:t>m</w:t>
      </w:r>
      <w:r w:rsidRPr="007535C1">
        <w:rPr>
          <w:rFonts w:ascii="Times New Roman" w:hAnsi="Times New Roman" w:hint="eastAsia"/>
          <w:sz w:val="22"/>
          <w:vertAlign w:val="superscript"/>
        </w:rPr>
        <w:t>2</w:t>
      </w:r>
      <w:r>
        <w:rPr>
          <w:rFonts w:ascii="Times New Roman" w:hAnsi="Times New Roman" w:hint="eastAsia"/>
          <w:sz w:val="22"/>
        </w:rPr>
        <w:t>。</w:t>
      </w:r>
    </w:p>
    <w:p w:rsidR="0086125C" w:rsidRDefault="0086125C" w:rsidP="0086125C">
      <w:pPr>
        <w:adjustRightInd w:val="0"/>
        <w:snapToGrid w:val="0"/>
        <w:spacing w:line="300" w:lineRule="auto"/>
        <w:ind w:firstLineChars="200" w:firstLine="442"/>
        <w:jc w:val="left"/>
        <w:outlineLvl w:val="2"/>
        <w:rPr>
          <w:rFonts w:ascii="Times New Roman" w:hAnsi="Times New Roman"/>
          <w:b/>
          <w:color w:val="000000"/>
          <w:sz w:val="22"/>
        </w:rPr>
      </w:pPr>
      <w:bookmarkStart w:id="25" w:name="_Toc2728"/>
      <w:r>
        <w:rPr>
          <w:rFonts w:ascii="Times New Roman" w:hAnsi="Times New Roman"/>
          <w:b/>
          <w:color w:val="000000"/>
          <w:sz w:val="22"/>
        </w:rPr>
        <w:t xml:space="preserve">4 </w:t>
      </w:r>
      <w:r>
        <w:rPr>
          <w:rFonts w:ascii="Times New Roman" w:hAnsi="Times New Roman"/>
          <w:b/>
          <w:color w:val="000000"/>
          <w:sz w:val="22"/>
        </w:rPr>
        <w:t>招标范围与内容</w:t>
      </w:r>
      <w:bookmarkEnd w:id="25"/>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上海市浦东新区城市规划和公共艺术中心具有城市公共艺术传播展览、城市规划宣传解读两大功能，是集城市公共艺术展览、展示，艺术教育及知识普及，规划展示及规划评审、发布及研讨等功能于一体的展览类公共建筑。</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上海市浦东新区城市规划和公共艺术中心，开放时间：每周六天，周一至周六</w:t>
      </w:r>
      <w:r>
        <w:rPr>
          <w:rFonts w:ascii="Times New Roman" w:hAnsi="Times New Roman" w:hint="eastAsia"/>
          <w:color w:val="000000"/>
          <w:sz w:val="22"/>
        </w:rPr>
        <w:t>9:30-16:30(16:00</w:t>
      </w:r>
      <w:r>
        <w:rPr>
          <w:rFonts w:ascii="Times New Roman" w:hAnsi="Times New Roman" w:hint="eastAsia"/>
          <w:color w:val="000000"/>
          <w:sz w:val="22"/>
        </w:rPr>
        <w:t>停止入馆</w:t>
      </w:r>
      <w:r>
        <w:rPr>
          <w:rFonts w:ascii="Times New Roman" w:hAnsi="Times New Roman" w:hint="eastAsia"/>
          <w:color w:val="000000"/>
          <w:sz w:val="22"/>
        </w:rPr>
        <w:t>)</w:t>
      </w:r>
      <w:r>
        <w:rPr>
          <w:rFonts w:ascii="Times New Roman" w:hAnsi="Times New Roman" w:hint="eastAsia"/>
          <w:color w:val="000000"/>
          <w:sz w:val="22"/>
        </w:rPr>
        <w:t>，每周日闭馆。</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4.2 </w:t>
      </w:r>
      <w:r>
        <w:rPr>
          <w:rFonts w:ascii="Times New Roman" w:hAnsi="Times New Roman"/>
          <w:color w:val="000000"/>
          <w:sz w:val="22"/>
        </w:rPr>
        <w:t>项目招标范围及内容</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对上海市浦东新区城市规划和公共艺术中心实施全天候安保服务，并对其所有的建筑物、装饰物、地上地下停车场，以及所有的设备、设施、室内外公共区域、办公区域、展览展示区域（不含第三方专业技术服务及灯控、音控、机械等）、专项活动区域、设备用房等环境实施设备维护运转、房屋维护、保洁、会务、展陈等管理服务。</w:t>
      </w:r>
    </w:p>
    <w:p w:rsidR="0086125C" w:rsidRPr="004E2A97" w:rsidRDefault="0086125C" w:rsidP="0086125C">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hint="eastAsia"/>
          <w:sz w:val="22"/>
        </w:rPr>
        <w:t>一招三</w:t>
      </w:r>
      <w:r>
        <w:rPr>
          <w:rFonts w:ascii="Times New Roman" w:hAnsi="Times New Roman" w:hint="eastAsia"/>
          <w:kern w:val="0"/>
          <w:sz w:val="22"/>
        </w:rPr>
        <w:t>年，</w:t>
      </w:r>
      <w:r>
        <w:rPr>
          <w:rFonts w:ascii="Times New Roman" w:hAnsi="Times New Roman" w:hint="eastAsia"/>
          <w:sz w:val="22"/>
        </w:rPr>
        <w:t>合同一年一签</w:t>
      </w:r>
      <w:r>
        <w:rPr>
          <w:rFonts w:ascii="Times New Roman" w:hAnsi="Times New Roman"/>
          <w:kern w:val="0"/>
          <w:sz w:val="22"/>
        </w:rPr>
        <w:t>。</w:t>
      </w:r>
      <w:r w:rsidRPr="004E2A97">
        <w:rPr>
          <w:rFonts w:ascii="Times New Roman" w:hAnsi="Times New Roman"/>
          <w:kern w:val="0"/>
          <w:sz w:val="22"/>
        </w:rPr>
        <w:t>第一年</w:t>
      </w:r>
      <w:r w:rsidRPr="004E2A97">
        <w:rPr>
          <w:rFonts w:ascii="Times New Roman" w:hAnsi="Times New Roman"/>
          <w:color w:val="000000"/>
          <w:kern w:val="0"/>
          <w:sz w:val="22"/>
        </w:rPr>
        <w:t>暂定起讫日期为</w:t>
      </w:r>
      <w:r w:rsidRPr="004E2A97">
        <w:rPr>
          <w:rFonts w:ascii="Times New Roman" w:hAnsi="Times New Roman"/>
          <w:color w:val="000000"/>
          <w:kern w:val="0"/>
          <w:sz w:val="22"/>
        </w:rPr>
        <w:t>2024</w:t>
      </w:r>
      <w:r w:rsidRPr="004E2A97">
        <w:rPr>
          <w:rFonts w:ascii="Times New Roman" w:hAnsi="Times New Roman"/>
          <w:color w:val="000000"/>
          <w:kern w:val="0"/>
          <w:sz w:val="22"/>
        </w:rPr>
        <w:t>年</w:t>
      </w:r>
      <w:r w:rsidRPr="004E2A97">
        <w:rPr>
          <w:rFonts w:ascii="Times New Roman" w:hAnsi="Times New Roman"/>
          <w:color w:val="000000"/>
          <w:kern w:val="0"/>
          <w:sz w:val="22"/>
        </w:rPr>
        <w:t>1</w:t>
      </w:r>
      <w:r w:rsidRPr="004E2A97">
        <w:rPr>
          <w:rFonts w:ascii="Times New Roman" w:hAnsi="Times New Roman"/>
          <w:color w:val="000000"/>
          <w:kern w:val="0"/>
          <w:sz w:val="22"/>
        </w:rPr>
        <w:t>月</w:t>
      </w:r>
      <w:r w:rsidRPr="004E2A97">
        <w:rPr>
          <w:rFonts w:ascii="Times New Roman" w:hAnsi="Times New Roman"/>
          <w:color w:val="000000"/>
          <w:kern w:val="0"/>
          <w:sz w:val="22"/>
        </w:rPr>
        <w:t>1</w:t>
      </w:r>
      <w:r w:rsidRPr="004E2A97">
        <w:rPr>
          <w:rFonts w:ascii="Times New Roman" w:hAnsi="Times New Roman"/>
          <w:color w:val="000000"/>
          <w:kern w:val="0"/>
          <w:sz w:val="22"/>
        </w:rPr>
        <w:t>日起到</w:t>
      </w:r>
      <w:r w:rsidRPr="004E2A97">
        <w:rPr>
          <w:rFonts w:ascii="Times New Roman" w:hAnsi="Times New Roman"/>
          <w:color w:val="000000"/>
          <w:kern w:val="0"/>
          <w:sz w:val="22"/>
        </w:rPr>
        <w:t>2024</w:t>
      </w:r>
      <w:r w:rsidRPr="004E2A97">
        <w:rPr>
          <w:rFonts w:ascii="Times New Roman" w:hAnsi="Times New Roman"/>
          <w:color w:val="000000"/>
          <w:kern w:val="0"/>
          <w:sz w:val="22"/>
        </w:rPr>
        <w:t>年</w:t>
      </w:r>
      <w:r w:rsidRPr="004E2A97">
        <w:rPr>
          <w:rFonts w:ascii="Times New Roman" w:hAnsi="Times New Roman"/>
          <w:color w:val="000000"/>
          <w:kern w:val="0"/>
          <w:sz w:val="22"/>
        </w:rPr>
        <w:t>12</w:t>
      </w:r>
      <w:r w:rsidRPr="004E2A97">
        <w:rPr>
          <w:rFonts w:ascii="Times New Roman" w:hAnsi="Times New Roman"/>
          <w:color w:val="000000"/>
          <w:kern w:val="0"/>
          <w:sz w:val="22"/>
        </w:rPr>
        <w:t>月</w:t>
      </w:r>
      <w:r w:rsidRPr="004E2A97">
        <w:rPr>
          <w:rFonts w:ascii="Times New Roman" w:hAnsi="Times New Roman"/>
          <w:color w:val="000000"/>
          <w:kern w:val="0"/>
          <w:sz w:val="22"/>
        </w:rPr>
        <w:t>31</w:t>
      </w:r>
      <w:r w:rsidRPr="004E2A97">
        <w:rPr>
          <w:rFonts w:ascii="Times New Roman" w:hAnsi="Times New Roman"/>
          <w:color w:val="000000"/>
          <w:kern w:val="0"/>
          <w:sz w:val="22"/>
        </w:rPr>
        <w:t>日止，</w:t>
      </w:r>
      <w:r w:rsidRPr="004E2A97">
        <w:rPr>
          <w:rFonts w:ascii="Times New Roman" w:hAnsi="Times New Roman"/>
          <w:sz w:val="22"/>
        </w:rPr>
        <w:t>具体以合同签订日期为准</w:t>
      </w:r>
      <w:r w:rsidRPr="004E2A97">
        <w:rPr>
          <w:rFonts w:ascii="Times New Roman" w:hAnsi="Times New Roman"/>
          <w:color w:val="000000"/>
          <w:kern w:val="0"/>
          <w:sz w:val="22"/>
        </w:rPr>
        <w:t>。</w:t>
      </w:r>
    </w:p>
    <w:p w:rsidR="0086125C" w:rsidRDefault="0086125C" w:rsidP="0086125C">
      <w:pPr>
        <w:adjustRightInd w:val="0"/>
        <w:snapToGrid w:val="0"/>
        <w:spacing w:line="300" w:lineRule="auto"/>
        <w:ind w:firstLineChars="200" w:firstLine="442"/>
        <w:jc w:val="left"/>
        <w:outlineLvl w:val="2"/>
        <w:rPr>
          <w:rFonts w:ascii="Times New Roman" w:hAnsi="Times New Roman"/>
          <w:b/>
          <w:color w:val="000000"/>
          <w:sz w:val="22"/>
        </w:rPr>
      </w:pPr>
      <w:bookmarkStart w:id="26" w:name="_Toc14278"/>
      <w:bookmarkEnd w:id="13"/>
      <w:bookmarkEnd w:id="14"/>
      <w:r>
        <w:rPr>
          <w:rFonts w:ascii="Times New Roman" w:hAnsi="Times New Roman"/>
          <w:b/>
          <w:color w:val="000000"/>
          <w:sz w:val="22"/>
        </w:rPr>
        <w:t xml:space="preserve">5 </w:t>
      </w:r>
      <w:r>
        <w:rPr>
          <w:rFonts w:ascii="Times New Roman" w:hAnsi="Times New Roman"/>
          <w:b/>
          <w:color w:val="000000"/>
          <w:sz w:val="22"/>
        </w:rPr>
        <w:t>承包方式</w:t>
      </w:r>
      <w:bookmarkEnd w:id="26"/>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5.1</w:t>
      </w:r>
      <w:r>
        <w:rPr>
          <w:rFonts w:ascii="Times New Roman" w:hAnsi="Times New Roman" w:hint="eastAsia"/>
          <w:color w:val="000000"/>
          <w:sz w:val="22"/>
        </w:rPr>
        <w:t>服务方式为“清包”。“清包”的含义是指：采购人按双方约定的物业员工人数，每季度向中标人支付物业管理费（物业管理费包括人员成本、企业管理费、管理酬金及税金</w:t>
      </w:r>
      <w:r>
        <w:rPr>
          <w:rFonts w:ascii="Times New Roman" w:hAnsi="Times New Roman" w:hint="eastAsia"/>
          <w:color w:val="000000"/>
          <w:sz w:val="22"/>
        </w:rPr>
        <w:t>4</w:t>
      </w:r>
      <w:r>
        <w:rPr>
          <w:rFonts w:ascii="Times New Roman" w:hAnsi="Times New Roman" w:hint="eastAsia"/>
          <w:color w:val="000000"/>
          <w:sz w:val="22"/>
        </w:rPr>
        <w:t>项费用；其中人员成本包括员工工资、工作午餐、服装费、福利费、社保金和公积金等</w:t>
      </w:r>
      <w:r>
        <w:rPr>
          <w:rFonts w:ascii="Times New Roman" w:hAnsi="Times New Roman" w:hint="eastAsia"/>
          <w:color w:val="000000"/>
          <w:sz w:val="22"/>
        </w:rPr>
        <w:t>6</w:t>
      </w:r>
      <w:r>
        <w:rPr>
          <w:rFonts w:ascii="Times New Roman" w:hAnsi="Times New Roman" w:hint="eastAsia"/>
          <w:color w:val="000000"/>
          <w:sz w:val="22"/>
        </w:rPr>
        <w:t>项费用）。</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5.2</w:t>
      </w:r>
      <w:r>
        <w:rPr>
          <w:rFonts w:ascii="Times New Roman" w:hAnsi="Times New Roman" w:hint="eastAsia"/>
          <w:color w:val="000000"/>
          <w:sz w:val="22"/>
        </w:rPr>
        <w:t>中标人受采购人委托开展场馆内的家具、电器、办公设备等固定资产清点、登记等管理工作。</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3</w:t>
      </w:r>
      <w:r>
        <w:rPr>
          <w:rFonts w:ascii="Times New Roman" w:hAnsi="Times New Roman"/>
          <w:color w:val="0000FF"/>
          <w:sz w:val="22"/>
        </w:rPr>
        <w:t>本项目不允许分包。</w:t>
      </w:r>
    </w:p>
    <w:p w:rsidR="0086125C" w:rsidRDefault="0086125C" w:rsidP="0086125C">
      <w:pPr>
        <w:adjustRightInd w:val="0"/>
        <w:snapToGrid w:val="0"/>
        <w:spacing w:line="300" w:lineRule="auto"/>
        <w:ind w:firstLineChars="200" w:firstLine="442"/>
        <w:jc w:val="left"/>
        <w:outlineLvl w:val="2"/>
        <w:rPr>
          <w:rFonts w:ascii="Times New Roman" w:hAnsi="Times New Roman"/>
          <w:b/>
          <w:color w:val="000000"/>
          <w:sz w:val="22"/>
        </w:rPr>
      </w:pPr>
      <w:bookmarkStart w:id="27" w:name="_Toc29994"/>
      <w:r>
        <w:rPr>
          <w:rFonts w:ascii="Times New Roman" w:hAnsi="Times New Roman"/>
          <w:b/>
          <w:color w:val="000000"/>
          <w:sz w:val="22"/>
        </w:rPr>
        <w:t xml:space="preserve">6 </w:t>
      </w:r>
      <w:r>
        <w:rPr>
          <w:rFonts w:ascii="Times New Roman" w:hAnsi="Times New Roman"/>
          <w:b/>
          <w:color w:val="000000"/>
          <w:sz w:val="22"/>
        </w:rPr>
        <w:t>合同的签订</w:t>
      </w:r>
      <w:bookmarkEnd w:id="27"/>
    </w:p>
    <w:p w:rsidR="0086125C" w:rsidRDefault="0086125C" w:rsidP="0086125C">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86125C" w:rsidRDefault="0086125C" w:rsidP="0086125C">
      <w:pPr>
        <w:adjustRightInd w:val="0"/>
        <w:snapToGrid w:val="0"/>
        <w:spacing w:line="300" w:lineRule="auto"/>
        <w:ind w:firstLineChars="200" w:firstLine="440"/>
        <w:jc w:val="left"/>
        <w:rPr>
          <w:rFonts w:ascii="Times New Roman" w:hAnsi="Times New Roman"/>
          <w:b/>
          <w:bCs/>
          <w:sz w:val="22"/>
        </w:rPr>
      </w:pPr>
      <w:r>
        <w:rPr>
          <w:rFonts w:ascii="Times New Roman" w:hAnsi="Times New Roman"/>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86125C" w:rsidRDefault="0086125C" w:rsidP="0086125C">
      <w:pPr>
        <w:adjustRightInd w:val="0"/>
        <w:snapToGrid w:val="0"/>
        <w:spacing w:line="300" w:lineRule="auto"/>
        <w:ind w:firstLineChars="200" w:firstLine="442"/>
        <w:jc w:val="left"/>
        <w:outlineLvl w:val="2"/>
        <w:rPr>
          <w:rFonts w:ascii="Times New Roman" w:hAnsi="Times New Roman"/>
          <w:sz w:val="22"/>
        </w:rPr>
      </w:pPr>
      <w:bookmarkStart w:id="28" w:name="_Toc1586"/>
      <w:r>
        <w:rPr>
          <w:rFonts w:ascii="Times New Roman" w:hAnsi="Times New Roman"/>
          <w:b/>
          <w:color w:val="000000"/>
          <w:sz w:val="22"/>
        </w:rPr>
        <w:t xml:space="preserve">7 </w:t>
      </w:r>
      <w:r>
        <w:rPr>
          <w:rFonts w:ascii="Times New Roman" w:hAnsi="Times New Roman"/>
          <w:b/>
          <w:color w:val="000000"/>
          <w:sz w:val="22"/>
        </w:rPr>
        <w:t>结算原则和支付方式</w:t>
      </w:r>
      <w:bookmarkEnd w:id="28"/>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Times New Roman" w:hint="eastAsia"/>
          <w:color w:val="000000"/>
          <w:sz w:val="22"/>
        </w:rPr>
        <w:t xml:space="preserve"> </w:t>
      </w:r>
      <w:r>
        <w:rPr>
          <w:rFonts w:ascii="Times New Roman" w:hAnsi="Times New Roman" w:hint="eastAsia"/>
          <w:color w:val="000000"/>
          <w:sz w:val="22"/>
        </w:rPr>
        <w:t>第一年度的合同价即中标价。自第二年度起，中标服务单价中除社保金最低缴纳基数、公积金缴纳下限标准和员工最低月工资标准随国家政策调整而相应变动外，其余费用标准不变。变动部分经核算后计入当年度的合同价中，当年度的实际合同价以经核定的实际服务内容确定，合同最终金额以财政下达金额为准。</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本项目合同金额采用分期付款方式，在采购人和中标人合同签订、且财政资金到位后，原则上每季度发放一次，先服务，后支付。</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采购人将对中标人的员工服务费（工资、工作午餐费、服装费、福利费、社保金、公积金等）发放情况进行全过程监督。</w:t>
      </w:r>
    </w:p>
    <w:p w:rsidR="0086125C" w:rsidRDefault="0086125C" w:rsidP="0086125C">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7.3</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p>
    <w:p w:rsidR="0086125C" w:rsidRDefault="0086125C" w:rsidP="0086125C">
      <w:pPr>
        <w:snapToGrid w:val="0"/>
        <w:spacing w:line="300" w:lineRule="auto"/>
        <w:ind w:firstLineChars="200" w:firstLine="400"/>
        <w:jc w:val="left"/>
        <w:rPr>
          <w:rFonts w:ascii="Times New Roman" w:hAnsi="Times New Roman"/>
          <w:color w:val="000000"/>
          <w:sz w:val="20"/>
          <w:szCs w:val="20"/>
        </w:rPr>
      </w:pPr>
    </w:p>
    <w:p w:rsidR="0086125C" w:rsidRDefault="0086125C" w:rsidP="0086125C">
      <w:pPr>
        <w:adjustRightInd w:val="0"/>
        <w:snapToGrid w:val="0"/>
        <w:spacing w:line="300" w:lineRule="auto"/>
        <w:jc w:val="center"/>
        <w:outlineLvl w:val="1"/>
        <w:rPr>
          <w:rFonts w:ascii="Times New Roman" w:eastAsia="黑体" w:hAnsi="Times New Roman"/>
          <w:sz w:val="30"/>
          <w:szCs w:val="30"/>
        </w:rPr>
      </w:pPr>
      <w:bookmarkStart w:id="29" w:name="_Toc28977"/>
      <w:r>
        <w:rPr>
          <w:rFonts w:ascii="Times New Roman" w:eastAsia="黑体" w:hAnsi="Times New Roman"/>
          <w:sz w:val="30"/>
          <w:szCs w:val="30"/>
        </w:rPr>
        <w:t>三、技术质量要求</w:t>
      </w:r>
      <w:bookmarkEnd w:id="15"/>
      <w:bookmarkEnd w:id="16"/>
      <w:bookmarkEnd w:id="29"/>
    </w:p>
    <w:p w:rsidR="0086125C" w:rsidRDefault="0086125C" w:rsidP="0086125C">
      <w:pPr>
        <w:adjustRightInd w:val="0"/>
        <w:snapToGrid w:val="0"/>
        <w:spacing w:line="300" w:lineRule="auto"/>
        <w:ind w:firstLineChars="200" w:firstLine="442"/>
        <w:outlineLvl w:val="2"/>
        <w:rPr>
          <w:rFonts w:ascii="Times New Roman" w:hAnsi="Times New Roman"/>
          <w:b/>
          <w:bCs/>
          <w:sz w:val="22"/>
        </w:rPr>
      </w:pPr>
      <w:bookmarkStart w:id="30" w:name="_Toc10460"/>
      <w:bookmarkEnd w:id="17"/>
      <w:bookmarkEnd w:id="18"/>
      <w:bookmarkEnd w:id="19"/>
      <w:bookmarkEnd w:id="20"/>
      <w:r>
        <w:rPr>
          <w:rFonts w:ascii="Times New Roman" w:hAnsi="Times New Roman"/>
          <w:b/>
          <w:bCs/>
          <w:sz w:val="22"/>
        </w:rPr>
        <w:lastRenderedPageBreak/>
        <w:t xml:space="preserve">8 </w:t>
      </w:r>
      <w:r>
        <w:rPr>
          <w:rFonts w:ascii="Times New Roman" w:hAnsi="Times New Roman"/>
          <w:b/>
          <w:bCs/>
          <w:sz w:val="22"/>
        </w:rPr>
        <w:t>适用技术规范和规范性文件</w:t>
      </w:r>
      <w:bookmarkEnd w:id="30"/>
    </w:p>
    <w:p w:rsidR="0086125C" w:rsidRDefault="0086125C" w:rsidP="0086125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86125C" w:rsidRDefault="0086125C" w:rsidP="0086125C">
      <w:pPr>
        <w:adjustRightInd w:val="0"/>
        <w:snapToGrid w:val="0"/>
        <w:spacing w:line="300" w:lineRule="auto"/>
        <w:ind w:firstLineChars="200" w:firstLine="442"/>
        <w:outlineLvl w:val="2"/>
        <w:rPr>
          <w:rFonts w:ascii="Times New Roman" w:hAnsi="Times New Roman"/>
          <w:b/>
          <w:bCs/>
          <w:sz w:val="22"/>
        </w:rPr>
      </w:pPr>
      <w:bookmarkStart w:id="31" w:name="_Toc24339"/>
      <w:r>
        <w:rPr>
          <w:rFonts w:ascii="Times New Roman" w:hAnsi="Times New Roman"/>
          <w:b/>
          <w:bCs/>
          <w:sz w:val="22"/>
        </w:rPr>
        <w:t xml:space="preserve">9 </w:t>
      </w:r>
      <w:r>
        <w:rPr>
          <w:rFonts w:ascii="Times New Roman" w:hAnsi="Times New Roman"/>
          <w:b/>
          <w:bCs/>
          <w:sz w:val="22"/>
        </w:rPr>
        <w:t>招标内容与质量要求</w:t>
      </w:r>
      <w:bookmarkEnd w:id="31"/>
    </w:p>
    <w:p w:rsidR="0086125C" w:rsidRPr="006D4DA5" w:rsidRDefault="0086125C" w:rsidP="0086125C">
      <w:pPr>
        <w:adjustRightInd w:val="0"/>
        <w:snapToGrid w:val="0"/>
        <w:spacing w:line="300" w:lineRule="auto"/>
        <w:ind w:firstLineChars="200" w:firstLine="440"/>
        <w:jc w:val="left"/>
        <w:outlineLvl w:val="3"/>
        <w:rPr>
          <w:rFonts w:ascii="Times New Roman" w:hAnsi="Times New Roman"/>
          <w:bCs/>
          <w:sz w:val="22"/>
        </w:rPr>
      </w:pPr>
      <w:r>
        <w:rPr>
          <w:rFonts w:ascii="Times New Roman" w:hAnsi="Times New Roman"/>
          <w:bCs/>
          <w:sz w:val="22"/>
        </w:rPr>
        <w:t xml:space="preserve">9.1 </w:t>
      </w:r>
      <w:r w:rsidRPr="006D4DA5">
        <w:rPr>
          <w:rFonts w:ascii="Times New Roman" w:hAnsi="Times New Roman"/>
          <w:bCs/>
          <w:sz w:val="22"/>
        </w:rPr>
        <w:t>岗位设置一览表</w:t>
      </w:r>
    </w:p>
    <w:tbl>
      <w:tblPr>
        <w:tblStyle w:val="affe"/>
        <w:tblW w:w="4800" w:type="pct"/>
        <w:jc w:val="center"/>
        <w:tblInd w:w="390" w:type="dxa"/>
        <w:tblLook w:val="04A0" w:firstRow="1" w:lastRow="0" w:firstColumn="1" w:lastColumn="0" w:noHBand="0" w:noVBand="1"/>
      </w:tblPr>
      <w:tblGrid>
        <w:gridCol w:w="998"/>
        <w:gridCol w:w="2887"/>
        <w:gridCol w:w="2789"/>
        <w:gridCol w:w="2787"/>
      </w:tblGrid>
      <w:tr w:rsidR="0086125C" w:rsidRPr="006D4DA5" w:rsidTr="00F7336C">
        <w:trPr>
          <w:trHeight w:val="499"/>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序号</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岗位名称</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建议配置岗位数</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建议配置人工数</w:t>
            </w:r>
          </w:p>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（最低要求）</w:t>
            </w:r>
          </w:p>
        </w:tc>
      </w:tr>
      <w:tr w:rsidR="0086125C" w:rsidRPr="006D4DA5" w:rsidTr="00F7336C">
        <w:trPr>
          <w:trHeight w:val="437"/>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1</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综合管理</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5</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5</w:t>
            </w:r>
          </w:p>
        </w:tc>
      </w:tr>
      <w:tr w:rsidR="0086125C" w:rsidRPr="006D4DA5" w:rsidTr="00F7336C">
        <w:trPr>
          <w:trHeight w:val="415"/>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2</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设施设备服务</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11</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24</w:t>
            </w:r>
          </w:p>
        </w:tc>
      </w:tr>
      <w:tr w:rsidR="0086125C" w:rsidRPr="006D4DA5" w:rsidTr="00F7336C">
        <w:trPr>
          <w:trHeight w:val="421"/>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3</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保洁服务</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17</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28</w:t>
            </w:r>
          </w:p>
        </w:tc>
      </w:tr>
      <w:tr w:rsidR="0086125C" w:rsidRPr="006D4DA5" w:rsidTr="00F7336C">
        <w:trPr>
          <w:trHeight w:val="412"/>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4</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保安服务</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19</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45</w:t>
            </w:r>
          </w:p>
        </w:tc>
      </w:tr>
      <w:tr w:rsidR="0086125C" w:rsidRPr="006D4DA5" w:rsidTr="00F7336C">
        <w:trPr>
          <w:trHeight w:val="405"/>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5</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会务服务</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4</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10</w:t>
            </w:r>
          </w:p>
        </w:tc>
      </w:tr>
      <w:tr w:rsidR="0086125C" w:rsidRPr="006D4DA5" w:rsidTr="00F7336C">
        <w:trPr>
          <w:trHeight w:val="406"/>
          <w:jc w:val="center"/>
        </w:trPr>
        <w:tc>
          <w:tcPr>
            <w:tcW w:w="527"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6</w:t>
            </w:r>
          </w:p>
        </w:tc>
        <w:tc>
          <w:tcPr>
            <w:tcW w:w="1525"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展陈服务</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24</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31</w:t>
            </w:r>
          </w:p>
        </w:tc>
      </w:tr>
      <w:tr w:rsidR="0086125C" w:rsidRPr="006D4DA5" w:rsidTr="00F7336C">
        <w:trPr>
          <w:trHeight w:val="411"/>
          <w:jc w:val="center"/>
        </w:trPr>
        <w:tc>
          <w:tcPr>
            <w:tcW w:w="2053" w:type="pct"/>
            <w:gridSpan w:val="2"/>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合计人数</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80</w:t>
            </w:r>
          </w:p>
        </w:tc>
        <w:tc>
          <w:tcPr>
            <w:tcW w:w="1474" w:type="pct"/>
            <w:vAlign w:val="center"/>
          </w:tcPr>
          <w:p w:rsidR="0086125C" w:rsidRPr="006D4DA5" w:rsidRDefault="0086125C" w:rsidP="00F7336C">
            <w:pPr>
              <w:spacing w:line="300" w:lineRule="auto"/>
              <w:jc w:val="center"/>
              <w:rPr>
                <w:rFonts w:ascii="Times New Roman" w:eastAsiaTheme="minorEastAsia" w:hAnsi="Times New Roman"/>
                <w:bCs/>
                <w:kern w:val="0"/>
                <w:sz w:val="22"/>
                <w:szCs w:val="20"/>
              </w:rPr>
            </w:pPr>
            <w:r w:rsidRPr="006D4DA5">
              <w:rPr>
                <w:rFonts w:ascii="Times New Roman" w:eastAsiaTheme="minorEastAsia" w:hAnsi="Times New Roman"/>
                <w:bCs/>
                <w:kern w:val="0"/>
                <w:sz w:val="22"/>
                <w:szCs w:val="20"/>
              </w:rPr>
              <w:t>143</w:t>
            </w:r>
          </w:p>
        </w:tc>
      </w:tr>
    </w:tbl>
    <w:p w:rsidR="0086125C" w:rsidRDefault="0086125C" w:rsidP="0086125C">
      <w:pPr>
        <w:adjustRightInd w:val="0"/>
        <w:snapToGrid w:val="0"/>
        <w:spacing w:line="300" w:lineRule="auto"/>
        <w:ind w:firstLineChars="200" w:firstLine="442"/>
        <w:jc w:val="left"/>
        <w:rPr>
          <w:rFonts w:ascii="Times New Roman" w:hAnsi="Times New Roman" w:cs="宋体"/>
          <w:b/>
          <w:bCs/>
          <w:color w:val="0000FF"/>
          <w:sz w:val="22"/>
        </w:rPr>
      </w:pPr>
      <w:r>
        <w:rPr>
          <w:rFonts w:ascii="Times New Roman" w:hAnsi="Times New Roman" w:cs="宋体" w:hint="eastAsia"/>
          <w:b/>
          <w:bCs/>
          <w:color w:val="0000FF"/>
          <w:sz w:val="22"/>
        </w:rPr>
        <w:t>说明：投标人的各岗位配置标准不得低于表内岗位配置数要求。</w:t>
      </w:r>
    </w:p>
    <w:p w:rsidR="0086125C" w:rsidRDefault="0086125C" w:rsidP="0086125C">
      <w:pPr>
        <w:adjustRightInd w:val="0"/>
        <w:snapToGrid w:val="0"/>
        <w:spacing w:line="300" w:lineRule="auto"/>
        <w:ind w:firstLineChars="200" w:firstLine="442"/>
        <w:jc w:val="left"/>
        <w:rPr>
          <w:rFonts w:ascii="Times New Roman" w:hAnsi="Times New Roman"/>
          <w:b/>
          <w:color w:val="FF0000"/>
          <w:kern w:val="0"/>
          <w:sz w:val="22"/>
          <w:u w:val="single"/>
        </w:rPr>
      </w:pPr>
    </w:p>
    <w:p w:rsidR="0086125C" w:rsidRDefault="0086125C" w:rsidP="0086125C">
      <w:pPr>
        <w:adjustRightInd w:val="0"/>
        <w:snapToGrid w:val="0"/>
        <w:spacing w:line="300" w:lineRule="auto"/>
        <w:ind w:firstLineChars="200" w:firstLine="440"/>
        <w:jc w:val="left"/>
        <w:outlineLvl w:val="3"/>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86125C" w:rsidRDefault="0086125C" w:rsidP="0086125C">
      <w:pPr>
        <w:ind w:firstLineChars="200" w:firstLine="440"/>
        <w:outlineLvl w:val="4"/>
        <w:rPr>
          <w:rFonts w:ascii="Times New Roman" w:eastAsiaTheme="minorEastAsia" w:hAnsi="Times New Roman"/>
          <w:sz w:val="22"/>
        </w:rPr>
      </w:pPr>
      <w:r>
        <w:rPr>
          <w:rFonts w:ascii="Times New Roman" w:eastAsiaTheme="minorEastAsia" w:hAnsi="Times New Roman"/>
          <w:sz w:val="22"/>
        </w:rPr>
        <w:t>9.2.1</w:t>
      </w:r>
      <w:r>
        <w:rPr>
          <w:rFonts w:ascii="Times New Roman" w:eastAsiaTheme="minorEastAsia" w:hAnsi="Times New Roman" w:hint="eastAsia"/>
          <w:sz w:val="22"/>
        </w:rPr>
        <w:t xml:space="preserve"> </w:t>
      </w:r>
      <w:r>
        <w:rPr>
          <w:rFonts w:ascii="Times New Roman" w:eastAsiaTheme="minorEastAsia" w:hAnsi="Times New Roman"/>
          <w:sz w:val="22"/>
        </w:rPr>
        <w:t>组织架构</w:t>
      </w:r>
    </w:p>
    <w:p w:rsidR="0086125C" w:rsidRDefault="0086125C" w:rsidP="0086125C">
      <w:pPr>
        <w:ind w:firstLine="440"/>
        <w:jc w:val="center"/>
        <w:rPr>
          <w:rFonts w:ascii="仿宋" w:eastAsia="仿宋" w:hAnsi="仿宋" w:cs="仿宋"/>
          <w:bCs/>
          <w:sz w:val="22"/>
        </w:rPr>
      </w:pPr>
      <w:r>
        <w:rPr>
          <w:rFonts w:ascii="仿宋" w:eastAsia="仿宋" w:hAnsi="仿宋" w:cs="仿宋" w:hint="eastAsia"/>
          <w:bCs/>
          <w:noProof/>
          <w:sz w:val="22"/>
        </w:rPr>
        <w:drawing>
          <wp:inline distT="0" distB="0" distL="114300" distR="114300" wp14:anchorId="45D94946" wp14:editId="3BDCCEEF">
            <wp:extent cx="5641340" cy="2367280"/>
            <wp:effectExtent l="0" t="0" r="16510" b="0"/>
            <wp:docPr id="1" name="图示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6125C" w:rsidRDefault="0086125C" w:rsidP="0086125C">
      <w:pPr>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9.2.2</w:t>
      </w:r>
      <w:r>
        <w:rPr>
          <w:rFonts w:ascii="Times New Roman" w:eastAsiaTheme="minorEastAsia" w:hAnsi="Times New Roman" w:hint="eastAsia"/>
          <w:sz w:val="22"/>
        </w:rPr>
        <w:t>管理制度</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投标人应结合本项目实际需求，制定完善的管理制度，旨在加强内部管理，完成管理服务任务，实现管理服务目标；坚持优质服务，提高保障水平；加强队伍建设，提高员工思想素质和业务技能；加强设备、工具和易耗品管理、建立突发事件应急预案、职工奖惩方案、完善考勤等一整套规章制度及具体落实计划。</w:t>
      </w:r>
    </w:p>
    <w:p w:rsidR="0086125C" w:rsidRDefault="0086125C" w:rsidP="0086125C">
      <w:pPr>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9.2.3</w:t>
      </w:r>
      <w:r>
        <w:rPr>
          <w:rFonts w:ascii="Times New Roman" w:eastAsiaTheme="minorEastAsia" w:hAnsi="Times New Roman" w:hint="eastAsia"/>
          <w:sz w:val="22"/>
        </w:rPr>
        <w:t>管理团队要求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1</w:t>
      </w:r>
      <w:r>
        <w:rPr>
          <w:rFonts w:ascii="Times New Roman" w:eastAsiaTheme="minorEastAsia" w:hAnsi="Times New Roman"/>
          <w:sz w:val="22"/>
        </w:rPr>
        <w:t>）树立正确的物业管理观念，以</w:t>
      </w:r>
      <w:r w:rsidRPr="006D4DA5">
        <w:rPr>
          <w:rFonts w:asciiTheme="minorEastAsia" w:eastAsiaTheme="minorEastAsia" w:hAnsiTheme="minorEastAsia"/>
          <w:sz w:val="22"/>
        </w:rPr>
        <w:t>“服务至上，客户第一”</w:t>
      </w:r>
      <w:r>
        <w:rPr>
          <w:rFonts w:ascii="Times New Roman" w:eastAsiaTheme="minorEastAsia" w:hAnsi="Times New Roman"/>
          <w:sz w:val="22"/>
        </w:rPr>
        <w:t>为管理宗旨，不断提高良好信誉、不断加强科学管理，做好服务工作。</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sz w:val="22"/>
        </w:rPr>
        <w:t>）无等级安全事故，无工伤伤亡事故，无因工作不当造成建筑和设备设施严重损坏事故。</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lastRenderedPageBreak/>
        <w:t>（</w:t>
      </w:r>
      <w:r>
        <w:rPr>
          <w:rFonts w:ascii="Times New Roman" w:eastAsiaTheme="minorEastAsia" w:hAnsi="Times New Roman"/>
          <w:sz w:val="22"/>
        </w:rPr>
        <w:t>3</w:t>
      </w:r>
      <w:r>
        <w:rPr>
          <w:rFonts w:ascii="Times New Roman" w:eastAsiaTheme="minorEastAsia" w:hAnsi="Times New Roman"/>
          <w:sz w:val="22"/>
        </w:rPr>
        <w:t>）无脏乱现象和卫生不洁死角，无严重责任疏漏事故。</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4</w:t>
      </w:r>
      <w:r>
        <w:rPr>
          <w:rFonts w:ascii="Times New Roman" w:eastAsiaTheme="minorEastAsia" w:hAnsi="Times New Roman"/>
          <w:sz w:val="22"/>
        </w:rPr>
        <w:t>）优质服务，规范服务，提供方便、及时和舒适的人性化服务，让业主满意。</w:t>
      </w:r>
    </w:p>
    <w:p w:rsidR="0086125C" w:rsidRDefault="0086125C" w:rsidP="0086125C">
      <w:pPr>
        <w:spacing w:line="300" w:lineRule="auto"/>
        <w:ind w:firstLineChars="200" w:firstLine="440"/>
        <w:outlineLvl w:val="3"/>
        <w:rPr>
          <w:rFonts w:ascii="Times New Roman" w:eastAsiaTheme="minorEastAsia" w:hAnsi="Times New Roman"/>
          <w:sz w:val="22"/>
        </w:rPr>
      </w:pPr>
      <w:r>
        <w:rPr>
          <w:rFonts w:ascii="Times New Roman" w:eastAsiaTheme="minorEastAsia" w:hAnsi="Times New Roman" w:hint="eastAsia"/>
          <w:sz w:val="22"/>
        </w:rPr>
        <w:t xml:space="preserve">9.3 </w:t>
      </w:r>
      <w:r>
        <w:rPr>
          <w:rFonts w:ascii="Times New Roman" w:eastAsiaTheme="minorEastAsia" w:hAnsi="Times New Roman" w:hint="eastAsia"/>
          <w:sz w:val="22"/>
        </w:rPr>
        <w:t>各岗位具体服务要求</w:t>
      </w:r>
    </w:p>
    <w:p w:rsidR="0086125C" w:rsidRDefault="0086125C" w:rsidP="0086125C">
      <w:pPr>
        <w:spacing w:line="300" w:lineRule="auto"/>
        <w:ind w:firstLineChars="200" w:firstLine="440"/>
        <w:outlineLvl w:val="4"/>
        <w:rPr>
          <w:rFonts w:ascii="Times New Roman" w:eastAsiaTheme="minorEastAsia" w:hAnsi="Times New Roman"/>
          <w:sz w:val="22"/>
        </w:rPr>
      </w:pPr>
      <w:r w:rsidRPr="001A3CD3">
        <w:rPr>
          <w:rFonts w:ascii="Times New Roman" w:eastAsiaTheme="minorEastAsia" w:hAnsi="Times New Roman" w:hint="eastAsia"/>
          <w:sz w:val="22"/>
        </w:rPr>
        <w:t xml:space="preserve">9.3.1 </w:t>
      </w:r>
      <w:r w:rsidRPr="001A3CD3">
        <w:rPr>
          <w:rFonts w:ascii="Times New Roman" w:eastAsiaTheme="minorEastAsia" w:hAnsi="Times New Roman" w:hint="eastAsia"/>
          <w:sz w:val="22"/>
        </w:rPr>
        <w:t>综合管理</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9.3.1.1</w:t>
      </w:r>
      <w:r>
        <w:rPr>
          <w:rFonts w:ascii="Times New Roman" w:eastAsiaTheme="minorEastAsia" w:hAnsi="Times New Roman"/>
          <w:sz w:val="22"/>
        </w:rPr>
        <w:t>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等），方案需实用具有可操作性，及时处理每一项紧急状态与紧急事故，并做好善后与防范工作；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负责接听电话，及时分配报修等任务；负责物料库存管理，制定每月物料采购计划；制定并落实节假日值班人员名单；负责员工资料、必要物耗、办公用品等数据的汇总、统计；负责起草工作报告等书面材料；完成采购人交办的各项工作；定期向采购人汇报工作近况，及时反馈重大事件等。</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中标人需对采购人与第三方签订合同的项目做好日常监督监管，中标人需接受采购方委托，参与项目最终验收；中标人需根据采购单位不断更新完善的运营管理制度做好服务保障。</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做好其他馆方要求的工作，工作内容接受馆方的指派和调剂。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统管本服务项目相关事宜，做好内部管理工作（包括但不限于：品质管理、消防安全、财务及人事管理、仓库管理等），中标人需就浦东新区在本项目内举行的各类重大活动，提供相应配合及服务工作。</w:t>
      </w:r>
      <w:r>
        <w:rPr>
          <w:rFonts w:ascii="Times New Roman" w:eastAsiaTheme="minorEastAsia" w:hAnsi="Times New Roman" w:hint="eastAsia"/>
          <w:sz w:val="22"/>
        </w:rPr>
        <w:t>相关部门</w:t>
      </w:r>
      <w:r>
        <w:rPr>
          <w:rFonts w:ascii="Times New Roman" w:eastAsiaTheme="minorEastAsia" w:hAnsi="Times New Roman"/>
          <w:sz w:val="22"/>
        </w:rPr>
        <w:t>上班时间不晚于</w:t>
      </w:r>
      <w:r>
        <w:rPr>
          <w:rFonts w:ascii="Times New Roman" w:eastAsiaTheme="minorEastAsia" w:hAnsi="Times New Roman"/>
          <w:sz w:val="22"/>
        </w:rPr>
        <w:t>8:30</w:t>
      </w:r>
      <w:r>
        <w:rPr>
          <w:rFonts w:ascii="Times New Roman" w:eastAsiaTheme="minorEastAsia" w:hAnsi="Times New Roman"/>
          <w:sz w:val="22"/>
        </w:rPr>
        <w:t>，下班时间不早于</w:t>
      </w:r>
      <w:r>
        <w:rPr>
          <w:rFonts w:ascii="Times New Roman" w:eastAsiaTheme="minorEastAsia" w:hAnsi="Times New Roman"/>
          <w:sz w:val="22"/>
        </w:rPr>
        <w:t>17:30</w:t>
      </w:r>
      <w:r>
        <w:rPr>
          <w:rFonts w:ascii="Times New Roman" w:eastAsiaTheme="minorEastAsia" w:hAnsi="Times New Roman" w:hint="eastAsia"/>
          <w:sz w:val="22"/>
        </w:rPr>
        <w:t>（具体各岗位上下班时间以后文具体需求为准）。</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9.3.1.2</w:t>
      </w:r>
      <w:r>
        <w:rPr>
          <w:rFonts w:ascii="Times New Roman" w:eastAsiaTheme="minorEastAsia" w:hAnsi="Times New Roman" w:hint="eastAsia"/>
          <w:sz w:val="22"/>
        </w:rPr>
        <w:t>人员自身要求：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原则上不超过国家法定退休年龄；身心健康；无违法犯罪记录；具备大专及以上学历；具备组织协调能力；具备较强的服务意识与责任感；能够熟练使用</w:t>
      </w:r>
      <w:r>
        <w:rPr>
          <w:rFonts w:ascii="Times New Roman" w:eastAsiaTheme="minorEastAsia" w:hAnsi="Times New Roman"/>
          <w:sz w:val="22"/>
        </w:rPr>
        <w:t>Word</w:t>
      </w:r>
      <w:r>
        <w:rPr>
          <w:rFonts w:ascii="Times New Roman" w:eastAsiaTheme="minorEastAsia" w:hAnsi="Times New Roman"/>
          <w:sz w:val="22"/>
        </w:rPr>
        <w:t>、</w:t>
      </w:r>
      <w:r>
        <w:rPr>
          <w:rFonts w:ascii="Times New Roman" w:eastAsiaTheme="minorEastAsia" w:hAnsi="Times New Roman"/>
          <w:sz w:val="22"/>
        </w:rPr>
        <w:t>Excel</w:t>
      </w:r>
      <w:r>
        <w:rPr>
          <w:rFonts w:ascii="Times New Roman" w:eastAsiaTheme="minorEastAsia" w:hAnsi="Times New Roman"/>
          <w:sz w:val="22"/>
        </w:rPr>
        <w:t>等</w:t>
      </w:r>
      <w:r>
        <w:rPr>
          <w:rFonts w:ascii="Times New Roman" w:eastAsiaTheme="minorEastAsia" w:hAnsi="Times New Roman"/>
          <w:sz w:val="22"/>
        </w:rPr>
        <w:t>Office</w:t>
      </w:r>
      <w:r>
        <w:rPr>
          <w:rFonts w:ascii="Times New Roman" w:eastAsiaTheme="minorEastAsia" w:hAnsi="Times New Roman"/>
          <w:sz w:val="22"/>
        </w:rPr>
        <w:t>软件；具备一定的文字能力；工作认真、负责、踏实、仔细；其中，项目经理如有物业管理相关证书请提供，具备</w:t>
      </w:r>
      <w:r>
        <w:rPr>
          <w:rFonts w:ascii="Times New Roman" w:eastAsiaTheme="minorEastAsia" w:hAnsi="Times New Roman"/>
          <w:sz w:val="22"/>
        </w:rPr>
        <w:t>10</w:t>
      </w:r>
      <w:r>
        <w:rPr>
          <w:rFonts w:ascii="Times New Roman" w:eastAsiaTheme="minorEastAsia" w:hAnsi="Times New Roman"/>
          <w:sz w:val="22"/>
        </w:rPr>
        <w:t>年以上工作经验及</w:t>
      </w:r>
      <w:r>
        <w:rPr>
          <w:rFonts w:ascii="Times New Roman" w:eastAsiaTheme="minorEastAsia" w:hAnsi="Times New Roman"/>
          <w:sz w:val="22"/>
        </w:rPr>
        <w:t>5</w:t>
      </w:r>
      <w:r>
        <w:rPr>
          <w:rFonts w:ascii="Times New Roman" w:eastAsiaTheme="minorEastAsia" w:hAnsi="Times New Roman"/>
          <w:sz w:val="22"/>
        </w:rPr>
        <w:t>年以上相关岗位管理经验。</w:t>
      </w:r>
    </w:p>
    <w:p w:rsidR="0086125C" w:rsidRDefault="0086125C" w:rsidP="0086125C">
      <w:pPr>
        <w:spacing w:line="300" w:lineRule="auto"/>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 xml:space="preserve">9.3.2 </w:t>
      </w:r>
      <w:r>
        <w:rPr>
          <w:rFonts w:ascii="Times New Roman" w:eastAsiaTheme="minorEastAsia" w:hAnsi="Times New Roman" w:hint="eastAsia"/>
          <w:sz w:val="22"/>
        </w:rPr>
        <w:t>设备设施</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 xml:space="preserve">9.3.2.1 </w:t>
      </w:r>
      <w:r>
        <w:rPr>
          <w:rFonts w:ascii="Times New Roman" w:eastAsiaTheme="minorEastAsia" w:hAnsi="Times New Roman"/>
          <w:sz w:val="22"/>
        </w:rPr>
        <w:t>现有主要设备</w:t>
      </w:r>
      <w:r>
        <w:rPr>
          <w:rFonts w:ascii="Times New Roman" w:eastAsiaTheme="minorEastAsia" w:hAnsi="Times New Roman" w:hint="eastAsia"/>
          <w:sz w:val="22"/>
        </w:rPr>
        <w:t>情况</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69"/>
        <w:gridCol w:w="1861"/>
        <w:gridCol w:w="1368"/>
        <w:gridCol w:w="1340"/>
        <w:gridCol w:w="992"/>
        <w:gridCol w:w="992"/>
        <w:gridCol w:w="992"/>
      </w:tblGrid>
      <w:tr w:rsidR="0086125C" w:rsidTr="00F7336C">
        <w:trPr>
          <w:trHeight w:val="465"/>
          <w:jc w:val="center"/>
        </w:trPr>
        <w:tc>
          <w:tcPr>
            <w:tcW w:w="9922" w:type="dxa"/>
            <w:gridSpan w:val="8"/>
            <w:vAlign w:val="center"/>
          </w:tcPr>
          <w:p w:rsidR="0086125C" w:rsidRDefault="0086125C" w:rsidP="00F7336C">
            <w:pPr>
              <w:widowControl/>
              <w:ind w:firstLine="361"/>
              <w:jc w:val="center"/>
              <w:rPr>
                <w:rFonts w:ascii="宋体" w:hAnsi="宋体" w:cs="宋体"/>
                <w:b/>
                <w:bCs/>
                <w:kern w:val="0"/>
                <w:sz w:val="18"/>
                <w:szCs w:val="18"/>
              </w:rPr>
            </w:pPr>
            <w:r>
              <w:rPr>
                <w:rFonts w:ascii="宋体" w:hAnsi="宋体" w:cs="宋体" w:hint="eastAsia"/>
                <w:b/>
                <w:bCs/>
                <w:kern w:val="0"/>
                <w:sz w:val="18"/>
                <w:szCs w:val="18"/>
              </w:rPr>
              <w:t>浦东城市规划和公共艺术中心现有主要设备清单</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569" w:type="dxa"/>
            <w:shd w:val="clear" w:color="auto" w:fill="auto"/>
            <w:vAlign w:val="center"/>
          </w:tcPr>
          <w:p w:rsidR="0086125C" w:rsidRDefault="0086125C" w:rsidP="00F7336C">
            <w:pPr>
              <w:widowControl/>
              <w:ind w:firstLine="360"/>
              <w:rPr>
                <w:rFonts w:ascii="宋体" w:hAnsi="宋体" w:cs="宋体"/>
                <w:kern w:val="0"/>
                <w:sz w:val="18"/>
                <w:szCs w:val="18"/>
              </w:rPr>
            </w:pPr>
            <w:r>
              <w:rPr>
                <w:rFonts w:ascii="宋体" w:hAnsi="宋体" w:cs="宋体" w:hint="eastAsia"/>
                <w:kern w:val="0"/>
                <w:sz w:val="18"/>
                <w:szCs w:val="18"/>
              </w:rPr>
              <w:t>设备名称</w:t>
            </w:r>
          </w:p>
        </w:tc>
        <w:tc>
          <w:tcPr>
            <w:tcW w:w="1861"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规格型号</w:t>
            </w:r>
          </w:p>
        </w:tc>
        <w:tc>
          <w:tcPr>
            <w:tcW w:w="1368" w:type="dxa"/>
            <w:shd w:val="clear" w:color="auto" w:fill="auto"/>
            <w:vAlign w:val="center"/>
          </w:tcPr>
          <w:p w:rsidR="0086125C" w:rsidRDefault="0086125C" w:rsidP="00F7336C">
            <w:pPr>
              <w:widowControl/>
              <w:ind w:firstLineChars="111" w:firstLine="200"/>
              <w:rPr>
                <w:rFonts w:ascii="宋体" w:hAnsi="宋体" w:cs="宋体"/>
                <w:kern w:val="0"/>
                <w:sz w:val="18"/>
                <w:szCs w:val="18"/>
              </w:rPr>
            </w:pPr>
            <w:r>
              <w:rPr>
                <w:rFonts w:ascii="宋体" w:hAnsi="宋体" w:cs="宋体" w:hint="eastAsia"/>
                <w:kern w:val="0"/>
                <w:sz w:val="18"/>
                <w:szCs w:val="18"/>
              </w:rPr>
              <w:t>制造厂商</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安装地点</w:t>
            </w:r>
          </w:p>
        </w:tc>
        <w:tc>
          <w:tcPr>
            <w:tcW w:w="992"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数量</w:t>
            </w:r>
          </w:p>
        </w:tc>
        <w:tc>
          <w:tcPr>
            <w:tcW w:w="992" w:type="dxa"/>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设备现状</w:t>
            </w:r>
          </w:p>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(是否</w:t>
            </w:r>
          </w:p>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出质保)</w:t>
            </w:r>
          </w:p>
        </w:tc>
        <w:tc>
          <w:tcPr>
            <w:tcW w:w="992"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备注</w:t>
            </w:r>
          </w:p>
        </w:tc>
      </w:tr>
      <w:tr w:rsidR="0086125C" w:rsidTr="00F7336C">
        <w:trPr>
          <w:trHeight w:val="300"/>
          <w:jc w:val="center"/>
        </w:trPr>
        <w:tc>
          <w:tcPr>
            <w:tcW w:w="9922" w:type="dxa"/>
            <w:gridSpan w:val="8"/>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1、电梯设备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9"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升降客梯</w:t>
            </w:r>
          </w:p>
        </w:tc>
        <w:tc>
          <w:tcPr>
            <w:tcW w:w="1861"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Gen2</w:t>
            </w:r>
          </w:p>
        </w:tc>
        <w:tc>
          <w:tcPr>
            <w:tcW w:w="1368"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奥的斯机电</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569"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升降货梯</w:t>
            </w:r>
          </w:p>
        </w:tc>
        <w:tc>
          <w:tcPr>
            <w:tcW w:w="1861"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FOVF</w:t>
            </w:r>
          </w:p>
        </w:tc>
        <w:tc>
          <w:tcPr>
            <w:tcW w:w="1368"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奥的斯机电</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569"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自动扶梯</w:t>
            </w:r>
          </w:p>
        </w:tc>
        <w:tc>
          <w:tcPr>
            <w:tcW w:w="1861" w:type="dxa"/>
            <w:shd w:val="clear" w:color="auto" w:fill="auto"/>
            <w:vAlign w:val="center"/>
          </w:tcPr>
          <w:p w:rsidR="0086125C" w:rsidRDefault="0086125C" w:rsidP="00F7336C">
            <w:pPr>
              <w:widowControl/>
              <w:spacing w:before="100" w:beforeAutospacing="1" w:after="100" w:afterAutospacing="1"/>
              <w:ind w:firstLineChars="111" w:firstLine="20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STAR</w:t>
            </w:r>
          </w:p>
        </w:tc>
        <w:tc>
          <w:tcPr>
            <w:tcW w:w="1368"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奥的斯机电</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w:t>
            </w: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9922" w:type="dxa"/>
            <w:gridSpan w:val="8"/>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2、消防设备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消防泵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Q=40L/S,H=80m, N=75KW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消防稳压泵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Q=1L/S,H=35m, N=1.5KW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屋面设备层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喷淋泵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Q=40L/S,H=96, N=75KW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喷淋稳压泵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Q=1L/S,H=35, N=1.5KW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屋面设备层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卷帘防护冷却泵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Q=10L/S,H=68, N=18.5KW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卷帘防护冷却稳压泵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Q=1L/S,H=35, N=1.1KW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屋面设备层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气压罐</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SQL800*1.0</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屋面设备层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消防水箱</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36m³</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1套</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气体灭火机组</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CMP1505-27Q</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北京正齐</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3套</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气体灭火机组</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GQQ40/2.5-ZTQ -1</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北京正齐</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屋面设备层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2套</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9922" w:type="dxa"/>
            <w:gridSpan w:val="8"/>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3、生活水设备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潜水排污泵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Q=25M/h，H=12M，N=1.5Kw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地下1层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排水泵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Q=70M/h，H=25M，N=11Kw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地下2层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排水泵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Q=40M/h，H=23M，N=7.5Kw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地下2层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排水泵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Q=20M/h，H=22M，N=4.0Kw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地下2层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排水泵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Q=70M/h，H=15M，N=7.5Kw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地下1层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排水泵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Q=40M/h，H=15M，N=4.0Kw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地下1层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排水泵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Q=20M/h，H=15M，N=2.2Kw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地下1层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一体化污水提升装置</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Q=15M/h，H=25M，N=4.0Kw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地下2层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1套</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油水分离器</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Q=15m3/h，N=2.9KW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上海莲盛</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地下2层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1套</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生活泵</w:t>
            </w:r>
          </w:p>
        </w:tc>
        <w:tc>
          <w:tcPr>
            <w:tcW w:w="1861"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Q=22m³/h，H=70m，</w:t>
            </w:r>
            <w:r>
              <w:rPr>
                <w:rFonts w:ascii="宋体" w:hAnsi="宋体" w:cs="宋体" w:hint="eastAsia"/>
                <w:color w:val="000000" w:themeColor="text1"/>
                <w:kern w:val="0"/>
                <w:sz w:val="18"/>
                <w:szCs w:val="18"/>
              </w:rPr>
              <w:lastRenderedPageBreak/>
              <w:t>N=7.5kw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上海熊猫</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3套</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11</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生活水池</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3.5m*4.5m*3m</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海御</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1个</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9922" w:type="dxa"/>
            <w:gridSpan w:val="8"/>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4、空调设备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9"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冷水机组</w:t>
            </w:r>
          </w:p>
        </w:tc>
        <w:tc>
          <w:tcPr>
            <w:tcW w:w="1861"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182.9KW</w:t>
            </w:r>
          </w:p>
        </w:tc>
        <w:tc>
          <w:tcPr>
            <w:tcW w:w="1368" w:type="dxa"/>
            <w:shd w:val="clear" w:color="auto" w:fill="auto"/>
            <w:vAlign w:val="center"/>
          </w:tcPr>
          <w:p w:rsidR="0086125C" w:rsidRDefault="0086125C" w:rsidP="00F7336C">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约克</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热泵机组</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234.9KW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约克</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自动加药装置</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0.5KW/0.5</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冠翔</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水系统稳压装置</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冠翔</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空调水泵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22kw/11kw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东方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冷却塔系统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新菱</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恒温恒湿机组</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5.5KW/18.5KW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泰恩特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新风空调箱机组</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22KW，7.5KW，11KW，4KW，3KW，18.5KW，15KW，5.5KW，0.32KW，0.37,KW，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特灵</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地下两层，地下一层，屋面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风机盘管</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80w/112w/154w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特灵</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地下两层，地下一层，1~4层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78台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送/排风机</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0.25kw-30kw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江苏洪源</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地下两层，地下一层，屋面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129台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分体空调</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1.25p/2p/10p</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美的</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地下两层，地下一层，3~4层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多联机室外机</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27KW，8.7KW，25.3KW，20.2KW，8.7KW，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美的</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13台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13</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多联机室内机</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72W，75W，78W,93W，180W,196W,140W,188W,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美的</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3~4层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114台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29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VAV</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特灵</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3~4层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39台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纳米子空气净化装置</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920W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江苏洪源</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地下两层，地下一层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5台</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ind w:firstLine="360"/>
              <w:jc w:val="center"/>
              <w:rPr>
                <w:rFonts w:ascii="宋体" w:hAnsi="宋体" w:cs="宋体"/>
                <w:color w:val="000000" w:themeColor="text1"/>
                <w:kern w:val="0"/>
                <w:sz w:val="18"/>
                <w:szCs w:val="18"/>
              </w:rPr>
            </w:pPr>
          </w:p>
        </w:tc>
      </w:tr>
      <w:tr w:rsidR="0086125C" w:rsidTr="00F7336C">
        <w:trPr>
          <w:trHeight w:val="90"/>
          <w:jc w:val="center"/>
        </w:trPr>
        <w:tc>
          <w:tcPr>
            <w:tcW w:w="9922" w:type="dxa"/>
            <w:gridSpan w:val="8"/>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5、弱电设备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综合布线系统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多媒体信息箱</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普天</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569"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网络系统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无线网核心交换机（24端口十兆/百兆/千兆以太网电接口板 24端口万兆以太网接口和8端口千兆以太网光接口板）</w:t>
            </w:r>
          </w:p>
        </w:tc>
        <w:tc>
          <w:tcPr>
            <w:tcW w:w="1368"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锐捷</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无线控制器（自带8个千兆电口，2个SFP复用口）</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无线网防火墙（1U）</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核心交换机（万兆模</w:t>
            </w:r>
            <w:r>
              <w:rPr>
                <w:rFonts w:ascii="宋体" w:hAnsi="宋体" w:cs="宋体" w:hint="eastAsia"/>
                <w:color w:val="000000" w:themeColor="text1"/>
                <w:kern w:val="0"/>
                <w:sz w:val="18"/>
                <w:szCs w:val="18"/>
              </w:rPr>
              <w:lastRenderedPageBreak/>
              <w:t>块化槽式交换机，支持6块业务板卡，包含1块48口千兆光模业务板，1块48口千兆电口业务板，双电源，双引擎模块）</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6</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核心交换机（万兆模块化槽式交换机，支持6块业务板卡，包含1块48口千兆光模业务板，1块48口千兆电口业务板，双电源，双引擎模块）</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1569"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对讲系统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数字常规信道机（双通道）</w:t>
            </w:r>
          </w:p>
        </w:tc>
        <w:tc>
          <w:tcPr>
            <w:tcW w:w="1368"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海能达</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定向耦合合路组件</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接收机多路耦合组件</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双工器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1569"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控系统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24盘位网络存储柜（主柜）</w:t>
            </w:r>
          </w:p>
        </w:tc>
        <w:tc>
          <w:tcPr>
            <w:tcW w:w="1368"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大华</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存储硬盘（企业级4T）</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120</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13</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视频管理服务器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行为分析管理服务器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联动及集成服务器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拼接显示屏（46英寸,LCD 5.5mm拼缝）</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17</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客流量统计服务器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w:t>
            </w:r>
          </w:p>
        </w:tc>
        <w:tc>
          <w:tcPr>
            <w:tcW w:w="1569"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入侵报警系统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报警通讯控制主机</w:t>
            </w:r>
          </w:p>
        </w:tc>
        <w:tc>
          <w:tcPr>
            <w:tcW w:w="1368"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优周</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19</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液晶键盘（LCD显示）</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继电器输出模块（32路）</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21</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微波红外双鉴探测器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40</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红外幕帘探测器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23</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紧急报警按钮</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23</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声光报警器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25</w:t>
            </w:r>
          </w:p>
        </w:tc>
        <w:tc>
          <w:tcPr>
            <w:tcW w:w="1569"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门禁系统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四门门禁控制器（含控制箱）</w:t>
            </w:r>
          </w:p>
        </w:tc>
        <w:tc>
          <w:tcPr>
            <w:tcW w:w="1368"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立方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19</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26</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双门门禁控制器（含控制箱）</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13</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27</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IC卡读卡器</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77</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28</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双门磁力锁（含门磁、支架）</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56</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29</w:t>
            </w:r>
          </w:p>
        </w:tc>
        <w:tc>
          <w:tcPr>
            <w:tcW w:w="1569"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楼宇自控系统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成套控制柜</w:t>
            </w:r>
          </w:p>
        </w:tc>
        <w:tc>
          <w:tcPr>
            <w:tcW w:w="1368" w:type="dxa"/>
            <w:vMerge w:val="restart"/>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格瑞特</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44</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30</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DDC控制器（30点）</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49</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31</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DDC控制器（24点）</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DDC控制器（16点）</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33</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DDC控制器（16点1路485）</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34</w:t>
            </w:r>
          </w:p>
        </w:tc>
        <w:tc>
          <w:tcPr>
            <w:tcW w:w="1569"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DDC控制器（6点）</w:t>
            </w:r>
          </w:p>
        </w:tc>
        <w:tc>
          <w:tcPr>
            <w:tcW w:w="1368" w:type="dxa"/>
            <w:vMerge/>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机房工程系统</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设备机柜</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慧宗</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配电箱 PZ30</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92" w:type="dxa"/>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9922" w:type="dxa"/>
            <w:gridSpan w:val="8"/>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6、太阳能设备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太阳能集热器</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桑乐</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屋面</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燃气热水炉</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热水回水泵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格兰富</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569"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供水变频泵</w:t>
            </w:r>
          </w:p>
        </w:tc>
        <w:tc>
          <w:tcPr>
            <w:tcW w:w="1861"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0.45KW</w:t>
            </w:r>
          </w:p>
        </w:tc>
        <w:tc>
          <w:tcPr>
            <w:tcW w:w="1368"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格兰富</w:t>
            </w:r>
          </w:p>
        </w:tc>
        <w:tc>
          <w:tcPr>
            <w:tcW w:w="1340"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地下一层</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2台</w:t>
            </w:r>
          </w:p>
        </w:tc>
        <w:tc>
          <w:tcPr>
            <w:tcW w:w="992" w:type="dxa"/>
          </w:tcPr>
          <w:p w:rsidR="0086125C" w:rsidRDefault="0086125C" w:rsidP="00F7336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已出质保</w:t>
            </w:r>
          </w:p>
        </w:tc>
        <w:tc>
          <w:tcPr>
            <w:tcW w:w="992" w:type="dxa"/>
            <w:shd w:val="clear" w:color="auto" w:fill="auto"/>
            <w:vAlign w:val="center"/>
          </w:tcPr>
          <w:p w:rsidR="0086125C" w:rsidRDefault="0086125C" w:rsidP="00F7336C">
            <w:pPr>
              <w:widowControl/>
              <w:jc w:val="center"/>
              <w:rPr>
                <w:rFonts w:ascii="宋体" w:hAnsi="宋体" w:cs="宋体"/>
                <w:color w:val="000000" w:themeColor="text1"/>
                <w:kern w:val="0"/>
                <w:sz w:val="18"/>
                <w:szCs w:val="18"/>
              </w:rPr>
            </w:pPr>
          </w:p>
        </w:tc>
      </w:tr>
      <w:tr w:rsidR="0086125C" w:rsidTr="00F7336C">
        <w:trPr>
          <w:trHeight w:val="300"/>
          <w:jc w:val="center"/>
        </w:trPr>
        <w:tc>
          <w:tcPr>
            <w:tcW w:w="9922" w:type="dxa"/>
            <w:gridSpan w:val="8"/>
          </w:tcPr>
          <w:p w:rsidR="0086125C" w:rsidRDefault="0086125C" w:rsidP="00F7336C">
            <w:pPr>
              <w:widowControl/>
              <w:jc w:val="center"/>
              <w:rPr>
                <w:rFonts w:ascii="宋体" w:hAnsi="宋体" w:cs="宋体"/>
                <w:kern w:val="0"/>
                <w:sz w:val="18"/>
                <w:szCs w:val="18"/>
              </w:rPr>
            </w:pPr>
            <w:r w:rsidRPr="00A32619">
              <w:rPr>
                <w:rFonts w:ascii="宋体" w:hAnsi="宋体" w:cs="宋体" w:hint="eastAsia"/>
                <w:kern w:val="0"/>
                <w:sz w:val="18"/>
                <w:szCs w:val="18"/>
              </w:rPr>
              <w:t>7、规划展陈设备</w:t>
            </w: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w:t>
            </w:r>
          </w:p>
        </w:tc>
        <w:tc>
          <w:tcPr>
            <w:tcW w:w="1569" w:type="dxa"/>
            <w:vMerge w:val="restart"/>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多媒体工作站C1型（RTX4000）</w:t>
            </w:r>
          </w:p>
        </w:tc>
        <w:tc>
          <w:tcPr>
            <w:tcW w:w="1861"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Intel 酷睿I7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w:t>
            </w:r>
          </w:p>
        </w:tc>
        <w:tc>
          <w:tcPr>
            <w:tcW w:w="1569" w:type="dxa"/>
            <w:vMerge/>
            <w:shd w:val="clear" w:color="auto" w:fill="auto"/>
            <w:vAlign w:val="center"/>
          </w:tcPr>
          <w:p w:rsidR="0086125C" w:rsidRDefault="0086125C" w:rsidP="00F7336C">
            <w:pPr>
              <w:widowControl/>
              <w:jc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CPU散热器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安钛克A40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3</w:t>
            </w:r>
          </w:p>
        </w:tc>
        <w:tc>
          <w:tcPr>
            <w:tcW w:w="1569" w:type="dxa"/>
            <w:vMerge/>
            <w:shd w:val="clear" w:color="auto" w:fill="auto"/>
            <w:vAlign w:val="center"/>
          </w:tcPr>
          <w:p w:rsidR="0086125C" w:rsidRDefault="0086125C" w:rsidP="00F7336C">
            <w:pPr>
              <w:widowControl/>
              <w:jc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16GB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4</w:t>
            </w:r>
          </w:p>
        </w:tc>
        <w:tc>
          <w:tcPr>
            <w:tcW w:w="1569" w:type="dxa"/>
            <w:vMerge/>
            <w:shd w:val="clear" w:color="auto" w:fill="auto"/>
            <w:vAlign w:val="center"/>
          </w:tcPr>
          <w:p w:rsidR="0086125C" w:rsidRDefault="0086125C" w:rsidP="00F7336C">
            <w:pPr>
              <w:widowControl/>
              <w:jc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250G固态硬盘</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Quadro RTX4000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电源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650w</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7</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机箱</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工控机箱</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8</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jc w:val="center"/>
              <w:rPr>
                <w:rFonts w:ascii="宋体" w:hAnsi="宋体" w:cs="宋体"/>
                <w:kern w:val="0"/>
                <w:sz w:val="18"/>
                <w:szCs w:val="18"/>
              </w:rPr>
            </w:pPr>
            <w:r>
              <w:rPr>
                <w:rFonts w:ascii="宋体" w:hAnsi="宋体" w:cs="宋体" w:hint="eastAsia"/>
                <w:kern w:val="0"/>
                <w:sz w:val="18"/>
                <w:szCs w:val="18"/>
              </w:rPr>
              <w:t>主板</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华硕ROG Z590-F/E</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多媒体服务器A2型</w:t>
            </w: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Intel 酷睿I5</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18台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CPU散热器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安钛克A40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11</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8GB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12</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250G固态硬盘</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13</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GTX 1660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14</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电源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550w</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机箱</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工控机箱</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16</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主板</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华硕B560-A/F/E</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音频处理器 RF/K5.1</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锐丰RF/K5.1</w:t>
            </w:r>
          </w:p>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15台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功放 RF/G350</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sz w:val="18"/>
                <w:szCs w:val="18"/>
              </w:rPr>
              <w:t>锐丰RF/G350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17台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光纤收发器</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光纤收发器  SAD-SL500-4LC-00(2K)</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20</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音响 RF/MQ-8C</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锐丰RF/MQ-8C</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28台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投影机镜头</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TOF避障激光雷达 SIMO-LS-20H</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TOF避障激光雷达 </w:t>
            </w:r>
            <w:r>
              <w:rPr>
                <w:rFonts w:ascii="宋体" w:hAnsi="宋体" w:cs="宋体" w:hint="eastAsia"/>
                <w:kern w:val="0"/>
                <w:sz w:val="18"/>
                <w:szCs w:val="18"/>
              </w:rPr>
              <w:lastRenderedPageBreak/>
              <w:t>SIMO-LS-20H</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19</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多媒体工作站C2型</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Intel 酷睿I7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11台</w:t>
            </w:r>
          </w:p>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20</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CPU散热器</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安钛克A40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21</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32GB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22</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50G SSD</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23</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Quadro  RTX5000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24</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电源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安钛克650w</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机箱</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4U工控机箱</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26</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主板</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华硕ROG Z590-F/E</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多媒体拼接处理器</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tabs>
                <w:tab w:val="left" w:pos="412"/>
              </w:tabs>
              <w:jc w:val="center"/>
              <w:rPr>
                <w:rFonts w:ascii="宋体" w:hAnsi="宋体" w:cs="宋体"/>
                <w:kern w:val="0"/>
                <w:sz w:val="18"/>
                <w:szCs w:val="18"/>
              </w:rPr>
            </w:pPr>
            <w:r>
              <w:rPr>
                <w:rFonts w:ascii="宋体" w:hAnsi="宋体" w:cs="宋体" w:hint="eastAsia"/>
                <w:kern w:val="0"/>
                <w:sz w:val="18"/>
                <w:szCs w:val="18"/>
              </w:rPr>
              <w:t>0406</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65寸拼接屏</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面板</w:t>
            </w:r>
          </w:p>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BOE DV650QUM-NVO</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61台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55寸拼接屏</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面板</w:t>
            </w:r>
          </w:p>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BOE 550FHM-NV8</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20台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30</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43寸触摸一体机</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（高配独立显卡）</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tabs>
                <w:tab w:val="left" w:pos="165"/>
              </w:tabs>
              <w:jc w:val="center"/>
              <w:textAlignment w:val="center"/>
              <w:rPr>
                <w:rFonts w:ascii="宋体" w:hAnsi="宋体" w:cs="宋体"/>
                <w:sz w:val="18"/>
                <w:szCs w:val="18"/>
              </w:rPr>
            </w:pPr>
            <w:r>
              <w:rPr>
                <w:rFonts w:ascii="宋体" w:hAnsi="宋体" w:cs="宋体" w:hint="eastAsia"/>
                <w:sz w:val="18"/>
                <w:szCs w:val="18"/>
              </w:rPr>
              <w:t>3台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31</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8G</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32</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240G SSD固态硬盘</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33</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独立显卡</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1050ti</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34</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软Surface Go 3</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运行内存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8GB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存容量</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128GB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36</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多媒体融接处理器</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0408</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交换机</w:t>
            </w:r>
          </w:p>
        </w:tc>
        <w:tc>
          <w:tcPr>
            <w:tcW w:w="1861" w:type="dxa"/>
            <w:shd w:val="clear" w:color="auto" w:fill="auto"/>
            <w:vAlign w:val="center"/>
          </w:tcPr>
          <w:p w:rsidR="0086125C" w:rsidRDefault="0086125C" w:rsidP="00F7336C">
            <w:pPr>
              <w:jc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华三（H3C）S1224</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液晶显示器</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21.5寸 高清显示器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39</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32寸触摸一体机</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（高配独立显卡）</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40</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8G</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41</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240G SSD固态硬盘</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42</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独立显卡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1050ti</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43</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49.5长条屏一体机</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处理器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44</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8G DDR3L 1600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256G SSD固态硬盘</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46</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核显</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55寸OLED自发光透明屏</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面板LG LW550JUL</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86寸液晶屏幕</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创维（SKYWORTH）</w:t>
            </w:r>
            <w:r>
              <w:rPr>
                <w:rFonts w:ascii="宋体" w:hAnsi="宋体" w:cs="宋体" w:hint="eastAsia"/>
                <w:kern w:val="0"/>
                <w:sz w:val="18"/>
                <w:szCs w:val="18"/>
              </w:rPr>
              <w:lastRenderedPageBreak/>
              <w:t>86G51</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49</w:t>
            </w:r>
          </w:p>
        </w:tc>
        <w:tc>
          <w:tcPr>
            <w:tcW w:w="1569"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超低功放 RF/G750</w:t>
            </w: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锐丰RF/G750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50</w:t>
            </w:r>
          </w:p>
        </w:tc>
        <w:tc>
          <w:tcPr>
            <w:tcW w:w="1569"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高清信息发布系统</w:t>
            </w: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HK-RCM300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51</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多媒体工作站C1型（P2200）</w:t>
            </w: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Intel 酷睿I7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tabs>
                <w:tab w:val="left" w:pos="225"/>
              </w:tabs>
              <w:jc w:val="center"/>
              <w:textAlignment w:val="center"/>
              <w:rPr>
                <w:rFonts w:ascii="宋体" w:hAnsi="宋体" w:cs="宋体"/>
                <w:kern w:val="0"/>
                <w:sz w:val="18"/>
                <w:szCs w:val="18"/>
              </w:rPr>
            </w:pPr>
            <w:r>
              <w:rPr>
                <w:rFonts w:ascii="宋体" w:hAnsi="宋体" w:cs="宋体" w:hint="eastAsia"/>
                <w:kern w:val="0"/>
                <w:sz w:val="18"/>
                <w:szCs w:val="18"/>
              </w:rPr>
              <w:t>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52</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jc w:val="center"/>
              <w:rPr>
                <w:rFonts w:ascii="宋体" w:hAnsi="宋体" w:cs="宋体"/>
                <w:kern w:val="0"/>
                <w:sz w:val="18"/>
                <w:szCs w:val="18"/>
              </w:rPr>
            </w:pPr>
            <w:r>
              <w:rPr>
                <w:rFonts w:ascii="宋体" w:hAnsi="宋体" w:cs="宋体" w:hint="eastAsia"/>
                <w:kern w:val="0"/>
                <w:sz w:val="18"/>
                <w:szCs w:val="18"/>
              </w:rPr>
              <w:t>CPU散热器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安钛克A40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53</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16GB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54</w:t>
            </w:r>
          </w:p>
        </w:tc>
        <w:tc>
          <w:tcPr>
            <w:tcW w:w="1569" w:type="dxa"/>
            <w:vMerge/>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250G固态硬盘</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Quadro P2200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56</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电源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650w</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57</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机箱</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工控机箱</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58</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主板</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华硕ROG Z590-F/E</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12.1寸空气成像屏</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核心光学元件（MOW)厚度：3.5±0.2mm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微晶尺寸：0.4-0.55mm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可见光透射比：&gt;80%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成像光源 12.1寸，1280*800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内置电脑  Windows系统</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以太网 10/100/1000Mbps 以太网接口</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WiFi Intel Wifi</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蓝牙 5.0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显示 HDMI</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音频 1 x HDMI 音频输出、 1×耳机音频输出</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USB USB3.0, USB2.0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交互模块 线性激光矩阵传感器 精准触控</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模组结构 1套</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60</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23.8寸触摸一体机</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（高配独立显卡）</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kern w:val="0"/>
                <w:sz w:val="18"/>
                <w:szCs w:val="18"/>
              </w:rPr>
              <w:t>RTM238TR-FU10-OA7-N</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钛众</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61</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32寸液晶屏幕</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创维（Skyworth）32E381S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2.参数:产品类型：高清商用电视</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屏幕尺寸:32英寸</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分辨率:1366*768</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屏幕比例16:9</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lastRenderedPageBreak/>
              <w:t>创维</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62</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400万半球网络摄像机</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DH-IPC-HDBW5443R1-YL-PV</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27台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63</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55寸液晶屏幕（地面）</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创维（Skyworth）55Q51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2.参数:屏幕分辨率：超高清4K</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屏幕尺寸:55英寸</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分辨率:4K（3840*2160）</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创维</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64</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43寸液晶屏幕（地面）</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创维（Skyworth）43G31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2.参数:屏幕分辨率：超高清4K</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屏幕尺寸:43英寸</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屏幕比例16:9</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创维</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65</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46寸拼接屏（顶面）</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品牌型号:面板：BOE 460FHM-NVO</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整机型号：YTL46PN-DV460FHM</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66</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55寸纳米触摸膜</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6T监控级硬盘</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1.型号:ST6000VM004</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2.技术参数:6T监控硬盘</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46寸拼接屏</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品牌型号:面板：BOE 460FHM-NVO</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整机型号：YTL46PN-DV460FHM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图像比例：16:9</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拼接缝隙：3.5mm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分辩率：1920(H)×1080(V)</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响应时间：8ms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色彩：8 bit，16.7m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亮度：500cd/㎡</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对比度：1400:1</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69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98寸液晶屏幕</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1.名称:TCL98Q6E</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2.参数:电视类型：全面屏</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分辨率：4k超高清（3840×2160）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对比度60000： 1</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70</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AI人工智能机器人</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71</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多媒体服务器B2型</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（双RTX4000）</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Intel 酷睿I7</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72</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CPU散热器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安钛克A40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73</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32GB</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74</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M.2 250G SSD</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2块Quadro RTX4000桥接</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76</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电源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安钛克650w</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77</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主板</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华硕ROG Z490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78</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机箱</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4U工控机箱 双开门</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79</w:t>
            </w:r>
          </w:p>
        </w:tc>
        <w:tc>
          <w:tcPr>
            <w:tcW w:w="1569" w:type="dxa"/>
            <w:vMerge w:val="restart"/>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多媒体工作站D1型</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Intel 酷睿I9</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val="restart"/>
            <w:shd w:val="clear" w:color="auto" w:fill="auto"/>
            <w:vAlign w:val="center"/>
          </w:tcPr>
          <w:p w:rsidR="0086125C" w:rsidRDefault="0086125C" w:rsidP="00F7336C">
            <w:pPr>
              <w:widowControl/>
              <w:tabs>
                <w:tab w:val="left" w:pos="180"/>
              </w:tabs>
              <w:jc w:val="center"/>
              <w:textAlignment w:val="center"/>
              <w:rPr>
                <w:rFonts w:ascii="宋体" w:hAnsi="宋体" w:cs="宋体"/>
                <w:sz w:val="18"/>
                <w:szCs w:val="18"/>
              </w:rPr>
            </w:pPr>
            <w:r>
              <w:rPr>
                <w:rFonts w:ascii="宋体" w:hAnsi="宋体" w:cs="宋体" w:hint="eastAsia"/>
                <w:sz w:val="18"/>
                <w:szCs w:val="18"/>
              </w:rPr>
              <w:t>2台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80</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CPU散热器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安钛克A40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81</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内存</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32G</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82</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硬盘</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1TB SSD</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83</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显卡</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Quadro RTX5000</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84</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电源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额定1250W</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85</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机箱</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4U工控机箱</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86</w:t>
            </w:r>
          </w:p>
        </w:tc>
        <w:tc>
          <w:tcPr>
            <w:tcW w:w="1569"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主板</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华硕ROG Z590-F/E</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vMerge/>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飞阅浦东平台支撑结构</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1.名称:承载1套座舱，每套座舱6个座位</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支撑平台钢架，支撑整个设备稳定性与安全性，来保证设备在稳定与安全的环境下工作</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飞阅浦东平台</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1.名称: 飞阅浦东平台:可实现左右摇摆，前后倾斜，以及旋转动作等，区别于市场上常规的动感设备，独立创新设计的一款全新体验平台，让体验者达到前所未有的真实和刺激。</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飞阅浦东座舱支撑锁定机构</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1.名称: 飞阅浦东座舱旋转到位后，支撑锁定机构开启，设备通过支撑锁定机构达</w:t>
            </w:r>
            <w:r>
              <w:rPr>
                <w:rFonts w:ascii="宋体" w:hAnsi="宋体" w:cs="宋体" w:hint="eastAsia"/>
                <w:sz w:val="18"/>
                <w:szCs w:val="18"/>
              </w:rPr>
              <w:lastRenderedPageBreak/>
              <w:t>到运行时的平稳性和自锁</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90</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飞阅浦东座舱升降动力系统</w:t>
            </w: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名称:对飞阅浦东座舱座椅机构设备提供动源，由2套动力源和一套万向装置组成。</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91</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飞阅浦东座舱旋转机构</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支撑设备运动到上客与观影位置</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92</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飞阅浦东座舱旋转动力系统</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对旋转设备提供动力</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93</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飞阅浦东座舱平衡机构</w:t>
            </w: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飞阅浦东座舱平衡架主要约束其他方向的自由度，平衡架承受设备运行过程中产生的其他方向的作用力</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94</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飞阅浦东座舱载客设备机构</w:t>
            </w: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定制飞阅浦东座舱载客设备机构</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95</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飞阅浦东平台控制柜</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自主设计飞阅浦东平台硬件集成，包含倍福PLC系统硬件，台达伺服运动控制系统硬件，施耐德弱电控制回路，WAGO直流电源控制回路，定制钣金柜体。</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96</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飞阅浦东影院调度控制操作台</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自主设计飞阅浦东影院调度控制操作台硬件集成，包含倍福PLC系统硬件，施耐德弱电控制回路，WAGO直流电源控制回路，触想触摸屏显示器，定制钣金操作台。</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机械臂本体</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50-60kg以下</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机械臂底座</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配套50-60kg以下机械臂</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机械臂控制柜</w:t>
            </w:r>
          </w:p>
        </w:tc>
        <w:tc>
          <w:tcPr>
            <w:tcW w:w="1861" w:type="dxa"/>
            <w:shd w:val="clear" w:color="auto" w:fill="auto"/>
            <w:vAlign w:val="center"/>
          </w:tcPr>
          <w:p w:rsidR="0086125C" w:rsidRDefault="0086125C" w:rsidP="00F7336C">
            <w:pPr>
              <w:jc w:val="center"/>
              <w:rPr>
                <w:rFonts w:ascii="宋体" w:hAnsi="宋体" w:cs="宋体"/>
                <w:sz w:val="18"/>
                <w:szCs w:val="18"/>
              </w:rPr>
            </w:pPr>
            <w:r>
              <w:rPr>
                <w:rFonts w:ascii="宋体" w:hAnsi="宋体" w:cs="宋体" w:hint="eastAsia"/>
                <w:sz w:val="18"/>
                <w:szCs w:val="18"/>
              </w:rPr>
              <w:t>配套50-60kg以下机械臂</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100</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机械臂配电柜</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配套50~60kg以下机械臂</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定制，含断电缺相断相等检测，保护机械臂供电稳定安全。</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1套</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101</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 CB-805F</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CB-805F</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2.参数:含超短焦镜头0.27-0.37：1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显示方式:3LCD</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光源:激光</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亮度:5000流明</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对比度:250000：1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分辨率:1920*1080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比例：16:9</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t>爱普生</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kern w:val="0"/>
                <w:sz w:val="18"/>
                <w:szCs w:val="18"/>
              </w:rPr>
              <w:t>6台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102</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投影膜</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103</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 索诺克 SNP-DU12K</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SNP-DU12K 激光光源，3LCD技术，对比度2500000:1，寿命20,000小时(标准模式/静音);30,000小时(模式1);50,000小时(模式2)，显示比例16：10</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sz w:val="18"/>
                <w:szCs w:val="18"/>
              </w:rPr>
              <w:t>索诺克</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104</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 CB-PU1007B</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CB-PU1007B</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爱普生</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105</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 T-FDQ080CL</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参数:不含标准镜头</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参数：PT-FRQ080CL</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DMD芯片尺寸：0.67英寸（16:10）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光源技术：激光二极管</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亮度输出：8400流明（中心）\8000流明（ISO）</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均匀性：90%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对比度：10000:1（全开/全关，动态对比度模式）</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物理分辨率：1920*1200 pixels</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5台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106</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 PT-SMZ16KCL</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参数:不含标准镜头</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显示方式:3LCD</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比例：16:10</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 SRQ35KC</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参数:不含标准镜头</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DMD芯片尺寸：0.96英寸（16:10）*3</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光源技术：激光二极管</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刷新率：240Hz</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对比度：20000:1（全开/全关，动态对比度模式:3）</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物理分辨率：3840*2400 pixels</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108</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投影机镜头 ET-D75LE6</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ET-D75LE6</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109</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左右拉声像功放 RF/DA20.4</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8Ω立体声功率：2000W×4;</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4Ω立体声功率：3400W×4;</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2Ω立体声功率：4760W×4;</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16Ω桥接功率：4000W×2;</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8Ω桥接功率：6800W×2;</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4Ω桥接功率：9520W×2;</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频响：20Hz-20kHz(±1dB)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总谐失真：&lt;0.1%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信噪比：≥109dB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功率增益选择：32,35,38,41dB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输入阻抗：20kΩ平衡  10kΩ非平衡</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前面板指示:保护指示灯(过热、输出直流、静音保护、欠压保护）,限幅器指示灯,工作指示灯</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功放保护：具有短路、开路、过热、过载、直流 等保护装置</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电源要求：90-260V ~50-60Hz</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机身尺寸（HxWxD）：45x483x461mm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重量：12Kg</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锐丰RF/DA20.4</w:t>
            </w:r>
          </w:p>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8台</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110</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主扩音响 RF/TX8</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RF/TX8</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系统类型： 单8寸二分频全频音箱；</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频率响应：</w:t>
            </w:r>
            <w:r>
              <w:rPr>
                <w:rFonts w:ascii="宋体" w:hAnsi="宋体" w:cs="宋体" w:hint="eastAsia"/>
                <w:sz w:val="18"/>
                <w:szCs w:val="18"/>
              </w:rPr>
              <w:lastRenderedPageBreak/>
              <w:t>75Hz~18KHz(±3dB）/65Hz~20KHz (-10dB )；</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灵敏度(1W/1m)： 93dB；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标称阻抗：8Ω；</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额定功率（AES）：300W；</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低音单元：8寸50芯 铁盆架纸盆单元；</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高音单元：1.75寸(1寸喉口)压缩驱动器(44mm音圈)；</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覆盖角度(H×V)：90゜×60゜(可旋转,玻璃钢号筒)；</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最大声压级(连续/峰值)：117.5dB/123.5dB；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连接件：2×NEUTRIK NL4MP四芯插座，1+1-;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吊挂硬件：M8吊点×11、35mm底托；</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尺寸(H×W×D)： 427×280×292.33mm；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重量：13.6kg；</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lastRenderedPageBreak/>
              <w:t>锐丰RF/TX8</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3只</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111</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中置音响 RF/TX8</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系统类型： 单8寸二分频全频音箱；</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频率响应：75Hz~18KHz(±3dB）/65Hz~20KHz (-10dB )；</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灵敏度(1W/1m)： 93dB；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标称阻抗：8Ω；</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额定功率（AES）：300W；</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低音单元：8寸50芯 铁盆架纸盆单元；</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高音单元：1.75寸(1寸喉口)压缩驱动器(44mm音圈)；</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覆盖角度(H×V)：90</w:t>
            </w:r>
            <w:r>
              <w:rPr>
                <w:rFonts w:ascii="宋体" w:hAnsi="宋体" w:cs="宋体" w:hint="eastAsia"/>
                <w:sz w:val="18"/>
                <w:szCs w:val="18"/>
              </w:rPr>
              <w:lastRenderedPageBreak/>
              <w:t>゜×60゜(可旋转,玻璃钢号筒)；</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最大声压级(连续/峰值)：117.5dB/123.5dB；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连接件：2×NEUTRIK NL4MP四芯插座，1+1-;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吊挂硬件：M8吊点×11、35mm底托；</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尺寸(H×W×D)： 427×280×292.33mm；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重量：13.6kg；</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锐丰RF/TX8</w:t>
            </w: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2只</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112</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室内LED p2.5</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参数:含控制系统、电源、配电及辅材</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像素点间距 2.5mm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单元板尺寸 160X160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防水等级 IP31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驱动方式 1/32 扫描恒流驱动</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换帧频率 ≥60hz/s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刷新频率 ≥1920hz/s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白平衡亮度 ≥600cd/㎡</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99.79㎡</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113</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室内LED p3</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参数:含控制系统、电源、配电及辅材</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像素点间距 3mm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单元板尺寸 192X192</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防水等级 IP31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驱动方式 1/32 扫描恒流驱动</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换帧频率 ≥60hz/s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刷新频率 ≥1920hz/s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白平衡亮度 ≥600cd/㎡</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154.03㎡</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114</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室内LED p4</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参数:含控制系统、电源、配电及辅材</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像素点间距 4mm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防水等级 IP31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驱动方式 1/32扫描恒流驱动</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换帧频率 ≥60hz/s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刷新频率 ≥1920hz/s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白平衡亮度 ≥600cd/㎡</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340㎡</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lastRenderedPageBreak/>
              <w:t>115</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室内LED  p4（含整体弧面开模）</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参数:含控制系统、电源、配电及辅材</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像素点间距 4mm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防水等级 IP31</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驱动方式 1/32扫描恒流驱动</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换帧频率 ≥60hz/s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刷新频率 ≥1920hz/s</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白平衡亮度 ≥600cd/㎡</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99.3㎡</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sz w:val="18"/>
                <w:szCs w:val="18"/>
              </w:rPr>
              <w:t>116</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室内LED p1.5</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参数:含控制系统、电源、配电及辅材</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像素点间距 1.5mm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模组分辨率（W×H） 128×128</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驱动方式 恒流驱动，32扫 </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刷新率（Hz） ≥3840</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白平衡亮度 ≥600cd/㎡</w:t>
            </w:r>
          </w:p>
        </w:tc>
        <w:tc>
          <w:tcPr>
            <w:tcW w:w="1368" w:type="dxa"/>
            <w:shd w:val="clear" w:color="auto" w:fill="auto"/>
            <w:vAlign w:val="center"/>
          </w:tcPr>
          <w:p w:rsidR="0086125C" w:rsidRDefault="0086125C" w:rsidP="00F7336C">
            <w:pPr>
              <w:widowControl/>
              <w:jc w:val="center"/>
              <w:textAlignment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45.2㎡</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r w:rsidR="0086125C" w:rsidTr="00F7336C">
        <w:trPr>
          <w:trHeight w:val="300"/>
          <w:jc w:val="center"/>
        </w:trPr>
        <w:tc>
          <w:tcPr>
            <w:tcW w:w="808"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sz w:val="18"/>
                <w:szCs w:val="18"/>
              </w:rPr>
              <w:t>117</w:t>
            </w:r>
          </w:p>
        </w:tc>
        <w:tc>
          <w:tcPr>
            <w:tcW w:w="1569"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P3.91室内地板屏（不含互动）</w:t>
            </w:r>
          </w:p>
        </w:tc>
        <w:tc>
          <w:tcPr>
            <w:tcW w:w="1861"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参数:含控制系统、电源、配电及辅材</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像素管间距：3.91mm</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像素构成：1R1G1B</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物理密度：65536点/㎡</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模组尺寸：250X250X 12mm (长X宽X厚)</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模组分辨率：64×64点 （宽X高)</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箱体尺寸：1000 mm×500X80mm（宽X高X厚箱体加模组)</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箱体尺寸：500 mm×500X80mm（宽X高X厚箱体加模组)</w:t>
            </w:r>
          </w:p>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最佳距离：7-20m</w:t>
            </w:r>
          </w:p>
        </w:tc>
        <w:tc>
          <w:tcPr>
            <w:tcW w:w="1368" w:type="dxa"/>
            <w:shd w:val="clear" w:color="auto" w:fill="auto"/>
            <w:vAlign w:val="center"/>
          </w:tcPr>
          <w:p w:rsidR="0086125C" w:rsidRDefault="0086125C" w:rsidP="00F7336C">
            <w:pPr>
              <w:widowControl/>
              <w:jc w:val="center"/>
              <w:rPr>
                <w:rFonts w:ascii="宋体" w:hAnsi="宋体" w:cs="宋体"/>
                <w:kern w:val="0"/>
                <w:sz w:val="18"/>
                <w:szCs w:val="18"/>
              </w:rPr>
            </w:pPr>
          </w:p>
        </w:tc>
        <w:tc>
          <w:tcPr>
            <w:tcW w:w="1340" w:type="dxa"/>
            <w:shd w:val="clear" w:color="auto" w:fill="auto"/>
            <w:vAlign w:val="center"/>
          </w:tcPr>
          <w:p w:rsidR="0086125C" w:rsidRDefault="0086125C" w:rsidP="00F7336C">
            <w:pPr>
              <w:widowControl/>
              <w:jc w:val="center"/>
              <w:rPr>
                <w:rFonts w:ascii="宋体" w:hAnsi="宋体" w:cs="宋体"/>
                <w:kern w:val="0"/>
                <w:sz w:val="18"/>
                <w:szCs w:val="18"/>
              </w:rPr>
            </w:pPr>
          </w:p>
        </w:tc>
        <w:tc>
          <w:tcPr>
            <w:tcW w:w="992" w:type="dxa"/>
            <w:shd w:val="clear" w:color="auto" w:fill="auto"/>
            <w:vAlign w:val="center"/>
          </w:tcPr>
          <w:p w:rsidR="0086125C" w:rsidRDefault="0086125C" w:rsidP="00F7336C">
            <w:pPr>
              <w:widowControl/>
              <w:jc w:val="center"/>
              <w:textAlignment w:val="center"/>
              <w:rPr>
                <w:rFonts w:ascii="宋体" w:hAnsi="宋体" w:cs="宋体"/>
                <w:sz w:val="18"/>
                <w:szCs w:val="18"/>
              </w:rPr>
            </w:pPr>
            <w:r>
              <w:rPr>
                <w:rFonts w:ascii="宋体" w:hAnsi="宋体" w:cs="宋体" w:hint="eastAsia"/>
                <w:sz w:val="18"/>
                <w:szCs w:val="18"/>
              </w:rPr>
              <w:t>2.25㎡</w:t>
            </w:r>
          </w:p>
        </w:tc>
        <w:tc>
          <w:tcPr>
            <w:tcW w:w="992" w:type="dxa"/>
            <w:vAlign w:val="center"/>
          </w:tcPr>
          <w:p w:rsidR="0086125C" w:rsidRDefault="0086125C" w:rsidP="00F7336C">
            <w:pPr>
              <w:widowControl/>
              <w:jc w:val="center"/>
              <w:rPr>
                <w:rFonts w:ascii="宋体" w:hAnsi="宋体" w:cs="宋体"/>
                <w:kern w:val="0"/>
                <w:sz w:val="18"/>
                <w:szCs w:val="18"/>
              </w:rPr>
            </w:pPr>
            <w:r>
              <w:rPr>
                <w:rFonts w:ascii="宋体" w:hAnsi="宋体" w:cs="宋体" w:hint="eastAsia"/>
                <w:kern w:val="0"/>
                <w:sz w:val="18"/>
                <w:szCs w:val="18"/>
              </w:rPr>
              <w:t>质保期内</w:t>
            </w:r>
          </w:p>
        </w:tc>
        <w:tc>
          <w:tcPr>
            <w:tcW w:w="992" w:type="dxa"/>
            <w:shd w:val="clear" w:color="auto" w:fill="auto"/>
            <w:noWrap/>
            <w:vAlign w:val="center"/>
          </w:tcPr>
          <w:p w:rsidR="0086125C" w:rsidRDefault="0086125C" w:rsidP="00F7336C">
            <w:pPr>
              <w:widowControl/>
              <w:jc w:val="center"/>
              <w:rPr>
                <w:rFonts w:ascii="宋体" w:hAnsi="宋体" w:cs="宋体"/>
                <w:kern w:val="0"/>
                <w:sz w:val="18"/>
                <w:szCs w:val="18"/>
              </w:rPr>
            </w:pPr>
          </w:p>
        </w:tc>
      </w:tr>
    </w:tbl>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 xml:space="preserve">9.3.2.2 </w:t>
      </w:r>
      <w:r>
        <w:rPr>
          <w:rFonts w:ascii="Times New Roman" w:eastAsiaTheme="minorEastAsia" w:hAnsi="Times New Roman" w:hint="eastAsia"/>
          <w:sz w:val="22"/>
        </w:rPr>
        <w:t>设备设施工作内容</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hint="eastAsia"/>
          <w:sz w:val="22"/>
        </w:rPr>
        <w:t>服务范围：为上海市浦东新区城市规划和公共艺术中心提供设备设施运行维护保障服务、房修</w:t>
      </w:r>
      <w:r>
        <w:rPr>
          <w:rFonts w:ascii="Times New Roman" w:eastAsiaTheme="minorEastAsia" w:hAnsi="Times New Roman" w:hint="eastAsia"/>
          <w:sz w:val="22"/>
        </w:rPr>
        <w:lastRenderedPageBreak/>
        <w:t>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(2)</w:t>
      </w:r>
      <w:r>
        <w:rPr>
          <w:rFonts w:ascii="Times New Roman" w:eastAsiaTheme="minorEastAsia" w:hAnsi="Times New Roman" w:hint="eastAsia"/>
          <w:sz w:val="22"/>
        </w:rPr>
        <w:t>工作职责：负责保障上海市浦东新区城市规划和公共艺术中心各项设备设施正常运行及房屋修补、门窗桌椅修理等。</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hint="eastAsia"/>
          <w:sz w:val="22"/>
        </w:rPr>
        <w:t>总体要求：保障物业服务区域内建筑物安全和正常使用，建筑物及其附属件重要部分的完好率达</w:t>
      </w:r>
      <w:r>
        <w:rPr>
          <w:rFonts w:ascii="Times New Roman" w:eastAsiaTheme="minorEastAsia" w:hAnsi="Times New Roman" w:hint="eastAsia"/>
          <w:sz w:val="22"/>
        </w:rPr>
        <w:t>100%</w:t>
      </w:r>
      <w:r>
        <w:rPr>
          <w:rFonts w:ascii="Times New Roman" w:eastAsiaTheme="minorEastAsia" w:hAnsi="Times New Roman" w:hint="eastAsia"/>
          <w:sz w:val="22"/>
        </w:rPr>
        <w:t>；制定日常维保计划、季节性维保计划、中长期维保规划方案、大修、中修、小修方案，对房屋及门窗桌椅破损等一般小修不过夜，较大修理三天之内修复；接到报修后，</w:t>
      </w:r>
      <w:r>
        <w:rPr>
          <w:rFonts w:ascii="Times New Roman" w:eastAsiaTheme="minorEastAsia" w:hAnsi="Times New Roman" w:hint="eastAsia"/>
          <w:sz w:val="22"/>
        </w:rPr>
        <w:t>10</w:t>
      </w:r>
      <w:r>
        <w:rPr>
          <w:rFonts w:ascii="Times New Roman" w:eastAsiaTheme="minorEastAsia" w:hAnsi="Times New Roman" w:hint="eastAsia"/>
          <w:sz w:val="22"/>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Pr>
          <w:rFonts w:ascii="Times New Roman" w:eastAsiaTheme="minorEastAsia" w:hAnsi="Times New Roman" w:hint="eastAsia"/>
          <w:sz w:val="22"/>
        </w:rPr>
        <w:t>99%</w:t>
      </w:r>
      <w:r>
        <w:rPr>
          <w:rFonts w:ascii="Times New Roman" w:eastAsiaTheme="minorEastAsia" w:hAnsi="Times New Roman" w:hint="eastAsia"/>
          <w:sz w:val="22"/>
        </w:rPr>
        <w:t>以上，重要设施设备（系统）的完好率、正常率、合格率等各项指标达</w:t>
      </w:r>
      <w:r>
        <w:rPr>
          <w:rFonts w:ascii="Times New Roman" w:eastAsiaTheme="minorEastAsia" w:hAnsi="Times New Roman" w:hint="eastAsia"/>
          <w:sz w:val="22"/>
        </w:rPr>
        <w:t>100%</w:t>
      </w:r>
      <w:r>
        <w:rPr>
          <w:rFonts w:ascii="Times New Roman" w:eastAsiaTheme="minorEastAsia" w:hAnsi="Times New Roman" w:hint="eastAsia"/>
          <w:sz w:val="22"/>
        </w:rPr>
        <w:t>；对一般设备故障及时排除，并保证修复质量，做好排除故障的记录，记录中包括故障发生的时间、地点、原因分析和防范措施等内容，维修满意率应达</w:t>
      </w:r>
      <w:r>
        <w:rPr>
          <w:rFonts w:ascii="Times New Roman" w:eastAsiaTheme="minorEastAsia" w:hAnsi="Times New Roman" w:hint="eastAsia"/>
          <w:sz w:val="22"/>
        </w:rPr>
        <w:t>95%</w:t>
      </w:r>
      <w:r>
        <w:rPr>
          <w:rFonts w:ascii="Times New Roman" w:eastAsiaTheme="minorEastAsia" w:hAnsi="Times New Roman" w:hint="eastAsia"/>
          <w:sz w:val="22"/>
        </w:rPr>
        <w:t>，接报修率达</w:t>
      </w:r>
      <w:r>
        <w:rPr>
          <w:rFonts w:ascii="Times New Roman" w:eastAsiaTheme="minorEastAsia" w:hAnsi="Times New Roman" w:hint="eastAsia"/>
          <w:sz w:val="22"/>
        </w:rPr>
        <w:t>100%</w:t>
      </w:r>
      <w:r>
        <w:rPr>
          <w:rFonts w:ascii="Times New Roman" w:eastAsiaTheme="minorEastAsia" w:hAnsi="Times New Roman" w:hint="eastAsia"/>
          <w:sz w:val="22"/>
        </w:rPr>
        <w:t>；做好地下管网设备设施维护管理工作，定期检查疏通，确保供水、排水、排污等管网畅通；按计划、按要求对设备定期检测、测试；落实各类节能和节约资源措施，对各项能耗数据抄见、计量、统计、汇总等，并及时向采购人提供书面报告；积极主动配合机关节能降耗工作，根据相关规定，减少设备待机能耗，节约使用能源，提高设备的功效比，减少故障；对维保服务外包的设备（包括并不限于电梯、监控系统、消防系统、弱电系统、停车系统、道闸系统等专业设备），维保全过程安排专人现场跟踪质量监督管理，做好维修记录，保质保量，确保维保服务外包设备安全正常运转；按时对设备进行巡视、检查，观察各项设备运行状况，及时处理接报修工作，发生突发问题时实施应急预案；每日对大楼巡检，主动发现问题并加以修理；认真钻研技术，提高技术水平，确保作业质量合格；作业期间严禁吸烟，做到安全施工；待人礼貌，服务耐心；遇无法处理或职责以外的问题，及时向管理岗位反馈。同时，做好其他馆方要求的工作，工作内容接受馆方的指派和调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(4)</w:t>
      </w:r>
      <w:r>
        <w:rPr>
          <w:rFonts w:ascii="Times New Roman" w:eastAsiaTheme="minorEastAsia" w:hAnsi="Times New Roman" w:hint="eastAsia"/>
          <w:sz w:val="22"/>
        </w:rPr>
        <w:t>工作时间要求：可轮班，保证每日</w:t>
      </w:r>
      <w:r>
        <w:rPr>
          <w:rFonts w:ascii="Times New Roman" w:eastAsiaTheme="minorEastAsia" w:hAnsi="Times New Roman" w:hint="eastAsia"/>
          <w:sz w:val="22"/>
        </w:rPr>
        <w:t>24</w:t>
      </w:r>
      <w:r>
        <w:rPr>
          <w:rFonts w:ascii="Times New Roman" w:eastAsiaTheme="minorEastAsia" w:hAnsi="Times New Roman" w:hint="eastAsia"/>
          <w:sz w:val="22"/>
        </w:rPr>
        <w:t>小时岗上有人。</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(5)</w:t>
      </w:r>
      <w:r>
        <w:rPr>
          <w:rFonts w:ascii="Times New Roman" w:eastAsiaTheme="minorEastAsia" w:hAnsi="Times New Roman" w:hint="eastAsia"/>
          <w:sz w:val="22"/>
        </w:rPr>
        <w:t>人员自身要求：原则上不超过国家法定退休年龄；身心健康；无违法犯罪记录；具备相关工作经验，其中具备</w:t>
      </w:r>
      <w:r>
        <w:rPr>
          <w:rFonts w:ascii="Times New Roman" w:eastAsiaTheme="minorEastAsia" w:hAnsi="Times New Roman" w:hint="eastAsia"/>
          <w:sz w:val="22"/>
        </w:rPr>
        <w:t>3</w:t>
      </w:r>
      <w:r>
        <w:rPr>
          <w:rFonts w:ascii="Times New Roman" w:eastAsiaTheme="minorEastAsia" w:hAnsi="Times New Roman" w:hint="eastAsia"/>
          <w:sz w:val="22"/>
        </w:rPr>
        <w:t>年以上相关工作经验的人员不少于岗位数的</w:t>
      </w:r>
      <w:r>
        <w:rPr>
          <w:rFonts w:ascii="Times New Roman" w:eastAsiaTheme="minorEastAsia" w:hAnsi="Times New Roman" w:hint="eastAsia"/>
          <w:sz w:val="22"/>
        </w:rPr>
        <w:t>80%</w:t>
      </w:r>
      <w:r>
        <w:rPr>
          <w:rFonts w:ascii="Times New Roman" w:eastAsiaTheme="minorEastAsia" w:hAnsi="Times New Roman" w:hint="eastAsia"/>
          <w:sz w:val="22"/>
        </w:rPr>
        <w:t>；凡国家有关法规规定必须持证上岗的，应持有相应资格证书（高低压电工操作证等）。</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(6)</w:t>
      </w:r>
      <w:r>
        <w:rPr>
          <w:rFonts w:ascii="Times New Roman" w:eastAsiaTheme="minorEastAsia" w:hAnsi="Times New Roman" w:hint="eastAsia"/>
          <w:sz w:val="22"/>
        </w:rPr>
        <w:t>各工作点具体工作要求：各类设备无等级安全事故设备责任事故；保证供配电系统</w:t>
      </w:r>
      <w:r>
        <w:rPr>
          <w:rFonts w:ascii="Times New Roman" w:eastAsiaTheme="minorEastAsia" w:hAnsi="Times New Roman" w:hint="eastAsia"/>
          <w:sz w:val="22"/>
        </w:rPr>
        <w:t>24</w:t>
      </w:r>
      <w:r>
        <w:rPr>
          <w:rFonts w:ascii="Times New Roman" w:eastAsiaTheme="minorEastAsia" w:hAnsi="Times New Roman" w:hint="eastAsia"/>
          <w:sz w:val="22"/>
        </w:rPr>
        <w:t>小时正常运行，确保设备处于通风、干净、干燥环境，各楼层设备机房清洁整齐，无杂物堆放；确保电梯正常运行，安全措施齐全有效，发生故障</w:t>
      </w:r>
      <w:r>
        <w:rPr>
          <w:rFonts w:ascii="Times New Roman" w:eastAsiaTheme="minorEastAsia" w:hAnsi="Times New Roman" w:hint="eastAsia"/>
          <w:sz w:val="22"/>
        </w:rPr>
        <w:t>5</w:t>
      </w:r>
      <w:r>
        <w:rPr>
          <w:rFonts w:ascii="Times New Roman" w:eastAsiaTheme="minorEastAsia" w:hAnsi="Times New Roman" w:hint="eastAsia"/>
          <w:sz w:val="22"/>
        </w:rPr>
        <w:t>分钟之内到现场；所有空调运行正常，专人负责，每天巡视，并做好记录；地下层水泵房环境整洁；供排水系统通畅，无大面积跑水、积水、长时间停水事故，若遇计划停水，及时发出预告；每月配合消防维保单位对消防系统进行联动测试，确保完好、有效，应急指示灯、引路标志、消防装置与器材完好；各类设施设备机房整洁、有序；房屋外观无破坏立面，无改变使用功能、乱搭建、通道随意占用等现象，屋顶整洁、有序；室外道路地坪无明显长裂痕；停车场地保持平整，无积水；室内墙面和地坪无大面积污渍，起壳、起泡、无残缺，吊顶无残缺；室内外门锁保持开启灵活，配件齐全，无脱落、无残缺；落水管、下水道、污水管和化粪管道等排放畅通，</w:t>
      </w:r>
      <w:r>
        <w:rPr>
          <w:rFonts w:ascii="Times New Roman" w:eastAsiaTheme="minorEastAsia" w:hAnsi="Times New Roman" w:hint="eastAsia"/>
          <w:sz w:val="22"/>
        </w:rPr>
        <w:lastRenderedPageBreak/>
        <w:t>无堵塞，井盖完好无损；接到投诉后，立即调查核实，提出处理意见，并解决投诉问题。</w:t>
      </w:r>
    </w:p>
    <w:p w:rsidR="0086125C" w:rsidRDefault="0086125C" w:rsidP="0086125C">
      <w:pPr>
        <w:spacing w:line="300" w:lineRule="auto"/>
        <w:ind w:firstLineChars="200" w:firstLine="440"/>
        <w:rPr>
          <w:rFonts w:ascii="仿宋" w:eastAsia="仿宋" w:hAnsi="仿宋" w:cs="仿宋"/>
        </w:rPr>
      </w:pPr>
      <w:r>
        <w:rPr>
          <w:rFonts w:ascii="Times New Roman" w:eastAsiaTheme="minorEastAsia" w:hAnsi="Times New Roman" w:hint="eastAsia"/>
          <w:sz w:val="22"/>
        </w:rPr>
        <w:t>(7)</w:t>
      </w:r>
      <w:r>
        <w:rPr>
          <w:rFonts w:ascii="Times New Roman" w:eastAsiaTheme="minorEastAsia" w:hAnsi="Times New Roman" w:hint="eastAsia"/>
          <w:sz w:val="22"/>
        </w:rPr>
        <w:t>其它要求：员工队伍年龄结构比较合理，岗位与专业所长对口，且配置人员宜一专多能。</w:t>
      </w:r>
    </w:p>
    <w:p w:rsidR="0086125C" w:rsidRDefault="0086125C" w:rsidP="0086125C">
      <w:pPr>
        <w:spacing w:line="300" w:lineRule="auto"/>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 xml:space="preserve">9.3.3 </w:t>
      </w:r>
      <w:r>
        <w:rPr>
          <w:rFonts w:ascii="Times New Roman" w:eastAsiaTheme="minorEastAsia" w:hAnsi="Times New Roman" w:hint="eastAsia"/>
          <w:sz w:val="22"/>
        </w:rPr>
        <w:t>保洁</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hint="eastAsia"/>
          <w:sz w:val="22"/>
        </w:rPr>
        <w:t>服务范围：为上海市浦东新区城市规划和公共艺术中心提供清洁卫生服务。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(2)</w:t>
      </w:r>
      <w:r>
        <w:rPr>
          <w:rFonts w:ascii="Times New Roman" w:eastAsiaTheme="minorEastAsia" w:hAnsi="Times New Roman" w:hint="eastAsia"/>
          <w:sz w:val="22"/>
        </w:rPr>
        <w:t>工作职责：负责上海市浦东新区城市规划和公共艺术中心的清洁卫生等。</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hint="eastAsia"/>
          <w:sz w:val="22"/>
        </w:rPr>
        <w:t>总体要求：负责各楼层公共区域通道、卫生间、茶水间、消防通道楼梯、电梯等处的清洁工作；负责包括停车场等在内的室外及地下层等区域清扫工作；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同时，做好其他馆方要求的工作，工作内容接受馆方的指派和调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(4)</w:t>
      </w:r>
      <w:r>
        <w:rPr>
          <w:rFonts w:ascii="Times New Roman" w:eastAsiaTheme="minorEastAsia" w:hAnsi="Times New Roman" w:hint="eastAsia"/>
          <w:sz w:val="22"/>
        </w:rPr>
        <w:t>工作时间要求：可轮班，保证每日</w:t>
      </w:r>
      <w:r>
        <w:rPr>
          <w:rFonts w:ascii="Times New Roman" w:eastAsiaTheme="minorEastAsia" w:hAnsi="Times New Roman" w:hint="eastAsia"/>
          <w:sz w:val="22"/>
        </w:rPr>
        <w:t>7:00</w:t>
      </w:r>
      <w:r>
        <w:rPr>
          <w:rFonts w:ascii="Times New Roman" w:eastAsiaTheme="minorEastAsia" w:hAnsi="Times New Roman" w:hint="eastAsia"/>
          <w:sz w:val="22"/>
        </w:rPr>
        <w:t>至</w:t>
      </w:r>
      <w:r>
        <w:rPr>
          <w:rFonts w:ascii="Times New Roman" w:eastAsiaTheme="minorEastAsia" w:hAnsi="Times New Roman" w:hint="eastAsia"/>
          <w:sz w:val="22"/>
        </w:rPr>
        <w:t>20:00</w:t>
      </w:r>
      <w:r>
        <w:rPr>
          <w:rFonts w:ascii="Times New Roman" w:eastAsiaTheme="minorEastAsia" w:hAnsi="Times New Roman" w:hint="eastAsia"/>
          <w:sz w:val="22"/>
        </w:rPr>
        <w:t>岗上有人。</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(5)</w:t>
      </w:r>
      <w:r>
        <w:rPr>
          <w:rFonts w:ascii="Times New Roman" w:eastAsiaTheme="minorEastAsia" w:hAnsi="Times New Roman" w:hint="eastAsia"/>
          <w:sz w:val="22"/>
        </w:rPr>
        <w:t>人员自身要求：原则上不超过国家法定退休年龄；身心健康；无违法犯罪记录。</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(6)</w:t>
      </w:r>
      <w:r>
        <w:rPr>
          <w:rFonts w:ascii="Times New Roman" w:eastAsiaTheme="minorEastAsia" w:hAnsi="Times New Roman" w:hint="eastAsia"/>
          <w:sz w:val="22"/>
        </w:rPr>
        <w:t>各工作点具体工作要求：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(7)</w:t>
      </w:r>
      <w:r>
        <w:rPr>
          <w:rFonts w:ascii="Times New Roman" w:eastAsiaTheme="minorEastAsia" w:hAnsi="Times New Roman" w:hint="eastAsia"/>
          <w:sz w:val="22"/>
        </w:rPr>
        <w:t>其它要求：如遇节假日、双休日业主有特殊需求，须根据实际情况照常提供服务，且服务标准不得降低。</w:t>
      </w:r>
    </w:p>
    <w:p w:rsidR="0086125C" w:rsidRDefault="0086125C" w:rsidP="0086125C">
      <w:pPr>
        <w:spacing w:line="300" w:lineRule="auto"/>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 xml:space="preserve">9.3.4 </w:t>
      </w:r>
      <w:r>
        <w:rPr>
          <w:rFonts w:ascii="Times New Roman" w:eastAsiaTheme="minorEastAsia" w:hAnsi="Times New Roman" w:hint="eastAsia"/>
          <w:sz w:val="22"/>
        </w:rPr>
        <w:t>保安</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hint="eastAsia"/>
          <w:sz w:val="22"/>
        </w:rPr>
        <w:t>服务范围：为上海市浦东新区城市规划和公共艺术中心提供安全保障服务。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(2)</w:t>
      </w:r>
      <w:r>
        <w:rPr>
          <w:rFonts w:ascii="Times New Roman" w:eastAsiaTheme="minorEastAsia" w:hAnsi="Times New Roman" w:hint="eastAsia"/>
          <w:sz w:val="22"/>
        </w:rPr>
        <w:t>工作职责：实施全年</w:t>
      </w:r>
      <w:r>
        <w:rPr>
          <w:rFonts w:ascii="Times New Roman" w:eastAsiaTheme="minorEastAsia" w:hAnsi="Times New Roman" w:hint="eastAsia"/>
          <w:sz w:val="22"/>
        </w:rPr>
        <w:t>365</w:t>
      </w:r>
      <w:r>
        <w:rPr>
          <w:rFonts w:ascii="Times New Roman" w:eastAsiaTheme="minorEastAsia" w:hAnsi="Times New Roman" w:hint="eastAsia"/>
          <w:sz w:val="22"/>
        </w:rPr>
        <w:t>天昼夜值守，人防、技防密切配合，及时消除隐患，确保上海市浦东新区城市规划和公共艺术中心安全、有序、高效运转。</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hint="eastAsia"/>
          <w:sz w:val="22"/>
        </w:rPr>
        <w:t>总体要求：全体保安人员在工作时着装统一、仪表整齐、操作规范、文明用语、礼貌服务；实施全年</w:t>
      </w:r>
      <w:r>
        <w:rPr>
          <w:rFonts w:ascii="Times New Roman" w:eastAsiaTheme="minorEastAsia" w:hAnsi="Times New Roman" w:hint="eastAsia"/>
          <w:sz w:val="22"/>
        </w:rPr>
        <w:t>365</w:t>
      </w:r>
      <w:r>
        <w:rPr>
          <w:rFonts w:ascii="Times New Roman" w:eastAsiaTheme="minorEastAsia" w:hAnsi="Times New Roman" w:hint="eastAsia"/>
          <w:sz w:val="22"/>
        </w:rPr>
        <w:t>天昼夜值守，负责门卫验证、来访登记、跟踪服务、指挥有证车辆有序进出与停放、巡逻检查、消防安全检查等各项工作；通过办公点消控、监控设备设施等技术防范手段，包括火灾自动报警、燃气泄漏报警、消防水喷淋、各种类型灭火机、应急广播等消控系统，以及摄像监控、防盗报警、入侵报警、车库管理、门禁、人员进入自动识别等监控系统等，履行每日</w:t>
      </w:r>
      <w:r>
        <w:rPr>
          <w:rFonts w:ascii="Times New Roman" w:eastAsiaTheme="minorEastAsia" w:hAnsi="Times New Roman" w:hint="eastAsia"/>
          <w:sz w:val="22"/>
        </w:rPr>
        <w:t>24</w:t>
      </w:r>
      <w:r>
        <w:rPr>
          <w:rFonts w:ascii="Times New Roman" w:eastAsiaTheme="minorEastAsia" w:hAnsi="Times New Roman" w:hint="eastAsia"/>
          <w:sz w:val="22"/>
        </w:rPr>
        <w:t>小时的监控值守职责。同时，做好其他馆方要求的工作，工作内容接受馆方的指派和调剂。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lastRenderedPageBreak/>
        <w:t>(4)</w:t>
      </w:r>
      <w:r>
        <w:rPr>
          <w:rFonts w:ascii="Times New Roman" w:eastAsiaTheme="minorEastAsia" w:hAnsi="Times New Roman" w:hint="eastAsia"/>
          <w:sz w:val="22"/>
        </w:rPr>
        <w:t>工作时间要求：全年昼夜值班。</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(5)</w:t>
      </w:r>
      <w:r>
        <w:rPr>
          <w:rFonts w:ascii="Times New Roman" w:eastAsiaTheme="minorEastAsia" w:hAnsi="Times New Roman" w:hint="eastAsia"/>
          <w:sz w:val="22"/>
        </w:rPr>
        <w:t>人员自身要求：原则上不超过国家法定退休年龄，且整体年龄结构较为合理；身心健康，身强力壮；无违法犯罪记录，经公安管理部门指纹采集合格；需有一定的保安管理工作经验，持有公安管理部门认可的上岗证，技防岗位还需持有初级及以上建（构）筑物消防员资格证；经过培训方可上岗。</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(6)</w:t>
      </w:r>
      <w:r>
        <w:rPr>
          <w:rFonts w:ascii="Times New Roman" w:eastAsiaTheme="minorEastAsia" w:hAnsi="Times New Roman" w:hint="eastAsia"/>
          <w:sz w:val="22"/>
        </w:rPr>
        <w:t>各工种（工作点）具体工作要求：加强安全保卫，认真值守，规范服务，做到认真值勤，热忱服务，确保无等级爆炸、火灾、破坏、盗窃事故和无责任疏漏事故；进驻上海市浦东新区城市规划和公共艺术中心项目的保安队员必须严格组织政审，派驻队员身心健康、无不良记录；加强思想政治工作，教育员工严格遵纪守法，优质服务；负责上海市浦东新区城市规划和公共艺术中心昼夜</w:t>
      </w:r>
      <w:r>
        <w:rPr>
          <w:rFonts w:ascii="Times New Roman" w:eastAsiaTheme="minorEastAsia" w:hAnsi="Times New Roman" w:hint="eastAsia"/>
          <w:sz w:val="22"/>
        </w:rPr>
        <w:t>24</w:t>
      </w:r>
      <w:r>
        <w:rPr>
          <w:rFonts w:ascii="Times New Roman" w:eastAsiaTheme="minorEastAsia" w:hAnsi="Times New Roman" w:hint="eastAsia"/>
          <w:sz w:val="22"/>
        </w:rPr>
        <w:t>小时保安工作的全部任务，采取固定值守和流动巡视相结合的方式，加强各个入口、停车场、治安死角等重要区域的安全防范，认真详细做好值班记录；定期巡视、查验、维修、更新消防器材和设备，指定有关人员负责保养、维修和管理。对前来联系工作的人员须进行询问、引导、解答，态度热情、举止文明，严防闲杂人员进入；对大件物品出门须进行登记和检查；及时、积极主动地配合有关部门，做好劝说、劝阻和疏导工作；指挥车辆安全通行和停放，保证环境有序和道路畅通；对闭路监控系统、防盗报警系统、入侵报警系统、火灾报警系统等设施进行每日</w:t>
      </w:r>
      <w:r>
        <w:rPr>
          <w:rFonts w:ascii="Times New Roman" w:eastAsiaTheme="minorEastAsia" w:hAnsi="Times New Roman" w:hint="eastAsia"/>
          <w:sz w:val="22"/>
        </w:rPr>
        <w:t>24</w:t>
      </w:r>
      <w:r>
        <w:rPr>
          <w:rFonts w:ascii="Times New Roman" w:eastAsiaTheme="minorEastAsia" w:hAnsi="Times New Roman" w:hint="eastAsia"/>
          <w:sz w:val="22"/>
        </w:rPr>
        <w:t>小时监控，并做好监控记录台账；发现隐患及时排除，如有重大案情，须立即报警，保护好现场，同时做好详细记录备案；乙方队员在值勤中，认真履行防火、防盗、防窃等职责，不脱岗、不离岗；如因责任心不强或工作疏忽或违章操作致使甲方造成爆炸、火灾、盗窃等事故，应承担经济责任及法律责任；爱护采购人配置的设备和安保工具；消控室座机接听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(7)</w:t>
      </w:r>
      <w:r>
        <w:rPr>
          <w:rFonts w:ascii="Times New Roman" w:eastAsiaTheme="minorEastAsia" w:hAnsi="Times New Roman" w:hint="eastAsia"/>
          <w:sz w:val="22"/>
        </w:rPr>
        <w:t>其它要求：上岗期间须穿戴经采购人认可的有明显标识标志的保安制服。</w:t>
      </w:r>
    </w:p>
    <w:p w:rsidR="0086125C" w:rsidRDefault="0086125C" w:rsidP="0086125C">
      <w:pPr>
        <w:spacing w:line="300" w:lineRule="auto"/>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 xml:space="preserve">9.3.5 </w:t>
      </w:r>
      <w:r>
        <w:rPr>
          <w:rFonts w:ascii="Times New Roman" w:eastAsiaTheme="minorEastAsia" w:hAnsi="Times New Roman" w:hint="eastAsia"/>
          <w:sz w:val="22"/>
        </w:rPr>
        <w:t>会务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hint="eastAsia"/>
          <w:sz w:val="22"/>
        </w:rPr>
        <w:t>服务范围：为上海市浦东新区城市规划和公共艺术中心提供会务后勤保障服务。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(2)</w:t>
      </w:r>
      <w:r>
        <w:rPr>
          <w:rFonts w:ascii="Times New Roman" w:eastAsiaTheme="minorEastAsia" w:hAnsi="Times New Roman" w:hint="eastAsia"/>
          <w:sz w:val="22"/>
        </w:rPr>
        <w:t>工作职责：保持服务人员应有的仪表仪容，严格遵照工作流程做好各项会务服务工作。</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hint="eastAsia"/>
          <w:sz w:val="22"/>
        </w:rPr>
        <w:t>总体要求：按要求提供会议室的热水、茶杯等用品；迎候与会人员，提供倒茶水等服务；及时清洗消毒和保管接待用品，定期消毒话筒等；迎送上级领导和重要宾客；做好会议室日常保洁；做好会议室的布置和服务保障工作；人员上岗前应进行培训，培训内容包括法律法规、职业道德、岗位业务知识等，培训合格后方可上岗。同时，做好其他馆方要求的工作，工作内容接受馆方的指派和调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(4)</w:t>
      </w:r>
      <w:r>
        <w:rPr>
          <w:rFonts w:ascii="Times New Roman" w:eastAsiaTheme="minorEastAsia" w:hAnsi="Times New Roman" w:hint="eastAsia"/>
          <w:sz w:val="22"/>
        </w:rPr>
        <w:t>工作时间要求：上班时间不晚于</w:t>
      </w:r>
      <w:r>
        <w:rPr>
          <w:rFonts w:ascii="Times New Roman" w:eastAsiaTheme="minorEastAsia" w:hAnsi="Times New Roman" w:hint="eastAsia"/>
          <w:sz w:val="22"/>
        </w:rPr>
        <w:t>8:30</w:t>
      </w:r>
      <w:r>
        <w:rPr>
          <w:rFonts w:ascii="Times New Roman" w:eastAsiaTheme="minorEastAsia" w:hAnsi="Times New Roman" w:hint="eastAsia"/>
          <w:sz w:val="22"/>
        </w:rPr>
        <w:t>，下班时间不早于</w:t>
      </w:r>
      <w:r>
        <w:rPr>
          <w:rFonts w:ascii="Times New Roman" w:eastAsiaTheme="minorEastAsia" w:hAnsi="Times New Roman" w:hint="eastAsia"/>
          <w:sz w:val="22"/>
        </w:rPr>
        <w:t>18:00</w:t>
      </w:r>
      <w:r>
        <w:rPr>
          <w:rFonts w:ascii="Times New Roman" w:eastAsiaTheme="minorEastAsia" w:hAnsi="Times New Roman" w:hint="eastAsia"/>
          <w:sz w:val="22"/>
        </w:rPr>
        <w:t>及会议结束，如晚间有会议需照常服务至会议结束。</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(5)</w:t>
      </w:r>
      <w:r>
        <w:rPr>
          <w:rFonts w:ascii="Times New Roman" w:eastAsiaTheme="minorEastAsia" w:hAnsi="Times New Roman" w:hint="eastAsia"/>
          <w:sz w:val="22"/>
        </w:rPr>
        <w:t>人员自身要求：</w:t>
      </w:r>
      <w:r>
        <w:rPr>
          <w:rFonts w:ascii="Times New Roman" w:eastAsiaTheme="minorEastAsia" w:hAnsi="Times New Roman" w:hint="eastAsia"/>
          <w:sz w:val="22"/>
        </w:rPr>
        <w:t>40</w:t>
      </w:r>
      <w:r>
        <w:rPr>
          <w:rFonts w:ascii="Times New Roman" w:eastAsiaTheme="minorEastAsia" w:hAnsi="Times New Roman" w:hint="eastAsia"/>
          <w:sz w:val="22"/>
        </w:rPr>
        <w:t>周岁以下，容貌体形端正、身心健康，且持有健康证；无违法犯罪记录；有相关会务、礼仪接待工作经验，具备中专及以上学历。</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(6)</w:t>
      </w:r>
      <w:r>
        <w:rPr>
          <w:rFonts w:ascii="Times New Roman" w:eastAsiaTheme="minorEastAsia" w:hAnsi="Times New Roman" w:hint="eastAsia"/>
          <w:sz w:val="22"/>
        </w:rPr>
        <w:t>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w:t>
      </w:r>
      <w:r>
        <w:rPr>
          <w:rFonts w:ascii="Times New Roman" w:eastAsiaTheme="minorEastAsia" w:hAnsi="Times New Roman" w:hint="eastAsia"/>
          <w:sz w:val="22"/>
        </w:rPr>
        <w:lastRenderedPageBreak/>
        <w:t>窗，清理桌上的资料、茶杯、饮料等物品并送入盥洗室清洗、消毒；无会议期间，须对会议室进行日常打扫工作。</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(7)</w:t>
      </w:r>
      <w:r>
        <w:rPr>
          <w:rFonts w:ascii="Times New Roman" w:eastAsiaTheme="minorEastAsia" w:hAnsi="Times New Roman" w:hint="eastAsia"/>
          <w:sz w:val="22"/>
        </w:rPr>
        <w:t>办公点会议室分布：（按实际需求设立）</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(8)</w:t>
      </w:r>
      <w:r>
        <w:rPr>
          <w:rFonts w:ascii="Times New Roman" w:eastAsiaTheme="minorEastAsia" w:hAnsi="Times New Roman" w:hint="eastAsia"/>
          <w:sz w:val="22"/>
        </w:rPr>
        <w:t>其它要求：若遇节假日、双休日有重大会议或活动，需根据管理岗位的安排照常提供服务，且服务标准不得降低。</w:t>
      </w:r>
    </w:p>
    <w:p w:rsidR="0086125C" w:rsidRDefault="0086125C" w:rsidP="0086125C">
      <w:pPr>
        <w:spacing w:line="300" w:lineRule="auto"/>
        <w:ind w:firstLineChars="200" w:firstLine="440"/>
        <w:outlineLvl w:val="4"/>
        <w:rPr>
          <w:rFonts w:ascii="Times New Roman" w:eastAsiaTheme="minorEastAsia" w:hAnsi="Times New Roman"/>
          <w:sz w:val="22"/>
        </w:rPr>
      </w:pPr>
      <w:r>
        <w:rPr>
          <w:rFonts w:ascii="Times New Roman" w:eastAsiaTheme="minorEastAsia" w:hAnsi="Times New Roman" w:hint="eastAsia"/>
          <w:sz w:val="22"/>
        </w:rPr>
        <w:t xml:space="preserve">9.3.6 </w:t>
      </w:r>
      <w:r>
        <w:rPr>
          <w:rFonts w:ascii="Times New Roman" w:eastAsiaTheme="minorEastAsia" w:hAnsi="Times New Roman" w:hint="eastAsia"/>
          <w:sz w:val="22"/>
        </w:rPr>
        <w:t>展陈</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hint="eastAsia"/>
          <w:sz w:val="22"/>
        </w:rPr>
        <w:t>服务范围：为上海市浦东新区城市规划和公共艺术中心提供展陈后勤保障服务。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(2)</w:t>
      </w:r>
      <w:r>
        <w:rPr>
          <w:rFonts w:ascii="Times New Roman" w:eastAsiaTheme="minorEastAsia" w:hAnsi="Times New Roman" w:hint="eastAsia"/>
          <w:sz w:val="22"/>
        </w:rPr>
        <w:t>工作职责：保持服务人员应有的仪表仪容，严格遵照工作流程做好各项展陈服务工作。</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hint="eastAsia"/>
          <w:sz w:val="22"/>
        </w:rPr>
        <w:t>总体要求：按要求做好检票、安检工作；迎接参观者，正确指引进行检票，做好检票口的人流疏导，参观者有序进入。做好参观者问询服务，解答参观者咨询；做好参观者现场预约登记服务；做好参观者物品寄存服务；遗失物品保管、失物招领宣传与登记以及物品归还服务；展陈区域整体巡视，确保参观者有序参观，参观者参观过程中出现的不当行为进行阻止及劝导，确保非开放区域无人员进入。人员上岗前应进行培训，培训内容包括法律法规、职业道德、岗位业务知识等，培训合格后方可上岗。提供规划艺术展示展陈等专业场所各类活动的安检、检票、导引、保安、物品存放、搬运装卸等后勤保障服务。同时，做好其他馆方要求的工作，工作内容接受馆方的指派和调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(4)</w:t>
      </w:r>
      <w:r>
        <w:rPr>
          <w:rFonts w:ascii="Times New Roman" w:eastAsiaTheme="minorEastAsia" w:hAnsi="Times New Roman" w:hint="eastAsia"/>
          <w:sz w:val="22"/>
        </w:rPr>
        <w:t>工作时间要求：上班时间不晚于</w:t>
      </w:r>
      <w:r>
        <w:rPr>
          <w:rFonts w:ascii="Times New Roman" w:eastAsiaTheme="minorEastAsia" w:hAnsi="Times New Roman" w:hint="eastAsia"/>
          <w:sz w:val="22"/>
        </w:rPr>
        <w:t>8:30</w:t>
      </w:r>
      <w:r>
        <w:rPr>
          <w:rFonts w:ascii="Times New Roman" w:eastAsiaTheme="minorEastAsia" w:hAnsi="Times New Roman" w:hint="eastAsia"/>
          <w:sz w:val="22"/>
        </w:rPr>
        <w:t>，下班时间不早于</w:t>
      </w:r>
      <w:r>
        <w:rPr>
          <w:rFonts w:ascii="Times New Roman" w:eastAsiaTheme="minorEastAsia" w:hAnsi="Times New Roman" w:hint="eastAsia"/>
          <w:sz w:val="22"/>
        </w:rPr>
        <w:t>17:00</w:t>
      </w:r>
      <w:r>
        <w:rPr>
          <w:rFonts w:ascii="Times New Roman" w:eastAsiaTheme="minorEastAsia" w:hAnsi="Times New Roman" w:hint="eastAsia"/>
          <w:sz w:val="22"/>
        </w:rPr>
        <w:t>。</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(5)</w:t>
      </w:r>
      <w:r>
        <w:rPr>
          <w:rFonts w:ascii="Times New Roman" w:eastAsiaTheme="minorEastAsia" w:hAnsi="Times New Roman" w:hint="eastAsia"/>
          <w:sz w:val="22"/>
        </w:rPr>
        <w:t>人员自身要求：</w:t>
      </w:r>
      <w:r>
        <w:rPr>
          <w:rFonts w:ascii="Times New Roman" w:eastAsiaTheme="minorEastAsia" w:hAnsi="Times New Roman" w:hint="eastAsia"/>
          <w:sz w:val="22"/>
        </w:rPr>
        <w:t>40</w:t>
      </w:r>
      <w:r>
        <w:rPr>
          <w:rFonts w:ascii="Times New Roman" w:eastAsiaTheme="minorEastAsia" w:hAnsi="Times New Roman" w:hint="eastAsia"/>
          <w:sz w:val="22"/>
        </w:rPr>
        <w:t>周岁以下，容貌体形端正、身心健康；无违法犯罪记录；有相关礼仪接待工作经验，具备中专及以上学历。</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(6)</w:t>
      </w:r>
      <w:r>
        <w:rPr>
          <w:rFonts w:ascii="Times New Roman" w:eastAsiaTheme="minorEastAsia" w:hAnsi="Times New Roman" w:hint="eastAsia"/>
          <w:sz w:val="22"/>
        </w:rPr>
        <w:t>具体工作要求：仪表整洁，操作规范，用语文明，微笑服务；开馆前检查展陈区域设备设施运行情况，发现问题及时通知相关人员进行检修；如有特别要求，按要求执行。做到精神饱满，仪容、仪表端庄大方，微笑迎客；负责参观者指引服务，解答参观者咨询，指引参观者至需前往区域。展陈区域整体巡视，确保参观者有序参观，参观者参观过程中出现的不当行为进行阻止及劝导。根据预约团队参观信息和需求，按指定的路线、时间和内容对团队参观进行引导参观服务。</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(7)</w:t>
      </w:r>
      <w:r>
        <w:rPr>
          <w:rFonts w:ascii="Times New Roman" w:eastAsiaTheme="minorEastAsia" w:hAnsi="Times New Roman" w:hint="eastAsia"/>
          <w:sz w:val="22"/>
        </w:rPr>
        <w:t>办公点展陈区域：（按实际需求设立）</w:t>
      </w:r>
    </w:p>
    <w:p w:rsidR="0086125C" w:rsidRDefault="0086125C" w:rsidP="0086125C">
      <w:pPr>
        <w:spacing w:line="300" w:lineRule="auto"/>
        <w:ind w:firstLineChars="200" w:firstLine="440"/>
        <w:rPr>
          <w:rFonts w:ascii="Times New Roman" w:hAnsi="Times New Roman"/>
          <w:bCs/>
          <w:sz w:val="22"/>
        </w:rPr>
      </w:pPr>
      <w:r>
        <w:rPr>
          <w:rFonts w:ascii="Times New Roman" w:eastAsiaTheme="minorEastAsia" w:hAnsi="Times New Roman" w:hint="eastAsia"/>
          <w:sz w:val="22"/>
        </w:rPr>
        <w:t>(8)</w:t>
      </w:r>
      <w:r>
        <w:rPr>
          <w:rFonts w:ascii="Times New Roman" w:eastAsiaTheme="minorEastAsia" w:hAnsi="Times New Roman" w:hint="eastAsia"/>
          <w:sz w:val="22"/>
        </w:rPr>
        <w:t>其它要求：若遇节假日、双休日有重大会议或活动，需根据管理岗位的安排照常提供服务，且服务标准不得降低。</w:t>
      </w:r>
    </w:p>
    <w:p w:rsidR="0086125C" w:rsidRDefault="0086125C" w:rsidP="0086125C">
      <w:pPr>
        <w:tabs>
          <w:tab w:val="left" w:pos="7200"/>
        </w:tabs>
        <w:adjustRightInd w:val="0"/>
        <w:snapToGrid w:val="0"/>
        <w:spacing w:line="300" w:lineRule="auto"/>
        <w:ind w:firstLineChars="200" w:firstLine="440"/>
        <w:rPr>
          <w:rFonts w:ascii="Times New Roman" w:hAnsi="Times New Roman"/>
          <w:bCs/>
          <w:sz w:val="22"/>
        </w:rPr>
      </w:pPr>
    </w:p>
    <w:p w:rsidR="0086125C" w:rsidRDefault="0086125C" w:rsidP="0086125C">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hint="eastAsia"/>
          <w:b/>
          <w:bCs/>
          <w:sz w:val="22"/>
        </w:rPr>
        <w:t>10</w:t>
      </w:r>
      <w:r>
        <w:rPr>
          <w:rFonts w:ascii="Times New Roman" w:hAnsi="Times New Roman" w:hint="eastAsia"/>
          <w:b/>
          <w:bCs/>
          <w:sz w:val="22"/>
        </w:rPr>
        <w:t>安全文明作业要求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10.1</w:t>
      </w:r>
      <w:r>
        <w:rPr>
          <w:rFonts w:ascii="Times New Roman" w:eastAsiaTheme="minorEastAsia" w:hAnsi="Times New Roman" w:hint="eastAsia"/>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10.2</w:t>
      </w:r>
      <w:r>
        <w:rPr>
          <w:rFonts w:ascii="Times New Roman" w:eastAsiaTheme="minorEastAsia" w:hAnsi="Times New Roman" w:hint="eastAsia"/>
          <w:sz w:val="22"/>
        </w:rPr>
        <w:t>中标人在项目实施期间，必须遵守国家与上海市各项有关安全作业规章、规范与制度，建立动用明火申请批准制度，安全用电等制度，确保杜绝各类事故的发生。</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10.3</w:t>
      </w:r>
      <w:r>
        <w:rPr>
          <w:rFonts w:ascii="Times New Roman" w:eastAsiaTheme="minorEastAsia" w:hAnsi="Times New Roman" w:hint="eastAsia"/>
          <w:sz w:val="22"/>
        </w:rPr>
        <w:t>中标人在提供物业服务时，如岗位涉及维护修理等工作，其负责人应具有专业证书，服务人员必须持证上岗。中标人对其提供服务的人员的人身安全负责，对采购方、第三方的人身安全和财产</w:t>
      </w:r>
      <w:r>
        <w:rPr>
          <w:rFonts w:ascii="Times New Roman" w:eastAsiaTheme="minorEastAsia" w:hAnsi="Times New Roman" w:hint="eastAsia"/>
          <w:sz w:val="22"/>
        </w:rPr>
        <w:lastRenderedPageBreak/>
        <w:t>安全负责。</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10.4</w:t>
      </w:r>
      <w:r>
        <w:rPr>
          <w:rFonts w:ascii="Times New Roman" w:eastAsiaTheme="minorEastAsia" w:hAnsi="Times New Roman" w:hint="eastAsia"/>
          <w:sz w:val="22"/>
        </w:rPr>
        <w:t>中标人在提供物业服务时必须保护好服务区域内的环境和原有建筑、装饰与设施，保证环境和原有建筑、装饰与设施完好。</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10.5</w:t>
      </w:r>
      <w:r>
        <w:rPr>
          <w:rFonts w:ascii="Times New Roman" w:eastAsiaTheme="minorEastAsia" w:hAnsi="Times New Roman" w:hint="eastAsia"/>
          <w:sz w:val="22"/>
        </w:rPr>
        <w:t>各投标人在投标文件中要结合本项目的特点和采购人上述的具体要求制定相应的安全文明施工措施。</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10.6</w:t>
      </w:r>
      <w:r>
        <w:rPr>
          <w:rFonts w:ascii="Times New Roman" w:eastAsiaTheme="minorEastAsia" w:hAnsi="Times New Roman" w:hint="eastAsia"/>
          <w:sz w:val="22"/>
        </w:rPr>
        <w:t>建立突发事件应急处置方案，定期开展防灾防火应急疏散演练，并做好相应记录。</w:t>
      </w:r>
    </w:p>
    <w:p w:rsidR="0086125C" w:rsidRDefault="0086125C" w:rsidP="0086125C">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hint="eastAsia"/>
          <w:b/>
          <w:bCs/>
          <w:sz w:val="22"/>
        </w:rPr>
        <w:t>11</w:t>
      </w:r>
      <w:r>
        <w:rPr>
          <w:rFonts w:ascii="Times New Roman" w:hAnsi="Times New Roman" w:hint="eastAsia"/>
          <w:b/>
          <w:bCs/>
          <w:sz w:val="22"/>
        </w:rPr>
        <w:t>应急处置要求</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11.1</w:t>
      </w:r>
      <w:r>
        <w:rPr>
          <w:rFonts w:ascii="Times New Roman" w:eastAsiaTheme="minorEastAsia" w:hAnsi="Times New Roman" w:hint="eastAsia"/>
          <w:sz w:val="22"/>
        </w:rPr>
        <w:t>中标人须建立突发事件（包括但不限于防台防汛、传染病防控、断水、断电、火灾等）应急处置方案，应急预案应包括组织领导体系、预警和预防机制、应急响应工程措施、临时交通组织方案、保障措施（包括应急人员、物资、机械设备、资金等）等内容。</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11.2</w:t>
      </w:r>
      <w:r>
        <w:rPr>
          <w:rFonts w:ascii="Times New Roman" w:eastAsiaTheme="minorEastAsia" w:hAnsi="Times New Roman" w:hint="eastAsia"/>
          <w:sz w:val="22"/>
        </w:rPr>
        <w:t>建立应急指挥领导小组，负责应急救援总体指挥，并落实各部门职责和相关措施。</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11.3</w:t>
      </w:r>
      <w:r>
        <w:rPr>
          <w:rFonts w:ascii="Times New Roman" w:eastAsiaTheme="minorEastAsia" w:hAnsi="Times New Roman" w:hint="eastAsia"/>
          <w:sz w:val="22"/>
        </w:rPr>
        <w:t>与气象、交警、消防、医疗等部门建立联动机制，如过程中发生重特大安全事故，中标人应快速、及时赶到现场，实施紧急处置，并协同有关单位和部门做好善后处理和稳定工作。</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11.4</w:t>
      </w:r>
      <w:r>
        <w:rPr>
          <w:rFonts w:ascii="Times New Roman" w:eastAsiaTheme="minorEastAsia" w:hAnsi="Times New Roman" w:hint="eastAsia"/>
          <w:sz w:val="22"/>
        </w:rPr>
        <w:t>组建一支具有综合救援能力的应急救援队伍，一旦紧急情况发生，能在最短时间内到达现场进行应急处置。</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11.5</w:t>
      </w:r>
      <w:r>
        <w:rPr>
          <w:rFonts w:ascii="Times New Roman" w:eastAsiaTheme="minorEastAsia" w:hAnsi="Times New Roman" w:hint="eastAsia"/>
          <w:sz w:val="22"/>
        </w:rPr>
        <w:t>定期检查应急救援物资与机具，确保物资储备数量充足、机具设备完好可用。</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11.6</w:t>
      </w:r>
      <w:r>
        <w:rPr>
          <w:rFonts w:ascii="Times New Roman" w:eastAsiaTheme="minorEastAsia" w:hAnsi="Times New Roman" w:hint="eastAsia"/>
          <w:sz w:val="22"/>
        </w:rPr>
        <w:t>定期或不定期开展多方式多类别的应急演练，提高应急队伍的响应速度、救援水平和协同能力，并根据演练过程总结和结果评估，完善应急预案。</w:t>
      </w:r>
    </w:p>
    <w:p w:rsidR="0086125C" w:rsidRDefault="0086125C" w:rsidP="0086125C">
      <w:pPr>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11.7</w:t>
      </w:r>
      <w:r>
        <w:rPr>
          <w:rFonts w:ascii="Times New Roman" w:eastAsiaTheme="minorEastAsia" w:hAnsi="Times New Roman" w:hint="eastAsia"/>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p>
    <w:p w:rsidR="0086125C" w:rsidRDefault="0086125C" w:rsidP="0086125C">
      <w:pPr>
        <w:tabs>
          <w:tab w:val="left" w:pos="7200"/>
        </w:tabs>
        <w:adjustRightInd w:val="0"/>
        <w:snapToGrid w:val="0"/>
        <w:spacing w:line="300" w:lineRule="auto"/>
        <w:ind w:firstLineChars="200" w:firstLine="440"/>
        <w:rPr>
          <w:rFonts w:ascii="Times New Roman" w:hAnsi="Times New Roman"/>
          <w:bCs/>
          <w:color w:val="FF0000"/>
          <w:sz w:val="22"/>
        </w:rPr>
      </w:pPr>
    </w:p>
    <w:p w:rsidR="0086125C" w:rsidRDefault="0086125C" w:rsidP="0086125C">
      <w:pPr>
        <w:adjustRightInd w:val="0"/>
        <w:snapToGrid w:val="0"/>
        <w:spacing w:line="300" w:lineRule="auto"/>
        <w:jc w:val="center"/>
        <w:outlineLvl w:val="1"/>
        <w:rPr>
          <w:rFonts w:ascii="Times New Roman" w:eastAsia="黑体" w:hAnsi="Times New Roman"/>
          <w:sz w:val="30"/>
          <w:szCs w:val="30"/>
        </w:rPr>
      </w:pPr>
      <w:bookmarkStart w:id="32" w:name="_Toc460922295"/>
      <w:bookmarkStart w:id="33" w:name="_Toc464465687"/>
      <w:bookmarkStart w:id="34" w:name="_Toc3894"/>
      <w:r>
        <w:rPr>
          <w:rFonts w:ascii="Times New Roman" w:eastAsia="黑体" w:hAnsi="Times New Roman"/>
          <w:sz w:val="30"/>
          <w:szCs w:val="30"/>
        </w:rPr>
        <w:t>四、</w:t>
      </w:r>
      <w:bookmarkEnd w:id="32"/>
      <w:bookmarkEnd w:id="33"/>
      <w:r>
        <w:rPr>
          <w:rFonts w:ascii="Times New Roman" w:eastAsia="黑体" w:hAnsi="Times New Roman"/>
          <w:sz w:val="30"/>
          <w:szCs w:val="30"/>
        </w:rPr>
        <w:t>投标报价须知</w:t>
      </w:r>
      <w:bookmarkEnd w:id="34"/>
    </w:p>
    <w:p w:rsidR="0086125C" w:rsidRDefault="0086125C" w:rsidP="0086125C">
      <w:pPr>
        <w:adjustRightInd w:val="0"/>
        <w:snapToGrid w:val="0"/>
        <w:spacing w:line="300" w:lineRule="auto"/>
        <w:ind w:firstLineChars="200" w:firstLine="442"/>
        <w:outlineLvl w:val="2"/>
        <w:rPr>
          <w:rFonts w:ascii="Times New Roman" w:hAnsi="Times New Roman"/>
          <w:b/>
          <w:bCs/>
          <w:sz w:val="22"/>
        </w:rPr>
      </w:pPr>
      <w:bookmarkStart w:id="35" w:name="_Toc1830"/>
      <w:r>
        <w:rPr>
          <w:rFonts w:ascii="Times New Roman" w:hAnsi="Times New Roman"/>
          <w:b/>
          <w:bCs/>
          <w:sz w:val="22"/>
        </w:rPr>
        <w:t xml:space="preserve">12 </w:t>
      </w:r>
      <w:r>
        <w:rPr>
          <w:rFonts w:ascii="Times New Roman" w:hAnsi="Times New Roman"/>
          <w:b/>
          <w:bCs/>
          <w:sz w:val="22"/>
        </w:rPr>
        <w:t>投标报价依据</w:t>
      </w:r>
      <w:bookmarkEnd w:id="35"/>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86125C" w:rsidRDefault="0086125C" w:rsidP="0086125C">
      <w:pPr>
        <w:adjustRightInd w:val="0"/>
        <w:snapToGrid w:val="0"/>
        <w:spacing w:line="300" w:lineRule="auto"/>
        <w:ind w:firstLineChars="200" w:firstLine="442"/>
        <w:jc w:val="left"/>
        <w:outlineLvl w:val="2"/>
        <w:rPr>
          <w:rFonts w:ascii="Times New Roman" w:hAnsi="Times New Roman"/>
          <w:b/>
          <w:color w:val="000000"/>
          <w:sz w:val="22"/>
        </w:rPr>
      </w:pPr>
      <w:bookmarkStart w:id="36" w:name="_Toc17474"/>
      <w:r>
        <w:rPr>
          <w:rFonts w:ascii="Times New Roman" w:hAnsi="Times New Roman"/>
          <w:b/>
          <w:color w:val="000000"/>
          <w:sz w:val="22"/>
        </w:rPr>
        <w:t>13</w:t>
      </w:r>
      <w:r>
        <w:rPr>
          <w:rFonts w:ascii="Times New Roman" w:hAnsi="Times New Roman"/>
          <w:b/>
          <w:color w:val="000000"/>
          <w:sz w:val="22"/>
        </w:rPr>
        <w:t>投标报价内容</w:t>
      </w:r>
      <w:bookmarkEnd w:id="36"/>
    </w:p>
    <w:p w:rsidR="0086125C" w:rsidRDefault="0086125C" w:rsidP="0086125C">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w:t>
      </w:r>
      <w:r>
        <w:rPr>
          <w:rFonts w:ascii="Times New Roman" w:hAnsi="Times New Roman" w:hint="eastAsia"/>
          <w:color w:val="0000FF"/>
          <w:sz w:val="22"/>
        </w:rPr>
        <w:t>投标人的报价应当是投标人为提</w:t>
      </w:r>
      <w:r>
        <w:rPr>
          <w:rFonts w:ascii="Times New Roman" w:hAnsi="Times New Roman" w:hint="eastAsia"/>
          <w:color w:val="0000FF"/>
          <w:sz w:val="22"/>
        </w:rPr>
        <w:lastRenderedPageBreak/>
        <w:t>供本项目所要求的全部服务所发生的一切成本、税费和利润，包括人工（含人员服务费、企业管理费、管理酬金和税金等四项）等。</w:t>
      </w:r>
    </w:p>
    <w:p w:rsidR="0086125C" w:rsidRDefault="0086125C" w:rsidP="0086125C">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86125C" w:rsidRDefault="0086125C" w:rsidP="0086125C">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投标人只需在《开标一览表》中报出第一年度的投标价格，</w:t>
      </w:r>
      <w:r>
        <w:rPr>
          <w:rFonts w:ascii="Times New Roman" w:hAnsi="Times New Roman"/>
          <w:b/>
          <w:color w:val="FF0000"/>
          <w:kern w:val="0"/>
          <w:sz w:val="22"/>
        </w:rPr>
        <w:t>后几年合同价，按照当年度核定的工作内容，参照实际中标价格确定。</w:t>
      </w:r>
    </w:p>
    <w:p w:rsidR="0086125C" w:rsidRDefault="0086125C" w:rsidP="0086125C">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rsidR="0086125C" w:rsidRDefault="0086125C" w:rsidP="0086125C">
      <w:pPr>
        <w:spacing w:line="300" w:lineRule="auto"/>
        <w:ind w:firstLineChars="200" w:firstLine="440"/>
        <w:rPr>
          <w:rFonts w:ascii="Times New Roman" w:hAnsi="Times New Roman" w:cs="宋体"/>
          <w:color w:val="000000"/>
          <w:sz w:val="22"/>
        </w:rPr>
      </w:pPr>
      <w:r>
        <w:rPr>
          <w:rFonts w:ascii="Times New Roman" w:hAnsi="Times New Roman" w:cs="宋体" w:hint="eastAsia"/>
          <w:color w:val="000000"/>
          <w:sz w:val="22"/>
        </w:rPr>
        <w:t>投标报价包括人员服务费、企业管理费、管理酬金和税金等四项。各项费用的报价及说明如下表：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1417"/>
        <w:gridCol w:w="6379"/>
      </w:tblGrid>
      <w:tr w:rsidR="0086125C" w:rsidTr="00F7336C">
        <w:trPr>
          <w:trHeight w:val="672"/>
        </w:trPr>
        <w:tc>
          <w:tcPr>
            <w:tcW w:w="2835" w:type="dxa"/>
            <w:gridSpan w:val="3"/>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项目</w:t>
            </w:r>
          </w:p>
        </w:tc>
        <w:tc>
          <w:tcPr>
            <w:tcW w:w="6379"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要求</w:t>
            </w:r>
          </w:p>
        </w:tc>
      </w:tr>
      <w:tr w:rsidR="0086125C" w:rsidTr="00F7336C">
        <w:trPr>
          <w:trHeight w:val="486"/>
        </w:trPr>
        <w:tc>
          <w:tcPr>
            <w:tcW w:w="851" w:type="dxa"/>
            <w:vMerge w:val="restart"/>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1</w:t>
            </w:r>
          </w:p>
        </w:tc>
        <w:tc>
          <w:tcPr>
            <w:tcW w:w="567" w:type="dxa"/>
            <w:vMerge w:val="restart"/>
            <w:vAlign w:val="center"/>
          </w:tcPr>
          <w:p w:rsidR="0086125C" w:rsidRDefault="0086125C" w:rsidP="00F7336C">
            <w:pPr>
              <w:snapToGrid w:val="0"/>
              <w:spacing w:line="300" w:lineRule="auto"/>
              <w:rPr>
                <w:rFonts w:ascii="Times New Roman" w:hAnsi="Times New Roman"/>
                <w:bCs/>
                <w:sz w:val="22"/>
              </w:rPr>
            </w:pPr>
            <w:r>
              <w:rPr>
                <w:rFonts w:ascii="Times New Roman" w:hAnsi="Times New Roman"/>
                <w:bCs/>
                <w:sz w:val="22"/>
              </w:rPr>
              <w:t>人员服务费</w:t>
            </w:r>
          </w:p>
          <w:p w:rsidR="0086125C" w:rsidRDefault="0086125C" w:rsidP="00F7336C">
            <w:pPr>
              <w:snapToGrid w:val="0"/>
              <w:spacing w:line="300" w:lineRule="auto"/>
              <w:ind w:firstLineChars="200" w:firstLine="440"/>
              <w:rPr>
                <w:rFonts w:ascii="Times New Roman" w:hAnsi="Times New Roman"/>
                <w:bCs/>
                <w:sz w:val="22"/>
              </w:rPr>
            </w:pPr>
          </w:p>
          <w:p w:rsidR="0086125C" w:rsidRDefault="0086125C" w:rsidP="00F7336C">
            <w:pPr>
              <w:snapToGrid w:val="0"/>
              <w:spacing w:line="300" w:lineRule="auto"/>
              <w:rPr>
                <w:rFonts w:ascii="Times New Roman" w:hAnsi="Times New Roman"/>
                <w:bCs/>
                <w:sz w:val="22"/>
              </w:rPr>
            </w:pPr>
          </w:p>
        </w:tc>
        <w:tc>
          <w:tcPr>
            <w:tcW w:w="1417" w:type="dxa"/>
            <w:vAlign w:val="center"/>
          </w:tcPr>
          <w:p w:rsidR="0086125C" w:rsidRDefault="0086125C" w:rsidP="00F7336C">
            <w:pPr>
              <w:snapToGrid w:val="0"/>
              <w:spacing w:line="300" w:lineRule="auto"/>
              <w:ind w:firstLineChars="50" w:firstLine="110"/>
              <w:jc w:val="center"/>
              <w:rPr>
                <w:rFonts w:ascii="Times New Roman" w:hAnsi="Times New Roman"/>
                <w:bCs/>
                <w:sz w:val="22"/>
              </w:rPr>
            </w:pPr>
            <w:r>
              <w:rPr>
                <w:rFonts w:ascii="Times New Roman" w:hAnsi="Times New Roman"/>
                <w:bCs/>
                <w:sz w:val="22"/>
              </w:rPr>
              <w:t>工资</w:t>
            </w:r>
          </w:p>
        </w:tc>
        <w:tc>
          <w:tcPr>
            <w:tcW w:w="6379" w:type="dxa"/>
            <w:vAlign w:val="center"/>
          </w:tcPr>
          <w:p w:rsidR="0086125C" w:rsidRPr="001A3CD3" w:rsidRDefault="0086125C" w:rsidP="00F7336C">
            <w:pPr>
              <w:snapToGrid w:val="0"/>
              <w:spacing w:line="300" w:lineRule="auto"/>
              <w:rPr>
                <w:rFonts w:ascii="Times New Roman" w:hAnsi="Times New Roman"/>
                <w:bCs/>
                <w:sz w:val="22"/>
              </w:rPr>
            </w:pPr>
            <w:r w:rsidRPr="001A3CD3">
              <w:rPr>
                <w:rFonts w:ascii="Times New Roman" w:hAnsi="Times New Roman"/>
                <w:bCs/>
                <w:sz w:val="22"/>
              </w:rPr>
              <w:t>员工的基本工资标准不得低于本市最新一年度</w:t>
            </w:r>
            <w:r w:rsidRPr="001A3CD3">
              <w:rPr>
                <w:rFonts w:ascii="Times New Roman" w:hAnsi="Times New Roman"/>
                <w:bCs/>
                <w:sz w:val="22"/>
              </w:rPr>
              <w:t>(</w:t>
            </w:r>
            <w:r w:rsidRPr="001A3CD3">
              <w:rPr>
                <w:rFonts w:ascii="Times New Roman" w:hAnsi="Times New Roman"/>
                <w:bCs/>
                <w:sz w:val="22"/>
              </w:rPr>
              <w:t>以投标截止期为准</w:t>
            </w:r>
            <w:r w:rsidRPr="001A3CD3">
              <w:rPr>
                <w:rFonts w:ascii="Times New Roman" w:hAnsi="Times New Roman"/>
                <w:bCs/>
                <w:sz w:val="22"/>
              </w:rPr>
              <w:t>)</w:t>
            </w:r>
            <w:r w:rsidRPr="001A3CD3">
              <w:rPr>
                <w:rFonts w:ascii="Times New Roman" w:hAnsi="Times New Roman"/>
                <w:bCs/>
                <w:sz w:val="22"/>
              </w:rPr>
              <w:t>职工最低工资标准。</w:t>
            </w:r>
          </w:p>
        </w:tc>
      </w:tr>
      <w:tr w:rsidR="0086125C" w:rsidTr="00F7336C">
        <w:trPr>
          <w:trHeight w:val="548"/>
        </w:trPr>
        <w:tc>
          <w:tcPr>
            <w:tcW w:w="851" w:type="dxa"/>
            <w:vMerge/>
            <w:vAlign w:val="center"/>
          </w:tcPr>
          <w:p w:rsidR="0086125C" w:rsidRDefault="0086125C" w:rsidP="00F7336C">
            <w:pPr>
              <w:snapToGrid w:val="0"/>
              <w:spacing w:line="300" w:lineRule="auto"/>
              <w:ind w:firstLineChars="200" w:firstLine="440"/>
              <w:jc w:val="center"/>
              <w:rPr>
                <w:rFonts w:ascii="Times New Roman" w:hAnsi="Times New Roman"/>
                <w:bCs/>
                <w:sz w:val="22"/>
              </w:rPr>
            </w:pPr>
          </w:p>
        </w:tc>
        <w:tc>
          <w:tcPr>
            <w:tcW w:w="567" w:type="dxa"/>
            <w:vMerge/>
            <w:vAlign w:val="center"/>
          </w:tcPr>
          <w:p w:rsidR="0086125C" w:rsidRDefault="0086125C" w:rsidP="00F7336C">
            <w:pPr>
              <w:snapToGrid w:val="0"/>
              <w:spacing w:line="300" w:lineRule="auto"/>
              <w:ind w:firstLineChars="200" w:firstLine="440"/>
              <w:rPr>
                <w:rFonts w:ascii="Times New Roman" w:hAnsi="Times New Roman"/>
                <w:bCs/>
                <w:sz w:val="22"/>
              </w:rPr>
            </w:pPr>
          </w:p>
        </w:tc>
        <w:tc>
          <w:tcPr>
            <w:tcW w:w="1417"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工作午餐费</w:t>
            </w:r>
          </w:p>
        </w:tc>
        <w:tc>
          <w:tcPr>
            <w:tcW w:w="6379" w:type="dxa"/>
            <w:vAlign w:val="center"/>
          </w:tcPr>
          <w:p w:rsidR="0086125C" w:rsidRPr="001A3CD3" w:rsidRDefault="0086125C" w:rsidP="00F7336C">
            <w:pPr>
              <w:snapToGrid w:val="0"/>
              <w:spacing w:line="300" w:lineRule="auto"/>
              <w:rPr>
                <w:rFonts w:ascii="Times New Roman" w:hAnsi="Times New Roman"/>
                <w:bCs/>
                <w:sz w:val="22"/>
              </w:rPr>
            </w:pPr>
            <w:r w:rsidRPr="001A3CD3">
              <w:rPr>
                <w:rFonts w:ascii="Times New Roman" w:hAnsi="Times New Roman"/>
                <w:bCs/>
                <w:sz w:val="22"/>
              </w:rPr>
              <w:t>每人每餐</w:t>
            </w:r>
            <w:r w:rsidRPr="001A3CD3">
              <w:rPr>
                <w:rFonts w:ascii="Times New Roman" w:hAnsi="Times New Roman" w:hint="eastAsia"/>
                <w:bCs/>
                <w:sz w:val="22"/>
              </w:rPr>
              <w:t>15</w:t>
            </w:r>
            <w:r w:rsidRPr="001A3CD3">
              <w:rPr>
                <w:rFonts w:ascii="Times New Roman" w:hAnsi="Times New Roman"/>
                <w:bCs/>
                <w:sz w:val="22"/>
              </w:rPr>
              <w:t>元</w:t>
            </w:r>
            <w:r w:rsidRPr="001A3CD3">
              <w:rPr>
                <w:rFonts w:ascii="Times New Roman" w:hAnsi="Times New Roman" w:hint="eastAsia"/>
                <w:bCs/>
                <w:sz w:val="22"/>
              </w:rPr>
              <w:t>（固定金额）</w:t>
            </w:r>
            <w:r w:rsidRPr="001A3CD3">
              <w:rPr>
                <w:rFonts w:ascii="Times New Roman" w:hAnsi="Times New Roman"/>
                <w:bCs/>
                <w:sz w:val="22"/>
              </w:rPr>
              <w:t>。</w:t>
            </w:r>
          </w:p>
        </w:tc>
      </w:tr>
      <w:tr w:rsidR="0086125C" w:rsidTr="00F7336C">
        <w:trPr>
          <w:trHeight w:val="548"/>
        </w:trPr>
        <w:tc>
          <w:tcPr>
            <w:tcW w:w="851" w:type="dxa"/>
            <w:vMerge/>
            <w:vAlign w:val="center"/>
          </w:tcPr>
          <w:p w:rsidR="0086125C" w:rsidRDefault="0086125C" w:rsidP="00F7336C">
            <w:pPr>
              <w:snapToGrid w:val="0"/>
              <w:spacing w:line="300" w:lineRule="auto"/>
              <w:ind w:firstLineChars="200" w:firstLine="440"/>
              <w:jc w:val="center"/>
              <w:rPr>
                <w:rFonts w:ascii="Times New Roman" w:hAnsi="Times New Roman"/>
                <w:bCs/>
                <w:sz w:val="22"/>
              </w:rPr>
            </w:pPr>
          </w:p>
        </w:tc>
        <w:tc>
          <w:tcPr>
            <w:tcW w:w="567" w:type="dxa"/>
            <w:vMerge/>
            <w:vAlign w:val="center"/>
          </w:tcPr>
          <w:p w:rsidR="0086125C" w:rsidRDefault="0086125C" w:rsidP="00F7336C">
            <w:pPr>
              <w:snapToGrid w:val="0"/>
              <w:spacing w:line="300" w:lineRule="auto"/>
              <w:ind w:firstLineChars="200" w:firstLine="440"/>
              <w:rPr>
                <w:rFonts w:ascii="Times New Roman" w:hAnsi="Times New Roman"/>
                <w:bCs/>
                <w:sz w:val="22"/>
              </w:rPr>
            </w:pPr>
          </w:p>
        </w:tc>
        <w:tc>
          <w:tcPr>
            <w:tcW w:w="1417"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服装费</w:t>
            </w:r>
          </w:p>
        </w:tc>
        <w:tc>
          <w:tcPr>
            <w:tcW w:w="6379" w:type="dxa"/>
            <w:vAlign w:val="center"/>
          </w:tcPr>
          <w:p w:rsidR="0086125C" w:rsidRPr="001A3CD3" w:rsidRDefault="0086125C" w:rsidP="00F7336C">
            <w:pPr>
              <w:snapToGrid w:val="0"/>
              <w:spacing w:line="300" w:lineRule="auto"/>
              <w:rPr>
                <w:rFonts w:ascii="Times New Roman" w:hAnsi="Times New Roman"/>
                <w:bCs/>
                <w:sz w:val="22"/>
              </w:rPr>
            </w:pPr>
            <w:r w:rsidRPr="001A3CD3">
              <w:rPr>
                <w:rFonts w:ascii="Times New Roman" w:hAnsi="Times New Roman"/>
                <w:bCs/>
                <w:sz w:val="22"/>
              </w:rPr>
              <w:t>单位统一购置，员工工作时须统一穿着。</w:t>
            </w:r>
          </w:p>
        </w:tc>
      </w:tr>
      <w:tr w:rsidR="0086125C" w:rsidTr="00F7336C">
        <w:trPr>
          <w:trHeight w:val="616"/>
        </w:trPr>
        <w:tc>
          <w:tcPr>
            <w:tcW w:w="851" w:type="dxa"/>
            <w:vMerge/>
            <w:vAlign w:val="center"/>
          </w:tcPr>
          <w:p w:rsidR="0086125C" w:rsidRDefault="0086125C" w:rsidP="00F7336C">
            <w:pPr>
              <w:snapToGrid w:val="0"/>
              <w:spacing w:line="300" w:lineRule="auto"/>
              <w:ind w:firstLineChars="200" w:firstLine="440"/>
              <w:jc w:val="center"/>
              <w:rPr>
                <w:rFonts w:ascii="Times New Roman" w:hAnsi="Times New Roman"/>
                <w:bCs/>
                <w:sz w:val="22"/>
              </w:rPr>
            </w:pPr>
          </w:p>
        </w:tc>
        <w:tc>
          <w:tcPr>
            <w:tcW w:w="567" w:type="dxa"/>
            <w:vMerge/>
            <w:vAlign w:val="center"/>
          </w:tcPr>
          <w:p w:rsidR="0086125C" w:rsidRDefault="0086125C" w:rsidP="00F7336C">
            <w:pPr>
              <w:snapToGrid w:val="0"/>
              <w:spacing w:line="300" w:lineRule="auto"/>
              <w:ind w:firstLineChars="200" w:firstLine="440"/>
              <w:rPr>
                <w:rFonts w:ascii="Times New Roman" w:hAnsi="Times New Roman"/>
                <w:bCs/>
                <w:sz w:val="22"/>
              </w:rPr>
            </w:pPr>
          </w:p>
        </w:tc>
        <w:tc>
          <w:tcPr>
            <w:tcW w:w="1417"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福利费</w:t>
            </w:r>
          </w:p>
        </w:tc>
        <w:tc>
          <w:tcPr>
            <w:tcW w:w="6379" w:type="dxa"/>
            <w:vAlign w:val="center"/>
          </w:tcPr>
          <w:p w:rsidR="0086125C" w:rsidRPr="001A3CD3" w:rsidRDefault="0086125C" w:rsidP="00F7336C">
            <w:pPr>
              <w:snapToGrid w:val="0"/>
              <w:spacing w:line="300" w:lineRule="auto"/>
              <w:rPr>
                <w:rFonts w:ascii="Times New Roman" w:hAnsi="Times New Roman"/>
                <w:bCs/>
                <w:sz w:val="22"/>
              </w:rPr>
            </w:pPr>
            <w:r w:rsidRPr="001A3CD3">
              <w:rPr>
                <w:rFonts w:ascii="Times New Roman" w:hAnsi="Times New Roman"/>
                <w:bCs/>
                <w:sz w:val="22"/>
              </w:rPr>
              <w:t>包括高温费（每年</w:t>
            </w:r>
            <w:r w:rsidRPr="001A3CD3">
              <w:rPr>
                <w:rFonts w:ascii="Times New Roman" w:hAnsi="Times New Roman"/>
                <w:bCs/>
                <w:sz w:val="22"/>
              </w:rPr>
              <w:t>4</w:t>
            </w:r>
            <w:r w:rsidRPr="001A3CD3">
              <w:rPr>
                <w:rFonts w:ascii="Times New Roman" w:hAnsi="Times New Roman"/>
                <w:bCs/>
                <w:sz w:val="22"/>
              </w:rPr>
              <w:t>个月）和劳防用品费等。</w:t>
            </w:r>
          </w:p>
        </w:tc>
      </w:tr>
      <w:tr w:rsidR="0086125C" w:rsidTr="00F7336C">
        <w:trPr>
          <w:trHeight w:val="1223"/>
        </w:trPr>
        <w:tc>
          <w:tcPr>
            <w:tcW w:w="851" w:type="dxa"/>
            <w:vMerge/>
            <w:vAlign w:val="center"/>
          </w:tcPr>
          <w:p w:rsidR="0086125C" w:rsidRDefault="0086125C" w:rsidP="00F7336C">
            <w:pPr>
              <w:snapToGrid w:val="0"/>
              <w:spacing w:line="300" w:lineRule="auto"/>
              <w:ind w:firstLineChars="200" w:firstLine="440"/>
              <w:jc w:val="center"/>
              <w:rPr>
                <w:rFonts w:ascii="Times New Roman" w:hAnsi="Times New Roman"/>
                <w:bCs/>
                <w:sz w:val="22"/>
              </w:rPr>
            </w:pPr>
          </w:p>
        </w:tc>
        <w:tc>
          <w:tcPr>
            <w:tcW w:w="567" w:type="dxa"/>
            <w:vMerge/>
            <w:vAlign w:val="center"/>
          </w:tcPr>
          <w:p w:rsidR="0086125C" w:rsidRDefault="0086125C" w:rsidP="00F7336C">
            <w:pPr>
              <w:snapToGrid w:val="0"/>
              <w:spacing w:line="300" w:lineRule="auto"/>
              <w:ind w:firstLineChars="200" w:firstLine="440"/>
              <w:rPr>
                <w:rFonts w:ascii="Times New Roman" w:hAnsi="Times New Roman"/>
                <w:bCs/>
                <w:sz w:val="22"/>
              </w:rPr>
            </w:pPr>
          </w:p>
        </w:tc>
        <w:tc>
          <w:tcPr>
            <w:tcW w:w="1417"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社会保险费</w:t>
            </w:r>
          </w:p>
        </w:tc>
        <w:tc>
          <w:tcPr>
            <w:tcW w:w="6379" w:type="dxa"/>
            <w:vMerge w:val="restart"/>
            <w:vAlign w:val="center"/>
          </w:tcPr>
          <w:p w:rsidR="0086125C" w:rsidRPr="001A3CD3" w:rsidRDefault="0086125C" w:rsidP="00F7336C">
            <w:pPr>
              <w:snapToGrid w:val="0"/>
              <w:spacing w:line="300" w:lineRule="auto"/>
              <w:rPr>
                <w:rFonts w:ascii="Times New Roman" w:hAnsi="Times New Roman"/>
                <w:bCs/>
                <w:sz w:val="22"/>
              </w:rPr>
            </w:pPr>
            <w:r w:rsidRPr="001A3CD3">
              <w:rPr>
                <w:rFonts w:ascii="Times New Roman" w:hAnsi="Times New Roman"/>
                <w:bCs/>
                <w:sz w:val="22"/>
              </w:rPr>
              <w:t>按国家及上海市规定缴纳。其中社会保险费包含养老保险、医疗保险、失业保险、生育保险、工伤保险共五项费用。</w:t>
            </w:r>
          </w:p>
          <w:p w:rsidR="0086125C" w:rsidRPr="001A3CD3" w:rsidRDefault="0086125C" w:rsidP="00F7336C">
            <w:pPr>
              <w:snapToGrid w:val="0"/>
              <w:spacing w:line="300" w:lineRule="auto"/>
              <w:rPr>
                <w:rFonts w:ascii="Times New Roman" w:hAnsi="Times New Roman"/>
                <w:bCs/>
                <w:sz w:val="22"/>
              </w:rPr>
            </w:pPr>
            <w:r w:rsidRPr="001A3CD3">
              <w:rPr>
                <w:rFonts w:ascii="Times New Roman" w:hAnsi="Times New Roman"/>
                <w:bCs/>
                <w:sz w:val="22"/>
              </w:rPr>
              <w:t>注：中标人应为员工如实申报缴纳社保金和公积金，遵守国家及上海市规定，按实缴纳。招标人有权抽查员工社保金、公积金缴纳的实际情况，对因各种原因未缴纳社保金和公积金的，招标人有权收回积存费用。</w:t>
            </w:r>
          </w:p>
        </w:tc>
      </w:tr>
      <w:tr w:rsidR="0086125C" w:rsidTr="00F7336C">
        <w:trPr>
          <w:trHeight w:val="468"/>
        </w:trPr>
        <w:tc>
          <w:tcPr>
            <w:tcW w:w="851" w:type="dxa"/>
            <w:vMerge/>
            <w:vAlign w:val="center"/>
          </w:tcPr>
          <w:p w:rsidR="0086125C" w:rsidRDefault="0086125C" w:rsidP="00F7336C">
            <w:pPr>
              <w:snapToGrid w:val="0"/>
              <w:spacing w:line="300" w:lineRule="auto"/>
              <w:ind w:firstLineChars="200" w:firstLine="440"/>
              <w:jc w:val="center"/>
              <w:rPr>
                <w:rFonts w:ascii="Times New Roman" w:hAnsi="Times New Roman"/>
                <w:bCs/>
                <w:sz w:val="22"/>
              </w:rPr>
            </w:pPr>
          </w:p>
        </w:tc>
        <w:tc>
          <w:tcPr>
            <w:tcW w:w="567" w:type="dxa"/>
            <w:vMerge/>
            <w:vAlign w:val="center"/>
          </w:tcPr>
          <w:p w:rsidR="0086125C" w:rsidRDefault="0086125C" w:rsidP="00F7336C">
            <w:pPr>
              <w:snapToGrid w:val="0"/>
              <w:spacing w:line="300" w:lineRule="auto"/>
              <w:ind w:firstLineChars="200" w:firstLine="440"/>
              <w:rPr>
                <w:rFonts w:ascii="Times New Roman" w:hAnsi="Times New Roman"/>
                <w:bCs/>
                <w:sz w:val="22"/>
              </w:rPr>
            </w:pPr>
          </w:p>
        </w:tc>
        <w:tc>
          <w:tcPr>
            <w:tcW w:w="1417"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公积金</w:t>
            </w:r>
          </w:p>
        </w:tc>
        <w:tc>
          <w:tcPr>
            <w:tcW w:w="6379" w:type="dxa"/>
            <w:vMerge/>
            <w:vAlign w:val="center"/>
          </w:tcPr>
          <w:p w:rsidR="0086125C" w:rsidRDefault="0086125C" w:rsidP="00F7336C">
            <w:pPr>
              <w:snapToGrid w:val="0"/>
              <w:spacing w:line="300" w:lineRule="auto"/>
              <w:rPr>
                <w:rFonts w:ascii="Times New Roman" w:hAnsi="Times New Roman"/>
                <w:bCs/>
                <w:sz w:val="22"/>
              </w:rPr>
            </w:pPr>
          </w:p>
        </w:tc>
      </w:tr>
      <w:tr w:rsidR="0086125C" w:rsidTr="00F7336C">
        <w:trPr>
          <w:trHeight w:val="546"/>
        </w:trPr>
        <w:tc>
          <w:tcPr>
            <w:tcW w:w="851"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hint="eastAsia"/>
                <w:bCs/>
                <w:sz w:val="22"/>
              </w:rPr>
              <w:t>2</w:t>
            </w:r>
          </w:p>
        </w:tc>
        <w:tc>
          <w:tcPr>
            <w:tcW w:w="1984" w:type="dxa"/>
            <w:gridSpan w:val="2"/>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企业管理费</w:t>
            </w:r>
          </w:p>
        </w:tc>
        <w:tc>
          <w:tcPr>
            <w:tcW w:w="6379" w:type="dxa"/>
            <w:vAlign w:val="center"/>
          </w:tcPr>
          <w:p w:rsidR="0086125C" w:rsidRDefault="0086125C" w:rsidP="00F7336C">
            <w:pPr>
              <w:snapToGrid w:val="0"/>
              <w:spacing w:line="300" w:lineRule="auto"/>
              <w:rPr>
                <w:rFonts w:ascii="Times New Roman" w:hAnsi="Times New Roman"/>
                <w:bCs/>
                <w:sz w:val="22"/>
              </w:rPr>
            </w:pPr>
            <w:r>
              <w:rPr>
                <w:rFonts w:ascii="Times New Roman" w:hAnsi="Times New Roman"/>
                <w:bCs/>
                <w:sz w:val="22"/>
              </w:rPr>
              <w:t>按服务费总额的</w:t>
            </w:r>
            <w:r>
              <w:rPr>
                <w:rFonts w:ascii="Times New Roman" w:hAnsi="Times New Roman" w:hint="eastAsia"/>
                <w:bCs/>
                <w:sz w:val="22"/>
                <w:u w:val="single"/>
              </w:rPr>
              <w:t xml:space="preserve"> </w:t>
            </w:r>
            <w:r>
              <w:rPr>
                <w:rFonts w:ascii="Times New Roman" w:hAnsi="Times New Roman"/>
                <w:bCs/>
                <w:sz w:val="22"/>
              </w:rPr>
              <w:t>%</w:t>
            </w:r>
            <w:r>
              <w:rPr>
                <w:rFonts w:ascii="Times New Roman" w:hAnsi="Times New Roman"/>
                <w:bCs/>
                <w:sz w:val="22"/>
              </w:rPr>
              <w:t>报价</w:t>
            </w:r>
            <w:r>
              <w:rPr>
                <w:rFonts w:ascii="Times New Roman" w:hAnsi="Times New Roman"/>
                <w:bCs/>
                <w:sz w:val="22"/>
              </w:rPr>
              <w:t xml:space="preserve"> (</w:t>
            </w:r>
            <w:r>
              <w:rPr>
                <w:rFonts w:ascii="Times New Roman" w:hAnsi="Times New Roman"/>
                <w:bCs/>
                <w:sz w:val="22"/>
              </w:rPr>
              <w:t>自行报价</w:t>
            </w:r>
            <w:r>
              <w:rPr>
                <w:rFonts w:ascii="Times New Roman" w:hAnsi="Times New Roman"/>
                <w:bCs/>
                <w:sz w:val="22"/>
              </w:rPr>
              <w:t xml:space="preserve">) </w:t>
            </w:r>
            <w:r>
              <w:rPr>
                <w:rFonts w:ascii="Times New Roman" w:hAnsi="Times New Roman"/>
                <w:bCs/>
                <w:sz w:val="22"/>
              </w:rPr>
              <w:t>。</w:t>
            </w:r>
          </w:p>
        </w:tc>
      </w:tr>
      <w:tr w:rsidR="0086125C" w:rsidTr="00F7336C">
        <w:trPr>
          <w:trHeight w:val="473"/>
        </w:trPr>
        <w:tc>
          <w:tcPr>
            <w:tcW w:w="851"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hint="eastAsia"/>
                <w:bCs/>
                <w:sz w:val="22"/>
              </w:rPr>
              <w:t>3</w:t>
            </w:r>
          </w:p>
        </w:tc>
        <w:tc>
          <w:tcPr>
            <w:tcW w:w="1984" w:type="dxa"/>
            <w:gridSpan w:val="2"/>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管理酬金</w:t>
            </w:r>
          </w:p>
        </w:tc>
        <w:tc>
          <w:tcPr>
            <w:tcW w:w="6379" w:type="dxa"/>
            <w:vAlign w:val="center"/>
          </w:tcPr>
          <w:p w:rsidR="0086125C" w:rsidRDefault="0086125C" w:rsidP="00F7336C">
            <w:pPr>
              <w:snapToGrid w:val="0"/>
              <w:spacing w:line="300" w:lineRule="auto"/>
              <w:rPr>
                <w:rFonts w:ascii="Times New Roman" w:hAnsi="Times New Roman"/>
                <w:bCs/>
                <w:sz w:val="22"/>
              </w:rPr>
            </w:pPr>
            <w:r>
              <w:rPr>
                <w:rFonts w:ascii="Times New Roman" w:hAnsi="Times New Roman"/>
                <w:bCs/>
                <w:sz w:val="22"/>
              </w:rPr>
              <w:t>按服务费总额的</w:t>
            </w:r>
            <w:r>
              <w:rPr>
                <w:rFonts w:ascii="Times New Roman" w:hAnsi="Times New Roman" w:hint="eastAsia"/>
                <w:bCs/>
                <w:sz w:val="22"/>
                <w:u w:val="single"/>
              </w:rPr>
              <w:t xml:space="preserve"> </w:t>
            </w:r>
            <w:r>
              <w:rPr>
                <w:rFonts w:ascii="Times New Roman" w:hAnsi="Times New Roman"/>
                <w:bCs/>
                <w:sz w:val="22"/>
              </w:rPr>
              <w:t>%</w:t>
            </w:r>
            <w:r>
              <w:rPr>
                <w:rFonts w:ascii="Times New Roman" w:hAnsi="Times New Roman"/>
                <w:bCs/>
                <w:sz w:val="22"/>
              </w:rPr>
              <w:t>报价</w:t>
            </w:r>
            <w:r>
              <w:rPr>
                <w:rFonts w:ascii="Times New Roman" w:hAnsi="Times New Roman"/>
                <w:bCs/>
                <w:sz w:val="22"/>
              </w:rPr>
              <w:t>(</w:t>
            </w:r>
            <w:r>
              <w:rPr>
                <w:rFonts w:ascii="Times New Roman" w:hAnsi="Times New Roman"/>
                <w:bCs/>
                <w:sz w:val="22"/>
              </w:rPr>
              <w:t>自行报价</w:t>
            </w:r>
            <w:r>
              <w:rPr>
                <w:rFonts w:ascii="Times New Roman" w:hAnsi="Times New Roman"/>
                <w:bCs/>
                <w:sz w:val="22"/>
              </w:rPr>
              <w:t>)</w:t>
            </w:r>
            <w:r>
              <w:rPr>
                <w:rFonts w:ascii="Times New Roman" w:hAnsi="Times New Roman"/>
                <w:bCs/>
                <w:sz w:val="22"/>
              </w:rPr>
              <w:t>。</w:t>
            </w:r>
          </w:p>
        </w:tc>
      </w:tr>
      <w:tr w:rsidR="0086125C" w:rsidTr="00F7336C">
        <w:trPr>
          <w:trHeight w:val="473"/>
        </w:trPr>
        <w:tc>
          <w:tcPr>
            <w:tcW w:w="851" w:type="dxa"/>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4" w:type="dxa"/>
            <w:gridSpan w:val="2"/>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税金</w:t>
            </w:r>
          </w:p>
        </w:tc>
        <w:tc>
          <w:tcPr>
            <w:tcW w:w="6379" w:type="dxa"/>
            <w:vAlign w:val="center"/>
          </w:tcPr>
          <w:p w:rsidR="0086125C" w:rsidRDefault="0086125C" w:rsidP="00F7336C">
            <w:pPr>
              <w:snapToGrid w:val="0"/>
              <w:spacing w:line="300" w:lineRule="auto"/>
              <w:rPr>
                <w:rFonts w:ascii="Times New Roman" w:hAnsi="Times New Roman"/>
                <w:bCs/>
                <w:sz w:val="22"/>
              </w:rPr>
            </w:pPr>
            <w:r>
              <w:rPr>
                <w:rFonts w:ascii="Times New Roman" w:hAnsi="Times New Roman"/>
                <w:bCs/>
                <w:sz w:val="22"/>
              </w:rPr>
              <w:t>按国家及上海市规定缴纳。</w:t>
            </w:r>
          </w:p>
        </w:tc>
      </w:tr>
      <w:tr w:rsidR="0086125C" w:rsidTr="00F7336C">
        <w:trPr>
          <w:trHeight w:val="473"/>
        </w:trPr>
        <w:tc>
          <w:tcPr>
            <w:tcW w:w="851" w:type="dxa"/>
            <w:vAlign w:val="center"/>
          </w:tcPr>
          <w:p w:rsidR="0086125C" w:rsidRDefault="0086125C" w:rsidP="00F7336C">
            <w:pPr>
              <w:snapToGrid w:val="0"/>
              <w:spacing w:line="300" w:lineRule="auto"/>
              <w:jc w:val="center"/>
              <w:rPr>
                <w:rFonts w:ascii="Times New Roman" w:hAnsi="Times New Roman"/>
                <w:bCs/>
                <w:sz w:val="22"/>
              </w:rPr>
            </w:pPr>
          </w:p>
        </w:tc>
        <w:tc>
          <w:tcPr>
            <w:tcW w:w="1984" w:type="dxa"/>
            <w:gridSpan w:val="2"/>
            <w:vAlign w:val="center"/>
          </w:tcPr>
          <w:p w:rsidR="0086125C" w:rsidRDefault="0086125C" w:rsidP="00F7336C">
            <w:pPr>
              <w:snapToGrid w:val="0"/>
              <w:spacing w:line="300" w:lineRule="auto"/>
              <w:jc w:val="center"/>
              <w:rPr>
                <w:rFonts w:ascii="Times New Roman" w:hAnsi="Times New Roman"/>
                <w:bCs/>
                <w:sz w:val="22"/>
              </w:rPr>
            </w:pPr>
            <w:r>
              <w:rPr>
                <w:rFonts w:ascii="Times New Roman" w:hAnsi="Times New Roman"/>
                <w:bCs/>
                <w:sz w:val="22"/>
              </w:rPr>
              <w:t>合计</w:t>
            </w:r>
          </w:p>
        </w:tc>
        <w:tc>
          <w:tcPr>
            <w:tcW w:w="6379" w:type="dxa"/>
            <w:vAlign w:val="center"/>
          </w:tcPr>
          <w:p w:rsidR="0086125C" w:rsidRDefault="0086125C" w:rsidP="00F7336C">
            <w:pPr>
              <w:snapToGrid w:val="0"/>
              <w:spacing w:line="300" w:lineRule="auto"/>
              <w:ind w:firstLineChars="200" w:firstLine="440"/>
              <w:rPr>
                <w:rFonts w:ascii="Times New Roman" w:hAnsi="Times New Roman"/>
                <w:bCs/>
                <w:sz w:val="22"/>
              </w:rPr>
            </w:pPr>
          </w:p>
        </w:tc>
      </w:tr>
    </w:tbl>
    <w:p w:rsidR="0086125C" w:rsidRDefault="0086125C" w:rsidP="0086125C">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w:t>
      </w:r>
      <w:r>
        <w:rPr>
          <w:rFonts w:ascii="Times New Roman" w:hAnsi="Times New Roman" w:hint="eastAsia"/>
          <w:bCs/>
          <w:sz w:val="22"/>
        </w:rPr>
        <w:t>综合管理、设施设备、保洁、保安、会务、展陈</w:t>
      </w:r>
      <w:r>
        <w:rPr>
          <w:rFonts w:ascii="Times New Roman" w:hAnsi="Times New Roman"/>
          <w:bCs/>
          <w:sz w:val="22"/>
        </w:rPr>
        <w:t>）费用的组成。成本测算和列项要求完整、成本分析依据充分，</w:t>
      </w:r>
      <w:r>
        <w:rPr>
          <w:rFonts w:ascii="Times New Roman" w:hAnsi="Times New Roman"/>
          <w:bCs/>
          <w:sz w:val="22"/>
        </w:rPr>
        <w:lastRenderedPageBreak/>
        <w:t>人员、材料经费测算合理。</w:t>
      </w:r>
    </w:p>
    <w:p w:rsidR="0086125C" w:rsidRDefault="0086125C" w:rsidP="0086125C">
      <w:pPr>
        <w:adjustRightInd w:val="0"/>
        <w:snapToGrid w:val="0"/>
        <w:spacing w:line="300" w:lineRule="auto"/>
        <w:ind w:firstLineChars="200" w:firstLine="442"/>
        <w:jc w:val="left"/>
        <w:outlineLvl w:val="2"/>
        <w:rPr>
          <w:rFonts w:ascii="Times New Roman" w:hAnsi="Times New Roman"/>
          <w:b/>
          <w:color w:val="000000"/>
          <w:sz w:val="22"/>
        </w:rPr>
      </w:pPr>
      <w:bookmarkStart w:id="37" w:name="_Toc9305"/>
      <w:r>
        <w:rPr>
          <w:rFonts w:ascii="Times New Roman" w:hAnsi="Times New Roman"/>
          <w:b/>
          <w:color w:val="000000"/>
          <w:sz w:val="22"/>
        </w:rPr>
        <w:t>14</w:t>
      </w:r>
      <w:r>
        <w:rPr>
          <w:rFonts w:ascii="Times New Roman" w:hAnsi="Times New Roman"/>
          <w:b/>
          <w:color w:val="000000"/>
          <w:sz w:val="22"/>
        </w:rPr>
        <w:t>投标报价控制性条款</w:t>
      </w:r>
      <w:bookmarkEnd w:id="37"/>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86125C" w:rsidRDefault="0086125C" w:rsidP="0086125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p>
    <w:p w:rsidR="0086125C" w:rsidRDefault="0086125C" w:rsidP="0086125C">
      <w:pPr>
        <w:adjustRightInd w:val="0"/>
        <w:snapToGrid w:val="0"/>
        <w:spacing w:line="300" w:lineRule="auto"/>
        <w:jc w:val="center"/>
        <w:outlineLvl w:val="1"/>
        <w:rPr>
          <w:rFonts w:ascii="Times New Roman" w:eastAsia="黑体" w:hAnsi="Times New Roman"/>
          <w:sz w:val="30"/>
          <w:szCs w:val="30"/>
        </w:rPr>
      </w:pPr>
      <w:bookmarkStart w:id="38" w:name="_Toc27453"/>
      <w:bookmarkStart w:id="39" w:name="_Toc486604818"/>
      <w:bookmarkStart w:id="40" w:name="_Toc481849902"/>
      <w:r>
        <w:rPr>
          <w:rFonts w:ascii="Times New Roman" w:eastAsia="黑体" w:hAnsi="Times New Roman"/>
          <w:sz w:val="30"/>
          <w:szCs w:val="30"/>
        </w:rPr>
        <w:t>五、政府采购政策</w:t>
      </w:r>
      <w:bookmarkEnd w:id="38"/>
    </w:p>
    <w:p w:rsidR="0086125C" w:rsidRDefault="0086125C" w:rsidP="0086125C">
      <w:pPr>
        <w:adjustRightInd w:val="0"/>
        <w:snapToGrid w:val="0"/>
        <w:spacing w:line="300" w:lineRule="auto"/>
        <w:ind w:firstLineChars="200" w:firstLine="442"/>
        <w:outlineLvl w:val="2"/>
        <w:rPr>
          <w:rFonts w:ascii="Times New Roman" w:eastAsiaTheme="minorEastAsia" w:hAnsi="Times New Roman"/>
          <w:b/>
          <w:sz w:val="22"/>
        </w:rPr>
      </w:pPr>
      <w:bookmarkStart w:id="41" w:name="_Toc6340"/>
      <w:bookmarkStart w:id="42" w:name="_Toc481849905"/>
      <w:bookmarkStart w:id="43" w:name="_Toc486604821"/>
      <w:bookmarkEnd w:id="39"/>
      <w:bookmarkEnd w:id="40"/>
      <w:r>
        <w:rPr>
          <w:rFonts w:ascii="Times New Roman" w:hAnsi="Times New Roman"/>
          <w:b/>
          <w:sz w:val="22"/>
        </w:rPr>
        <w:t>15</w:t>
      </w:r>
      <w:r>
        <w:rPr>
          <w:rFonts w:ascii="Times New Roman" w:eastAsiaTheme="minorEastAsia" w:hAnsiTheme="minorEastAsia"/>
          <w:b/>
          <w:sz w:val="22"/>
        </w:rPr>
        <w:t>促进中小企业发展</w:t>
      </w:r>
      <w:bookmarkEnd w:id="41"/>
    </w:p>
    <w:p w:rsidR="0086125C" w:rsidRDefault="0086125C" w:rsidP="0086125C">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bCs/>
          <w:sz w:val="22"/>
        </w:rPr>
        <w:t xml:space="preserve">.1 </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86125C" w:rsidRDefault="0086125C" w:rsidP="0086125C">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sz w:val="22"/>
        </w:rPr>
        <w:t xml:space="preserve">.2 </w:t>
      </w:r>
      <w:r>
        <w:rPr>
          <w:rFonts w:ascii="Times New Roman" w:eastAsiaTheme="minorEastAsia" w:hAnsiTheme="minorEastAsia"/>
          <w:sz w:val="22"/>
        </w:rPr>
        <w:t>依据市财政局</w:t>
      </w:r>
      <w:r>
        <w:rPr>
          <w:rFonts w:ascii="Times New Roman" w:eastAsiaTheme="minorEastAsia" w:hAnsi="Times New Roman"/>
          <w:sz w:val="22"/>
        </w:rPr>
        <w:t>2015</w:t>
      </w:r>
      <w:r>
        <w:rPr>
          <w:rFonts w:ascii="Times New Roman" w:eastAsiaTheme="minorEastAsia" w:hAnsiTheme="minorEastAsia"/>
          <w:sz w:val="22"/>
        </w:rPr>
        <w:t>年</w:t>
      </w:r>
      <w:r>
        <w:rPr>
          <w:rFonts w:ascii="Times New Roman" w:eastAsiaTheme="minorEastAsia" w:hAnsi="Times New Roman"/>
          <w:sz w:val="22"/>
        </w:rPr>
        <w:t>9</w:t>
      </w:r>
      <w:r>
        <w:rPr>
          <w:rFonts w:ascii="Times New Roman" w:eastAsiaTheme="minorEastAsia" w:hAnsiTheme="minorEastAsia"/>
          <w:sz w:val="22"/>
        </w:rPr>
        <w:t>月发布的《</w:t>
      </w:r>
      <w:r>
        <w:rPr>
          <w:rStyle w:val="navname"/>
          <w:rFonts w:ascii="Times New Roman" w:eastAsiaTheme="minorEastAsia" w:hAnsiTheme="minorEastAsia"/>
          <w:sz w:val="22"/>
        </w:rPr>
        <w:t>关于执行促进中小企业发展政策相关事宜的通知</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86125C" w:rsidRDefault="0086125C" w:rsidP="0086125C">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sz w:val="22"/>
        </w:rPr>
        <w:t xml:space="preserve">.3 </w:t>
      </w:r>
      <w:r>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86125C" w:rsidRDefault="0086125C" w:rsidP="0086125C">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15.4</w:t>
      </w:r>
      <w:r>
        <w:rPr>
          <w:rFonts w:ascii="Times New Roman" w:eastAsiaTheme="minorEastAsia" w:hAnsiTheme="minorEastAsia"/>
          <w:sz w:val="22"/>
        </w:rPr>
        <w:t>对于小型、微型企业，按照《政府采购促进中小企业发展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办法》（财库【</w:t>
      </w:r>
      <w:r>
        <w:rPr>
          <w:rFonts w:ascii="Times New Roman" w:eastAsiaTheme="minorEastAsia" w:hAnsi="Times New Roman"/>
          <w:sz w:val="22"/>
        </w:rPr>
        <w:t>20</w:t>
      </w:r>
      <w:r>
        <w:rPr>
          <w:rFonts w:ascii="Times New Roman" w:eastAsiaTheme="minorEastAsia" w:hAnsi="Times New Roman" w:hint="eastAsia"/>
          <w:sz w:val="22"/>
        </w:rPr>
        <w:t>20</w:t>
      </w:r>
      <w:r>
        <w:rPr>
          <w:rFonts w:ascii="Times New Roman" w:eastAsiaTheme="minorEastAsia" w:hAnsiTheme="minorEastAsia"/>
          <w:sz w:val="22"/>
        </w:rPr>
        <w:t>】</w:t>
      </w:r>
      <w:r>
        <w:rPr>
          <w:rFonts w:ascii="Times New Roman" w:eastAsiaTheme="minorEastAsia" w:hAnsi="Times New Roman" w:hint="eastAsia"/>
          <w:sz w:val="22"/>
        </w:rPr>
        <w:t>46</w:t>
      </w:r>
      <w:r>
        <w:rPr>
          <w:rFonts w:ascii="Times New Roman" w:eastAsiaTheme="minorEastAsia" w:hAnsiTheme="minorEastAsia"/>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eastAsiaTheme="minorEastAsia" w:hAnsiTheme="minorEastAsia"/>
          <w:sz w:val="22"/>
        </w:rPr>
        <w:t>规定，其报价给予</w:t>
      </w:r>
      <w:r>
        <w:rPr>
          <w:rFonts w:hint="eastAsia"/>
          <w:b/>
          <w:color w:val="FF0000"/>
          <w:sz w:val="22"/>
          <w:u w:val="single"/>
        </w:rPr>
        <w:t>10</w:t>
      </w:r>
      <w:r>
        <w:rPr>
          <w:b/>
          <w:color w:val="FF0000"/>
          <w:sz w:val="22"/>
          <w:u w:val="single"/>
        </w:rPr>
        <w:t>%</w:t>
      </w:r>
      <w:r>
        <w:rPr>
          <w:rFonts w:ascii="Times New Roman" w:eastAsiaTheme="minorEastAsia" w:hAnsiTheme="minorEastAsia"/>
          <w:sz w:val="22"/>
        </w:rPr>
        <w:t>的扣除，用扣除后的价格参与评审。</w:t>
      </w:r>
    </w:p>
    <w:p w:rsidR="0086125C" w:rsidRDefault="0086125C" w:rsidP="0086125C">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15.5</w:t>
      </w:r>
      <w:r>
        <w:rPr>
          <w:rFonts w:ascii="Times New Roman" w:eastAsiaTheme="minorEastAsia" w:hAnsiTheme="minorEastAsia"/>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eastAsiaTheme="minorEastAsia" w:hAnsiTheme="minorEastAsia"/>
          <w:sz w:val="22"/>
        </w:rPr>
        <w:t>的扣除，用扣除后的价格参与评审。反之，依照联合体协议约定，小型、微型企业的协议合同金额占到联合体协议合同总金额</w:t>
      </w:r>
      <w:r>
        <w:rPr>
          <w:rFonts w:ascii="Times New Roman" w:eastAsiaTheme="minorEastAsia" w:hAnsi="Times New Roman"/>
          <w:sz w:val="22"/>
        </w:rPr>
        <w:t>30%</w:t>
      </w:r>
      <w:r>
        <w:rPr>
          <w:rFonts w:ascii="Times New Roman" w:eastAsiaTheme="minorEastAsia" w:hAnsiTheme="minorEastAsia"/>
          <w:sz w:val="22"/>
        </w:rPr>
        <w:t>以上的，给予联合体</w:t>
      </w:r>
      <w:r>
        <w:rPr>
          <w:rFonts w:hint="eastAsia"/>
          <w:b/>
          <w:color w:val="FF0000"/>
          <w:sz w:val="22"/>
          <w:u w:val="single"/>
        </w:rPr>
        <w:t>4</w:t>
      </w:r>
      <w:r>
        <w:rPr>
          <w:b/>
          <w:color w:val="FF0000"/>
          <w:sz w:val="22"/>
          <w:u w:val="single"/>
        </w:rPr>
        <w:t>%</w:t>
      </w:r>
      <w:r>
        <w:rPr>
          <w:rFonts w:ascii="Times New Roman" w:eastAsiaTheme="minorEastAsia" w:hAnsiTheme="minorEastAsia"/>
          <w:sz w:val="22"/>
        </w:rPr>
        <w:t>的价格扣除，用扣除后的价格参与评审。</w:t>
      </w:r>
    </w:p>
    <w:p w:rsidR="0086125C" w:rsidRDefault="0086125C" w:rsidP="0086125C">
      <w:pPr>
        <w:adjustRightInd w:val="0"/>
        <w:snapToGrid w:val="0"/>
        <w:spacing w:line="300" w:lineRule="auto"/>
        <w:ind w:firstLineChars="200" w:firstLine="440"/>
        <w:rPr>
          <w:rFonts w:ascii="Times New Roman" w:eastAsiaTheme="minorEastAsia" w:hAnsi="Times New Roman"/>
          <w:kern w:val="0"/>
          <w:sz w:val="22"/>
        </w:rPr>
      </w:pPr>
      <w:r>
        <w:rPr>
          <w:rFonts w:ascii="Times New Roman" w:eastAsiaTheme="minorEastAsia" w:hAnsi="Times New Roman"/>
          <w:sz w:val="22"/>
        </w:rPr>
        <w:t>15.6</w:t>
      </w:r>
      <w:r>
        <w:rPr>
          <w:rFonts w:ascii="Times New Roman" w:eastAsiaTheme="minorEastAsia" w:hAnsiTheme="minorEastAsia"/>
          <w:sz w:val="22"/>
        </w:rPr>
        <w:t>供应商如提供虚假材料以谋取成交的，按照《政府采购法》有关条款处理，并记入供应商诚信档案。</w:t>
      </w:r>
    </w:p>
    <w:p w:rsidR="0086125C" w:rsidRDefault="0086125C" w:rsidP="0086125C">
      <w:pPr>
        <w:adjustRightInd w:val="0"/>
        <w:snapToGrid w:val="0"/>
        <w:spacing w:line="300" w:lineRule="auto"/>
        <w:ind w:firstLineChars="200" w:firstLine="442"/>
        <w:outlineLvl w:val="2"/>
        <w:rPr>
          <w:rFonts w:ascii="Times New Roman" w:hAnsi="Times New Roman"/>
          <w:b/>
          <w:sz w:val="22"/>
        </w:rPr>
      </w:pPr>
      <w:bookmarkStart w:id="44" w:name="_Toc8843"/>
      <w:bookmarkEnd w:id="42"/>
      <w:bookmarkEnd w:id="43"/>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4"/>
    </w:p>
    <w:p w:rsidR="0086125C" w:rsidRDefault="0086125C" w:rsidP="0086125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5" w:name="sendNo"/>
      <w:r>
        <w:rPr>
          <w:rFonts w:ascii="Times New Roman" w:hAnsi="Times New Roman"/>
          <w:sz w:val="22"/>
        </w:rPr>
        <w:t>符合财库</w:t>
      </w:r>
      <w:bookmarkEnd w:id="45"/>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86125C" w:rsidRDefault="0086125C" w:rsidP="0086125C">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86125C" w:rsidSect="0086125C">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AA"/>
    <w:rsid w:val="0005088D"/>
    <w:rsid w:val="002B7EE9"/>
    <w:rsid w:val="00521F71"/>
    <w:rsid w:val="005A26F5"/>
    <w:rsid w:val="005C58CE"/>
    <w:rsid w:val="0086125C"/>
    <w:rsid w:val="00B0552A"/>
    <w:rsid w:val="00B9271A"/>
    <w:rsid w:val="00CC08A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5C"/>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99"/>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86125C"/>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a1"/>
    <w:uiPriority w:val="99"/>
    <w:unhideWhenUsed/>
    <w:qFormat/>
    <w:rsid w:val="0086125C"/>
    <w:rPr>
      <w:color w:val="2B579A"/>
      <w:shd w:val="clear" w:color="auto" w:fill="E6E6E6"/>
    </w:rPr>
  </w:style>
  <w:style w:type="character" w:customStyle="1" w:styleId="CharChar9">
    <w:name w:val="普通文字 Char Char"/>
    <w:rsid w:val="0086125C"/>
    <w:rPr>
      <w:rFonts w:ascii="宋体" w:hAnsi="Courier New"/>
      <w:kern w:val="2"/>
      <w:sz w:val="21"/>
    </w:rPr>
  </w:style>
  <w:style w:type="character" w:customStyle="1" w:styleId="Char1f">
    <w:name w:val="表正文 Char1"/>
    <w:rsid w:val="0086125C"/>
    <w:rPr>
      <w:kern w:val="2"/>
      <w:sz w:val="21"/>
    </w:rPr>
  </w:style>
  <w:style w:type="paragraph" w:customStyle="1" w:styleId="p17">
    <w:name w:val="p17"/>
    <w:basedOn w:val="a"/>
    <w:rsid w:val="0086125C"/>
    <w:pPr>
      <w:widowControl/>
    </w:pPr>
    <w:rPr>
      <w:rFonts w:ascii="Times New Roman" w:hAnsi="Times New Roman"/>
      <w:kern w:val="0"/>
      <w:szCs w:val="21"/>
    </w:rPr>
  </w:style>
  <w:style w:type="paragraph" w:customStyle="1" w:styleId="CharCharChar0">
    <w:name w:val="Char Char Char"/>
    <w:basedOn w:val="a"/>
    <w:qFormat/>
    <w:rsid w:val="0086125C"/>
    <w:rPr>
      <w:rFonts w:ascii="宋体" w:hAnsi="宋体"/>
      <w:szCs w:val="24"/>
    </w:rPr>
  </w:style>
  <w:style w:type="paragraph" w:customStyle="1" w:styleId="xl78">
    <w:name w:val="xl78"/>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
    <w:qFormat/>
    <w:rsid w:val="0086125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
    <w:rsid w:val="0086125C"/>
    <w:pPr>
      <w:widowControl/>
      <w:snapToGrid w:val="0"/>
    </w:pPr>
    <w:rPr>
      <w:rFonts w:ascii="Times New Roman" w:eastAsia="Arial Unicode MS" w:hAnsi="Times New Roman"/>
      <w:kern w:val="0"/>
      <w:szCs w:val="21"/>
    </w:rPr>
  </w:style>
  <w:style w:type="paragraph" w:customStyle="1" w:styleId="111">
    <w:name w:val="列出段落111"/>
    <w:basedOn w:val="a"/>
    <w:uiPriority w:val="34"/>
    <w:qFormat/>
    <w:rsid w:val="0086125C"/>
    <w:pPr>
      <w:ind w:firstLineChars="200" w:firstLine="420"/>
    </w:pPr>
  </w:style>
  <w:style w:type="paragraph" w:customStyle="1" w:styleId="Char110">
    <w:name w:val="Char11"/>
    <w:basedOn w:val="a"/>
    <w:qFormat/>
    <w:rsid w:val="0086125C"/>
    <w:pPr>
      <w:tabs>
        <w:tab w:val="left" w:pos="360"/>
      </w:tabs>
    </w:pPr>
    <w:rPr>
      <w:rFonts w:ascii="Times New Roman" w:hAnsi="Times New Roman"/>
      <w:sz w:val="24"/>
      <w:szCs w:val="24"/>
    </w:rPr>
  </w:style>
  <w:style w:type="paragraph" w:customStyle="1" w:styleId="211">
    <w:name w:val="正文文本缩进 21"/>
    <w:basedOn w:val="a"/>
    <w:qFormat/>
    <w:rsid w:val="0086125C"/>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86125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86125C"/>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
    <w:rsid w:val="0086125C"/>
    <w:pPr>
      <w:widowControl/>
      <w:spacing w:before="100" w:beforeAutospacing="1" w:after="100" w:afterAutospacing="1"/>
      <w:jc w:val="left"/>
    </w:pPr>
    <w:rPr>
      <w:rFonts w:ascii="Arial" w:hAnsi="Arial" w:cs="Arial"/>
      <w:kern w:val="0"/>
      <w:sz w:val="16"/>
      <w:szCs w:val="16"/>
    </w:rPr>
  </w:style>
  <w:style w:type="paragraph" w:customStyle="1" w:styleId="xl69">
    <w:name w:val="xl69"/>
    <w:basedOn w:val="a"/>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
    <w:next w:val="a"/>
    <w:uiPriority w:val="39"/>
    <w:unhideWhenUsed/>
    <w:qFormat/>
    <w:rsid w:val="0086125C"/>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86125C"/>
    <w:pPr>
      <w:widowControl/>
      <w:spacing w:before="100" w:beforeAutospacing="1" w:after="100" w:afterAutospacing="1"/>
      <w:jc w:val="left"/>
    </w:pPr>
    <w:rPr>
      <w:rFonts w:ascii="Arial" w:hAnsi="Arial" w:cs="Arial"/>
      <w:kern w:val="0"/>
      <w:sz w:val="16"/>
      <w:szCs w:val="16"/>
    </w:rPr>
  </w:style>
  <w:style w:type="paragraph" w:customStyle="1" w:styleId="xl85">
    <w:name w:val="xl85"/>
    <w:basedOn w:val="a"/>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
    <w:rsid w:val="0086125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
    <w:rsid w:val="0086125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rsid w:val="0086125C"/>
    <w:pPr>
      <w:widowControl w:val="0"/>
      <w:autoSpaceDE w:val="0"/>
      <w:autoSpaceDN w:val="0"/>
      <w:adjustRightInd w:val="0"/>
    </w:pPr>
    <w:rPr>
      <w:rFonts w:ascii="FZFangSong-Z02" w:eastAsia="FZFangSong-Z02" w:hAnsi="Times New Roman" w:cs="FZFangSong-Z0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5C"/>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99"/>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86125C"/>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a1"/>
    <w:uiPriority w:val="99"/>
    <w:unhideWhenUsed/>
    <w:qFormat/>
    <w:rsid w:val="0086125C"/>
    <w:rPr>
      <w:color w:val="2B579A"/>
      <w:shd w:val="clear" w:color="auto" w:fill="E6E6E6"/>
    </w:rPr>
  </w:style>
  <w:style w:type="character" w:customStyle="1" w:styleId="CharChar9">
    <w:name w:val="普通文字 Char Char"/>
    <w:rsid w:val="0086125C"/>
    <w:rPr>
      <w:rFonts w:ascii="宋体" w:hAnsi="Courier New"/>
      <w:kern w:val="2"/>
      <w:sz w:val="21"/>
    </w:rPr>
  </w:style>
  <w:style w:type="character" w:customStyle="1" w:styleId="Char1f">
    <w:name w:val="表正文 Char1"/>
    <w:rsid w:val="0086125C"/>
    <w:rPr>
      <w:kern w:val="2"/>
      <w:sz w:val="21"/>
    </w:rPr>
  </w:style>
  <w:style w:type="paragraph" w:customStyle="1" w:styleId="p17">
    <w:name w:val="p17"/>
    <w:basedOn w:val="a"/>
    <w:rsid w:val="0086125C"/>
    <w:pPr>
      <w:widowControl/>
    </w:pPr>
    <w:rPr>
      <w:rFonts w:ascii="Times New Roman" w:hAnsi="Times New Roman"/>
      <w:kern w:val="0"/>
      <w:szCs w:val="21"/>
    </w:rPr>
  </w:style>
  <w:style w:type="paragraph" w:customStyle="1" w:styleId="CharCharChar0">
    <w:name w:val="Char Char Char"/>
    <w:basedOn w:val="a"/>
    <w:qFormat/>
    <w:rsid w:val="0086125C"/>
    <w:rPr>
      <w:rFonts w:ascii="宋体" w:hAnsi="宋体"/>
      <w:szCs w:val="24"/>
    </w:rPr>
  </w:style>
  <w:style w:type="paragraph" w:customStyle="1" w:styleId="xl78">
    <w:name w:val="xl78"/>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
    <w:qFormat/>
    <w:rsid w:val="0086125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
    <w:rsid w:val="0086125C"/>
    <w:pPr>
      <w:widowControl/>
      <w:snapToGrid w:val="0"/>
    </w:pPr>
    <w:rPr>
      <w:rFonts w:ascii="Times New Roman" w:eastAsia="Arial Unicode MS" w:hAnsi="Times New Roman"/>
      <w:kern w:val="0"/>
      <w:szCs w:val="21"/>
    </w:rPr>
  </w:style>
  <w:style w:type="paragraph" w:customStyle="1" w:styleId="111">
    <w:name w:val="列出段落111"/>
    <w:basedOn w:val="a"/>
    <w:uiPriority w:val="34"/>
    <w:qFormat/>
    <w:rsid w:val="0086125C"/>
    <w:pPr>
      <w:ind w:firstLineChars="200" w:firstLine="420"/>
    </w:pPr>
  </w:style>
  <w:style w:type="paragraph" w:customStyle="1" w:styleId="Char110">
    <w:name w:val="Char11"/>
    <w:basedOn w:val="a"/>
    <w:qFormat/>
    <w:rsid w:val="0086125C"/>
    <w:pPr>
      <w:tabs>
        <w:tab w:val="left" w:pos="360"/>
      </w:tabs>
    </w:pPr>
    <w:rPr>
      <w:rFonts w:ascii="Times New Roman" w:hAnsi="Times New Roman"/>
      <w:sz w:val="24"/>
      <w:szCs w:val="24"/>
    </w:rPr>
  </w:style>
  <w:style w:type="paragraph" w:customStyle="1" w:styleId="211">
    <w:name w:val="正文文本缩进 21"/>
    <w:basedOn w:val="a"/>
    <w:qFormat/>
    <w:rsid w:val="0086125C"/>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86125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86125C"/>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
    <w:rsid w:val="0086125C"/>
    <w:pPr>
      <w:widowControl/>
      <w:spacing w:before="100" w:beforeAutospacing="1" w:after="100" w:afterAutospacing="1"/>
      <w:jc w:val="left"/>
    </w:pPr>
    <w:rPr>
      <w:rFonts w:ascii="Arial" w:hAnsi="Arial" w:cs="Arial"/>
      <w:kern w:val="0"/>
      <w:sz w:val="16"/>
      <w:szCs w:val="16"/>
    </w:rPr>
  </w:style>
  <w:style w:type="paragraph" w:customStyle="1" w:styleId="xl69">
    <w:name w:val="xl69"/>
    <w:basedOn w:val="a"/>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
    <w:next w:val="a"/>
    <w:uiPriority w:val="39"/>
    <w:unhideWhenUsed/>
    <w:qFormat/>
    <w:rsid w:val="0086125C"/>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86125C"/>
    <w:pPr>
      <w:widowControl/>
      <w:spacing w:before="100" w:beforeAutospacing="1" w:after="100" w:afterAutospacing="1"/>
      <w:jc w:val="left"/>
    </w:pPr>
    <w:rPr>
      <w:rFonts w:ascii="Arial" w:hAnsi="Arial" w:cs="Arial"/>
      <w:kern w:val="0"/>
      <w:sz w:val="16"/>
      <w:szCs w:val="16"/>
    </w:rPr>
  </w:style>
  <w:style w:type="paragraph" w:customStyle="1" w:styleId="xl85">
    <w:name w:val="xl85"/>
    <w:basedOn w:val="a"/>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
    <w:qFormat/>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8612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
    <w:rsid w:val="0086125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
    <w:rsid w:val="0086125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rsid w:val="0086125C"/>
    <w:pPr>
      <w:widowControl w:val="0"/>
      <w:autoSpaceDE w:val="0"/>
      <w:autoSpaceDN w:val="0"/>
      <w:adjustRightInd w:val="0"/>
    </w:pPr>
    <w:rPr>
      <w:rFonts w:ascii="FZFangSong-Z02" w:eastAsia="FZFangSong-Z02" w:hAnsi="Times New Roman" w:cs="FZFangSong-Z0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3009AE6-F897-4388-A465-5AD6EB7A4AFF}" type="doc">
      <dgm:prSet loTypeId="urn:microsoft.com/office/officeart/2005/8/layout/orgChart1#1" loCatId="hierarchy" qsTypeId="urn:microsoft.com/office/officeart/2005/8/quickstyle/simple1#2" qsCatId="simple" csTypeId="urn:microsoft.com/office/officeart/2005/8/colors/accent1_2#2" csCatId="accent1" phldr="1"/>
      <dgm:spPr/>
      <dgm:t>
        <a:bodyPr/>
        <a:lstStyle/>
        <a:p>
          <a:endParaRPr lang="zh-CN" altLang="en-US"/>
        </a:p>
      </dgm:t>
    </dgm:pt>
    <dgm:pt modelId="{E9F659AD-DCC6-4A43-B5B1-1546D5DD2E81}">
      <dgm:prSet phldrT="[文本]" custT="1"/>
      <dgm:spPr>
        <a:xfrm>
          <a:off x="1736750" y="283859"/>
          <a:ext cx="955624" cy="4778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a:solidFill>
                <a:sysClr val="window" lastClr="FFFFFF"/>
              </a:solidFill>
              <a:latin typeface="Calibri" panose="020F0502020204030204"/>
              <a:ea typeface="宋体" panose="02010600030101010101" charset="-122"/>
              <a:cs typeface="+mn-cs"/>
            </a:rPr>
            <a:t>综合管理</a:t>
          </a:r>
        </a:p>
      </dgm:t>
    </dgm:pt>
    <dgm:pt modelId="{5F38D198-45B4-4CFD-8275-C70710211D90}" type="parTrans" cxnId="{B0881E0A-12E4-491C-98DC-2F53C262C0A6}">
      <dgm:prSet/>
      <dgm:spPr/>
      <dgm:t>
        <a:bodyPr/>
        <a:lstStyle/>
        <a:p>
          <a:pPr algn="ctr"/>
          <a:endParaRPr lang="zh-CN" altLang="en-US" sz="1200"/>
        </a:p>
      </dgm:t>
    </dgm:pt>
    <dgm:pt modelId="{7B8A81AD-BA39-4669-AADF-911D112EC715}" type="sibTrans" cxnId="{B0881E0A-12E4-491C-98DC-2F53C262C0A6}">
      <dgm:prSet/>
      <dgm:spPr/>
      <dgm:t>
        <a:bodyPr/>
        <a:lstStyle/>
        <a:p>
          <a:pPr algn="ctr"/>
          <a:endParaRPr lang="zh-CN" altLang="en-US" sz="1200"/>
        </a:p>
      </dgm:t>
    </dgm:pt>
    <dgm:pt modelId="{EEF26910-E565-4C40-94AD-3B055B686CEA}">
      <dgm:prSet phldrT="[文本]" custT="1"/>
      <dgm:spPr>
        <a:xfrm>
          <a:off x="2291" y="962353"/>
          <a:ext cx="955624" cy="4778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a:solidFill>
                <a:sysClr val="window" lastClr="FFFFFF"/>
              </a:solidFill>
              <a:latin typeface="Calibri" panose="020F0502020204030204"/>
              <a:ea typeface="宋体" panose="02010600030101010101" charset="-122"/>
              <a:cs typeface="+mn-cs"/>
            </a:rPr>
            <a:t>会务服务</a:t>
          </a:r>
        </a:p>
      </dgm:t>
    </dgm:pt>
    <dgm:pt modelId="{D03D3225-B098-4491-B6D2-4A85B41D480C}" type="parTrans" cxnId="{33D48801-03E7-43D4-A470-E6FB98301935}">
      <dgm:prSet/>
      <dgm:spPr>
        <a:xfrm>
          <a:off x="480103" y="761671"/>
          <a:ext cx="1734459" cy="200681"/>
        </a:xfr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C379D7E3-058F-4FF8-8526-159324D53080}" type="sibTrans" cxnId="{33D48801-03E7-43D4-A470-E6FB98301935}">
      <dgm:prSet/>
      <dgm:spPr/>
      <dgm:t>
        <a:bodyPr/>
        <a:lstStyle/>
        <a:p>
          <a:pPr algn="ctr"/>
          <a:endParaRPr lang="zh-CN" altLang="en-US" sz="1200"/>
        </a:p>
      </dgm:t>
    </dgm:pt>
    <dgm:pt modelId="{86F887C7-8315-4986-B898-F00B0FF06255}">
      <dgm:prSet custT="1"/>
      <dgm:spPr>
        <a:xfrm>
          <a:off x="1158597" y="962353"/>
          <a:ext cx="955624" cy="4778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a:solidFill>
                <a:sysClr val="window" lastClr="FFFFFF"/>
              </a:solidFill>
              <a:latin typeface="Calibri" panose="020F0502020204030204"/>
              <a:ea typeface="宋体" panose="02010600030101010101" charset="-122"/>
              <a:cs typeface="+mn-cs"/>
            </a:rPr>
            <a:t>展陈服务</a:t>
          </a:r>
        </a:p>
      </dgm:t>
    </dgm:pt>
    <dgm:pt modelId="{DA70C928-F770-47A5-8B36-1C4A0E901591}" type="parTrans" cxnId="{5A32BCCE-7593-41A2-9CE0-47CF6B9DEA90}">
      <dgm:prSet/>
      <dgm:spPr>
        <a:xfrm>
          <a:off x="1636409" y="761671"/>
          <a:ext cx="578153" cy="200681"/>
        </a:xfr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C3791A33-D22B-4989-9EA7-C4C276D3317A}" type="sibTrans" cxnId="{5A32BCCE-7593-41A2-9CE0-47CF6B9DEA90}">
      <dgm:prSet/>
      <dgm:spPr/>
      <dgm:t>
        <a:bodyPr/>
        <a:lstStyle/>
        <a:p>
          <a:pPr algn="ctr"/>
          <a:endParaRPr lang="zh-CN" altLang="en-US" sz="1200"/>
        </a:p>
      </dgm:t>
    </dgm:pt>
    <dgm:pt modelId="{EFC02D12-1925-4B58-9B9F-810769793B1A}">
      <dgm:prSet custT="1"/>
      <dgm:spPr>
        <a:xfrm>
          <a:off x="2314903" y="962353"/>
          <a:ext cx="955624" cy="4778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a:solidFill>
                <a:sysClr val="window" lastClr="FFFFFF"/>
              </a:solidFill>
              <a:latin typeface="Calibri" panose="020F0502020204030204"/>
              <a:ea typeface="宋体" panose="02010600030101010101" charset="-122"/>
              <a:cs typeface="+mn-cs"/>
            </a:rPr>
            <a:t>设备设施</a:t>
          </a:r>
          <a:endParaRPr lang="en-US" altLang="zh-CN" sz="1200">
            <a:solidFill>
              <a:sysClr val="window" lastClr="FFFFFF"/>
            </a:solidFill>
            <a:latin typeface="Calibri" panose="020F0502020204030204"/>
            <a:ea typeface="宋体" panose="02010600030101010101" charset="-122"/>
            <a:cs typeface="+mn-cs"/>
          </a:endParaRPr>
        </a:p>
        <a:p>
          <a:pPr algn="ctr"/>
          <a:r>
            <a:rPr lang="zh-CN" altLang="en-US" sz="1200">
              <a:solidFill>
                <a:sysClr val="window" lastClr="FFFFFF"/>
              </a:solidFill>
              <a:latin typeface="Calibri" panose="020F0502020204030204"/>
              <a:ea typeface="宋体" panose="02010600030101010101" charset="-122"/>
              <a:cs typeface="+mn-cs"/>
            </a:rPr>
            <a:t>服务</a:t>
          </a:r>
        </a:p>
      </dgm:t>
    </dgm:pt>
    <dgm:pt modelId="{A0F4DF74-1598-458A-9074-4FC98001EFC9}" type="parTrans" cxnId="{146200F3-27A5-4D16-A636-AE07288CEE69}">
      <dgm:prSet/>
      <dgm:spPr>
        <a:xfrm>
          <a:off x="2214562" y="761671"/>
          <a:ext cx="578153" cy="200681"/>
        </a:xfr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0181711C-76B2-4B88-A22A-CCE631203C3A}" type="sibTrans" cxnId="{146200F3-27A5-4D16-A636-AE07288CEE69}">
      <dgm:prSet/>
      <dgm:spPr/>
      <dgm:t>
        <a:bodyPr/>
        <a:lstStyle/>
        <a:p>
          <a:pPr algn="ctr"/>
          <a:endParaRPr lang="zh-CN" altLang="en-US" sz="1200"/>
        </a:p>
      </dgm:t>
    </dgm:pt>
    <dgm:pt modelId="{B99ABB54-21F0-4CAD-B36A-E5166A420C3F}">
      <dgm:prSet phldr="0" custT="1"/>
      <dgm:spPr>
        <a:xfrm>
          <a:off x="3471209" y="962353"/>
          <a:ext cx="955624" cy="4778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sz="1200">
              <a:solidFill>
                <a:sysClr val="window" lastClr="FFFFFF"/>
              </a:solidFill>
              <a:latin typeface="Calibri" panose="020F0502020204030204"/>
              <a:ea typeface="宋体" panose="02010600030101010101" charset="-122"/>
              <a:cs typeface="+mn-cs"/>
            </a:rPr>
            <a:t>保安服务</a:t>
          </a:r>
          <a:endParaRPr lang="en-US" altLang="zh-CN" sz="1200">
            <a:solidFill>
              <a:sysClr val="window" lastClr="FFFFFF"/>
            </a:solidFill>
            <a:latin typeface="Calibri" panose="020F0502020204030204"/>
            <a:ea typeface="宋体" panose="02010600030101010101" charset="-122"/>
            <a:cs typeface="+mn-cs"/>
          </a:endParaRPr>
        </a:p>
      </dgm:t>
    </dgm:pt>
    <dgm:pt modelId="{D99F2A61-617E-40F4-BECC-93C252987763}" type="parTrans" cxnId="{085BEFC4-97FE-4019-85E5-000CB73278E3}">
      <dgm:prSet/>
      <dgm:spPr>
        <a:xfrm>
          <a:off x="2214562" y="761671"/>
          <a:ext cx="1734459" cy="200681"/>
        </a:xfr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9AB27CDA-D6F2-40C6-BA53-FBCD7DF5CC6A}" type="sibTrans" cxnId="{085BEFC4-97FE-4019-85E5-000CB73278E3}">
      <dgm:prSet/>
      <dgm:spPr/>
      <dgm:t>
        <a:bodyPr/>
        <a:lstStyle/>
        <a:p>
          <a:pPr algn="ctr"/>
          <a:endParaRPr lang="zh-CN" altLang="en-US" sz="1200"/>
        </a:p>
      </dgm:t>
    </dgm:pt>
    <dgm:pt modelId="{F3715784-B1FD-4D9F-9F19-BCCA707464DC}">
      <dgm:prSet custT="1"/>
      <dgm:spPr/>
      <dgm:t>
        <a:bodyPr/>
        <a:lstStyle/>
        <a:p>
          <a:pPr algn="ctr"/>
          <a:r>
            <a:rPr lang="zh-CN" altLang="en-US" sz="1600"/>
            <a:t> </a:t>
          </a:r>
          <a:r>
            <a:rPr lang="zh-CN" altLang="en-US" sz="1200">
              <a:latin typeface="宋体" panose="02010600030101010101" charset="-122"/>
              <a:ea typeface="宋体" panose="02010600030101010101" charset="-122"/>
            </a:rPr>
            <a:t>保洁服务</a:t>
          </a:r>
        </a:p>
      </dgm:t>
    </dgm:pt>
    <dgm:pt modelId="{2B0D4A10-98CD-4F3E-B66A-8B43160E21FB}" type="parTrans" cxnId="{B402439E-7025-4A1A-A88E-CFCF243C2050}">
      <dgm:prSet/>
      <dgm:spPr/>
      <dgm:t>
        <a:bodyPr/>
        <a:lstStyle/>
        <a:p>
          <a:pPr algn="ctr"/>
          <a:endParaRPr lang="zh-CN" altLang="en-US"/>
        </a:p>
      </dgm:t>
    </dgm:pt>
    <dgm:pt modelId="{1DC1F933-FFE4-487A-9B4D-21F944284FBC}" type="sibTrans" cxnId="{B402439E-7025-4A1A-A88E-CFCF243C2050}">
      <dgm:prSet/>
      <dgm:spPr/>
      <dgm:t>
        <a:bodyPr/>
        <a:lstStyle/>
        <a:p>
          <a:pPr algn="ctr"/>
          <a:endParaRPr lang="zh-CN" altLang="en-US"/>
        </a:p>
      </dgm:t>
    </dgm:pt>
    <dgm:pt modelId="{F8816F19-169A-478D-AA39-565B73841ACB}" type="pres">
      <dgm:prSet presAssocID="{E3009AE6-F897-4388-A465-5AD6EB7A4AFF}" presName="hierChild1" presStyleCnt="0">
        <dgm:presLayoutVars>
          <dgm:orgChart val="1"/>
          <dgm:chPref val="1"/>
          <dgm:dir/>
          <dgm:animOne val="branch"/>
          <dgm:animLvl val="lvl"/>
          <dgm:resizeHandles/>
        </dgm:presLayoutVars>
      </dgm:prSet>
      <dgm:spPr/>
      <dgm:t>
        <a:bodyPr/>
        <a:lstStyle/>
        <a:p>
          <a:endParaRPr lang="zh-CN" altLang="en-US"/>
        </a:p>
      </dgm:t>
    </dgm:pt>
    <dgm:pt modelId="{5FF8EF68-428E-4CF9-B964-04C01E6BEC52}" type="pres">
      <dgm:prSet presAssocID="{E9F659AD-DCC6-4A43-B5B1-1546D5DD2E81}" presName="hierRoot1" presStyleCnt="0">
        <dgm:presLayoutVars>
          <dgm:hierBranch val="init"/>
        </dgm:presLayoutVars>
      </dgm:prSet>
      <dgm:spPr/>
    </dgm:pt>
    <dgm:pt modelId="{D1DA693C-3F57-43A9-96A3-E223F6ECAC57}" type="pres">
      <dgm:prSet presAssocID="{E9F659AD-DCC6-4A43-B5B1-1546D5DD2E81}" presName="rootComposite1" presStyleCnt="0"/>
      <dgm:spPr/>
    </dgm:pt>
    <dgm:pt modelId="{5BD1E2E9-23C2-447E-917B-A39EB7E6FFCA}" type="pres">
      <dgm:prSet presAssocID="{E9F659AD-DCC6-4A43-B5B1-1546D5DD2E81}" presName="rootText1" presStyleLbl="node0" presStyleIdx="0" presStyleCnt="1">
        <dgm:presLayoutVars>
          <dgm:chPref val="3"/>
        </dgm:presLayoutVars>
      </dgm:prSet>
      <dgm:spPr/>
      <dgm:t>
        <a:bodyPr/>
        <a:lstStyle/>
        <a:p>
          <a:endParaRPr lang="zh-CN" altLang="en-US"/>
        </a:p>
      </dgm:t>
    </dgm:pt>
    <dgm:pt modelId="{92DAAA56-B14F-4AAE-AC1D-4A1AEF1ADC4D}" type="pres">
      <dgm:prSet presAssocID="{E9F659AD-DCC6-4A43-B5B1-1546D5DD2E81}" presName="rootConnector1" presStyleLbl="node1" presStyleIdx="0" presStyleCnt="0"/>
      <dgm:spPr/>
      <dgm:t>
        <a:bodyPr/>
        <a:lstStyle/>
        <a:p>
          <a:endParaRPr lang="zh-CN" altLang="en-US"/>
        </a:p>
      </dgm:t>
    </dgm:pt>
    <dgm:pt modelId="{3E0686E9-8E78-4F6D-85D0-1AEF912FFD15}" type="pres">
      <dgm:prSet presAssocID="{E9F659AD-DCC6-4A43-B5B1-1546D5DD2E81}" presName="hierChild2" presStyleCnt="0"/>
      <dgm:spPr/>
    </dgm:pt>
    <dgm:pt modelId="{163C6CFE-613C-458E-BF4E-58B39ED156C8}" type="pres">
      <dgm:prSet presAssocID="{D03D3225-B098-4491-B6D2-4A85B41D480C}" presName="Name37" presStyleLbl="parChTrans1D2" presStyleIdx="0" presStyleCnt="5"/>
      <dgm:spPr/>
      <dgm:t>
        <a:bodyPr/>
        <a:lstStyle/>
        <a:p>
          <a:endParaRPr lang="zh-CN" altLang="en-US"/>
        </a:p>
      </dgm:t>
    </dgm:pt>
    <dgm:pt modelId="{5E9EB5DC-E0C6-4460-AE70-C0E243895540}" type="pres">
      <dgm:prSet presAssocID="{EEF26910-E565-4C40-94AD-3B055B686CEA}" presName="hierRoot2" presStyleCnt="0">
        <dgm:presLayoutVars>
          <dgm:hierBranch val="init"/>
        </dgm:presLayoutVars>
      </dgm:prSet>
      <dgm:spPr/>
    </dgm:pt>
    <dgm:pt modelId="{5930777C-D60E-42FB-AEF2-90CCFE5A2E5B}" type="pres">
      <dgm:prSet presAssocID="{EEF26910-E565-4C40-94AD-3B055B686CEA}" presName="rootComposite" presStyleCnt="0"/>
      <dgm:spPr/>
    </dgm:pt>
    <dgm:pt modelId="{8947E530-1EA4-43CF-9FA1-1D087F55ABBD}" type="pres">
      <dgm:prSet presAssocID="{EEF26910-E565-4C40-94AD-3B055B686CEA}" presName="rootText" presStyleLbl="node2" presStyleIdx="0" presStyleCnt="5" custScaleY="203485">
        <dgm:presLayoutVars>
          <dgm:chPref val="3"/>
        </dgm:presLayoutVars>
      </dgm:prSet>
      <dgm:spPr/>
      <dgm:t>
        <a:bodyPr/>
        <a:lstStyle/>
        <a:p>
          <a:endParaRPr lang="zh-CN" altLang="en-US"/>
        </a:p>
      </dgm:t>
    </dgm:pt>
    <dgm:pt modelId="{C9FE7C95-AE15-4815-9FF2-A9BD87C5D906}" type="pres">
      <dgm:prSet presAssocID="{EEF26910-E565-4C40-94AD-3B055B686CEA}" presName="rootConnector" presStyleLbl="node2" presStyleIdx="0" presStyleCnt="5"/>
      <dgm:spPr/>
      <dgm:t>
        <a:bodyPr/>
        <a:lstStyle/>
        <a:p>
          <a:endParaRPr lang="zh-CN" altLang="en-US"/>
        </a:p>
      </dgm:t>
    </dgm:pt>
    <dgm:pt modelId="{99733FA3-563E-4D3D-8ADF-856A389E2F3B}" type="pres">
      <dgm:prSet presAssocID="{EEF26910-E565-4C40-94AD-3B055B686CEA}" presName="hierChild4" presStyleCnt="0"/>
      <dgm:spPr/>
    </dgm:pt>
    <dgm:pt modelId="{FAB9C140-576B-49B9-9D93-2BE051B61978}" type="pres">
      <dgm:prSet presAssocID="{EEF26910-E565-4C40-94AD-3B055B686CEA}" presName="hierChild5" presStyleCnt="0"/>
      <dgm:spPr/>
    </dgm:pt>
    <dgm:pt modelId="{F5FE7652-46AE-4458-A6D4-46EFD0A9E153}" type="pres">
      <dgm:prSet presAssocID="{DA70C928-F770-47A5-8B36-1C4A0E901591}" presName="Name37" presStyleLbl="parChTrans1D2" presStyleIdx="1" presStyleCnt="5"/>
      <dgm:spPr/>
      <dgm:t>
        <a:bodyPr/>
        <a:lstStyle/>
        <a:p>
          <a:endParaRPr lang="zh-CN" altLang="en-US"/>
        </a:p>
      </dgm:t>
    </dgm:pt>
    <dgm:pt modelId="{CF405E1B-523C-4800-AD1E-0A3C6C6693BA}" type="pres">
      <dgm:prSet presAssocID="{86F887C7-8315-4986-B898-F00B0FF06255}" presName="hierRoot2" presStyleCnt="0">
        <dgm:presLayoutVars>
          <dgm:hierBranch val="init"/>
        </dgm:presLayoutVars>
      </dgm:prSet>
      <dgm:spPr/>
    </dgm:pt>
    <dgm:pt modelId="{05A4D3DF-5E95-47FF-BC61-613C2D504EF3}" type="pres">
      <dgm:prSet presAssocID="{86F887C7-8315-4986-B898-F00B0FF06255}" presName="rootComposite" presStyleCnt="0"/>
      <dgm:spPr/>
    </dgm:pt>
    <dgm:pt modelId="{93C050DA-985E-48A8-BFC8-66AA41343CA3}" type="pres">
      <dgm:prSet presAssocID="{86F887C7-8315-4986-B898-F00B0FF06255}" presName="rootText" presStyleLbl="node2" presStyleIdx="1" presStyleCnt="5" custScaleY="207083">
        <dgm:presLayoutVars>
          <dgm:chPref val="3"/>
        </dgm:presLayoutVars>
      </dgm:prSet>
      <dgm:spPr/>
      <dgm:t>
        <a:bodyPr/>
        <a:lstStyle/>
        <a:p>
          <a:endParaRPr lang="zh-CN" altLang="en-US"/>
        </a:p>
      </dgm:t>
    </dgm:pt>
    <dgm:pt modelId="{DA8582A8-45CC-43CD-BB11-7F48E92F7F8F}" type="pres">
      <dgm:prSet presAssocID="{86F887C7-8315-4986-B898-F00B0FF06255}" presName="rootConnector" presStyleLbl="node2" presStyleIdx="1" presStyleCnt="5"/>
      <dgm:spPr/>
      <dgm:t>
        <a:bodyPr/>
        <a:lstStyle/>
        <a:p>
          <a:endParaRPr lang="zh-CN" altLang="en-US"/>
        </a:p>
      </dgm:t>
    </dgm:pt>
    <dgm:pt modelId="{A8FA82E2-433E-4AEE-9BF8-1474046CE119}" type="pres">
      <dgm:prSet presAssocID="{86F887C7-8315-4986-B898-F00B0FF06255}" presName="hierChild4" presStyleCnt="0"/>
      <dgm:spPr/>
    </dgm:pt>
    <dgm:pt modelId="{C1C1DF78-964D-43BA-B3E7-25D77866C90B}" type="pres">
      <dgm:prSet presAssocID="{86F887C7-8315-4986-B898-F00B0FF06255}" presName="hierChild5" presStyleCnt="0"/>
      <dgm:spPr/>
    </dgm:pt>
    <dgm:pt modelId="{EA048FAD-3079-4A49-BA12-689F64AA9945}" type="pres">
      <dgm:prSet presAssocID="{A0F4DF74-1598-458A-9074-4FC98001EFC9}" presName="Name37" presStyleLbl="parChTrans1D2" presStyleIdx="2" presStyleCnt="5"/>
      <dgm:spPr/>
      <dgm:t>
        <a:bodyPr/>
        <a:lstStyle/>
        <a:p>
          <a:endParaRPr lang="zh-CN" altLang="en-US"/>
        </a:p>
      </dgm:t>
    </dgm:pt>
    <dgm:pt modelId="{8BA1C3AD-E33B-4C95-AFAA-671FCFB066FF}" type="pres">
      <dgm:prSet presAssocID="{EFC02D12-1925-4B58-9B9F-810769793B1A}" presName="hierRoot2" presStyleCnt="0">
        <dgm:presLayoutVars>
          <dgm:hierBranch val="init"/>
        </dgm:presLayoutVars>
      </dgm:prSet>
      <dgm:spPr/>
    </dgm:pt>
    <dgm:pt modelId="{5AFA4388-9CD7-438A-9E1E-BED5BA253161}" type="pres">
      <dgm:prSet presAssocID="{EFC02D12-1925-4B58-9B9F-810769793B1A}" presName="rootComposite" presStyleCnt="0"/>
      <dgm:spPr/>
    </dgm:pt>
    <dgm:pt modelId="{CD0DDD5F-3278-49B3-BBB6-0CE5553D31EE}" type="pres">
      <dgm:prSet presAssocID="{EFC02D12-1925-4B58-9B9F-810769793B1A}" presName="rootText" presStyleLbl="node2" presStyleIdx="2" presStyleCnt="5" custScaleY="203485">
        <dgm:presLayoutVars>
          <dgm:chPref val="3"/>
        </dgm:presLayoutVars>
      </dgm:prSet>
      <dgm:spPr/>
      <dgm:t>
        <a:bodyPr/>
        <a:lstStyle/>
        <a:p>
          <a:endParaRPr lang="zh-CN" altLang="en-US"/>
        </a:p>
      </dgm:t>
    </dgm:pt>
    <dgm:pt modelId="{2E32FAA0-60DD-44FF-82B9-90307600DAA7}" type="pres">
      <dgm:prSet presAssocID="{EFC02D12-1925-4B58-9B9F-810769793B1A}" presName="rootConnector" presStyleLbl="node2" presStyleIdx="2" presStyleCnt="5"/>
      <dgm:spPr/>
      <dgm:t>
        <a:bodyPr/>
        <a:lstStyle/>
        <a:p>
          <a:endParaRPr lang="zh-CN" altLang="en-US"/>
        </a:p>
      </dgm:t>
    </dgm:pt>
    <dgm:pt modelId="{92D2C011-0A33-4B70-9611-DA152BE2E6AA}" type="pres">
      <dgm:prSet presAssocID="{EFC02D12-1925-4B58-9B9F-810769793B1A}" presName="hierChild4" presStyleCnt="0"/>
      <dgm:spPr/>
    </dgm:pt>
    <dgm:pt modelId="{673B3826-B3CD-4E01-A5A7-F1F2456F3D71}" type="pres">
      <dgm:prSet presAssocID="{EFC02D12-1925-4B58-9B9F-810769793B1A}" presName="hierChild5" presStyleCnt="0"/>
      <dgm:spPr/>
    </dgm:pt>
    <dgm:pt modelId="{BE05C788-0765-463D-93CE-8BE57E038E89}" type="pres">
      <dgm:prSet presAssocID="{D99F2A61-617E-40F4-BECC-93C252987763}" presName="Name37" presStyleLbl="parChTrans1D2" presStyleIdx="3" presStyleCnt="5"/>
      <dgm:spPr/>
      <dgm:t>
        <a:bodyPr/>
        <a:lstStyle/>
        <a:p>
          <a:endParaRPr lang="zh-CN" altLang="en-US"/>
        </a:p>
      </dgm:t>
    </dgm:pt>
    <dgm:pt modelId="{6FC4FCDA-EADD-433A-A954-FEA0742B2A85}" type="pres">
      <dgm:prSet presAssocID="{B99ABB54-21F0-4CAD-B36A-E5166A420C3F}" presName="hierRoot2" presStyleCnt="0">
        <dgm:presLayoutVars>
          <dgm:hierBranch val="init"/>
        </dgm:presLayoutVars>
      </dgm:prSet>
      <dgm:spPr/>
    </dgm:pt>
    <dgm:pt modelId="{2CE9FB97-DF19-4F08-9B8C-341554463C95}" type="pres">
      <dgm:prSet presAssocID="{B99ABB54-21F0-4CAD-B36A-E5166A420C3F}" presName="rootComposite" presStyleCnt="0"/>
      <dgm:spPr/>
    </dgm:pt>
    <dgm:pt modelId="{35E403AC-97EA-44A2-8D17-CDECDC5B58C4}" type="pres">
      <dgm:prSet presAssocID="{B99ABB54-21F0-4CAD-B36A-E5166A420C3F}" presName="rootText" presStyleLbl="node2" presStyleIdx="3" presStyleCnt="5" custScaleX="91582" custScaleY="207082">
        <dgm:presLayoutVars>
          <dgm:chPref val="3"/>
        </dgm:presLayoutVars>
      </dgm:prSet>
      <dgm:spPr/>
      <dgm:t>
        <a:bodyPr/>
        <a:lstStyle/>
        <a:p>
          <a:endParaRPr lang="zh-CN" altLang="en-US"/>
        </a:p>
      </dgm:t>
    </dgm:pt>
    <dgm:pt modelId="{C039427C-63C9-4507-9E0F-9389015E8AF8}" type="pres">
      <dgm:prSet presAssocID="{B99ABB54-21F0-4CAD-B36A-E5166A420C3F}" presName="rootConnector" presStyleLbl="node2" presStyleIdx="3" presStyleCnt="5"/>
      <dgm:spPr/>
      <dgm:t>
        <a:bodyPr/>
        <a:lstStyle/>
        <a:p>
          <a:endParaRPr lang="zh-CN" altLang="en-US"/>
        </a:p>
      </dgm:t>
    </dgm:pt>
    <dgm:pt modelId="{6D93EC7F-A459-4CF4-A6B3-B2A869AE1F8B}" type="pres">
      <dgm:prSet presAssocID="{B99ABB54-21F0-4CAD-B36A-E5166A420C3F}" presName="hierChild4" presStyleCnt="0"/>
      <dgm:spPr/>
    </dgm:pt>
    <dgm:pt modelId="{1BB5099B-5EA6-46D7-B384-964F9114F3D3}" type="pres">
      <dgm:prSet presAssocID="{B99ABB54-21F0-4CAD-B36A-E5166A420C3F}" presName="hierChild5" presStyleCnt="0"/>
      <dgm:spPr/>
    </dgm:pt>
    <dgm:pt modelId="{B81B0E19-CFC1-479B-AA42-92D00D8A6297}" type="pres">
      <dgm:prSet presAssocID="{2B0D4A10-98CD-4F3E-B66A-8B43160E21FB}" presName="Name37" presStyleLbl="parChTrans1D2" presStyleIdx="4" presStyleCnt="5"/>
      <dgm:spPr/>
      <dgm:t>
        <a:bodyPr/>
        <a:lstStyle/>
        <a:p>
          <a:endParaRPr lang="zh-CN" altLang="en-US"/>
        </a:p>
      </dgm:t>
    </dgm:pt>
    <dgm:pt modelId="{C024B1A2-A014-4743-BDE2-9CC3E669EFA3}" type="pres">
      <dgm:prSet presAssocID="{F3715784-B1FD-4D9F-9F19-BCCA707464DC}" presName="hierRoot2" presStyleCnt="0">
        <dgm:presLayoutVars>
          <dgm:hierBranch val="init"/>
        </dgm:presLayoutVars>
      </dgm:prSet>
      <dgm:spPr/>
    </dgm:pt>
    <dgm:pt modelId="{021E1BCB-0B4C-444E-B88C-C38280167E5C}" type="pres">
      <dgm:prSet presAssocID="{F3715784-B1FD-4D9F-9F19-BCCA707464DC}" presName="rootComposite" presStyleCnt="0"/>
      <dgm:spPr/>
    </dgm:pt>
    <dgm:pt modelId="{4F8271BD-5CC2-4206-BD5C-D079B40D6837}" type="pres">
      <dgm:prSet presAssocID="{F3715784-B1FD-4D9F-9F19-BCCA707464DC}" presName="rootText" presStyleLbl="node2" presStyleIdx="4" presStyleCnt="5" custScaleX="91763" custScaleY="206575">
        <dgm:presLayoutVars>
          <dgm:chPref val="3"/>
        </dgm:presLayoutVars>
      </dgm:prSet>
      <dgm:spPr/>
      <dgm:t>
        <a:bodyPr/>
        <a:lstStyle/>
        <a:p>
          <a:endParaRPr lang="zh-CN" altLang="en-US"/>
        </a:p>
      </dgm:t>
    </dgm:pt>
    <dgm:pt modelId="{7810CEFF-AA55-4846-A1F1-7A3E806CDF9D}" type="pres">
      <dgm:prSet presAssocID="{F3715784-B1FD-4D9F-9F19-BCCA707464DC}" presName="rootConnector" presStyleLbl="node2" presStyleIdx="4" presStyleCnt="5"/>
      <dgm:spPr/>
      <dgm:t>
        <a:bodyPr/>
        <a:lstStyle/>
        <a:p>
          <a:endParaRPr lang="zh-CN" altLang="en-US"/>
        </a:p>
      </dgm:t>
    </dgm:pt>
    <dgm:pt modelId="{DDD9656D-3624-4C04-A477-FA1FDA0C11B9}" type="pres">
      <dgm:prSet presAssocID="{F3715784-B1FD-4D9F-9F19-BCCA707464DC}" presName="hierChild4" presStyleCnt="0"/>
      <dgm:spPr/>
    </dgm:pt>
    <dgm:pt modelId="{C8CCC8D3-62B1-4864-931B-4A1F5A2545F4}" type="pres">
      <dgm:prSet presAssocID="{F3715784-B1FD-4D9F-9F19-BCCA707464DC}" presName="hierChild5" presStyleCnt="0"/>
      <dgm:spPr/>
    </dgm:pt>
    <dgm:pt modelId="{3CEF3410-B0E4-4B4E-950A-A4D5A02609FB}" type="pres">
      <dgm:prSet presAssocID="{E9F659AD-DCC6-4A43-B5B1-1546D5DD2E81}" presName="hierChild3" presStyleCnt="0"/>
      <dgm:spPr/>
    </dgm:pt>
  </dgm:ptLst>
  <dgm:cxnLst>
    <dgm:cxn modelId="{7091A59C-212E-46DA-BE26-4114E7945D2D}" type="presOf" srcId="{E9F659AD-DCC6-4A43-B5B1-1546D5DD2E81}" destId="{5BD1E2E9-23C2-447E-917B-A39EB7E6FFCA}" srcOrd="0" destOrd="0" presId="urn:microsoft.com/office/officeart/2005/8/layout/orgChart1#1"/>
    <dgm:cxn modelId="{3CDD3A98-0B89-4C0B-BF2D-FBC0E8AD6EBA}" type="presOf" srcId="{B99ABB54-21F0-4CAD-B36A-E5166A420C3F}" destId="{C039427C-63C9-4507-9E0F-9389015E8AF8}" srcOrd="1" destOrd="0" presId="urn:microsoft.com/office/officeart/2005/8/layout/orgChart1#1"/>
    <dgm:cxn modelId="{785E8F73-7C1C-491C-8889-52E7181A3AA8}" type="presOf" srcId="{B99ABB54-21F0-4CAD-B36A-E5166A420C3F}" destId="{35E403AC-97EA-44A2-8D17-CDECDC5B58C4}" srcOrd="0" destOrd="0" presId="urn:microsoft.com/office/officeart/2005/8/layout/orgChart1#1"/>
    <dgm:cxn modelId="{0EF55A64-1CE3-44CE-97AA-74B1E9B40616}" type="presOf" srcId="{86F887C7-8315-4986-B898-F00B0FF06255}" destId="{93C050DA-985E-48A8-BFC8-66AA41343CA3}" srcOrd="0" destOrd="0" presId="urn:microsoft.com/office/officeart/2005/8/layout/orgChart1#1"/>
    <dgm:cxn modelId="{97608631-73FE-4CB7-8A07-23785A5BB6F9}" type="presOf" srcId="{A0F4DF74-1598-458A-9074-4FC98001EFC9}" destId="{EA048FAD-3079-4A49-BA12-689F64AA9945}" srcOrd="0" destOrd="0" presId="urn:microsoft.com/office/officeart/2005/8/layout/orgChart1#1"/>
    <dgm:cxn modelId="{B0881E0A-12E4-491C-98DC-2F53C262C0A6}" srcId="{E3009AE6-F897-4388-A465-5AD6EB7A4AFF}" destId="{E9F659AD-DCC6-4A43-B5B1-1546D5DD2E81}" srcOrd="0" destOrd="0" parTransId="{5F38D198-45B4-4CFD-8275-C70710211D90}" sibTransId="{7B8A81AD-BA39-4669-AADF-911D112EC715}"/>
    <dgm:cxn modelId="{5A32BCCE-7593-41A2-9CE0-47CF6B9DEA90}" srcId="{E9F659AD-DCC6-4A43-B5B1-1546D5DD2E81}" destId="{86F887C7-8315-4986-B898-F00B0FF06255}" srcOrd="1" destOrd="0" parTransId="{DA70C928-F770-47A5-8B36-1C4A0E901591}" sibTransId="{C3791A33-D22B-4989-9EA7-C4C276D3317A}"/>
    <dgm:cxn modelId="{146200F3-27A5-4D16-A636-AE07288CEE69}" srcId="{E9F659AD-DCC6-4A43-B5B1-1546D5DD2E81}" destId="{EFC02D12-1925-4B58-9B9F-810769793B1A}" srcOrd="2" destOrd="0" parTransId="{A0F4DF74-1598-458A-9074-4FC98001EFC9}" sibTransId="{0181711C-76B2-4B88-A22A-CCE631203C3A}"/>
    <dgm:cxn modelId="{33D48801-03E7-43D4-A470-E6FB98301935}" srcId="{E9F659AD-DCC6-4A43-B5B1-1546D5DD2E81}" destId="{EEF26910-E565-4C40-94AD-3B055B686CEA}" srcOrd="0" destOrd="0" parTransId="{D03D3225-B098-4491-B6D2-4A85B41D480C}" sibTransId="{C379D7E3-058F-4FF8-8526-159324D53080}"/>
    <dgm:cxn modelId="{085BEFC4-97FE-4019-85E5-000CB73278E3}" srcId="{E9F659AD-DCC6-4A43-B5B1-1546D5DD2E81}" destId="{B99ABB54-21F0-4CAD-B36A-E5166A420C3F}" srcOrd="3" destOrd="0" parTransId="{D99F2A61-617E-40F4-BECC-93C252987763}" sibTransId="{9AB27CDA-D6F2-40C6-BA53-FBCD7DF5CC6A}"/>
    <dgm:cxn modelId="{BF520F8E-BA86-4ACE-AB54-744CF763EB88}" type="presOf" srcId="{EEF26910-E565-4C40-94AD-3B055B686CEA}" destId="{8947E530-1EA4-43CF-9FA1-1D087F55ABBD}" srcOrd="0" destOrd="0" presId="urn:microsoft.com/office/officeart/2005/8/layout/orgChart1#1"/>
    <dgm:cxn modelId="{7E16C725-CCD7-4B32-A01E-83028FE3C095}" type="presOf" srcId="{F3715784-B1FD-4D9F-9F19-BCCA707464DC}" destId="{7810CEFF-AA55-4846-A1F1-7A3E806CDF9D}" srcOrd="1" destOrd="0" presId="urn:microsoft.com/office/officeart/2005/8/layout/orgChart1#1"/>
    <dgm:cxn modelId="{999F2C01-9CF5-4015-A9B4-01544D6829CE}" type="presOf" srcId="{EEF26910-E565-4C40-94AD-3B055B686CEA}" destId="{C9FE7C95-AE15-4815-9FF2-A9BD87C5D906}" srcOrd="1" destOrd="0" presId="urn:microsoft.com/office/officeart/2005/8/layout/orgChart1#1"/>
    <dgm:cxn modelId="{F4867451-AAF7-433A-B664-2A8764DAF7CB}" type="presOf" srcId="{D03D3225-B098-4491-B6D2-4A85B41D480C}" destId="{163C6CFE-613C-458E-BF4E-58B39ED156C8}" srcOrd="0" destOrd="0" presId="urn:microsoft.com/office/officeart/2005/8/layout/orgChart1#1"/>
    <dgm:cxn modelId="{9A330BF4-6E71-4A9C-B021-818B76846695}" type="presOf" srcId="{F3715784-B1FD-4D9F-9F19-BCCA707464DC}" destId="{4F8271BD-5CC2-4206-BD5C-D079B40D6837}" srcOrd="0" destOrd="0" presId="urn:microsoft.com/office/officeart/2005/8/layout/orgChart1#1"/>
    <dgm:cxn modelId="{D49D8ACF-C86D-455E-8AF1-785CF9F332AB}" type="presOf" srcId="{DA70C928-F770-47A5-8B36-1C4A0E901591}" destId="{F5FE7652-46AE-4458-A6D4-46EFD0A9E153}" srcOrd="0" destOrd="0" presId="urn:microsoft.com/office/officeart/2005/8/layout/orgChart1#1"/>
    <dgm:cxn modelId="{E390D8BB-584A-4AD8-8641-1B879B32A544}" type="presOf" srcId="{D99F2A61-617E-40F4-BECC-93C252987763}" destId="{BE05C788-0765-463D-93CE-8BE57E038E89}" srcOrd="0" destOrd="0" presId="urn:microsoft.com/office/officeart/2005/8/layout/orgChart1#1"/>
    <dgm:cxn modelId="{698943A1-F1FA-4090-BDD1-877A1437CC6E}" type="presOf" srcId="{2B0D4A10-98CD-4F3E-B66A-8B43160E21FB}" destId="{B81B0E19-CFC1-479B-AA42-92D00D8A6297}" srcOrd="0" destOrd="0" presId="urn:microsoft.com/office/officeart/2005/8/layout/orgChart1#1"/>
    <dgm:cxn modelId="{CC6F359F-3958-4D07-8DA0-9147D49CB0AB}" type="presOf" srcId="{86F887C7-8315-4986-B898-F00B0FF06255}" destId="{DA8582A8-45CC-43CD-BB11-7F48E92F7F8F}" srcOrd="1" destOrd="0" presId="urn:microsoft.com/office/officeart/2005/8/layout/orgChart1#1"/>
    <dgm:cxn modelId="{6A94D270-FBB1-42C0-9E62-BE70B157D2AB}" type="presOf" srcId="{E9F659AD-DCC6-4A43-B5B1-1546D5DD2E81}" destId="{92DAAA56-B14F-4AAE-AC1D-4A1AEF1ADC4D}" srcOrd="1" destOrd="0" presId="urn:microsoft.com/office/officeart/2005/8/layout/orgChart1#1"/>
    <dgm:cxn modelId="{D8DF74A0-4086-40FA-A4C4-1DDF6233DAA5}" type="presOf" srcId="{EFC02D12-1925-4B58-9B9F-810769793B1A}" destId="{CD0DDD5F-3278-49B3-BBB6-0CE5553D31EE}" srcOrd="0" destOrd="0" presId="urn:microsoft.com/office/officeart/2005/8/layout/orgChart1#1"/>
    <dgm:cxn modelId="{71B7285C-40E8-4B33-93EB-45FB2F9D0CEB}" type="presOf" srcId="{E3009AE6-F897-4388-A465-5AD6EB7A4AFF}" destId="{F8816F19-169A-478D-AA39-565B73841ACB}" srcOrd="0" destOrd="0" presId="urn:microsoft.com/office/officeart/2005/8/layout/orgChart1#1"/>
    <dgm:cxn modelId="{B402439E-7025-4A1A-A88E-CFCF243C2050}" srcId="{E9F659AD-DCC6-4A43-B5B1-1546D5DD2E81}" destId="{F3715784-B1FD-4D9F-9F19-BCCA707464DC}" srcOrd="4" destOrd="0" parTransId="{2B0D4A10-98CD-4F3E-B66A-8B43160E21FB}" sibTransId="{1DC1F933-FFE4-487A-9B4D-21F944284FBC}"/>
    <dgm:cxn modelId="{C1408F8A-92D2-4615-84E5-C46F2AF8E76E}" type="presOf" srcId="{EFC02D12-1925-4B58-9B9F-810769793B1A}" destId="{2E32FAA0-60DD-44FF-82B9-90307600DAA7}" srcOrd="1" destOrd="0" presId="urn:microsoft.com/office/officeart/2005/8/layout/orgChart1#1"/>
    <dgm:cxn modelId="{6C0C6598-32F9-430E-9F5C-79517B071E8C}" type="presParOf" srcId="{F8816F19-169A-478D-AA39-565B73841ACB}" destId="{5FF8EF68-428E-4CF9-B964-04C01E6BEC52}" srcOrd="0" destOrd="0" presId="urn:microsoft.com/office/officeart/2005/8/layout/orgChart1#1"/>
    <dgm:cxn modelId="{CA9B6EB9-7121-4D59-94BB-DE3A0D491528}" type="presParOf" srcId="{5FF8EF68-428E-4CF9-B964-04C01E6BEC52}" destId="{D1DA693C-3F57-43A9-96A3-E223F6ECAC57}" srcOrd="0" destOrd="0" presId="urn:microsoft.com/office/officeart/2005/8/layout/orgChart1#1"/>
    <dgm:cxn modelId="{5F6885B1-1FBF-43D2-9D4B-326924B38587}" type="presParOf" srcId="{D1DA693C-3F57-43A9-96A3-E223F6ECAC57}" destId="{5BD1E2E9-23C2-447E-917B-A39EB7E6FFCA}" srcOrd="0" destOrd="0" presId="urn:microsoft.com/office/officeart/2005/8/layout/orgChart1#1"/>
    <dgm:cxn modelId="{9094A724-CDAC-4DD0-8762-EAB334C5EB27}" type="presParOf" srcId="{D1DA693C-3F57-43A9-96A3-E223F6ECAC57}" destId="{92DAAA56-B14F-4AAE-AC1D-4A1AEF1ADC4D}" srcOrd="1" destOrd="0" presId="urn:microsoft.com/office/officeart/2005/8/layout/orgChart1#1"/>
    <dgm:cxn modelId="{5C8403E1-EA0B-40B6-B188-7ED47011F247}" type="presParOf" srcId="{5FF8EF68-428E-4CF9-B964-04C01E6BEC52}" destId="{3E0686E9-8E78-4F6D-85D0-1AEF912FFD15}" srcOrd="1" destOrd="0" presId="urn:microsoft.com/office/officeart/2005/8/layout/orgChart1#1"/>
    <dgm:cxn modelId="{5A4056C9-815A-4A11-A584-24236EDC88D5}" type="presParOf" srcId="{3E0686E9-8E78-4F6D-85D0-1AEF912FFD15}" destId="{163C6CFE-613C-458E-BF4E-58B39ED156C8}" srcOrd="0" destOrd="0" presId="urn:microsoft.com/office/officeart/2005/8/layout/orgChart1#1"/>
    <dgm:cxn modelId="{B6916B28-6E9C-40C6-862F-38A93EAC397C}" type="presParOf" srcId="{3E0686E9-8E78-4F6D-85D0-1AEF912FFD15}" destId="{5E9EB5DC-E0C6-4460-AE70-C0E243895540}" srcOrd="1" destOrd="0" presId="urn:microsoft.com/office/officeart/2005/8/layout/orgChart1#1"/>
    <dgm:cxn modelId="{0E358F14-CD0B-4169-BF19-D5A97D2AD47D}" type="presParOf" srcId="{5E9EB5DC-E0C6-4460-AE70-C0E243895540}" destId="{5930777C-D60E-42FB-AEF2-90CCFE5A2E5B}" srcOrd="0" destOrd="0" presId="urn:microsoft.com/office/officeart/2005/8/layout/orgChart1#1"/>
    <dgm:cxn modelId="{F50DAB7E-6C52-4219-9DE2-FF81FEDB16BF}" type="presParOf" srcId="{5930777C-D60E-42FB-AEF2-90CCFE5A2E5B}" destId="{8947E530-1EA4-43CF-9FA1-1D087F55ABBD}" srcOrd="0" destOrd="0" presId="urn:microsoft.com/office/officeart/2005/8/layout/orgChart1#1"/>
    <dgm:cxn modelId="{29E95A26-6F01-4FE5-81E4-8A2FA2F7A0F2}" type="presParOf" srcId="{5930777C-D60E-42FB-AEF2-90CCFE5A2E5B}" destId="{C9FE7C95-AE15-4815-9FF2-A9BD87C5D906}" srcOrd="1" destOrd="0" presId="urn:microsoft.com/office/officeart/2005/8/layout/orgChart1#1"/>
    <dgm:cxn modelId="{5BFE80C4-9913-46E6-AB1F-2FBE029F7403}" type="presParOf" srcId="{5E9EB5DC-E0C6-4460-AE70-C0E243895540}" destId="{99733FA3-563E-4D3D-8ADF-856A389E2F3B}" srcOrd="1" destOrd="0" presId="urn:microsoft.com/office/officeart/2005/8/layout/orgChart1#1"/>
    <dgm:cxn modelId="{7844CE4E-DB5F-43B6-AF9E-5197B9CFEB00}" type="presParOf" srcId="{5E9EB5DC-E0C6-4460-AE70-C0E243895540}" destId="{FAB9C140-576B-49B9-9D93-2BE051B61978}" srcOrd="2" destOrd="0" presId="urn:microsoft.com/office/officeart/2005/8/layout/orgChart1#1"/>
    <dgm:cxn modelId="{D2DC3B5C-F6D1-478E-A978-FB19A48270C4}" type="presParOf" srcId="{3E0686E9-8E78-4F6D-85D0-1AEF912FFD15}" destId="{F5FE7652-46AE-4458-A6D4-46EFD0A9E153}" srcOrd="2" destOrd="0" presId="urn:microsoft.com/office/officeart/2005/8/layout/orgChart1#1"/>
    <dgm:cxn modelId="{C69FC960-19B9-49E3-99D5-5EADFBEF4BA0}" type="presParOf" srcId="{3E0686E9-8E78-4F6D-85D0-1AEF912FFD15}" destId="{CF405E1B-523C-4800-AD1E-0A3C6C6693BA}" srcOrd="3" destOrd="0" presId="urn:microsoft.com/office/officeart/2005/8/layout/orgChart1#1"/>
    <dgm:cxn modelId="{793F7FD3-D7EB-4801-B8EB-00FB61096326}" type="presParOf" srcId="{CF405E1B-523C-4800-AD1E-0A3C6C6693BA}" destId="{05A4D3DF-5E95-47FF-BC61-613C2D504EF3}" srcOrd="0" destOrd="0" presId="urn:microsoft.com/office/officeart/2005/8/layout/orgChart1#1"/>
    <dgm:cxn modelId="{BA8A54E1-1F3B-4B40-B568-072F0A51BCD9}" type="presParOf" srcId="{05A4D3DF-5E95-47FF-BC61-613C2D504EF3}" destId="{93C050DA-985E-48A8-BFC8-66AA41343CA3}" srcOrd="0" destOrd="0" presId="urn:microsoft.com/office/officeart/2005/8/layout/orgChart1#1"/>
    <dgm:cxn modelId="{564548DF-7879-4F9A-94E2-A8BACA9914C0}" type="presParOf" srcId="{05A4D3DF-5E95-47FF-BC61-613C2D504EF3}" destId="{DA8582A8-45CC-43CD-BB11-7F48E92F7F8F}" srcOrd="1" destOrd="0" presId="urn:microsoft.com/office/officeart/2005/8/layout/orgChart1#1"/>
    <dgm:cxn modelId="{A0F5D7F5-9177-41EA-A460-E53DEB7EA454}" type="presParOf" srcId="{CF405E1B-523C-4800-AD1E-0A3C6C6693BA}" destId="{A8FA82E2-433E-4AEE-9BF8-1474046CE119}" srcOrd="1" destOrd="0" presId="urn:microsoft.com/office/officeart/2005/8/layout/orgChart1#1"/>
    <dgm:cxn modelId="{1E81F191-EF7B-4F84-8E66-E25230DB85E4}" type="presParOf" srcId="{CF405E1B-523C-4800-AD1E-0A3C6C6693BA}" destId="{C1C1DF78-964D-43BA-B3E7-25D77866C90B}" srcOrd="2" destOrd="0" presId="urn:microsoft.com/office/officeart/2005/8/layout/orgChart1#1"/>
    <dgm:cxn modelId="{AC2EAB13-75C3-44F0-82E4-AA19A6F5CAC1}" type="presParOf" srcId="{3E0686E9-8E78-4F6D-85D0-1AEF912FFD15}" destId="{EA048FAD-3079-4A49-BA12-689F64AA9945}" srcOrd="4" destOrd="0" presId="urn:microsoft.com/office/officeart/2005/8/layout/orgChart1#1"/>
    <dgm:cxn modelId="{C4F338B0-AAE9-43D5-89EB-14D490387A8B}" type="presParOf" srcId="{3E0686E9-8E78-4F6D-85D0-1AEF912FFD15}" destId="{8BA1C3AD-E33B-4C95-AFAA-671FCFB066FF}" srcOrd="5" destOrd="0" presId="urn:microsoft.com/office/officeart/2005/8/layout/orgChart1#1"/>
    <dgm:cxn modelId="{A5C6B8A7-7F86-4C71-8AF1-BE94A3A3D6A4}" type="presParOf" srcId="{8BA1C3AD-E33B-4C95-AFAA-671FCFB066FF}" destId="{5AFA4388-9CD7-438A-9E1E-BED5BA253161}" srcOrd="0" destOrd="0" presId="urn:microsoft.com/office/officeart/2005/8/layout/orgChart1#1"/>
    <dgm:cxn modelId="{7660E0C0-B249-4E30-9147-AE06358E9820}" type="presParOf" srcId="{5AFA4388-9CD7-438A-9E1E-BED5BA253161}" destId="{CD0DDD5F-3278-49B3-BBB6-0CE5553D31EE}" srcOrd="0" destOrd="0" presId="urn:microsoft.com/office/officeart/2005/8/layout/orgChart1#1"/>
    <dgm:cxn modelId="{C63CBD3F-70DC-4467-9A09-47A7CC9BBB63}" type="presParOf" srcId="{5AFA4388-9CD7-438A-9E1E-BED5BA253161}" destId="{2E32FAA0-60DD-44FF-82B9-90307600DAA7}" srcOrd="1" destOrd="0" presId="urn:microsoft.com/office/officeart/2005/8/layout/orgChart1#1"/>
    <dgm:cxn modelId="{A7E4F45B-6A1A-4AD2-B3E8-EF6684136764}" type="presParOf" srcId="{8BA1C3AD-E33B-4C95-AFAA-671FCFB066FF}" destId="{92D2C011-0A33-4B70-9611-DA152BE2E6AA}" srcOrd="1" destOrd="0" presId="urn:microsoft.com/office/officeart/2005/8/layout/orgChart1#1"/>
    <dgm:cxn modelId="{13DF29CE-9AD6-4AA5-B69D-2932DA3EEDDC}" type="presParOf" srcId="{8BA1C3AD-E33B-4C95-AFAA-671FCFB066FF}" destId="{673B3826-B3CD-4E01-A5A7-F1F2456F3D71}" srcOrd="2" destOrd="0" presId="urn:microsoft.com/office/officeart/2005/8/layout/orgChart1#1"/>
    <dgm:cxn modelId="{0B7F5EFB-09B2-4E4A-B147-479FA23CBEC4}" type="presParOf" srcId="{3E0686E9-8E78-4F6D-85D0-1AEF912FFD15}" destId="{BE05C788-0765-463D-93CE-8BE57E038E89}" srcOrd="6" destOrd="0" presId="urn:microsoft.com/office/officeart/2005/8/layout/orgChart1#1"/>
    <dgm:cxn modelId="{4B1173AA-1355-4BB4-B679-6CF2A9A15AA2}" type="presParOf" srcId="{3E0686E9-8E78-4F6D-85D0-1AEF912FFD15}" destId="{6FC4FCDA-EADD-433A-A954-FEA0742B2A85}" srcOrd="7" destOrd="0" presId="urn:microsoft.com/office/officeart/2005/8/layout/orgChart1#1"/>
    <dgm:cxn modelId="{F305D126-5240-4320-A14C-41EFDCF2BC71}" type="presParOf" srcId="{6FC4FCDA-EADD-433A-A954-FEA0742B2A85}" destId="{2CE9FB97-DF19-4F08-9B8C-341554463C95}" srcOrd="0" destOrd="0" presId="urn:microsoft.com/office/officeart/2005/8/layout/orgChart1#1"/>
    <dgm:cxn modelId="{36268634-7D70-425A-A8A3-42CF537221BB}" type="presParOf" srcId="{2CE9FB97-DF19-4F08-9B8C-341554463C95}" destId="{35E403AC-97EA-44A2-8D17-CDECDC5B58C4}" srcOrd="0" destOrd="0" presId="urn:microsoft.com/office/officeart/2005/8/layout/orgChart1#1"/>
    <dgm:cxn modelId="{00A1D366-F5DF-4829-AAA6-41D12561BEDC}" type="presParOf" srcId="{2CE9FB97-DF19-4F08-9B8C-341554463C95}" destId="{C039427C-63C9-4507-9E0F-9389015E8AF8}" srcOrd="1" destOrd="0" presId="urn:microsoft.com/office/officeart/2005/8/layout/orgChart1#1"/>
    <dgm:cxn modelId="{AB38D5FE-FD87-4229-BB57-C0DC9D61576D}" type="presParOf" srcId="{6FC4FCDA-EADD-433A-A954-FEA0742B2A85}" destId="{6D93EC7F-A459-4CF4-A6B3-B2A869AE1F8B}" srcOrd="1" destOrd="0" presId="urn:microsoft.com/office/officeart/2005/8/layout/orgChart1#1"/>
    <dgm:cxn modelId="{C9FF8CDC-A7E4-4633-BA83-147BBA077CD6}" type="presParOf" srcId="{6FC4FCDA-EADD-433A-A954-FEA0742B2A85}" destId="{1BB5099B-5EA6-46D7-B384-964F9114F3D3}" srcOrd="2" destOrd="0" presId="urn:microsoft.com/office/officeart/2005/8/layout/orgChart1#1"/>
    <dgm:cxn modelId="{E83591E0-934A-4983-AEA1-0708C3AA145E}" type="presParOf" srcId="{3E0686E9-8E78-4F6D-85D0-1AEF912FFD15}" destId="{B81B0E19-CFC1-479B-AA42-92D00D8A6297}" srcOrd="8" destOrd="0" presId="urn:microsoft.com/office/officeart/2005/8/layout/orgChart1#1"/>
    <dgm:cxn modelId="{7CBEEB11-0C35-4668-8F4F-8912C6D5AAA0}" type="presParOf" srcId="{3E0686E9-8E78-4F6D-85D0-1AEF912FFD15}" destId="{C024B1A2-A014-4743-BDE2-9CC3E669EFA3}" srcOrd="9" destOrd="0" presId="urn:microsoft.com/office/officeart/2005/8/layout/orgChart1#1"/>
    <dgm:cxn modelId="{5C75BD39-14FC-482D-8881-7A3EE7A27F26}" type="presParOf" srcId="{C024B1A2-A014-4743-BDE2-9CC3E669EFA3}" destId="{021E1BCB-0B4C-444E-B88C-C38280167E5C}" srcOrd="0" destOrd="0" presId="urn:microsoft.com/office/officeart/2005/8/layout/orgChart1#1"/>
    <dgm:cxn modelId="{582B6757-8E90-4612-846E-6BF640C4E405}" type="presParOf" srcId="{021E1BCB-0B4C-444E-B88C-C38280167E5C}" destId="{4F8271BD-5CC2-4206-BD5C-D079B40D6837}" srcOrd="0" destOrd="0" presId="urn:microsoft.com/office/officeart/2005/8/layout/orgChart1#1"/>
    <dgm:cxn modelId="{DB396A6E-0B54-4CA4-9D23-D537AE3A246E}" type="presParOf" srcId="{021E1BCB-0B4C-444E-B88C-C38280167E5C}" destId="{7810CEFF-AA55-4846-A1F1-7A3E806CDF9D}" srcOrd="1" destOrd="0" presId="urn:microsoft.com/office/officeart/2005/8/layout/orgChart1#1"/>
    <dgm:cxn modelId="{0C8C0710-FE90-425C-A810-B432E26B85FC}" type="presParOf" srcId="{C024B1A2-A014-4743-BDE2-9CC3E669EFA3}" destId="{DDD9656D-3624-4C04-A477-FA1FDA0C11B9}" srcOrd="1" destOrd="0" presId="urn:microsoft.com/office/officeart/2005/8/layout/orgChart1#1"/>
    <dgm:cxn modelId="{3DE724C0-E038-4CD4-8CFB-242BA8E854A4}" type="presParOf" srcId="{C024B1A2-A014-4743-BDE2-9CC3E669EFA3}" destId="{C8CCC8D3-62B1-4864-931B-4A1F5A2545F4}" srcOrd="2" destOrd="0" presId="urn:microsoft.com/office/officeart/2005/8/layout/orgChart1#1"/>
    <dgm:cxn modelId="{392E3683-4DB0-4097-BB0E-847D9EA1D907}" type="presParOf" srcId="{5FF8EF68-428E-4CF9-B964-04C01E6BEC52}" destId="{3CEF3410-B0E4-4B4E-950A-A4D5A02609FB}"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1B0E19-CFC1-479B-AA42-92D00D8A6297}">
      <dsp:nvSpPr>
        <dsp:cNvPr id="0" name=""/>
        <dsp:cNvSpPr/>
      </dsp:nvSpPr>
      <dsp:spPr>
        <a:xfrm>
          <a:off x="2820670" y="813406"/>
          <a:ext cx="2362128" cy="208606"/>
        </a:xfrm>
        <a:custGeom>
          <a:avLst/>
          <a:gdLst/>
          <a:ahLst/>
          <a:cxnLst/>
          <a:rect l="0" t="0" r="0" b="0"/>
          <a:pathLst>
            <a:path>
              <a:moveTo>
                <a:pt x="0" y="0"/>
              </a:moveTo>
              <a:lnTo>
                <a:pt x="0" y="104303"/>
              </a:lnTo>
              <a:lnTo>
                <a:pt x="2362128" y="104303"/>
              </a:lnTo>
              <a:lnTo>
                <a:pt x="2362128" y="208606"/>
              </a:lnTo>
            </a:path>
          </a:pathLst>
        </a:custGeom>
        <a:noFill/>
        <a:ln w="25400" cap="flat" cmpd="sng" algn="ctr">
          <a:solidFill>
            <a:srgbClr val="3D669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05C788-0765-463D-93CE-8BE57E038E89}">
      <dsp:nvSpPr>
        <dsp:cNvPr id="0" name=""/>
        <dsp:cNvSpPr/>
      </dsp:nvSpPr>
      <dsp:spPr>
        <a:xfrm>
          <a:off x="2820670" y="813406"/>
          <a:ext cx="1242881" cy="208606"/>
        </a:xfrm>
        <a:custGeom>
          <a:avLst/>
          <a:gdLst/>
          <a:ahLst/>
          <a:cxnLst/>
          <a:rect l="0" t="0" r="0" b="0"/>
          <a:pathLst>
            <a:path>
              <a:moveTo>
                <a:pt x="0" y="0"/>
              </a:moveTo>
              <a:lnTo>
                <a:pt x="0" y="104303"/>
              </a:lnTo>
              <a:lnTo>
                <a:pt x="1242881" y="104303"/>
              </a:lnTo>
              <a:lnTo>
                <a:pt x="1242881" y="20860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048FAD-3079-4A49-BA12-689F64AA9945}">
      <dsp:nvSpPr>
        <dsp:cNvPr id="0" name=""/>
        <dsp:cNvSpPr/>
      </dsp:nvSpPr>
      <dsp:spPr>
        <a:xfrm>
          <a:off x="2774950" y="813406"/>
          <a:ext cx="91440" cy="208606"/>
        </a:xfrm>
        <a:custGeom>
          <a:avLst/>
          <a:gdLst/>
          <a:ahLst/>
          <a:cxnLst/>
          <a:rect l="0" t="0" r="0" b="0"/>
          <a:pathLst>
            <a:path>
              <a:moveTo>
                <a:pt x="45720" y="0"/>
              </a:moveTo>
              <a:lnTo>
                <a:pt x="45720" y="104303"/>
              </a:lnTo>
              <a:lnTo>
                <a:pt x="128442" y="104303"/>
              </a:lnTo>
              <a:lnTo>
                <a:pt x="128442" y="20860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FE7652-46AE-4458-A6D4-46EFD0A9E153}">
      <dsp:nvSpPr>
        <dsp:cNvPr id="0" name=""/>
        <dsp:cNvSpPr/>
      </dsp:nvSpPr>
      <dsp:spPr>
        <a:xfrm>
          <a:off x="1701422" y="813406"/>
          <a:ext cx="1119247" cy="208606"/>
        </a:xfrm>
        <a:custGeom>
          <a:avLst/>
          <a:gdLst/>
          <a:ahLst/>
          <a:cxnLst/>
          <a:rect l="0" t="0" r="0" b="0"/>
          <a:pathLst>
            <a:path>
              <a:moveTo>
                <a:pt x="1119247" y="0"/>
              </a:moveTo>
              <a:lnTo>
                <a:pt x="1119247" y="104303"/>
              </a:lnTo>
              <a:lnTo>
                <a:pt x="0" y="104303"/>
              </a:lnTo>
              <a:lnTo>
                <a:pt x="0" y="20860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3C6CFE-613C-458E-BF4E-58B39ED156C8}">
      <dsp:nvSpPr>
        <dsp:cNvPr id="0" name=""/>
        <dsp:cNvSpPr/>
      </dsp:nvSpPr>
      <dsp:spPr>
        <a:xfrm>
          <a:off x="499452" y="813406"/>
          <a:ext cx="2321217" cy="208606"/>
        </a:xfrm>
        <a:custGeom>
          <a:avLst/>
          <a:gdLst/>
          <a:ahLst/>
          <a:cxnLst/>
          <a:rect l="0" t="0" r="0" b="0"/>
          <a:pathLst>
            <a:path>
              <a:moveTo>
                <a:pt x="2321217" y="0"/>
              </a:moveTo>
              <a:lnTo>
                <a:pt x="2321217" y="104303"/>
              </a:lnTo>
              <a:lnTo>
                <a:pt x="0" y="104303"/>
              </a:lnTo>
              <a:lnTo>
                <a:pt x="0" y="20860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D1E2E9-23C2-447E-917B-A39EB7E6FFCA}">
      <dsp:nvSpPr>
        <dsp:cNvPr id="0" name=""/>
        <dsp:cNvSpPr/>
      </dsp:nvSpPr>
      <dsp:spPr>
        <a:xfrm>
          <a:off x="2323988" y="316724"/>
          <a:ext cx="993363" cy="4966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FFFFFF"/>
              </a:solidFill>
              <a:latin typeface="Calibri" panose="020F0502020204030204"/>
              <a:ea typeface="宋体" panose="02010600030101010101" charset="-122"/>
              <a:cs typeface="+mn-cs"/>
            </a:rPr>
            <a:t>综合管理</a:t>
          </a:r>
        </a:p>
      </dsp:txBody>
      <dsp:txXfrm>
        <a:off x="2323988" y="316724"/>
        <a:ext cx="993363" cy="496681"/>
      </dsp:txXfrm>
    </dsp:sp>
    <dsp:sp modelId="{8947E530-1EA4-43CF-9FA1-1D087F55ABBD}">
      <dsp:nvSpPr>
        <dsp:cNvPr id="0" name=""/>
        <dsp:cNvSpPr/>
      </dsp:nvSpPr>
      <dsp:spPr>
        <a:xfrm>
          <a:off x="2771" y="1022012"/>
          <a:ext cx="993363" cy="101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FFFFFF"/>
              </a:solidFill>
              <a:latin typeface="Calibri" panose="020F0502020204030204"/>
              <a:ea typeface="宋体" panose="02010600030101010101" charset="-122"/>
              <a:cs typeface="+mn-cs"/>
            </a:rPr>
            <a:t>会务服务</a:t>
          </a:r>
        </a:p>
      </dsp:txBody>
      <dsp:txXfrm>
        <a:off x="2771" y="1022012"/>
        <a:ext cx="993363" cy="1010672"/>
      </dsp:txXfrm>
    </dsp:sp>
    <dsp:sp modelId="{93C050DA-985E-48A8-BFC8-66AA41343CA3}">
      <dsp:nvSpPr>
        <dsp:cNvPr id="0" name=""/>
        <dsp:cNvSpPr/>
      </dsp:nvSpPr>
      <dsp:spPr>
        <a:xfrm>
          <a:off x="1204740" y="1022012"/>
          <a:ext cx="993363" cy="10285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FFFFFF"/>
              </a:solidFill>
              <a:latin typeface="Calibri" panose="020F0502020204030204"/>
              <a:ea typeface="宋体" panose="02010600030101010101" charset="-122"/>
              <a:cs typeface="+mn-cs"/>
            </a:rPr>
            <a:t>展陈服务</a:t>
          </a:r>
        </a:p>
      </dsp:txBody>
      <dsp:txXfrm>
        <a:off x="1204740" y="1022012"/>
        <a:ext cx="993363" cy="1028543"/>
      </dsp:txXfrm>
    </dsp:sp>
    <dsp:sp modelId="{CD0DDD5F-3278-49B3-BBB6-0CE5553D31EE}">
      <dsp:nvSpPr>
        <dsp:cNvPr id="0" name=""/>
        <dsp:cNvSpPr/>
      </dsp:nvSpPr>
      <dsp:spPr>
        <a:xfrm>
          <a:off x="2406710" y="1022012"/>
          <a:ext cx="993363" cy="101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FFFFFF"/>
              </a:solidFill>
              <a:latin typeface="Calibri" panose="020F0502020204030204"/>
              <a:ea typeface="宋体" panose="02010600030101010101" charset="-122"/>
              <a:cs typeface="+mn-cs"/>
            </a:rPr>
            <a:t>设备设施</a:t>
          </a:r>
          <a:endParaRPr lang="en-US" altLang="zh-CN" sz="1200"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kern="1200">
              <a:solidFill>
                <a:sysClr val="window" lastClr="FFFFFF"/>
              </a:solidFill>
              <a:latin typeface="Calibri" panose="020F0502020204030204"/>
              <a:ea typeface="宋体" panose="02010600030101010101" charset="-122"/>
              <a:cs typeface="+mn-cs"/>
            </a:rPr>
            <a:t>服务</a:t>
          </a:r>
        </a:p>
      </dsp:txBody>
      <dsp:txXfrm>
        <a:off x="2406710" y="1022012"/>
        <a:ext cx="993363" cy="1010672"/>
      </dsp:txXfrm>
    </dsp:sp>
    <dsp:sp modelId="{35E403AC-97EA-44A2-8D17-CDECDC5B58C4}">
      <dsp:nvSpPr>
        <dsp:cNvPr id="0" name=""/>
        <dsp:cNvSpPr/>
      </dsp:nvSpPr>
      <dsp:spPr>
        <a:xfrm>
          <a:off x="3608680" y="1022012"/>
          <a:ext cx="909742" cy="102853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altLang="en-US" sz="1200" kern="1200">
              <a:solidFill>
                <a:sysClr val="window" lastClr="FFFFFF"/>
              </a:solidFill>
              <a:latin typeface="Calibri" panose="020F0502020204030204"/>
              <a:ea typeface="宋体" panose="02010600030101010101" charset="-122"/>
              <a:cs typeface="+mn-cs"/>
            </a:rPr>
            <a:t>保安服务</a:t>
          </a:r>
          <a:endParaRPr lang="en-US" altLang="zh-CN" sz="1200" kern="1200">
            <a:solidFill>
              <a:sysClr val="window" lastClr="FFFFFF"/>
            </a:solidFill>
            <a:latin typeface="Calibri" panose="020F0502020204030204"/>
            <a:ea typeface="宋体" panose="02010600030101010101" charset="-122"/>
            <a:cs typeface="+mn-cs"/>
          </a:endParaRPr>
        </a:p>
      </dsp:txBody>
      <dsp:txXfrm>
        <a:off x="3608680" y="1022012"/>
        <a:ext cx="909742" cy="1028538"/>
      </dsp:txXfrm>
    </dsp:sp>
    <dsp:sp modelId="{4F8271BD-5CC2-4206-BD5C-D079B40D6837}">
      <dsp:nvSpPr>
        <dsp:cNvPr id="0" name=""/>
        <dsp:cNvSpPr/>
      </dsp:nvSpPr>
      <dsp:spPr>
        <a:xfrm>
          <a:off x="4727028" y="1022012"/>
          <a:ext cx="911540" cy="1026020"/>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 </a:t>
          </a:r>
          <a:r>
            <a:rPr lang="zh-CN" altLang="en-US" sz="1200" kern="1200">
              <a:latin typeface="宋体" panose="02010600030101010101" charset="-122"/>
              <a:ea typeface="宋体" panose="02010600030101010101" charset="-122"/>
            </a:rPr>
            <a:t>保洁服务</a:t>
          </a:r>
        </a:p>
      </dsp:txBody>
      <dsp:txXfrm>
        <a:off x="4727028" y="1022012"/>
        <a:ext cx="911540" cy="10260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11321</Words>
  <Characters>11436</Characters>
  <Application>Microsoft Office Word</Application>
  <DocSecurity>0</DocSecurity>
  <Lines>497</Lines>
  <Paragraphs>258</Paragraphs>
  <ScaleCrop>false</ScaleCrop>
  <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2023-12-01T08:07:00Z</dcterms:created>
  <dcterms:modified xsi:type="dcterms:W3CDTF">2023-12-01T08:07:00Z</dcterms:modified>
</cp:coreProperties>
</file>