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AC" w:rsidRDefault="006059AC" w:rsidP="006059AC">
      <w:pPr>
        <w:widowControl/>
        <w:adjustRightInd w:val="0"/>
        <w:snapToGrid w:val="0"/>
        <w:spacing w:line="300" w:lineRule="auto"/>
        <w:jc w:val="center"/>
        <w:outlineLvl w:val="0"/>
        <w:rPr>
          <w:rFonts w:ascii="Times New Roman" w:eastAsia="黑体" w:hAnsi="Times New Roman"/>
          <w:b/>
          <w:kern w:val="0"/>
          <w:sz w:val="30"/>
          <w:szCs w:val="30"/>
        </w:rPr>
      </w:pPr>
      <w:bookmarkStart w:id="0" w:name="_Toc202447537"/>
      <w:r w:rsidRPr="006059AC">
        <w:rPr>
          <w:rFonts w:ascii="Times New Roman" w:eastAsia="黑体" w:hAnsi="Times New Roman" w:hint="eastAsia"/>
          <w:b/>
          <w:kern w:val="0"/>
          <w:sz w:val="30"/>
          <w:szCs w:val="30"/>
        </w:rPr>
        <w:t>进口医疗器械智慧监管平台</w:t>
      </w:r>
      <w:r>
        <w:rPr>
          <w:rFonts w:ascii="Times New Roman" w:eastAsia="黑体" w:hAnsi="Times New Roman"/>
          <w:b/>
          <w:kern w:val="0"/>
          <w:sz w:val="30"/>
          <w:szCs w:val="30"/>
        </w:rPr>
        <w:t>项目招标需求</w:t>
      </w:r>
      <w:bookmarkEnd w:id="0"/>
    </w:p>
    <w:p w:rsidR="006059AC" w:rsidRDefault="006059AC" w:rsidP="006059AC">
      <w:pPr>
        <w:adjustRightInd w:val="0"/>
        <w:snapToGrid w:val="0"/>
        <w:spacing w:line="300" w:lineRule="auto"/>
        <w:jc w:val="center"/>
        <w:outlineLvl w:val="1"/>
        <w:rPr>
          <w:rFonts w:ascii="Times New Roman" w:eastAsia="黑体" w:hAnsi="Times New Roman"/>
          <w:sz w:val="30"/>
          <w:szCs w:val="30"/>
        </w:rPr>
      </w:pPr>
      <w:bookmarkStart w:id="1" w:name="_Toc202447538"/>
      <w:r>
        <w:rPr>
          <w:rFonts w:ascii="Times New Roman" w:eastAsia="黑体" w:hAnsi="Times New Roman"/>
          <w:sz w:val="30"/>
          <w:szCs w:val="30"/>
        </w:rPr>
        <w:t>一、说明</w:t>
      </w:r>
      <w:bookmarkEnd w:id="1"/>
    </w:p>
    <w:p w:rsidR="006059AC" w:rsidRDefault="006059AC" w:rsidP="006059AC">
      <w:pPr>
        <w:adjustRightInd w:val="0"/>
        <w:snapToGrid w:val="0"/>
        <w:spacing w:line="300" w:lineRule="auto"/>
        <w:ind w:firstLineChars="200" w:firstLine="442"/>
        <w:jc w:val="left"/>
        <w:outlineLvl w:val="2"/>
        <w:rPr>
          <w:rFonts w:ascii="Times New Roman" w:hAnsi="Times New Roman"/>
          <w:b/>
          <w:color w:val="000000"/>
          <w:sz w:val="22"/>
        </w:rPr>
      </w:pPr>
      <w:bookmarkStart w:id="2" w:name="_Toc202447539"/>
      <w:r>
        <w:rPr>
          <w:rFonts w:ascii="Times New Roman" w:hAnsi="Times New Roman"/>
          <w:b/>
          <w:color w:val="000000"/>
          <w:sz w:val="22"/>
        </w:rPr>
        <w:t xml:space="preserve">1 </w:t>
      </w:r>
      <w:r>
        <w:rPr>
          <w:rFonts w:ascii="Times New Roman" w:hAnsi="Times New Roman"/>
          <w:b/>
          <w:color w:val="000000"/>
          <w:sz w:val="22"/>
        </w:rPr>
        <w:t>总则</w:t>
      </w:r>
      <w:bookmarkEnd w:id="2"/>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1.1 </w:t>
      </w:r>
      <w:r>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1.2 </w:t>
      </w:r>
      <w:r>
        <w:rPr>
          <w:rFonts w:ascii="Times New Roman" w:hAnsi="Times New Roman"/>
          <w:sz w:val="22"/>
        </w:rPr>
        <w:t>投标人对所提供的服务应当享有合法的所有权，没有侵犯任何第三方的知识产权、技术秘密等权利，而且不存在任何抵押、留置、查封等产权瑕疵。</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1.3 </w:t>
      </w:r>
      <w:r>
        <w:rPr>
          <w:rFonts w:ascii="Times New Roman" w:hAnsi="Times New Roman"/>
          <w:sz w:val="22"/>
        </w:rPr>
        <w:t>投标人提供的服务应当符合招标文件的要求，并且其服务质量完全符合国家标准</w:t>
      </w:r>
      <w:r>
        <w:rPr>
          <w:rFonts w:ascii="Times New Roman" w:hAnsi="Times New Roman"/>
          <w:color w:val="000000"/>
          <w:sz w:val="22"/>
        </w:rPr>
        <w:t>和招标需求</w:t>
      </w:r>
      <w:r>
        <w:rPr>
          <w:rFonts w:ascii="Times New Roman" w:hAnsi="Times New Roman"/>
          <w:sz w:val="22"/>
        </w:rPr>
        <w:t>。</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1.4 </w:t>
      </w:r>
      <w:r>
        <w:rPr>
          <w:rFonts w:ascii="Times New Roman" w:hAnsi="Times New Roman"/>
          <w:sz w:val="22"/>
        </w:rPr>
        <w:t>投标人应如实准确地填写投标服务的技术参数等相关信息，因上述信息内容填写不完整、不准确，而导致投标文件被误读、漏读，由投标人自行负责，为此投标人需承担其投标文件在评标时被扣分甚至被认定为无效投标的风险。</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1.5</w:t>
      </w:r>
      <w:r>
        <w:rPr>
          <w:rFonts w:ascii="Times New Roman" w:hAnsi="Times New Roman"/>
          <w:sz w:val="22"/>
        </w:rPr>
        <w:t>采购人在技术需求或图片（如果有）中指出的标准以及参照的技术参数仅</w:t>
      </w:r>
      <w:proofErr w:type="gramStart"/>
      <w:r>
        <w:rPr>
          <w:rFonts w:ascii="Times New Roman" w:hAnsi="Times New Roman"/>
          <w:sz w:val="22"/>
        </w:rPr>
        <w:t>起说明</w:t>
      </w:r>
      <w:proofErr w:type="gramEnd"/>
      <w:r>
        <w:rPr>
          <w:rFonts w:ascii="Times New Roman" w:hAnsi="Times New Roman"/>
          <w:sz w:val="22"/>
        </w:rPr>
        <w:t>作用，并没有任何限制性和排他性，投标人在投标中可以选用其他替代标准、技术参数，但这些替代要在不影响功能实现的前提下，并在可接受范围内接受偏离。</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1.6</w:t>
      </w:r>
      <w:r>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1.7</w:t>
      </w:r>
      <w:r>
        <w:rPr>
          <w:rFonts w:ascii="Times New Roman" w:hAnsi="Times New Roman"/>
          <w:sz w:val="22"/>
        </w:rPr>
        <w:t>投标人应根据本章节中详细技术参数要求，按照要求提供定制服务参加竞标。同时，</w:t>
      </w:r>
      <w:r>
        <w:rPr>
          <w:rFonts w:ascii="Times New Roman" w:hAnsi="Times New Roman"/>
          <w:b/>
          <w:color w:val="000000"/>
          <w:sz w:val="22"/>
        </w:rPr>
        <w:t>请投标人务必注意：无论是正偏离还是负偏离，都不得与招标要求相差太大，否则将可能影响投标人的得分</w:t>
      </w:r>
      <w:r>
        <w:rPr>
          <w:rFonts w:ascii="Times New Roman" w:hAnsi="Times New Roman"/>
          <w:sz w:val="22"/>
        </w:rPr>
        <w:t>。一旦中标，投标人应按投标文件的承诺签订合同并提供相应的服务。</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1.8</w:t>
      </w:r>
      <w:r>
        <w:rPr>
          <w:rFonts w:ascii="Times New Roman" w:hAnsi="Times New Roman"/>
          <w:color w:val="000000"/>
          <w:sz w:val="22"/>
        </w:rPr>
        <w:t>采购人委托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1.9</w:t>
      </w:r>
      <w:r>
        <w:rPr>
          <w:rFonts w:ascii="Times New Roman" w:hAnsi="Times New Roman" w:hint="eastAsia"/>
          <w:sz w:val="22"/>
        </w:rPr>
        <w:t>投标人认为招标文件（包括招标补充文</w:t>
      </w:r>
      <w:r>
        <w:rPr>
          <w:rFonts w:ascii="Times New Roman" w:hAnsi="Times New Roman" w:hint="eastAsia"/>
          <w:color w:val="000000"/>
          <w:sz w:val="22"/>
        </w:rPr>
        <w:t>件）存在排他性或歧视性条款，自收到招标文件之日或者招标文件公告期限届满之日起</w:t>
      </w:r>
      <w:r>
        <w:rPr>
          <w:rFonts w:ascii="Times New Roman" w:hAnsi="Times New Roman"/>
          <w:color w:val="000000"/>
          <w:sz w:val="22"/>
        </w:rPr>
        <w:t>10</w:t>
      </w:r>
      <w:r>
        <w:rPr>
          <w:rFonts w:ascii="Times New Roman" w:hAnsi="Times New Roman"/>
          <w:color w:val="000000"/>
          <w:sz w:val="22"/>
        </w:rPr>
        <w:t>日内</w:t>
      </w:r>
      <w:r>
        <w:rPr>
          <w:rFonts w:ascii="Times New Roman" w:hAnsi="Times New Roman" w:hint="eastAsia"/>
          <w:color w:val="000000"/>
          <w:sz w:val="22"/>
        </w:rPr>
        <w:t>，以书面形式提</w:t>
      </w:r>
      <w:r>
        <w:rPr>
          <w:rFonts w:ascii="Times New Roman" w:hAnsi="Times New Roman" w:hint="eastAsia"/>
          <w:sz w:val="22"/>
        </w:rPr>
        <w:t>出，并附相关证据。</w:t>
      </w:r>
    </w:p>
    <w:p w:rsidR="006059AC" w:rsidRDefault="006059AC" w:rsidP="006059AC">
      <w:pPr>
        <w:snapToGrid w:val="0"/>
        <w:ind w:firstLineChars="200" w:firstLine="440"/>
        <w:jc w:val="left"/>
        <w:rPr>
          <w:color w:val="FF0000"/>
          <w:sz w:val="22"/>
        </w:rPr>
      </w:pPr>
      <w:r>
        <w:rPr>
          <w:rFonts w:ascii="宋体" w:hAnsi="宋体" w:cs="宋体" w:hint="eastAsia"/>
          <w:color w:val="FF0000"/>
          <w:sz w:val="22"/>
        </w:rPr>
        <w:t>★</w:t>
      </w:r>
      <w:r>
        <w:rPr>
          <w:rFonts w:ascii="Times New Roman" w:hAnsi="Times New Roman"/>
          <w:sz w:val="22"/>
        </w:rPr>
        <w:t>1.</w:t>
      </w:r>
      <w:r>
        <w:rPr>
          <w:rFonts w:ascii="Times New Roman" w:hAnsi="Times New Roman" w:hint="eastAsia"/>
          <w:sz w:val="22"/>
        </w:rPr>
        <w:t>10</w:t>
      </w:r>
      <w:r>
        <w:rPr>
          <w:rFonts w:hint="eastAsia"/>
          <w:color w:val="FF0000"/>
          <w:sz w:val="22"/>
        </w:rPr>
        <w:t>投标人提供的服务必须符合国家强制性标准。</w:t>
      </w:r>
    </w:p>
    <w:p w:rsidR="006059AC" w:rsidRDefault="006059AC" w:rsidP="006059AC">
      <w:pPr>
        <w:adjustRightInd w:val="0"/>
        <w:snapToGrid w:val="0"/>
        <w:spacing w:line="300" w:lineRule="auto"/>
        <w:ind w:firstLineChars="200" w:firstLine="442"/>
        <w:jc w:val="left"/>
        <w:rPr>
          <w:rFonts w:ascii="Times New Roman" w:hAnsi="Times New Roman"/>
          <w:b/>
          <w:color w:val="000000"/>
          <w:sz w:val="22"/>
        </w:rPr>
      </w:pPr>
    </w:p>
    <w:p w:rsidR="006059AC" w:rsidRDefault="006059AC" w:rsidP="006059AC">
      <w:pPr>
        <w:adjustRightInd w:val="0"/>
        <w:snapToGrid w:val="0"/>
        <w:spacing w:line="300" w:lineRule="auto"/>
        <w:jc w:val="center"/>
        <w:outlineLvl w:val="1"/>
        <w:rPr>
          <w:rFonts w:ascii="Times New Roman" w:eastAsia="黑体" w:hAnsi="Times New Roman"/>
          <w:sz w:val="30"/>
          <w:szCs w:val="30"/>
        </w:rPr>
      </w:pPr>
      <w:bookmarkStart w:id="3" w:name="_Toc202447540"/>
      <w:r>
        <w:rPr>
          <w:rFonts w:ascii="Times New Roman" w:eastAsia="黑体" w:hAnsi="Times New Roman"/>
          <w:sz w:val="30"/>
          <w:szCs w:val="30"/>
        </w:rPr>
        <w:t>二、项目概况</w:t>
      </w:r>
      <w:bookmarkEnd w:id="3"/>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4" w:name="_Toc202447541"/>
      <w:r>
        <w:rPr>
          <w:rFonts w:ascii="Times New Roman" w:hAnsi="Times New Roman"/>
          <w:b/>
          <w:bCs/>
          <w:sz w:val="22"/>
        </w:rPr>
        <w:t>2</w:t>
      </w:r>
      <w:r>
        <w:rPr>
          <w:rFonts w:ascii="Times New Roman" w:hAnsi="Times New Roman"/>
          <w:b/>
          <w:bCs/>
          <w:sz w:val="22"/>
        </w:rPr>
        <w:t>项目名称</w:t>
      </w:r>
      <w:bookmarkEnd w:id="4"/>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进口医疗器械智慧监管平台</w:t>
      </w:r>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5" w:name="_Toc202447542"/>
      <w:r>
        <w:rPr>
          <w:rFonts w:ascii="Times New Roman" w:hAnsi="Times New Roman"/>
          <w:b/>
          <w:bCs/>
          <w:sz w:val="22"/>
        </w:rPr>
        <w:t>3</w:t>
      </w:r>
      <w:r>
        <w:rPr>
          <w:rFonts w:ascii="Times New Roman" w:hAnsi="Times New Roman"/>
          <w:b/>
          <w:bCs/>
          <w:sz w:val="22"/>
        </w:rPr>
        <w:t>项目地点</w:t>
      </w:r>
      <w:bookmarkEnd w:id="5"/>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中国（上海）自由贸易试验区保税区域</w:t>
      </w:r>
    </w:p>
    <w:p w:rsidR="006059AC" w:rsidRDefault="006059AC" w:rsidP="006059AC">
      <w:pPr>
        <w:adjustRightInd w:val="0"/>
        <w:snapToGrid w:val="0"/>
        <w:spacing w:line="300" w:lineRule="auto"/>
        <w:ind w:firstLineChars="200" w:firstLine="442"/>
        <w:jc w:val="left"/>
        <w:outlineLvl w:val="2"/>
        <w:rPr>
          <w:rFonts w:ascii="Times New Roman" w:hAnsi="Times New Roman"/>
          <w:b/>
          <w:color w:val="000000"/>
          <w:sz w:val="22"/>
        </w:rPr>
      </w:pPr>
      <w:bookmarkStart w:id="6" w:name="_Toc202447543"/>
      <w:r>
        <w:rPr>
          <w:rFonts w:ascii="Times New Roman" w:hAnsi="Times New Roman"/>
          <w:b/>
          <w:color w:val="000000"/>
          <w:sz w:val="22"/>
        </w:rPr>
        <w:t xml:space="preserve">4 </w:t>
      </w:r>
      <w:r>
        <w:rPr>
          <w:rFonts w:ascii="Times New Roman" w:hAnsi="Times New Roman"/>
          <w:b/>
          <w:color w:val="000000"/>
          <w:sz w:val="22"/>
        </w:rPr>
        <w:t>招标范围与内容</w:t>
      </w:r>
      <w:bookmarkEnd w:id="6"/>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4.1 </w:t>
      </w:r>
      <w:r>
        <w:rPr>
          <w:rFonts w:ascii="Times New Roman" w:hAnsi="Times New Roman"/>
          <w:color w:val="000000"/>
          <w:sz w:val="22"/>
        </w:rPr>
        <w:t>项目背景及现状</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习</w:t>
      </w:r>
      <w:r>
        <w:rPr>
          <w:rFonts w:ascii="Times New Roman" w:hAnsi="Times New Roman"/>
          <w:sz w:val="22"/>
        </w:rPr>
        <w:t>近平总书记在党的二十大报告中提出，</w:t>
      </w:r>
      <w:r>
        <w:rPr>
          <w:rFonts w:ascii="Times New Roman" w:hAnsi="Times New Roman"/>
          <w:sz w:val="22"/>
        </w:rPr>
        <w:t>“</w:t>
      </w:r>
      <w:r>
        <w:rPr>
          <w:rFonts w:ascii="Times New Roman" w:hAnsi="Times New Roman"/>
          <w:sz w:val="22"/>
        </w:rPr>
        <w:t>推进健康中国建设。把保障人民健康放在优先发展的战略位置，完善人民健康促进政策。</w:t>
      </w:r>
      <w:r>
        <w:rPr>
          <w:rFonts w:ascii="Times New Roman" w:hAnsi="Times New Roman"/>
          <w:sz w:val="22"/>
        </w:rPr>
        <w:t>”2024</w:t>
      </w:r>
      <w:r>
        <w:rPr>
          <w:rFonts w:ascii="Times New Roman" w:hAnsi="Times New Roman"/>
          <w:sz w:val="22"/>
        </w:rPr>
        <w:t>年</w:t>
      </w:r>
      <w:r>
        <w:rPr>
          <w:rFonts w:ascii="Times New Roman" w:hAnsi="Times New Roman"/>
          <w:sz w:val="22"/>
        </w:rPr>
        <w:t>7</w:t>
      </w:r>
      <w:r>
        <w:rPr>
          <w:rFonts w:ascii="Times New Roman" w:hAnsi="Times New Roman"/>
          <w:sz w:val="22"/>
        </w:rPr>
        <w:t>月召开的党的二十届三中全会也明确提出</w:t>
      </w:r>
      <w:r>
        <w:rPr>
          <w:rFonts w:ascii="Times New Roman" w:hAnsi="Times New Roman"/>
          <w:sz w:val="22"/>
        </w:rPr>
        <w:t>“</w:t>
      </w:r>
      <w:r>
        <w:rPr>
          <w:rFonts w:ascii="Times New Roman" w:hAnsi="Times New Roman"/>
          <w:sz w:val="22"/>
        </w:rPr>
        <w:t>推动新质生产力体制机制，加强关键技术与产业链发展</w:t>
      </w:r>
      <w:r>
        <w:rPr>
          <w:rFonts w:ascii="Times New Roman" w:hAnsi="Times New Roman"/>
          <w:sz w:val="22"/>
        </w:rPr>
        <w:t>”</w:t>
      </w:r>
      <w:r>
        <w:rPr>
          <w:rFonts w:ascii="Times New Roman" w:hAnsi="Times New Roman"/>
          <w:sz w:val="22"/>
        </w:rPr>
        <w:t>，要完善推动新一代生物医药在内的诸多战略性产业发展政策和治理体系，引导新兴产业健康有序发展。医疗器械安全与人民群众身体健康和生命安全息息</w:t>
      </w:r>
      <w:r>
        <w:rPr>
          <w:rFonts w:ascii="Times New Roman" w:hAnsi="Times New Roman"/>
          <w:sz w:val="22"/>
        </w:rPr>
        <w:lastRenderedPageBreak/>
        <w:t>相关，关乎到国计民生。而医疗器械行业是生物医药产业的重要组成部分，具有高度的战略地位，其发展程度已经成为衡量一个国家科技水平和国民现代化水平的重要指标。至</w:t>
      </w:r>
      <w:r>
        <w:rPr>
          <w:rFonts w:ascii="Times New Roman" w:hAnsi="Times New Roman"/>
          <w:sz w:val="22"/>
        </w:rPr>
        <w:t>2022</w:t>
      </w:r>
      <w:r>
        <w:rPr>
          <w:rFonts w:ascii="Times New Roman" w:hAnsi="Times New Roman"/>
          <w:sz w:val="22"/>
        </w:rPr>
        <w:t>年，我国医疗器械主营业收入已达</w:t>
      </w:r>
      <w:r>
        <w:rPr>
          <w:rFonts w:ascii="Times New Roman" w:hAnsi="Times New Roman"/>
          <w:sz w:val="22"/>
        </w:rPr>
        <w:t>1.3</w:t>
      </w:r>
      <w:proofErr w:type="gramStart"/>
      <w:r>
        <w:rPr>
          <w:rFonts w:ascii="Times New Roman" w:hAnsi="Times New Roman"/>
          <w:sz w:val="22"/>
        </w:rPr>
        <w:t>万亿</w:t>
      </w:r>
      <w:proofErr w:type="gramEnd"/>
      <w:r>
        <w:rPr>
          <w:rFonts w:ascii="Times New Roman" w:hAnsi="Times New Roman"/>
          <w:sz w:val="22"/>
        </w:rPr>
        <w:t>元人民币，成为全球第二大市场。</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打造世界级生物医药产业集群是党中央赋予上海的战略任务和重大使命，也是上海建设国际科技创新中心的重要内容。作为上海市重点发展的三大先导产业之一，生物医药产业多年来呈现良好发展态势。上海市人民政府办公厅在</w:t>
      </w:r>
      <w:r>
        <w:rPr>
          <w:rFonts w:ascii="Times New Roman" w:hAnsi="Times New Roman"/>
          <w:sz w:val="22"/>
        </w:rPr>
        <w:t>2021</w:t>
      </w:r>
      <w:r>
        <w:rPr>
          <w:rFonts w:ascii="Times New Roman" w:hAnsi="Times New Roman"/>
          <w:sz w:val="22"/>
        </w:rPr>
        <w:t>年</w:t>
      </w:r>
      <w:r>
        <w:rPr>
          <w:rFonts w:ascii="Times New Roman" w:hAnsi="Times New Roman"/>
          <w:sz w:val="22"/>
        </w:rPr>
        <w:t>5</w:t>
      </w:r>
      <w:r>
        <w:rPr>
          <w:rFonts w:ascii="Times New Roman" w:hAnsi="Times New Roman"/>
          <w:sz w:val="22"/>
        </w:rPr>
        <w:t>月与</w:t>
      </w:r>
      <w:r>
        <w:rPr>
          <w:rFonts w:ascii="Times New Roman" w:hAnsi="Times New Roman"/>
          <w:sz w:val="22"/>
        </w:rPr>
        <w:t>2022</w:t>
      </w:r>
      <w:r>
        <w:rPr>
          <w:rFonts w:ascii="Times New Roman" w:hAnsi="Times New Roman"/>
          <w:sz w:val="22"/>
        </w:rPr>
        <w:t>年</w:t>
      </w:r>
      <w:r>
        <w:rPr>
          <w:rFonts w:ascii="Times New Roman" w:hAnsi="Times New Roman"/>
          <w:sz w:val="22"/>
        </w:rPr>
        <w:t>10</w:t>
      </w:r>
      <w:r>
        <w:rPr>
          <w:rFonts w:ascii="Times New Roman" w:hAnsi="Times New Roman"/>
          <w:sz w:val="22"/>
        </w:rPr>
        <w:t>月，先后印发了《关于促进本市生物医药产业高质量发展的若干意见》及《上海市加快打造全球生物医药研发经济和产业化高地的若干政策措施》，加快建设具有全球影响力的生物医药产业创新高地。据公开统计，</w:t>
      </w:r>
      <w:r>
        <w:rPr>
          <w:rFonts w:ascii="Times New Roman" w:hAnsi="Times New Roman"/>
          <w:sz w:val="22"/>
        </w:rPr>
        <w:t>2023</w:t>
      </w:r>
      <w:r>
        <w:rPr>
          <w:rFonts w:ascii="Times New Roman" w:hAnsi="Times New Roman"/>
          <w:sz w:val="22"/>
        </w:rPr>
        <w:t>年上海生物医药产业规模已达</w:t>
      </w:r>
      <w:r>
        <w:rPr>
          <w:rFonts w:ascii="Times New Roman" w:hAnsi="Times New Roman"/>
          <w:sz w:val="22"/>
        </w:rPr>
        <w:t>9337.32</w:t>
      </w:r>
      <w:r>
        <w:rPr>
          <w:rFonts w:ascii="Times New Roman" w:hAnsi="Times New Roman"/>
          <w:sz w:val="22"/>
        </w:rPr>
        <w:t>亿元，同比增长</w:t>
      </w:r>
      <w:r>
        <w:rPr>
          <w:rFonts w:ascii="Times New Roman" w:hAnsi="Times New Roman"/>
          <w:sz w:val="22"/>
        </w:rPr>
        <w:t>4.9%</w:t>
      </w:r>
      <w:r>
        <w:rPr>
          <w:rFonts w:ascii="Times New Roman" w:hAnsi="Times New Roman"/>
          <w:sz w:val="22"/>
        </w:rPr>
        <w:t>。</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上海作为我国最大的医疗器械进口口岸，约占全国进口总量的六到七成，仅上海外高桥保税区医疗器械进口额就占了全国同类商品进口比重的四成。汇集了包括美</w:t>
      </w:r>
      <w:proofErr w:type="gramStart"/>
      <w:r>
        <w:rPr>
          <w:rFonts w:ascii="Times New Roman" w:hAnsi="Times New Roman"/>
          <w:sz w:val="22"/>
        </w:rPr>
        <w:t>敦</w:t>
      </w:r>
      <w:proofErr w:type="gramEnd"/>
      <w:r>
        <w:rPr>
          <w:rFonts w:ascii="Times New Roman" w:hAnsi="Times New Roman"/>
          <w:sz w:val="22"/>
        </w:rPr>
        <w:t>力、雅培、强生、西门子、碧迪、罗氏诊断、</w:t>
      </w:r>
      <w:r>
        <w:rPr>
          <w:rFonts w:ascii="Times New Roman" w:hAnsi="Times New Roman"/>
          <w:sz w:val="22"/>
        </w:rPr>
        <w:t xml:space="preserve">GE </w:t>
      </w:r>
      <w:r>
        <w:rPr>
          <w:rFonts w:ascii="Times New Roman" w:hAnsi="Times New Roman"/>
          <w:sz w:val="22"/>
        </w:rPr>
        <w:t>医疗、史赛克、波士顿科学等在内的全球著名的医疗器械企业。其产品具有批次金额大、品牌集聚强、社会关注度高、通关时效性等特点。随着广大人民群众对高品质医疗器械需求的日益增长以及国内医疗器械产业的快速发展，对海关的检验监管成效以及支持产业发展力度提出了更高的要求，促使上海海关必须切实</w:t>
      </w:r>
      <w:proofErr w:type="gramStart"/>
      <w:r>
        <w:rPr>
          <w:rFonts w:ascii="Times New Roman" w:hAnsi="Times New Roman"/>
          <w:sz w:val="22"/>
        </w:rPr>
        <w:t>推进智关强国</w:t>
      </w:r>
      <w:proofErr w:type="gramEnd"/>
      <w:r>
        <w:rPr>
          <w:rFonts w:ascii="Times New Roman" w:hAnsi="Times New Roman"/>
          <w:sz w:val="22"/>
        </w:rPr>
        <w:t>建设，充分发挥风险管理的核心作用，科学防范五大风险，实现检验监管模式的优化升级，有效提升监管成效。</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2024</w:t>
      </w:r>
      <w:r>
        <w:rPr>
          <w:rFonts w:ascii="Times New Roman" w:hAnsi="Times New Roman"/>
          <w:sz w:val="22"/>
        </w:rPr>
        <w:t>年，海关总署在海关工作会议中提出了加强医疗器械商品检验监管的要求。上海海关积极贯彻落实二十届三中全会精神，根据海关总署的工作部署，在前期对上海外高桥保税区内医疗器械产业开展了充分调研的基础上，积极推进医疗器械质量安全风险分级分类试点（即产品分类检验、企业分级监管），构建现代化海关监管模式，既</w:t>
      </w:r>
      <w:r>
        <w:rPr>
          <w:rFonts w:ascii="Times New Roman" w:hAnsi="Times New Roman"/>
          <w:sz w:val="22"/>
        </w:rPr>
        <w:t>‘</w:t>
      </w:r>
      <w:r>
        <w:rPr>
          <w:rFonts w:ascii="Times New Roman" w:hAnsi="Times New Roman"/>
          <w:sz w:val="22"/>
        </w:rPr>
        <w:t>放得活</w:t>
      </w:r>
      <w:r>
        <w:rPr>
          <w:rFonts w:ascii="Times New Roman" w:hAnsi="Times New Roman"/>
          <w:sz w:val="22"/>
        </w:rPr>
        <w:t>’</w:t>
      </w:r>
      <w:r>
        <w:rPr>
          <w:rFonts w:ascii="Times New Roman" w:hAnsi="Times New Roman"/>
          <w:sz w:val="22"/>
        </w:rPr>
        <w:t>又</w:t>
      </w:r>
      <w:r>
        <w:rPr>
          <w:rFonts w:ascii="Times New Roman" w:hAnsi="Times New Roman"/>
          <w:sz w:val="22"/>
        </w:rPr>
        <w:t>‘</w:t>
      </w:r>
      <w:r>
        <w:rPr>
          <w:rFonts w:ascii="Times New Roman" w:hAnsi="Times New Roman"/>
          <w:sz w:val="22"/>
        </w:rPr>
        <w:t>管得住</w:t>
      </w:r>
      <w:r>
        <w:rPr>
          <w:rFonts w:ascii="Times New Roman" w:hAnsi="Times New Roman"/>
          <w:sz w:val="22"/>
        </w:rPr>
        <w:t>’</w:t>
      </w:r>
      <w:r>
        <w:rPr>
          <w:rFonts w:ascii="Times New Roman" w:hAnsi="Times New Roman"/>
          <w:sz w:val="22"/>
        </w:rPr>
        <w:t>，在守护好国门安全的前提下，促进高质量发展，推进高水平开放，支持上海外高桥保税区内医疗器械产业健康发展，进而助力上海持续推进</w:t>
      </w:r>
      <w:r>
        <w:rPr>
          <w:rFonts w:ascii="Times New Roman" w:hAnsi="Times New Roman"/>
          <w:sz w:val="22"/>
        </w:rPr>
        <w:t>“</w:t>
      </w:r>
      <w:r>
        <w:rPr>
          <w:rFonts w:ascii="Times New Roman" w:hAnsi="Times New Roman"/>
          <w:sz w:val="22"/>
        </w:rPr>
        <w:t>五个中心</w:t>
      </w:r>
      <w:r>
        <w:rPr>
          <w:rFonts w:ascii="Times New Roman" w:hAnsi="Times New Roman"/>
          <w:sz w:val="22"/>
        </w:rPr>
        <w:t>”</w:t>
      </w:r>
      <w:r>
        <w:rPr>
          <w:rFonts w:ascii="Times New Roman" w:hAnsi="Times New Roman"/>
          <w:sz w:val="22"/>
        </w:rPr>
        <w:t>的建设。</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随着医疗器械进口市场的快速增长，新的机遇和挑战并存。医疗器械涉及多种风险点，需要严格的进口监管，而传统监管手段存在诸多不足，如检查比例过高、合格评定程序单一等。同时，技术的创新和市场需求的复杂性对监管提出了新的要求。提升智慧监管的能力和效率，以促进行业的健康可持续发展，成为当前亟待解决的问题。上海外高桥保税区作为生物医药产业的集聚地，凭借其海关特殊监管优势，成为国内医疗器械进口的重要中心，是上海构建具有国际影响力的世界级生物医药产业集群的关键力量。该区域已聚集</w:t>
      </w:r>
      <w:r>
        <w:rPr>
          <w:rFonts w:ascii="Times New Roman" w:hAnsi="Times New Roman"/>
          <w:sz w:val="22"/>
        </w:rPr>
        <w:t>224</w:t>
      </w:r>
      <w:r>
        <w:rPr>
          <w:rFonts w:ascii="Times New Roman" w:hAnsi="Times New Roman"/>
          <w:sz w:val="22"/>
        </w:rPr>
        <w:t>家医疗器械贸易企业，覆盖全国超过</w:t>
      </w:r>
      <w:r>
        <w:rPr>
          <w:rFonts w:ascii="Times New Roman" w:hAnsi="Times New Roman"/>
          <w:sz w:val="22"/>
        </w:rPr>
        <w:t>40%</w:t>
      </w:r>
      <w:r>
        <w:rPr>
          <w:rFonts w:ascii="Times New Roman" w:hAnsi="Times New Roman"/>
          <w:sz w:val="22"/>
        </w:rPr>
        <w:t>的进口医疗器械，形成了坚实的产业基础，并正在建设生物医药特色产业园和国际医疗器械智造基地。作为改革开放的先行区，保税区承担着探索新路径、积累新经验、推进高水平制度</w:t>
      </w:r>
      <w:proofErr w:type="gramStart"/>
      <w:r>
        <w:rPr>
          <w:rFonts w:ascii="Times New Roman" w:hAnsi="Times New Roman"/>
          <w:sz w:val="22"/>
        </w:rPr>
        <w:t>型开放</w:t>
      </w:r>
      <w:proofErr w:type="gramEnd"/>
      <w:r>
        <w:rPr>
          <w:rFonts w:ascii="Times New Roman" w:hAnsi="Times New Roman"/>
          <w:sz w:val="22"/>
        </w:rPr>
        <w:t>的重要任务，必须建立一个高效、智能的医疗器械监管体系和政策创新工具。</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sz w:val="22"/>
        </w:rPr>
        <w:t>为了保障医疗器械质量安全风险分级分类试点，上海海关与保税区管理局共同打造医疗器械智慧监管平台，为医疗器械质量安全风险分级分类试点提供坚实可靠的信息化保障。通过实现</w:t>
      </w:r>
      <w:r>
        <w:rPr>
          <w:rFonts w:ascii="Times New Roman" w:hAnsi="Times New Roman"/>
          <w:sz w:val="22"/>
        </w:rPr>
        <w:t>“</w:t>
      </w:r>
      <w:proofErr w:type="gramStart"/>
      <w:r>
        <w:rPr>
          <w:rFonts w:ascii="Times New Roman" w:hAnsi="Times New Roman"/>
          <w:sz w:val="22"/>
        </w:rPr>
        <w:t>一</w:t>
      </w:r>
      <w:proofErr w:type="gramEnd"/>
      <w:r>
        <w:rPr>
          <w:rFonts w:ascii="Times New Roman" w:hAnsi="Times New Roman"/>
          <w:sz w:val="22"/>
        </w:rPr>
        <w:t>平台三模块</w:t>
      </w:r>
      <w:r>
        <w:rPr>
          <w:rFonts w:ascii="Times New Roman" w:hAnsi="Times New Roman"/>
          <w:sz w:val="22"/>
        </w:rPr>
        <w:t>”</w:t>
      </w:r>
      <w:r>
        <w:rPr>
          <w:rFonts w:ascii="Times New Roman" w:hAnsi="Times New Roman"/>
          <w:sz w:val="22"/>
        </w:rPr>
        <w:t>，即依托现有的智慧海关建设成果，围绕实际业务需求，开发医疗器械业务智库、智慧检验监管、智慧监测评估三大功能模块，建立起承载风险监测模型、风险排查模型、风险评估模型于一体的进口医疗器械智慧监管平台</w:t>
      </w:r>
      <w:r>
        <w:rPr>
          <w:rFonts w:ascii="Times New Roman" w:hAnsi="Times New Roman" w:hint="eastAsia"/>
          <w:sz w:val="22"/>
        </w:rPr>
        <w:t>。</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项目招标范围及内容</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4.2.1 </w:t>
      </w:r>
      <w:r>
        <w:rPr>
          <w:rFonts w:ascii="Times New Roman" w:hAnsi="Times New Roman" w:hint="eastAsia"/>
          <w:color w:val="000000"/>
          <w:sz w:val="22"/>
        </w:rPr>
        <w:t>建设目标</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本项目平台以</w:t>
      </w:r>
      <w:r>
        <w:rPr>
          <w:rFonts w:ascii="Times New Roman" w:hAnsi="Times New Roman"/>
          <w:sz w:val="22"/>
        </w:rPr>
        <w:t>“</w:t>
      </w:r>
      <w:r>
        <w:rPr>
          <w:rFonts w:ascii="Times New Roman" w:hAnsi="Times New Roman"/>
          <w:sz w:val="22"/>
        </w:rPr>
        <w:t>提升进口医疗器械质量安全监管效能</w:t>
      </w:r>
      <w:r>
        <w:rPr>
          <w:rFonts w:ascii="Times New Roman" w:hAnsi="Times New Roman"/>
          <w:sz w:val="22"/>
        </w:rPr>
        <w:t>”</w:t>
      </w:r>
      <w:r>
        <w:rPr>
          <w:rFonts w:ascii="Times New Roman" w:hAnsi="Times New Roman"/>
          <w:sz w:val="22"/>
        </w:rPr>
        <w:t>为宗旨，通过数字化转型和智能化技术，围</w:t>
      </w:r>
      <w:r>
        <w:rPr>
          <w:rFonts w:ascii="Times New Roman" w:hAnsi="Times New Roman"/>
          <w:sz w:val="22"/>
        </w:rPr>
        <w:lastRenderedPageBreak/>
        <w:t>绕进口医疗器械的质量安全管理、通关流程优化和风险预警等关键场景，依托大数据和人工智能技术，构建进口医疗器械</w:t>
      </w:r>
      <w:r>
        <w:rPr>
          <w:rFonts w:ascii="Times New Roman" w:hAnsi="Times New Roman" w:hint="eastAsia"/>
          <w:sz w:val="22"/>
        </w:rPr>
        <w:t>智慧</w:t>
      </w:r>
      <w:r>
        <w:rPr>
          <w:rFonts w:ascii="Times New Roman" w:hAnsi="Times New Roman"/>
          <w:sz w:val="22"/>
        </w:rPr>
        <w:t>监管平台。平台的主要</w:t>
      </w:r>
      <w:r>
        <w:rPr>
          <w:rFonts w:ascii="Times New Roman" w:hAnsi="Times New Roman" w:hint="eastAsia"/>
          <w:sz w:val="22"/>
        </w:rPr>
        <w:t>模块</w:t>
      </w:r>
      <w:r>
        <w:rPr>
          <w:rFonts w:ascii="Times New Roman" w:hAnsi="Times New Roman"/>
          <w:sz w:val="22"/>
        </w:rPr>
        <w:t>包括：应用开发及管理、模型智能、数据开发及建模</w:t>
      </w:r>
      <w:r>
        <w:rPr>
          <w:rFonts w:ascii="Times New Roman" w:hAnsi="Times New Roman" w:hint="eastAsia"/>
          <w:sz w:val="22"/>
        </w:rPr>
        <w:t>三个模块</w:t>
      </w:r>
      <w:r>
        <w:rPr>
          <w:rFonts w:ascii="Times New Roman" w:hAnsi="Times New Roman"/>
          <w:sz w:val="22"/>
        </w:rPr>
        <w:t>。</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通过</w:t>
      </w:r>
      <w:r>
        <w:rPr>
          <w:rFonts w:asciiTheme="minorEastAsia" w:eastAsiaTheme="minorEastAsia" w:hAnsiTheme="minorEastAsia" w:cstheme="minorEastAsia" w:hint="eastAsia"/>
          <w:bCs/>
          <w:color w:val="000000"/>
          <w:kern w:val="0"/>
          <w:sz w:val="22"/>
        </w:rPr>
        <w:t>风险数据采集</w:t>
      </w:r>
      <w:r>
        <w:rPr>
          <w:rFonts w:ascii="Times New Roman" w:hAnsi="Times New Roman"/>
          <w:sz w:val="22"/>
        </w:rPr>
        <w:t>，采集境内</w:t>
      </w:r>
      <w:proofErr w:type="gramStart"/>
      <w:r>
        <w:rPr>
          <w:rFonts w:ascii="Times New Roman" w:hAnsi="Times New Roman"/>
          <w:sz w:val="22"/>
        </w:rPr>
        <w:t>外医疗</w:t>
      </w:r>
      <w:proofErr w:type="gramEnd"/>
      <w:r>
        <w:rPr>
          <w:rFonts w:ascii="Times New Roman" w:hAnsi="Times New Roman"/>
          <w:sz w:val="22"/>
        </w:rPr>
        <w:t>器械相关的风险信息，将医疗器械的在使用过程中的风险结合海关数据掌握医疗器械的进出口环节风险，掌握进口医疗器械全生命周期风险。通过精准的风险评估与分类管理，平台能够优化医疗器械的查验比例，</w:t>
      </w:r>
      <w:proofErr w:type="gramStart"/>
      <w:r>
        <w:rPr>
          <w:rFonts w:ascii="Times New Roman" w:hAnsi="Times New Roman"/>
          <w:sz w:val="22"/>
        </w:rPr>
        <w:t>减少低</w:t>
      </w:r>
      <w:proofErr w:type="gramEnd"/>
      <w:r>
        <w:rPr>
          <w:rFonts w:ascii="Times New Roman" w:hAnsi="Times New Roman"/>
          <w:sz w:val="22"/>
        </w:rPr>
        <w:t>风险产品的人工干预，从而提升通关效率，压缩通关时长。借助智能化风险监测和预警机制，平台能够提前识别潜在的质量安全隐患，并为监管部门提供快速响应的决策支持。通过数据共享与协作，打破部门间信息孤岛，实现信息互通和资源共享，增强监管精准度与协同效能。</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最终，项目将带来显著的效益：一方面，提高进口医疗器械的监管智能化水平，提升通关时效，减少不必要的监管成本；另一方面，加强对高风险产品的管控，确保进口医疗器械的质量安全，有效保障公众健康和生命安全，为国家经济和社会稳定贡献力量。同时平台为外高桥保税区的生物医药企业提供精准服务，持续优化和完善保税区域的产业发展生态环境。通过因企施策，平台能够为企业量身定制政策支持，进一步提升通关便利度，推动企业在国内外市场上的竞争力。为未来继续通过因企施策、精准服务，支持外高桥保税区生物医药特色产业园和保税区域国际医疗器械智</w:t>
      </w:r>
      <w:proofErr w:type="gramStart"/>
      <w:r>
        <w:rPr>
          <w:rFonts w:ascii="Times New Roman" w:hAnsi="Times New Roman"/>
          <w:sz w:val="22"/>
        </w:rPr>
        <w:t>造基地</w:t>
      </w:r>
      <w:proofErr w:type="gramEnd"/>
      <w:r>
        <w:rPr>
          <w:rFonts w:ascii="Times New Roman" w:hAnsi="Times New Roman"/>
          <w:sz w:val="22"/>
        </w:rPr>
        <w:t>建设奠定基础。</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4.2.2 </w:t>
      </w:r>
      <w:r>
        <w:rPr>
          <w:rFonts w:ascii="Times New Roman" w:hAnsi="Times New Roman"/>
          <w:sz w:val="22"/>
        </w:rPr>
        <w:t>建设内容</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进口医疗器械智慧监管平台的建设内容涵盖应用开发及管理、模型智能、数据开发及建模三个方面。应用开发及管理聚焦于打造功能完备、操作便捷的系统，满足海关监管部门和保税区企业的多元化需求；依托智能模型构建医疗器械</w:t>
      </w:r>
      <w:r>
        <w:rPr>
          <w:rFonts w:ascii="Times New Roman" w:hAnsi="Times New Roman"/>
          <w:sz w:val="22"/>
        </w:rPr>
        <w:t>AI</w:t>
      </w:r>
      <w:r>
        <w:rPr>
          <w:rFonts w:ascii="Times New Roman" w:hAnsi="Times New Roman"/>
          <w:sz w:val="22"/>
        </w:rPr>
        <w:t>大模型和医疗器械检验监管模型，实现医疗器械高质量语料知识构建、智能问答、企业及医疗器械分级分类、风险排查等核心功能；数据开发及建模则负责整合数据资源，建设主题库，为平台提供坚实的数据基础。此外需要大模型应用服务器支撑医疗器械</w:t>
      </w:r>
      <w:r>
        <w:rPr>
          <w:rFonts w:ascii="Times New Roman" w:hAnsi="Times New Roman"/>
          <w:sz w:val="22"/>
        </w:rPr>
        <w:t>AI</w:t>
      </w:r>
      <w:r>
        <w:rPr>
          <w:rFonts w:ascii="Times New Roman" w:hAnsi="Times New Roman"/>
          <w:sz w:val="22"/>
        </w:rPr>
        <w:t>大模型和和医疗器械检验监管模型运行。三个</w:t>
      </w:r>
      <w:r>
        <w:rPr>
          <w:rFonts w:ascii="Times New Roman" w:hAnsi="Times New Roman" w:hint="eastAsia"/>
          <w:sz w:val="22"/>
        </w:rPr>
        <w:t>软件</w:t>
      </w:r>
      <w:r>
        <w:rPr>
          <w:rFonts w:ascii="Times New Roman" w:hAnsi="Times New Roman"/>
          <w:sz w:val="22"/>
        </w:rPr>
        <w:t>部分</w:t>
      </w:r>
      <w:r>
        <w:rPr>
          <w:rFonts w:ascii="Times New Roman" w:hAnsi="Times New Roman" w:hint="eastAsia"/>
          <w:sz w:val="22"/>
        </w:rPr>
        <w:t>和一个硬件部分</w:t>
      </w:r>
      <w:r>
        <w:rPr>
          <w:rFonts w:ascii="Times New Roman" w:hAnsi="Times New Roman"/>
          <w:sz w:val="22"/>
        </w:rPr>
        <w:t>相互协作，共同推动平台的智能化监管目标的实现。</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Pr>
          <w:rFonts w:ascii="Times New Roman" w:hAnsi="Times New Roman"/>
          <w:sz w:val="22"/>
        </w:rPr>
        <w:t>应用开发及管理</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进口医疗器械智慧监管平台的应用开发及管理涵盖了医疗器械进口数据监控、医疗器械知识库、智能监测评估、智慧检验监管、业务填报</w:t>
      </w:r>
      <w:r>
        <w:rPr>
          <w:rFonts w:ascii="Times New Roman" w:hAnsi="Times New Roman" w:hint="eastAsia"/>
          <w:sz w:val="22"/>
        </w:rPr>
        <w:t>、</w:t>
      </w:r>
      <w:r>
        <w:rPr>
          <w:rFonts w:asciiTheme="minorEastAsia" w:eastAsiaTheme="minorEastAsia" w:hAnsiTheme="minorEastAsia" w:cstheme="minorEastAsia" w:hint="eastAsia"/>
          <w:bCs/>
          <w:color w:val="000000"/>
          <w:kern w:val="0"/>
          <w:sz w:val="22"/>
        </w:rPr>
        <w:t>保税区域一体化平台数据展示、分析展示平台、H4A对接、后台管理</w:t>
      </w:r>
      <w:r>
        <w:rPr>
          <w:rFonts w:ascii="Times New Roman" w:hAnsi="Times New Roman"/>
          <w:sz w:val="22"/>
        </w:rPr>
        <w:t>多个核心模块。通过这些模块的有机结合，实现对进口医疗器械的全生命周期监管，对于申报、检验、流通到后续的质量监测和风险预警，每一个环节进行精细化的管理和智能化的支持。例如，医疗器械知识库模块整合了海量的监管文件、技术标准和典型案例，为监管人员提供了全面、准确的知识支持；而智能监测评估模块则能够实时分析市场反馈、不良事件、消费者投诉、企业主动报告等信息，及时发现并处理潜在的质量风险，保障公众健康。同时，平台还为保税区企业提供了便捷的企业单证查验情况查询、企业统计和海关业务风险提示。</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Pr>
          <w:rFonts w:ascii="Times New Roman" w:hAnsi="Times New Roman"/>
          <w:sz w:val="22"/>
        </w:rPr>
        <w:t>模型智能</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进口医疗器械智慧监管平台在模型智能方面构建了医疗器械</w:t>
      </w:r>
      <w:r>
        <w:rPr>
          <w:rFonts w:ascii="Times New Roman" w:hAnsi="Times New Roman"/>
          <w:sz w:val="22"/>
        </w:rPr>
        <w:t>AI</w:t>
      </w:r>
      <w:r>
        <w:rPr>
          <w:rFonts w:ascii="Times New Roman" w:hAnsi="Times New Roman"/>
          <w:sz w:val="22"/>
        </w:rPr>
        <w:t>大模型和医疗器械检验监管模型，为平台的智能化应用提供了强大的核心动力。医疗器械</w:t>
      </w:r>
      <w:r>
        <w:rPr>
          <w:rFonts w:ascii="Times New Roman" w:hAnsi="Times New Roman"/>
          <w:sz w:val="22"/>
        </w:rPr>
        <w:t>AI</w:t>
      </w:r>
      <w:r>
        <w:rPr>
          <w:rFonts w:ascii="Times New Roman" w:hAnsi="Times New Roman"/>
          <w:sz w:val="22"/>
        </w:rPr>
        <w:t>大模型通过高质量语料知识构建和语料增强技术，嵌入深度思考思维链，实现智能问答、舆情分析、报告生成等功能，能够自动从多</w:t>
      </w:r>
      <w:proofErr w:type="gramStart"/>
      <w:r>
        <w:rPr>
          <w:rFonts w:ascii="Times New Roman" w:hAnsi="Times New Roman"/>
          <w:sz w:val="22"/>
        </w:rPr>
        <w:t>源知识</w:t>
      </w:r>
      <w:proofErr w:type="gramEnd"/>
      <w:r>
        <w:rPr>
          <w:rFonts w:ascii="Times New Roman" w:hAnsi="Times New Roman"/>
          <w:sz w:val="22"/>
        </w:rPr>
        <w:t>中提取关键信息，形成结构化知识表示，为用户提供快速、准确的咨询服务。医疗器械检验监管模型则基于传统算法专注于进口医疗器械的全生命周期监管，建立企业分级分类、医疗器械分级分类、规范</w:t>
      </w:r>
      <w:r>
        <w:rPr>
          <w:rFonts w:ascii="Times New Roman" w:hAnsi="Times New Roman"/>
          <w:sz w:val="22"/>
        </w:rPr>
        <w:lastRenderedPageBreak/>
        <w:t>申报大数据风险排查等模型，实现对进口企业和医疗器械的精准分级分类，优化监管资源配置，及时发现潜在质量隐患和风险点，发出预警信号，以便监管部门迅速采取措施，防范风险于未然。</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Pr>
          <w:rFonts w:ascii="Times New Roman" w:hAnsi="Times New Roman"/>
          <w:sz w:val="22"/>
        </w:rPr>
        <w:t>数据开发及建模</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平台通过融合海关内部数据和外部数据采集接入的医疗器械相关数据资源，构建全面的进口医疗器械数据主题库。基于对监管文件、技术标准、典型案例、质量分析报告、抽查通报等等数据的采集、整理、清洗和分析，包括光学字符识别（</w:t>
      </w:r>
      <w:r>
        <w:rPr>
          <w:rFonts w:ascii="Times New Roman" w:hAnsi="Times New Roman"/>
          <w:sz w:val="22"/>
        </w:rPr>
        <w:t>OCR</w:t>
      </w:r>
      <w:r>
        <w:rPr>
          <w:rFonts w:ascii="Times New Roman" w:hAnsi="Times New Roman"/>
          <w:sz w:val="22"/>
        </w:rPr>
        <w:t>）、数据清洗、翻译、实体识别和事件分类等，确保数据的准确性和完整性，实现平台所需数据的原始积累。在此基础上围绕业务目标构建科学合理的指标体系和主题库，如申报作业、查验作业、查验不合格、舆情政策、医疗器械产品、企业信息与风险等，为数据服务做好多维数据准备，实现医疗器械进口数据监控、医疗器械知识库等应用场景的数据需求。</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Pr>
          <w:rFonts w:ascii="Times New Roman" w:hAnsi="Times New Roman"/>
          <w:sz w:val="22"/>
        </w:rPr>
        <w:t>大模型应用服务器</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sz w:val="22"/>
        </w:rPr>
        <w:t>平台使用国产的大模型应用服务器，搭建</w:t>
      </w:r>
      <w:r>
        <w:rPr>
          <w:rFonts w:ascii="Times New Roman" w:hAnsi="Times New Roman" w:hint="eastAsia"/>
          <w:sz w:val="22"/>
        </w:rPr>
        <w:t>DeepSeek</w:t>
      </w:r>
      <w:r>
        <w:rPr>
          <w:rFonts w:ascii="Times New Roman" w:hAnsi="Times New Roman" w:hint="eastAsia"/>
          <w:sz w:val="22"/>
        </w:rPr>
        <w:t>基座模型，</w:t>
      </w:r>
      <w:r>
        <w:rPr>
          <w:rFonts w:ascii="Times New Roman" w:hAnsi="Times New Roman"/>
          <w:sz w:val="22"/>
        </w:rPr>
        <w:t>支撑医疗器械</w:t>
      </w:r>
      <w:r>
        <w:rPr>
          <w:rFonts w:ascii="Times New Roman" w:hAnsi="Times New Roman"/>
          <w:sz w:val="22"/>
        </w:rPr>
        <w:t>AI</w:t>
      </w:r>
      <w:r>
        <w:rPr>
          <w:rFonts w:ascii="Times New Roman" w:hAnsi="Times New Roman"/>
          <w:sz w:val="22"/>
        </w:rPr>
        <w:t>大模型和和医疗器械检验监管模型运行</w:t>
      </w:r>
      <w:r>
        <w:rPr>
          <w:rFonts w:ascii="Times New Roman" w:hAnsi="Times New Roman" w:hint="eastAsia"/>
          <w:sz w:val="22"/>
        </w:rPr>
        <w:t>。</w:t>
      </w:r>
    </w:p>
    <w:p w:rsidR="006059AC" w:rsidRDefault="006059AC" w:rsidP="006059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ind w:firstLineChars="200" w:firstLine="440"/>
        <w:jc w:val="left"/>
        <w:rPr>
          <w:rFonts w:ascii="Times New Roman" w:hAnsi="Times New Roman"/>
          <w:color w:val="000000"/>
          <w:sz w:val="22"/>
        </w:rPr>
      </w:pPr>
      <w:bookmarkStart w:id="7" w:name="OLE_LINK4"/>
      <w:r>
        <w:rPr>
          <w:rFonts w:ascii="Times New Roman" w:hAnsi="Times New Roman"/>
          <w:color w:val="000000"/>
          <w:sz w:val="22"/>
        </w:rPr>
        <w:t>4.3</w:t>
      </w:r>
      <w:r>
        <w:rPr>
          <w:rFonts w:ascii="Times New Roman" w:hAnsi="Times New Roman"/>
          <w:b/>
          <w:color w:val="000000"/>
          <w:sz w:val="22"/>
        </w:rPr>
        <w:t>开发周期（交付时间）要求</w:t>
      </w:r>
      <w:bookmarkEnd w:id="7"/>
      <w:r>
        <w:rPr>
          <w:rFonts w:ascii="Times New Roman" w:hAnsi="Times New Roman"/>
          <w:color w:val="000000"/>
          <w:sz w:val="22"/>
        </w:rPr>
        <w:t>：</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合同签订生效后</w:t>
      </w:r>
      <w:r>
        <w:rPr>
          <w:rFonts w:ascii="Times New Roman" w:hAnsi="Times New Roman" w:hint="eastAsia"/>
          <w:sz w:val="22"/>
        </w:rPr>
        <w:t>120</w:t>
      </w:r>
      <w:r>
        <w:rPr>
          <w:rFonts w:ascii="Times New Roman" w:hAnsi="Times New Roman"/>
          <w:sz w:val="22"/>
        </w:rPr>
        <w:t>个</w:t>
      </w:r>
      <w:proofErr w:type="gramStart"/>
      <w:r>
        <w:rPr>
          <w:rFonts w:ascii="Times New Roman" w:hAnsi="Times New Roman"/>
          <w:sz w:val="22"/>
        </w:rPr>
        <w:t>日历天</w:t>
      </w:r>
      <w:proofErr w:type="gramEnd"/>
      <w:r>
        <w:rPr>
          <w:rFonts w:ascii="Times New Roman" w:hAnsi="Times New Roman"/>
          <w:sz w:val="22"/>
        </w:rPr>
        <w:t>内交付。（允许投标人自报少于</w:t>
      </w:r>
      <w:r>
        <w:rPr>
          <w:rFonts w:ascii="Times New Roman" w:hAnsi="Times New Roman" w:hint="eastAsia"/>
          <w:sz w:val="22"/>
        </w:rPr>
        <w:t>120</w:t>
      </w:r>
      <w:r>
        <w:rPr>
          <w:rFonts w:ascii="Times New Roman" w:hAnsi="Times New Roman"/>
          <w:sz w:val="22"/>
        </w:rPr>
        <w:t>个</w:t>
      </w:r>
      <w:proofErr w:type="gramStart"/>
      <w:r>
        <w:rPr>
          <w:rFonts w:ascii="Times New Roman" w:hAnsi="Times New Roman"/>
          <w:sz w:val="22"/>
        </w:rPr>
        <w:t>日历天</w:t>
      </w:r>
      <w:proofErr w:type="gramEnd"/>
      <w:r>
        <w:rPr>
          <w:rFonts w:ascii="Times New Roman" w:hAnsi="Times New Roman"/>
          <w:sz w:val="22"/>
        </w:rPr>
        <w:t>的其他时间），其中：</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4.3.1 </w:t>
      </w:r>
      <w:r>
        <w:rPr>
          <w:rFonts w:ascii="Times New Roman" w:hAnsi="Times New Roman"/>
          <w:sz w:val="22"/>
        </w:rPr>
        <w:t>开发阶段</w:t>
      </w:r>
      <w:r>
        <w:rPr>
          <w:rFonts w:ascii="Times New Roman" w:hAnsi="Times New Roman" w:hint="eastAsia"/>
          <w:sz w:val="22"/>
        </w:rPr>
        <w:t>：不超过</w:t>
      </w:r>
      <w:r>
        <w:rPr>
          <w:rFonts w:ascii="Times New Roman" w:hAnsi="Times New Roman" w:hint="eastAsia"/>
          <w:sz w:val="22"/>
        </w:rPr>
        <w:t>80</w:t>
      </w:r>
      <w:r>
        <w:rPr>
          <w:rFonts w:ascii="Times New Roman" w:hAnsi="Times New Roman" w:hint="eastAsia"/>
          <w:sz w:val="22"/>
        </w:rPr>
        <w:t>个</w:t>
      </w:r>
      <w:proofErr w:type="gramStart"/>
      <w:r>
        <w:rPr>
          <w:rFonts w:ascii="Times New Roman" w:hAnsi="Times New Roman" w:hint="eastAsia"/>
          <w:sz w:val="22"/>
        </w:rPr>
        <w:t>日历天完成</w:t>
      </w:r>
      <w:proofErr w:type="gramEnd"/>
      <w:r>
        <w:rPr>
          <w:rFonts w:ascii="Times New Roman" w:hAnsi="Times New Roman" w:hint="eastAsia"/>
          <w:sz w:val="22"/>
        </w:rPr>
        <w:t>全部平台功能应用点开发并完成开发和调试工作，如提前完成建设可提前进行试运行和验收。</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4.3.2 </w:t>
      </w:r>
      <w:r>
        <w:rPr>
          <w:rFonts w:ascii="Times New Roman" w:hAnsi="Times New Roman"/>
          <w:sz w:val="22"/>
        </w:rPr>
        <w:t>试运行阶段</w:t>
      </w:r>
      <w:r>
        <w:rPr>
          <w:rFonts w:ascii="Times New Roman" w:hAnsi="Times New Roman" w:hint="eastAsia"/>
          <w:sz w:val="22"/>
        </w:rPr>
        <w:t>：</w:t>
      </w:r>
      <w:bookmarkStart w:id="8" w:name="OLE_LINK3"/>
      <w:r>
        <w:rPr>
          <w:rFonts w:ascii="Times New Roman" w:hAnsi="Times New Roman" w:hint="eastAsia"/>
          <w:sz w:val="22"/>
        </w:rPr>
        <w:t>30</w:t>
      </w:r>
      <w:r>
        <w:rPr>
          <w:rFonts w:ascii="Times New Roman" w:hAnsi="Times New Roman" w:hint="eastAsia"/>
          <w:sz w:val="22"/>
        </w:rPr>
        <w:t>个</w:t>
      </w:r>
      <w:proofErr w:type="gramStart"/>
      <w:r>
        <w:rPr>
          <w:rFonts w:ascii="Times New Roman" w:hAnsi="Times New Roman" w:hint="eastAsia"/>
          <w:sz w:val="22"/>
        </w:rPr>
        <w:t>日历天完成</w:t>
      </w:r>
      <w:proofErr w:type="gramEnd"/>
      <w:r>
        <w:rPr>
          <w:rFonts w:ascii="Times New Roman" w:hAnsi="Times New Roman" w:hint="eastAsia"/>
          <w:sz w:val="22"/>
        </w:rPr>
        <w:t>项目试运行并取得第三方测评报告，在试运行完成后通过行业验收</w:t>
      </w:r>
      <w:bookmarkEnd w:id="8"/>
      <w:r>
        <w:rPr>
          <w:rFonts w:ascii="Times New Roman" w:hAnsi="Times New Roman"/>
          <w:sz w:val="22"/>
        </w:rPr>
        <w:t>。</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4.3.3 </w:t>
      </w:r>
      <w:r>
        <w:rPr>
          <w:rFonts w:ascii="Times New Roman" w:hAnsi="Times New Roman"/>
          <w:sz w:val="22"/>
        </w:rPr>
        <w:t>验收阶段</w:t>
      </w:r>
      <w:r>
        <w:rPr>
          <w:rFonts w:ascii="Times New Roman" w:hAnsi="Times New Roman" w:hint="eastAsia"/>
          <w:sz w:val="22"/>
        </w:rPr>
        <w:t>：</w:t>
      </w:r>
      <w:r>
        <w:rPr>
          <w:rFonts w:ascii="Times New Roman" w:hAnsi="Times New Roman" w:hint="eastAsia"/>
          <w:sz w:val="22"/>
        </w:rPr>
        <w:t>10</w:t>
      </w:r>
      <w:r>
        <w:rPr>
          <w:rFonts w:ascii="Times New Roman" w:hAnsi="Times New Roman"/>
          <w:sz w:val="22"/>
        </w:rPr>
        <w:t>个</w:t>
      </w:r>
      <w:proofErr w:type="gramStart"/>
      <w:r>
        <w:rPr>
          <w:rFonts w:ascii="Times New Roman" w:hAnsi="Times New Roman"/>
          <w:sz w:val="22"/>
        </w:rPr>
        <w:t>日历天完成</w:t>
      </w:r>
      <w:proofErr w:type="gramEnd"/>
      <w:r>
        <w:rPr>
          <w:rFonts w:ascii="Times New Roman" w:hAnsi="Times New Roman"/>
          <w:sz w:val="22"/>
        </w:rPr>
        <w:t>系统最终验收。</w:t>
      </w:r>
    </w:p>
    <w:p w:rsidR="006059AC" w:rsidRDefault="006059AC" w:rsidP="006059AC">
      <w:pPr>
        <w:adjustRightInd w:val="0"/>
        <w:snapToGrid w:val="0"/>
        <w:spacing w:line="300" w:lineRule="auto"/>
        <w:ind w:firstLineChars="200" w:firstLine="442"/>
        <w:rPr>
          <w:rFonts w:ascii="Times New Roman" w:hAnsi="Times New Roman"/>
          <w:b/>
          <w:color w:val="FF0000"/>
          <w:sz w:val="22"/>
          <w:u w:val="wavyHeavy"/>
        </w:rPr>
      </w:pPr>
      <w:r>
        <w:rPr>
          <w:rFonts w:ascii="Times New Roman" w:hAnsi="Times New Roman"/>
          <w:b/>
          <w:color w:val="000000"/>
          <w:sz w:val="22"/>
        </w:rPr>
        <w:t>4.</w:t>
      </w:r>
      <w:r>
        <w:rPr>
          <w:rFonts w:ascii="Times New Roman" w:hAnsi="Times New Roman" w:hint="eastAsia"/>
          <w:b/>
          <w:color w:val="000000"/>
          <w:sz w:val="22"/>
        </w:rPr>
        <w:t>4</w:t>
      </w:r>
      <w:r>
        <w:rPr>
          <w:rFonts w:ascii="Times New Roman" w:hAnsi="Times New Roman"/>
          <w:b/>
          <w:bCs/>
          <w:iCs/>
          <w:color w:val="000000"/>
          <w:kern w:val="36"/>
          <w:sz w:val="22"/>
        </w:rPr>
        <w:t>质保期</w:t>
      </w:r>
      <w:r>
        <w:rPr>
          <w:rFonts w:ascii="Times New Roman" w:hAnsi="Times New Roman"/>
          <w:bCs/>
          <w:iCs/>
          <w:color w:val="000000"/>
          <w:kern w:val="36"/>
          <w:sz w:val="22"/>
        </w:rPr>
        <w:t>：软件开发质量保证（免费技术支持）期为</w:t>
      </w:r>
      <w:r>
        <w:rPr>
          <w:rFonts w:ascii="Times New Roman" w:hAnsi="Times New Roman" w:hint="eastAsia"/>
          <w:bCs/>
          <w:iCs/>
          <w:color w:val="000000"/>
          <w:kern w:val="36"/>
          <w:sz w:val="22"/>
        </w:rPr>
        <w:t>1</w:t>
      </w:r>
      <w:r>
        <w:rPr>
          <w:rFonts w:ascii="Times New Roman" w:hAnsi="Times New Roman"/>
          <w:bCs/>
          <w:iCs/>
          <w:color w:val="000000"/>
          <w:kern w:val="36"/>
          <w:sz w:val="22"/>
        </w:rPr>
        <w:t>年。质量保证期工作内容要求按照合同文件规定执行。质量保证期从项目</w:t>
      </w:r>
      <w:r>
        <w:rPr>
          <w:rFonts w:ascii="Times New Roman" w:hAnsi="Times New Roman"/>
          <w:color w:val="000000"/>
          <w:sz w:val="22"/>
        </w:rPr>
        <w:t>验收通过并交付之日后起计。</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p>
    <w:p w:rsidR="006059AC" w:rsidRDefault="006059AC" w:rsidP="006059AC">
      <w:pPr>
        <w:adjustRightInd w:val="0"/>
        <w:snapToGrid w:val="0"/>
        <w:spacing w:line="300" w:lineRule="auto"/>
        <w:ind w:firstLineChars="200" w:firstLine="442"/>
        <w:jc w:val="left"/>
        <w:outlineLvl w:val="2"/>
        <w:rPr>
          <w:rFonts w:ascii="Times New Roman" w:hAnsi="Times New Roman"/>
          <w:b/>
          <w:color w:val="000000"/>
          <w:sz w:val="22"/>
        </w:rPr>
      </w:pPr>
      <w:bookmarkStart w:id="9" w:name="_Toc202447544"/>
      <w:r>
        <w:rPr>
          <w:rFonts w:ascii="Times New Roman" w:hAnsi="Times New Roman"/>
          <w:b/>
          <w:color w:val="000000"/>
          <w:sz w:val="22"/>
        </w:rPr>
        <w:t xml:space="preserve">5 </w:t>
      </w:r>
      <w:r>
        <w:rPr>
          <w:rFonts w:ascii="Times New Roman" w:hAnsi="Times New Roman"/>
          <w:b/>
          <w:color w:val="000000"/>
          <w:sz w:val="22"/>
        </w:rPr>
        <w:t>承包方式</w:t>
      </w:r>
      <w:bookmarkEnd w:id="9"/>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5.1 </w:t>
      </w:r>
      <w:r>
        <w:rPr>
          <w:rFonts w:ascii="Times New Roman" w:hAnsi="Times New Roman"/>
          <w:color w:val="000000"/>
          <w:sz w:val="22"/>
        </w:rPr>
        <w:t>依据本项目的招标范围和内容，中标人以包质包量、包安全可靠的方式实施总承包。</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Times New Roman"/>
          <w:color w:val="0000FF"/>
          <w:sz w:val="22"/>
        </w:rPr>
        <w:t>本项目不允许分包。</w:t>
      </w:r>
    </w:p>
    <w:p w:rsidR="006059AC" w:rsidRDefault="006059AC" w:rsidP="006059AC">
      <w:pPr>
        <w:adjustRightInd w:val="0"/>
        <w:snapToGrid w:val="0"/>
        <w:spacing w:line="300" w:lineRule="auto"/>
        <w:ind w:firstLineChars="200" w:firstLine="442"/>
        <w:jc w:val="left"/>
        <w:outlineLvl w:val="2"/>
        <w:rPr>
          <w:rFonts w:ascii="Times New Roman" w:hAnsi="Times New Roman"/>
          <w:b/>
          <w:color w:val="000000"/>
          <w:sz w:val="22"/>
        </w:rPr>
      </w:pPr>
      <w:bookmarkStart w:id="10" w:name="_Toc202447545"/>
      <w:r>
        <w:rPr>
          <w:rFonts w:ascii="Times New Roman" w:hAnsi="Times New Roman"/>
          <w:b/>
          <w:color w:val="000000"/>
          <w:sz w:val="22"/>
        </w:rPr>
        <w:t xml:space="preserve">6 </w:t>
      </w:r>
      <w:r>
        <w:rPr>
          <w:rFonts w:ascii="Times New Roman" w:hAnsi="Times New Roman"/>
          <w:b/>
          <w:color w:val="000000"/>
          <w:sz w:val="22"/>
        </w:rPr>
        <w:t>合同的签订</w:t>
      </w:r>
      <w:bookmarkEnd w:id="10"/>
    </w:p>
    <w:p w:rsidR="006059AC" w:rsidRDefault="006059AC" w:rsidP="006059AC">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6059AC" w:rsidRDefault="006059AC" w:rsidP="006059AC">
      <w:pPr>
        <w:adjustRightInd w:val="0"/>
        <w:snapToGrid w:val="0"/>
        <w:spacing w:line="300" w:lineRule="auto"/>
        <w:ind w:firstLineChars="200" w:firstLine="442"/>
        <w:jc w:val="left"/>
        <w:outlineLvl w:val="2"/>
        <w:rPr>
          <w:rFonts w:ascii="Times New Roman" w:hAnsi="Times New Roman"/>
          <w:sz w:val="22"/>
        </w:rPr>
      </w:pPr>
      <w:bookmarkStart w:id="11" w:name="_Toc202447546"/>
      <w:r>
        <w:rPr>
          <w:rFonts w:ascii="Times New Roman" w:hAnsi="Times New Roman"/>
          <w:b/>
          <w:color w:val="000000"/>
          <w:sz w:val="22"/>
        </w:rPr>
        <w:t xml:space="preserve">7 </w:t>
      </w:r>
      <w:r>
        <w:rPr>
          <w:rFonts w:ascii="Times New Roman" w:hAnsi="Times New Roman"/>
          <w:b/>
          <w:color w:val="000000"/>
          <w:sz w:val="22"/>
        </w:rPr>
        <w:t>结算原则和支付方式</w:t>
      </w:r>
      <w:bookmarkEnd w:id="11"/>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本项目合同总价不变，采购人不会因人工费、物价、费率、汇率或其他因素（不可抗力除外）的变动而进行调整。</w:t>
      </w:r>
    </w:p>
    <w:p w:rsidR="006059AC" w:rsidRDefault="006059AC" w:rsidP="006059AC">
      <w:pPr>
        <w:adjustRightInd w:val="0"/>
        <w:snapToGrid w:val="0"/>
        <w:spacing w:line="300" w:lineRule="auto"/>
        <w:ind w:firstLineChars="200" w:firstLine="440"/>
        <w:rPr>
          <w:rFonts w:ascii="Times New Roman" w:hAnsi="Times New Roman"/>
          <w:sz w:val="22"/>
        </w:rPr>
      </w:pPr>
      <w:bookmarkStart w:id="12" w:name="_Hlk491536023"/>
      <w:bookmarkStart w:id="13" w:name="_Hlk491529382"/>
      <w:r>
        <w:rPr>
          <w:rFonts w:ascii="Times New Roman" w:hAnsi="Times New Roman"/>
          <w:sz w:val="22"/>
        </w:rPr>
        <w:t xml:space="preserve">7.2 </w:t>
      </w:r>
      <w:r>
        <w:rPr>
          <w:rFonts w:ascii="Times New Roman" w:hAnsi="Times New Roman"/>
          <w:sz w:val="22"/>
        </w:rPr>
        <w:t>支付方式</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7.2.1 </w:t>
      </w:r>
      <w:r>
        <w:rPr>
          <w:rFonts w:ascii="Times New Roman" w:hAnsi="Times New Roman"/>
          <w:sz w:val="22"/>
        </w:rPr>
        <w:t>本项目合同金额采用</w:t>
      </w:r>
      <w:r>
        <w:rPr>
          <w:rFonts w:ascii="Times New Roman" w:hAnsi="Times New Roman"/>
          <w:b/>
          <w:bCs/>
          <w:color w:val="FF0000"/>
          <w:sz w:val="22"/>
          <w:u w:val="wavyHeavy"/>
        </w:rPr>
        <w:t>分期付款</w:t>
      </w:r>
      <w:r>
        <w:rPr>
          <w:rFonts w:ascii="Times New Roman" w:hAnsi="Times New Roman"/>
          <w:sz w:val="22"/>
        </w:rPr>
        <w:t>方式，在采购人和中标人合同签订，且财政资金到位后，按下款要求支付相应的合同款项。</w:t>
      </w:r>
    </w:p>
    <w:p w:rsidR="006059AC" w:rsidRDefault="006059AC" w:rsidP="006059AC">
      <w:pPr>
        <w:adjustRightInd w:val="0"/>
        <w:snapToGrid w:val="0"/>
        <w:spacing w:line="300" w:lineRule="auto"/>
        <w:ind w:firstLineChars="200" w:firstLine="440"/>
        <w:rPr>
          <w:rFonts w:ascii="Times New Roman" w:hAnsi="Times New Roman"/>
          <w:sz w:val="22"/>
        </w:rPr>
      </w:pPr>
      <w:bookmarkStart w:id="14" w:name="_Toc476932385"/>
      <w:bookmarkEnd w:id="12"/>
      <w:bookmarkEnd w:id="13"/>
      <w:r>
        <w:rPr>
          <w:rFonts w:ascii="Times New Roman" w:hAnsi="Times New Roman"/>
          <w:sz w:val="22"/>
        </w:rPr>
        <w:t>7.2.2</w:t>
      </w:r>
      <w:r>
        <w:rPr>
          <w:rFonts w:ascii="Times New Roman" w:hAnsi="宋体"/>
          <w:sz w:val="22"/>
        </w:rPr>
        <w:t>分期付款的时间进度要求和支付比例具体如下：</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1</w:t>
      </w:r>
      <w:r>
        <w:rPr>
          <w:rFonts w:ascii="Times New Roman" w:hAnsi="Times New Roman"/>
          <w:color w:val="000000"/>
          <w:sz w:val="22"/>
        </w:rPr>
        <w:t>）第一笔付款</w:t>
      </w:r>
      <w:r>
        <w:rPr>
          <w:rFonts w:ascii="Times New Roman" w:hAnsi="Times New Roman"/>
          <w:color w:val="000000"/>
          <w:sz w:val="22"/>
        </w:rPr>
        <w:t>-</w:t>
      </w:r>
      <w:r>
        <w:rPr>
          <w:rFonts w:ascii="Times New Roman" w:hAnsi="Times New Roman"/>
          <w:color w:val="000000"/>
          <w:sz w:val="22"/>
        </w:rPr>
        <w:t>预付款（</w:t>
      </w:r>
      <w:r>
        <w:rPr>
          <w:rFonts w:ascii="Times New Roman" w:hAnsi="Times New Roman"/>
          <w:color w:val="000000"/>
          <w:sz w:val="22"/>
        </w:rPr>
        <w:t>30%</w:t>
      </w:r>
      <w:r>
        <w:rPr>
          <w:rFonts w:ascii="Times New Roman" w:hAnsi="Times New Roman"/>
          <w:color w:val="000000"/>
          <w:sz w:val="22"/>
        </w:rPr>
        <w:t>）：合同签订且财政资金下达</w:t>
      </w:r>
      <w:r>
        <w:rPr>
          <w:rFonts w:ascii="Times New Roman" w:hAnsi="Times New Roman" w:hint="eastAsia"/>
          <w:color w:val="000000"/>
          <w:sz w:val="22"/>
        </w:rPr>
        <w:t>、</w:t>
      </w:r>
      <w:r>
        <w:rPr>
          <w:rFonts w:ascii="Times New Roman" w:hAnsi="Times New Roman"/>
          <w:color w:val="000000"/>
          <w:sz w:val="22"/>
        </w:rPr>
        <w:t>采购人收到</w:t>
      </w:r>
      <w:r>
        <w:rPr>
          <w:rFonts w:ascii="Times New Roman" w:hAnsi="Times New Roman" w:hint="eastAsia"/>
          <w:color w:val="000000"/>
          <w:sz w:val="22"/>
        </w:rPr>
        <w:t>合法</w:t>
      </w:r>
      <w:r>
        <w:rPr>
          <w:rFonts w:ascii="Times New Roman" w:hAnsi="Times New Roman"/>
          <w:color w:val="000000"/>
          <w:sz w:val="22"/>
        </w:rPr>
        <w:t>发票后，</w:t>
      </w:r>
      <w:r>
        <w:rPr>
          <w:rFonts w:ascii="Times New Roman" w:hAnsi="Times New Roman" w:hint="eastAsia"/>
          <w:color w:val="000000"/>
          <w:sz w:val="22"/>
        </w:rPr>
        <w:t>完</w:t>
      </w:r>
      <w:r>
        <w:rPr>
          <w:rFonts w:ascii="Times New Roman" w:hAnsi="Times New Roman"/>
          <w:color w:val="000000"/>
          <w:sz w:val="22"/>
        </w:rPr>
        <w:t>成支付预付款；</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2</w:t>
      </w:r>
      <w:r>
        <w:rPr>
          <w:rFonts w:ascii="Times New Roman" w:hAnsi="Times New Roman"/>
          <w:color w:val="000000"/>
          <w:sz w:val="22"/>
        </w:rPr>
        <w:t>）第二笔付款</w:t>
      </w:r>
      <w:r>
        <w:rPr>
          <w:rFonts w:ascii="Times New Roman" w:hAnsi="Times New Roman"/>
          <w:color w:val="000000"/>
          <w:sz w:val="22"/>
        </w:rPr>
        <w:t>-</w:t>
      </w:r>
      <w:r>
        <w:rPr>
          <w:rFonts w:ascii="Times New Roman" w:hAnsi="Times New Roman"/>
          <w:color w:val="000000"/>
          <w:sz w:val="22"/>
        </w:rPr>
        <w:t>交货付款（</w:t>
      </w:r>
      <w:r>
        <w:rPr>
          <w:rFonts w:ascii="Times New Roman" w:hAnsi="Times New Roman"/>
          <w:color w:val="000000"/>
          <w:sz w:val="22"/>
        </w:rPr>
        <w:t>50%</w:t>
      </w:r>
      <w:r>
        <w:rPr>
          <w:rFonts w:ascii="Times New Roman" w:hAnsi="Times New Roman"/>
          <w:color w:val="000000"/>
          <w:sz w:val="22"/>
        </w:rPr>
        <w:t>）：项目完成开发和调试工作并进入试运行且通过</w:t>
      </w:r>
      <w:r>
        <w:rPr>
          <w:rFonts w:ascii="Times New Roman" w:hAnsi="Times New Roman" w:hint="eastAsia"/>
          <w:color w:val="000000"/>
          <w:sz w:val="22"/>
        </w:rPr>
        <w:t>行业</w:t>
      </w:r>
      <w:r>
        <w:rPr>
          <w:rFonts w:ascii="Times New Roman" w:hAnsi="Times New Roman"/>
          <w:color w:val="000000"/>
          <w:sz w:val="22"/>
        </w:rPr>
        <w:t>验收，且</w:t>
      </w:r>
      <w:r>
        <w:rPr>
          <w:rFonts w:ascii="Times New Roman" w:hAnsi="Times New Roman"/>
          <w:color w:val="000000"/>
          <w:sz w:val="22"/>
        </w:rPr>
        <w:lastRenderedPageBreak/>
        <w:t>财政资金下达</w:t>
      </w:r>
      <w:r>
        <w:rPr>
          <w:rFonts w:ascii="Times New Roman" w:hAnsi="Times New Roman" w:hint="eastAsia"/>
          <w:color w:val="000000"/>
          <w:sz w:val="22"/>
        </w:rPr>
        <w:t>、</w:t>
      </w:r>
      <w:r>
        <w:rPr>
          <w:rFonts w:ascii="Times New Roman" w:hAnsi="Times New Roman"/>
          <w:color w:val="000000"/>
          <w:sz w:val="22"/>
        </w:rPr>
        <w:t>采购人收到</w:t>
      </w:r>
      <w:r>
        <w:rPr>
          <w:rFonts w:ascii="Times New Roman" w:hAnsi="Times New Roman" w:hint="eastAsia"/>
          <w:color w:val="000000"/>
          <w:sz w:val="22"/>
        </w:rPr>
        <w:t>合法</w:t>
      </w:r>
      <w:r>
        <w:rPr>
          <w:rFonts w:ascii="Times New Roman" w:hAnsi="Times New Roman"/>
          <w:color w:val="000000"/>
          <w:sz w:val="22"/>
        </w:rPr>
        <w:t>发票后，完成支付第二笔合同款；</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3</w:t>
      </w:r>
      <w:r>
        <w:rPr>
          <w:rFonts w:ascii="Times New Roman" w:hAnsi="Times New Roman"/>
          <w:color w:val="000000"/>
          <w:sz w:val="22"/>
        </w:rPr>
        <w:t>）第三笔付款</w:t>
      </w:r>
      <w:r>
        <w:rPr>
          <w:rFonts w:ascii="Times New Roman" w:hAnsi="Times New Roman"/>
          <w:color w:val="000000"/>
          <w:sz w:val="22"/>
        </w:rPr>
        <w:t>-</w:t>
      </w:r>
      <w:r>
        <w:rPr>
          <w:rFonts w:ascii="Times New Roman" w:hAnsi="Times New Roman"/>
          <w:color w:val="000000"/>
          <w:sz w:val="22"/>
        </w:rPr>
        <w:t>最终验收付款（</w:t>
      </w:r>
      <w:r>
        <w:rPr>
          <w:rFonts w:ascii="Times New Roman" w:hAnsi="Times New Roman"/>
          <w:color w:val="000000"/>
          <w:sz w:val="22"/>
        </w:rPr>
        <w:t>20%</w:t>
      </w:r>
      <w:r>
        <w:rPr>
          <w:rFonts w:ascii="Times New Roman" w:hAnsi="Times New Roman"/>
          <w:color w:val="000000"/>
          <w:sz w:val="22"/>
        </w:rPr>
        <w:t>）：验收单或验收报告及审价报告出具，且财政资金下达</w:t>
      </w:r>
      <w:r>
        <w:rPr>
          <w:rFonts w:ascii="Times New Roman" w:hAnsi="Times New Roman" w:hint="eastAsia"/>
          <w:color w:val="000000"/>
          <w:sz w:val="22"/>
        </w:rPr>
        <w:t>、</w:t>
      </w:r>
      <w:r>
        <w:rPr>
          <w:rFonts w:ascii="Times New Roman" w:hAnsi="Times New Roman"/>
          <w:color w:val="000000"/>
          <w:sz w:val="22"/>
        </w:rPr>
        <w:t>采购人收到</w:t>
      </w:r>
      <w:r>
        <w:rPr>
          <w:rFonts w:ascii="Times New Roman" w:hAnsi="Times New Roman" w:hint="eastAsia"/>
          <w:color w:val="000000"/>
          <w:sz w:val="22"/>
        </w:rPr>
        <w:t>合法</w:t>
      </w:r>
      <w:r>
        <w:rPr>
          <w:rFonts w:ascii="Times New Roman" w:hAnsi="Times New Roman"/>
          <w:color w:val="000000"/>
          <w:sz w:val="22"/>
        </w:rPr>
        <w:t>发票后</w:t>
      </w:r>
      <w:r>
        <w:rPr>
          <w:rFonts w:ascii="Times New Roman" w:hAnsi="Times New Roman" w:hint="eastAsia"/>
          <w:color w:val="000000"/>
          <w:sz w:val="22"/>
        </w:rPr>
        <w:t>，</w:t>
      </w:r>
      <w:r>
        <w:rPr>
          <w:rFonts w:ascii="Times New Roman" w:hAnsi="Times New Roman"/>
          <w:color w:val="000000"/>
          <w:sz w:val="22"/>
        </w:rPr>
        <w:t>依据审计金额完成支付剩余合同款。</w:t>
      </w:r>
    </w:p>
    <w:p w:rsidR="006059AC" w:rsidRDefault="006059AC" w:rsidP="006059AC">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7.3</w:t>
      </w:r>
      <w:r>
        <w:rPr>
          <w:rFonts w:ascii="Times New Roman" w:hAnsi="宋体"/>
          <w:color w:val="000000"/>
          <w:sz w:val="22"/>
        </w:rPr>
        <w:t>中标人因自身原因造成返工的工作量，采购人将不予计量和支付。</w:t>
      </w:r>
    </w:p>
    <w:p w:rsidR="006059AC" w:rsidRPr="00EE7EE2" w:rsidRDefault="006059AC" w:rsidP="006059AC">
      <w:pPr>
        <w:snapToGrid w:val="0"/>
        <w:spacing w:line="300" w:lineRule="auto"/>
        <w:ind w:firstLineChars="200" w:firstLine="440"/>
        <w:jc w:val="left"/>
        <w:rPr>
          <w:rFonts w:ascii="Times New Roman" w:hAnsi="Times New Roman"/>
          <w:sz w:val="22"/>
        </w:rPr>
      </w:pPr>
      <w:bookmarkStart w:id="15" w:name="_GoBack"/>
      <w:r w:rsidRPr="00EE7EE2">
        <w:rPr>
          <w:rFonts w:ascii="Times New Roman" w:hAnsi="Times New Roman" w:hint="eastAsia"/>
          <w:sz w:val="22"/>
        </w:rPr>
        <w:t>7.4</w:t>
      </w:r>
      <w:r w:rsidRPr="00EE7EE2">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EE7EE2">
        <w:rPr>
          <w:rFonts w:ascii="Times New Roman" w:hAnsi="Times New Roman" w:hint="eastAsia"/>
          <w:sz w:val="22"/>
        </w:rPr>
        <w:t>1</w:t>
      </w:r>
      <w:r w:rsidRPr="00EE7EE2">
        <w:rPr>
          <w:rFonts w:ascii="Times New Roman" w:hAnsi="Times New Roman" w:hint="eastAsia"/>
          <w:sz w:val="22"/>
        </w:rPr>
        <w:t>年</w:t>
      </w:r>
      <w:proofErr w:type="gramStart"/>
      <w:r w:rsidRPr="00EE7EE2">
        <w:rPr>
          <w:rFonts w:ascii="Times New Roman" w:hAnsi="Times New Roman" w:hint="eastAsia"/>
          <w:sz w:val="22"/>
        </w:rPr>
        <w:t>期贷款市场</w:t>
      </w:r>
      <w:proofErr w:type="gramEnd"/>
      <w:r w:rsidRPr="00EE7EE2">
        <w:rPr>
          <w:rFonts w:ascii="Times New Roman" w:hAnsi="Times New Roman" w:hint="eastAsia"/>
          <w:sz w:val="22"/>
        </w:rPr>
        <w:t>报价利率。</w:t>
      </w:r>
    </w:p>
    <w:p w:rsidR="006059AC" w:rsidRDefault="006059AC" w:rsidP="006059AC">
      <w:pPr>
        <w:adjustRightInd w:val="0"/>
        <w:snapToGrid w:val="0"/>
        <w:spacing w:line="300" w:lineRule="auto"/>
        <w:jc w:val="center"/>
        <w:outlineLvl w:val="1"/>
        <w:rPr>
          <w:rFonts w:ascii="Times New Roman" w:eastAsia="黑体" w:hAnsi="Times New Roman"/>
          <w:sz w:val="30"/>
          <w:szCs w:val="30"/>
        </w:rPr>
      </w:pPr>
      <w:bookmarkStart w:id="16" w:name="_Toc202447547"/>
      <w:bookmarkEnd w:id="15"/>
      <w:r>
        <w:rPr>
          <w:rFonts w:ascii="Times New Roman" w:eastAsia="黑体" w:hAnsi="Times New Roman"/>
          <w:sz w:val="30"/>
          <w:szCs w:val="30"/>
        </w:rPr>
        <w:t>三、技术质量要求</w:t>
      </w:r>
      <w:bookmarkEnd w:id="14"/>
      <w:bookmarkEnd w:id="16"/>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17" w:name="_Toc476308503"/>
      <w:bookmarkStart w:id="18" w:name="_Toc476932387"/>
      <w:bookmarkStart w:id="19" w:name="_Toc202447548"/>
      <w:r>
        <w:rPr>
          <w:rFonts w:ascii="Times New Roman" w:hAnsi="Times New Roman"/>
          <w:b/>
          <w:bCs/>
          <w:sz w:val="22"/>
        </w:rPr>
        <w:t xml:space="preserve">8 </w:t>
      </w:r>
      <w:r>
        <w:rPr>
          <w:rFonts w:ascii="Times New Roman" w:hAnsi="Times New Roman"/>
          <w:b/>
          <w:bCs/>
          <w:sz w:val="22"/>
        </w:rPr>
        <w:t>适用技术规范和规范性文件</w:t>
      </w:r>
      <w:bookmarkEnd w:id="17"/>
      <w:bookmarkEnd w:id="18"/>
      <w:bookmarkEnd w:id="19"/>
    </w:p>
    <w:p w:rsidR="006059AC" w:rsidRDefault="006059AC" w:rsidP="006059AC">
      <w:pPr>
        <w:adjustRightInd w:val="0"/>
        <w:snapToGrid w:val="0"/>
        <w:spacing w:line="300" w:lineRule="auto"/>
        <w:ind w:firstLineChars="200" w:firstLine="440"/>
        <w:rPr>
          <w:rFonts w:ascii="Times New Roman" w:hAnsi="Times New Roman"/>
          <w:bCs/>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20" w:name="_Toc202447549"/>
      <w:r>
        <w:rPr>
          <w:rFonts w:ascii="Times New Roman" w:hAnsi="Times New Roman"/>
          <w:b/>
          <w:bCs/>
          <w:sz w:val="22"/>
        </w:rPr>
        <w:t>9</w:t>
      </w:r>
      <w:r>
        <w:rPr>
          <w:rFonts w:ascii="Times New Roman" w:hAnsi="Times New Roman"/>
          <w:b/>
          <w:bCs/>
          <w:sz w:val="22"/>
        </w:rPr>
        <w:t>招标内容与质量要求</w:t>
      </w:r>
      <w:bookmarkEnd w:id="20"/>
    </w:p>
    <w:p w:rsidR="006059AC" w:rsidRDefault="006059AC" w:rsidP="006059AC">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w:t>
      </w:r>
      <w:r w:rsidRPr="00EE7EE2">
        <w:rPr>
          <w:rFonts w:ascii="Times New Roman" w:hAnsi="Times New Roman"/>
          <w:bCs/>
          <w:sz w:val="22"/>
        </w:rPr>
        <w:t xml:space="preserve">.1 </w:t>
      </w:r>
      <w:r w:rsidRPr="00EE7EE2">
        <w:rPr>
          <w:rFonts w:ascii="Times New Roman" w:hAnsi="Times New Roman"/>
          <w:bCs/>
          <w:sz w:val="22"/>
        </w:rPr>
        <w:t>软件开发工作清单</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2392"/>
        <w:gridCol w:w="2856"/>
        <w:gridCol w:w="2856"/>
      </w:tblGrid>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hAnsi="Times New Roman"/>
                <w:b/>
                <w:sz w:val="22"/>
              </w:rPr>
            </w:pPr>
            <w:bookmarkStart w:id="21" w:name="_Hlk491530071"/>
            <w:r>
              <w:rPr>
                <w:rFonts w:ascii="Times New Roman" w:hAnsi="Times New Roman"/>
                <w:b/>
                <w:sz w:val="22"/>
              </w:rPr>
              <w:t>序号</w:t>
            </w:r>
          </w:p>
        </w:tc>
        <w:tc>
          <w:tcPr>
            <w:tcW w:w="2392" w:type="dxa"/>
            <w:vAlign w:val="center"/>
          </w:tcPr>
          <w:p w:rsidR="006059AC" w:rsidRDefault="006059AC" w:rsidP="00D31A9F">
            <w:pPr>
              <w:adjustRightInd w:val="0"/>
              <w:snapToGrid w:val="0"/>
              <w:jc w:val="center"/>
              <w:rPr>
                <w:rFonts w:ascii="Times New Roman" w:hAnsi="Times New Roman"/>
                <w:b/>
                <w:sz w:val="22"/>
              </w:rPr>
            </w:pPr>
            <w:r>
              <w:rPr>
                <w:rFonts w:ascii="Times New Roman" w:hAnsi="Times New Roman"/>
                <w:b/>
                <w:sz w:val="22"/>
              </w:rPr>
              <w:t>模块名称</w:t>
            </w:r>
          </w:p>
        </w:tc>
        <w:tc>
          <w:tcPr>
            <w:tcW w:w="2856" w:type="dxa"/>
            <w:vAlign w:val="center"/>
          </w:tcPr>
          <w:p w:rsidR="006059AC" w:rsidRDefault="006059AC" w:rsidP="00D31A9F">
            <w:pPr>
              <w:adjustRightInd w:val="0"/>
              <w:snapToGrid w:val="0"/>
              <w:jc w:val="center"/>
              <w:rPr>
                <w:rFonts w:ascii="Times New Roman" w:hAnsi="Times New Roman"/>
                <w:b/>
                <w:sz w:val="22"/>
              </w:rPr>
            </w:pPr>
            <w:r>
              <w:rPr>
                <w:rFonts w:ascii="Times New Roman" w:hAnsi="Times New Roman"/>
                <w:b/>
                <w:sz w:val="22"/>
              </w:rPr>
              <w:t>功能及技术指标</w:t>
            </w:r>
          </w:p>
        </w:tc>
        <w:tc>
          <w:tcPr>
            <w:tcW w:w="2856" w:type="dxa"/>
            <w:vAlign w:val="center"/>
          </w:tcPr>
          <w:p w:rsidR="006059AC" w:rsidRDefault="006059AC" w:rsidP="00D31A9F">
            <w:pPr>
              <w:adjustRightInd w:val="0"/>
              <w:snapToGrid w:val="0"/>
              <w:jc w:val="center"/>
              <w:rPr>
                <w:rFonts w:ascii="Times New Roman" w:hAnsi="Times New Roman"/>
                <w:b/>
                <w:sz w:val="22"/>
              </w:rPr>
            </w:pPr>
            <w:r>
              <w:rPr>
                <w:rFonts w:ascii="Times New Roman" w:hAnsi="Times New Roman"/>
                <w:b/>
                <w:sz w:val="22"/>
              </w:rPr>
              <w:t>备注</w:t>
            </w: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w:t>
            </w:r>
          </w:p>
        </w:tc>
        <w:tc>
          <w:tcPr>
            <w:tcW w:w="2392" w:type="dxa"/>
            <w:vMerge w:val="restart"/>
            <w:vAlign w:val="center"/>
          </w:tcPr>
          <w:p w:rsidR="006059AC" w:rsidRDefault="006059AC" w:rsidP="00D31A9F">
            <w:pPr>
              <w:adjustRightInd w:val="0"/>
              <w:snapToGrid w:val="0"/>
              <w:jc w:val="left"/>
              <w:rPr>
                <w:rFonts w:ascii="Times New Roman" w:eastAsiaTheme="minorEastAsia" w:hAnsi="Times New Roman"/>
                <w:bCs/>
                <w:sz w:val="22"/>
              </w:rPr>
            </w:pPr>
            <w:r>
              <w:rPr>
                <w:rFonts w:ascii="Times New Roman" w:eastAsiaTheme="minorEastAsia" w:hAnsi="Times New Roman"/>
                <w:bCs/>
                <w:color w:val="000000"/>
                <w:kern w:val="0"/>
                <w:sz w:val="22"/>
              </w:rPr>
              <w:t>应用开发及管理</w:t>
            </w: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医疗器械进口数据监控</w:t>
            </w:r>
          </w:p>
        </w:tc>
        <w:tc>
          <w:tcPr>
            <w:tcW w:w="2856" w:type="dxa"/>
            <w:vMerge w:val="restart"/>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r>
              <w:rPr>
                <w:rFonts w:ascii="Times New Roman" w:eastAsiaTheme="minorEastAsia" w:hAnsi="Times New Roman"/>
                <w:bCs/>
                <w:color w:val="000000"/>
                <w:kern w:val="0"/>
                <w:sz w:val="22"/>
              </w:rPr>
              <w:t>详见</w:t>
            </w:r>
            <w:r>
              <w:rPr>
                <w:rFonts w:ascii="Times New Roman" w:eastAsiaTheme="minorEastAsia" w:hAnsi="Times New Roman"/>
                <w:bCs/>
                <w:color w:val="000000"/>
                <w:kern w:val="0"/>
                <w:sz w:val="22"/>
              </w:rPr>
              <w:t>9.4</w:t>
            </w:r>
            <w:proofErr w:type="gramStart"/>
            <w:r>
              <w:rPr>
                <w:rFonts w:ascii="Times New Roman" w:eastAsiaTheme="minorEastAsia" w:hAnsi="Times New Roman"/>
                <w:bCs/>
                <w:color w:val="000000"/>
                <w:kern w:val="0"/>
                <w:sz w:val="22"/>
              </w:rPr>
              <w:t>各</w:t>
            </w:r>
            <w:proofErr w:type="gramEnd"/>
            <w:r>
              <w:rPr>
                <w:rFonts w:ascii="Times New Roman" w:eastAsiaTheme="minorEastAsia" w:hAnsi="Times New Roman"/>
                <w:bCs/>
                <w:color w:val="000000"/>
                <w:kern w:val="0"/>
                <w:sz w:val="22"/>
              </w:rPr>
              <w:t>模块具体要求</w:t>
            </w: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2</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医疗器械知识库</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3</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智能监测评估</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4</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智慧检验监管</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5</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业务填报</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6</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保税区域一体化平台数据展示</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7</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分析展示平台</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8</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H4A</w:t>
            </w:r>
            <w:r>
              <w:rPr>
                <w:rFonts w:ascii="Times New Roman" w:eastAsiaTheme="minorEastAsia" w:hAnsi="Times New Roman"/>
                <w:bCs/>
                <w:color w:val="000000"/>
                <w:kern w:val="0"/>
                <w:sz w:val="22"/>
              </w:rPr>
              <w:t>对接</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9</w:t>
            </w:r>
          </w:p>
        </w:tc>
        <w:tc>
          <w:tcPr>
            <w:tcW w:w="2392" w:type="dxa"/>
            <w:vMerge/>
            <w:vAlign w:val="center"/>
          </w:tcPr>
          <w:p w:rsidR="006059AC" w:rsidRDefault="006059AC" w:rsidP="00D31A9F">
            <w:pPr>
              <w:adjustRightInd w:val="0"/>
              <w:snapToGrid w:val="0"/>
              <w:jc w:val="center"/>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后台管理</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10</w:t>
            </w:r>
          </w:p>
        </w:tc>
        <w:tc>
          <w:tcPr>
            <w:tcW w:w="2392" w:type="dxa"/>
            <w:vMerge w:val="restart"/>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模型智能</w:t>
            </w: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医疗器械检验监管模型</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11</w:t>
            </w:r>
          </w:p>
        </w:tc>
        <w:tc>
          <w:tcPr>
            <w:tcW w:w="2392" w:type="dxa"/>
            <w:vMerge/>
            <w:vAlign w:val="center"/>
          </w:tcPr>
          <w:p w:rsidR="006059AC" w:rsidRDefault="006059AC" w:rsidP="00D31A9F">
            <w:pPr>
              <w:jc w:val="left"/>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医疗器械</w:t>
            </w:r>
            <w:r>
              <w:rPr>
                <w:rFonts w:ascii="Times New Roman" w:eastAsiaTheme="minorEastAsia" w:hAnsi="Times New Roman"/>
                <w:bCs/>
                <w:color w:val="000000"/>
                <w:kern w:val="0"/>
                <w:sz w:val="22"/>
              </w:rPr>
              <w:t>AI</w:t>
            </w:r>
            <w:r>
              <w:rPr>
                <w:rFonts w:ascii="Times New Roman" w:eastAsiaTheme="minorEastAsia" w:hAnsi="Times New Roman"/>
                <w:bCs/>
                <w:color w:val="000000"/>
                <w:kern w:val="0"/>
                <w:sz w:val="22"/>
              </w:rPr>
              <w:t>大模型</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12</w:t>
            </w:r>
          </w:p>
        </w:tc>
        <w:tc>
          <w:tcPr>
            <w:tcW w:w="2392" w:type="dxa"/>
            <w:vMerge w:val="restart"/>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数据开发及建模</w:t>
            </w: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风险监测数据采集</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13</w:t>
            </w:r>
          </w:p>
        </w:tc>
        <w:tc>
          <w:tcPr>
            <w:tcW w:w="2392" w:type="dxa"/>
            <w:vMerge/>
            <w:vAlign w:val="center"/>
          </w:tcPr>
          <w:p w:rsidR="006059AC" w:rsidRDefault="006059AC" w:rsidP="00D31A9F">
            <w:pPr>
              <w:jc w:val="left"/>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数据处理</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14</w:t>
            </w:r>
          </w:p>
        </w:tc>
        <w:tc>
          <w:tcPr>
            <w:tcW w:w="2392" w:type="dxa"/>
            <w:vMerge/>
            <w:vAlign w:val="center"/>
          </w:tcPr>
          <w:p w:rsidR="006059AC" w:rsidRDefault="006059AC" w:rsidP="00D31A9F">
            <w:pPr>
              <w:jc w:val="left"/>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数据指标开发</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15</w:t>
            </w:r>
          </w:p>
        </w:tc>
        <w:tc>
          <w:tcPr>
            <w:tcW w:w="2392" w:type="dxa"/>
            <w:vMerge/>
            <w:vAlign w:val="center"/>
          </w:tcPr>
          <w:p w:rsidR="006059AC" w:rsidRDefault="006059AC" w:rsidP="00D31A9F">
            <w:pPr>
              <w:jc w:val="left"/>
              <w:rPr>
                <w:rFonts w:ascii="Times New Roman" w:eastAsiaTheme="minorEastAsia" w:hAnsi="Times New Roman"/>
                <w:bCs/>
                <w:sz w:val="22"/>
              </w:rPr>
            </w:pPr>
          </w:p>
        </w:tc>
        <w:tc>
          <w:tcPr>
            <w:tcW w:w="2856" w:type="dxa"/>
            <w:vAlign w:val="center"/>
          </w:tcPr>
          <w:p w:rsidR="006059AC" w:rsidRDefault="006059AC" w:rsidP="00D31A9F">
            <w:pPr>
              <w:widowControl/>
              <w:jc w:val="left"/>
              <w:textAlignment w:val="center"/>
              <w:rPr>
                <w:rFonts w:ascii="Times New Roman" w:eastAsiaTheme="minorEastAsia" w:hAnsi="Times New Roman"/>
                <w:bCs/>
                <w:sz w:val="22"/>
              </w:rPr>
            </w:pPr>
            <w:r>
              <w:rPr>
                <w:rFonts w:ascii="Times New Roman" w:eastAsiaTheme="minorEastAsia" w:hAnsi="Times New Roman"/>
                <w:bCs/>
                <w:color w:val="000000"/>
                <w:kern w:val="0"/>
                <w:sz w:val="22"/>
              </w:rPr>
              <w:t>主题库建设及数据服务</w:t>
            </w:r>
          </w:p>
        </w:tc>
        <w:tc>
          <w:tcPr>
            <w:tcW w:w="2856" w:type="dxa"/>
            <w:vMerge/>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p>
        </w:tc>
      </w:tr>
      <w:tr w:rsidR="006059AC" w:rsidTr="00D31A9F">
        <w:trPr>
          <w:trHeight w:val="425"/>
          <w:jc w:val="center"/>
        </w:trPr>
        <w:tc>
          <w:tcPr>
            <w:tcW w:w="928" w:type="dxa"/>
            <w:vAlign w:val="center"/>
          </w:tcPr>
          <w:p w:rsidR="006059AC" w:rsidRDefault="006059AC" w:rsidP="00D31A9F">
            <w:pPr>
              <w:adjustRightInd w:val="0"/>
              <w:snapToGrid w:val="0"/>
              <w:jc w:val="center"/>
              <w:rPr>
                <w:rFonts w:ascii="Times New Roman" w:eastAsiaTheme="minorEastAsia" w:hAnsi="Times New Roman"/>
                <w:bCs/>
                <w:sz w:val="22"/>
              </w:rPr>
            </w:pPr>
            <w:r>
              <w:rPr>
                <w:rFonts w:ascii="Times New Roman" w:eastAsiaTheme="minorEastAsia" w:hAnsi="Times New Roman"/>
                <w:bCs/>
                <w:sz w:val="22"/>
              </w:rPr>
              <w:t>16</w:t>
            </w:r>
          </w:p>
        </w:tc>
        <w:tc>
          <w:tcPr>
            <w:tcW w:w="2392" w:type="dxa"/>
            <w:vAlign w:val="center"/>
          </w:tcPr>
          <w:p w:rsidR="006059AC" w:rsidRDefault="006059AC" w:rsidP="00D31A9F">
            <w:pPr>
              <w:jc w:val="left"/>
              <w:rPr>
                <w:rFonts w:ascii="Times New Roman" w:eastAsiaTheme="minorEastAsia" w:hAnsi="Times New Roman"/>
                <w:bCs/>
                <w:sz w:val="22"/>
              </w:rPr>
            </w:pPr>
            <w:r>
              <w:rPr>
                <w:rFonts w:ascii="Times New Roman" w:eastAsiaTheme="minorEastAsia" w:hAnsi="Times New Roman"/>
                <w:bCs/>
                <w:sz w:val="22"/>
              </w:rPr>
              <w:t>大模型应用服务器</w:t>
            </w:r>
          </w:p>
        </w:tc>
        <w:tc>
          <w:tcPr>
            <w:tcW w:w="2856" w:type="dxa"/>
            <w:vAlign w:val="center"/>
          </w:tcPr>
          <w:p w:rsidR="006059AC" w:rsidRDefault="006059AC" w:rsidP="00D31A9F">
            <w:pPr>
              <w:widowControl/>
              <w:jc w:val="left"/>
              <w:textAlignment w:val="center"/>
              <w:rPr>
                <w:rFonts w:ascii="Times New Roman" w:eastAsiaTheme="minorEastAsia" w:hAnsi="Times New Roman"/>
                <w:bCs/>
                <w:color w:val="000000"/>
                <w:kern w:val="0"/>
                <w:sz w:val="22"/>
              </w:rPr>
            </w:pPr>
            <w:r>
              <w:rPr>
                <w:rFonts w:ascii="Times New Roman" w:eastAsiaTheme="minorEastAsia" w:hAnsi="Times New Roman"/>
                <w:bCs/>
                <w:sz w:val="22"/>
              </w:rPr>
              <w:t>大模型应用服务器</w:t>
            </w:r>
          </w:p>
        </w:tc>
        <w:tc>
          <w:tcPr>
            <w:tcW w:w="2856" w:type="dxa"/>
            <w:vAlign w:val="center"/>
          </w:tcPr>
          <w:p w:rsidR="006059AC" w:rsidRDefault="006059AC" w:rsidP="00D31A9F">
            <w:pPr>
              <w:widowControl/>
              <w:adjustRightInd w:val="0"/>
              <w:snapToGrid w:val="0"/>
              <w:jc w:val="left"/>
              <w:rPr>
                <w:rFonts w:ascii="Times New Roman" w:eastAsiaTheme="minorEastAsia" w:hAnsi="Times New Roman"/>
                <w:bCs/>
                <w:color w:val="000000"/>
                <w:kern w:val="0"/>
                <w:sz w:val="22"/>
              </w:rPr>
            </w:pPr>
            <w:r>
              <w:rPr>
                <w:rFonts w:ascii="Times New Roman" w:eastAsiaTheme="minorEastAsia" w:hAnsi="Times New Roman"/>
                <w:bCs/>
                <w:color w:val="000000"/>
                <w:kern w:val="0"/>
                <w:sz w:val="22"/>
              </w:rPr>
              <w:t>详见</w:t>
            </w:r>
            <w:r>
              <w:rPr>
                <w:rFonts w:ascii="Times New Roman" w:eastAsiaTheme="minorEastAsia" w:hAnsi="Times New Roman"/>
                <w:bCs/>
                <w:color w:val="000000"/>
                <w:kern w:val="0"/>
                <w:sz w:val="22"/>
              </w:rPr>
              <w:t xml:space="preserve">9.5 </w:t>
            </w:r>
            <w:r>
              <w:rPr>
                <w:rFonts w:ascii="Times New Roman" w:eastAsiaTheme="minorEastAsia" w:hAnsi="Times New Roman"/>
                <w:bCs/>
                <w:color w:val="000000"/>
                <w:kern w:val="0"/>
                <w:sz w:val="22"/>
              </w:rPr>
              <w:t>系统硬件要求</w:t>
            </w:r>
          </w:p>
        </w:tc>
      </w:tr>
    </w:tbl>
    <w:p w:rsidR="006059AC" w:rsidRDefault="006059AC" w:rsidP="006059AC">
      <w:pPr>
        <w:snapToGrid w:val="0"/>
        <w:spacing w:line="300" w:lineRule="auto"/>
        <w:ind w:firstLineChars="200" w:firstLine="442"/>
        <w:jc w:val="left"/>
        <w:rPr>
          <w:rFonts w:ascii="Times New Roman" w:hAnsi="Times New Roman"/>
          <w:b/>
          <w:color w:val="0000FF"/>
          <w:sz w:val="22"/>
          <w:u w:val="single"/>
        </w:rPr>
      </w:pPr>
      <w:r>
        <w:rPr>
          <w:rFonts w:ascii="Times New Roman" w:hAnsi="Times New Roman"/>
          <w:b/>
          <w:color w:val="0000FF"/>
          <w:sz w:val="22"/>
          <w:u w:val="single"/>
        </w:rPr>
        <w:t>说明：上表中所列为本次招标的主要工作内容，投标人不得减少</w:t>
      </w:r>
      <w:r>
        <w:rPr>
          <w:rFonts w:ascii="Times New Roman" w:hAnsi="Times New Roman" w:hint="eastAsia"/>
          <w:b/>
          <w:color w:val="0000FF"/>
          <w:sz w:val="22"/>
          <w:u w:val="single"/>
        </w:rPr>
        <w:t>主要工作内容</w:t>
      </w:r>
      <w:r>
        <w:rPr>
          <w:rFonts w:ascii="Times New Roman" w:hAnsi="Times New Roman"/>
          <w:b/>
          <w:color w:val="0000FF"/>
          <w:sz w:val="22"/>
          <w:u w:val="single"/>
        </w:rPr>
        <w:t>。</w:t>
      </w:r>
    </w:p>
    <w:bookmarkEnd w:id="21"/>
    <w:p w:rsidR="006059AC" w:rsidRDefault="006059AC" w:rsidP="00605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color w:val="0000FF"/>
          <w:sz w:val="22"/>
        </w:rPr>
      </w:pP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9.2 </w:t>
      </w:r>
      <w:r>
        <w:rPr>
          <w:rFonts w:ascii="Times New Roman" w:hAnsi="Times New Roman"/>
          <w:b/>
          <w:bCs/>
          <w:sz w:val="22"/>
        </w:rPr>
        <w:t>设计原则</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外高桥保税区作为生物医药产业的集聚区域，截至</w:t>
      </w:r>
      <w:r>
        <w:rPr>
          <w:rFonts w:ascii="Times New Roman" w:hAnsi="Times New Roman" w:hint="eastAsia"/>
          <w:sz w:val="22"/>
        </w:rPr>
        <w:t>2023</w:t>
      </w:r>
      <w:r>
        <w:rPr>
          <w:rFonts w:ascii="Times New Roman" w:hAnsi="Times New Roman" w:hint="eastAsia"/>
          <w:sz w:val="22"/>
        </w:rPr>
        <w:t>年底，保税区域集聚医疗器械贸易企业</w:t>
      </w:r>
      <w:r>
        <w:rPr>
          <w:rFonts w:ascii="Times New Roman" w:hAnsi="Times New Roman" w:hint="eastAsia"/>
          <w:sz w:val="22"/>
        </w:rPr>
        <w:lastRenderedPageBreak/>
        <w:t>224</w:t>
      </w:r>
      <w:r>
        <w:rPr>
          <w:rFonts w:ascii="Times New Roman" w:hAnsi="Times New Roman" w:hint="eastAsia"/>
          <w:sz w:val="22"/>
        </w:rPr>
        <w:t>家，企业规模类型和产品类型广泛，全国</w:t>
      </w:r>
      <w:r>
        <w:rPr>
          <w:rFonts w:ascii="Times New Roman" w:hAnsi="Times New Roman" w:hint="eastAsia"/>
          <w:sz w:val="22"/>
        </w:rPr>
        <w:t>4</w:t>
      </w:r>
      <w:r>
        <w:rPr>
          <w:rFonts w:ascii="Times New Roman" w:hAnsi="Times New Roman" w:hint="eastAsia"/>
          <w:sz w:val="22"/>
        </w:rPr>
        <w:t>成以上的进口医疗器械源自于此，具有良好的产品和企业基础。</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外高桥保税区可作为生物医药海关监管制度创新、产业创新先行试点区域，也为全国推广医疗器械实施分类分级差异化管理提供支撑。项目的建设遵循以下原则：</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）统筹规划，有序推进</w:t>
      </w:r>
      <w:r>
        <w:rPr>
          <w:rFonts w:ascii="MS Gothic" w:eastAsia="MS Gothic" w:hAnsi="MS Gothic" w:cs="MS Gothic" w:hint="eastAsia"/>
          <w:sz w:val="22"/>
        </w:rPr>
        <w:t>​</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基于项目的精准定位，充分</w:t>
      </w:r>
      <w:proofErr w:type="gramStart"/>
      <w:r>
        <w:rPr>
          <w:rFonts w:ascii="Times New Roman" w:hAnsi="Times New Roman" w:hint="eastAsia"/>
          <w:sz w:val="22"/>
        </w:rPr>
        <w:t>考量</w:t>
      </w:r>
      <w:proofErr w:type="gramEnd"/>
      <w:r>
        <w:rPr>
          <w:rFonts w:ascii="Times New Roman" w:hAnsi="Times New Roman" w:hint="eastAsia"/>
          <w:sz w:val="22"/>
        </w:rPr>
        <w:t>各政府管理机构的实际需求，制定全面且系统的总体方案。紧密结合区域建设的现实状况，分阶段、有步骤地稳步推进项目实施，确保各阶段工作有序衔接，逐步达成项目目标。</w:t>
      </w:r>
      <w:r>
        <w:rPr>
          <w:rFonts w:ascii="MS Gothic" w:eastAsia="MS Gothic" w:hAnsi="MS Gothic" w:cs="MS Gothic" w:hint="eastAsia"/>
          <w:sz w:val="22"/>
        </w:rPr>
        <w:t>​</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）顶层设计、自贸</w:t>
      </w:r>
      <w:proofErr w:type="gramStart"/>
      <w:r>
        <w:rPr>
          <w:rFonts w:ascii="Times New Roman" w:hAnsi="Times New Roman" w:hint="eastAsia"/>
          <w:sz w:val="22"/>
        </w:rPr>
        <w:t>区特色</w:t>
      </w:r>
      <w:proofErr w:type="gramEnd"/>
      <w:r>
        <w:rPr>
          <w:rFonts w:ascii="MS Gothic" w:eastAsia="MS Gothic" w:hAnsi="MS Gothic" w:cs="MS Gothic" w:hint="eastAsia"/>
          <w:sz w:val="22"/>
        </w:rPr>
        <w:t>​</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立足顶层设计视角，全力推动浦东新区外贸实现规模稳定、创新发展、市场拓展以及环境优化。平台建设不仅要契合各政府管理机构实施分类监管、协同监管与智能管理的需求，更要全方位满足外贸产业及企业的服务诉求，充分凸显自贸区的独特优势与创新特质。</w:t>
      </w:r>
      <w:r>
        <w:rPr>
          <w:rFonts w:ascii="MS Gothic" w:eastAsia="MS Gothic" w:hAnsi="MS Gothic" w:cs="MS Gothic" w:hint="eastAsia"/>
          <w:sz w:val="22"/>
        </w:rPr>
        <w:t>​</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）系统融合，实现无感监管</w:t>
      </w:r>
      <w:r>
        <w:rPr>
          <w:rFonts w:ascii="MS Gothic" w:eastAsia="MS Gothic" w:hAnsi="MS Gothic" w:cs="MS Gothic" w:hint="eastAsia"/>
          <w:sz w:val="22"/>
        </w:rPr>
        <w:t>​</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借助平台接入企业运营数据、海关权威统计数据以及检验监管相关数据等多元信息。各政府管理机构能够实时精准掌握区内企业的动态作业详情，秉持“无风险不干预”的核心理念，实现监管过程的无感化，最大程度为区内企业提供便利。通过平台，促进各政府管理机构等单位间的数据协同与共享，同时积极对接</w:t>
      </w:r>
      <w:proofErr w:type="gramStart"/>
      <w:r>
        <w:rPr>
          <w:rFonts w:ascii="Times New Roman" w:hAnsi="Times New Roman" w:hint="eastAsia"/>
          <w:sz w:val="22"/>
        </w:rPr>
        <w:t>其他第三</w:t>
      </w:r>
      <w:proofErr w:type="gramEnd"/>
      <w:r>
        <w:rPr>
          <w:rFonts w:ascii="Times New Roman" w:hAnsi="Times New Roman" w:hint="eastAsia"/>
          <w:sz w:val="22"/>
        </w:rPr>
        <w:t>方数据资源，为各政府部门的管理工作提供坚实的数据支撑。</w:t>
      </w:r>
      <w:r>
        <w:rPr>
          <w:rFonts w:ascii="MS Gothic" w:eastAsia="MS Gothic" w:hAnsi="MS Gothic" w:cs="MS Gothic" w:hint="eastAsia"/>
          <w:sz w:val="22"/>
        </w:rPr>
        <w:t>​</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）智慧监管，拓展开放服务</w:t>
      </w:r>
      <w:r>
        <w:rPr>
          <w:rFonts w:ascii="MS Gothic" w:eastAsia="MS Gothic" w:hAnsi="MS Gothic" w:cs="MS Gothic" w:hint="eastAsia"/>
          <w:sz w:val="22"/>
        </w:rPr>
        <w:t>​</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深度融合浦东新区的智能设施设备数据，充分运用人工智能、大数据等前沿新技术，全方位满足各政府管理机构的监管需求。构建开放灵活的服务功能，创新服务模式，有效激发服务活力，为外贸发展营造更为优质的环境。</w:t>
      </w: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9.3 </w:t>
      </w:r>
      <w:r>
        <w:rPr>
          <w:rFonts w:ascii="Times New Roman" w:hAnsi="Times New Roman"/>
          <w:b/>
          <w:bCs/>
          <w:sz w:val="22"/>
        </w:rPr>
        <w:t>建设目标</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本项目平台以</w:t>
      </w:r>
      <w:r>
        <w:rPr>
          <w:rFonts w:ascii="Times New Roman" w:hAnsi="Times New Roman"/>
          <w:sz w:val="22"/>
        </w:rPr>
        <w:t>“</w:t>
      </w:r>
      <w:r>
        <w:rPr>
          <w:rFonts w:ascii="Times New Roman" w:hAnsi="Times New Roman"/>
          <w:sz w:val="22"/>
        </w:rPr>
        <w:t>提升进口医疗器械质量安全监管效能</w:t>
      </w:r>
      <w:r>
        <w:rPr>
          <w:rFonts w:ascii="Times New Roman" w:hAnsi="Times New Roman"/>
          <w:sz w:val="22"/>
        </w:rPr>
        <w:t>”</w:t>
      </w:r>
      <w:r>
        <w:rPr>
          <w:rFonts w:ascii="Times New Roman" w:hAnsi="Times New Roman"/>
          <w:sz w:val="22"/>
        </w:rPr>
        <w:t>为宗旨，通过数字化转型和智能化技术，围绕进口医疗器械的质量安全管理、通关流程优化和风险预警等关键场景，依托大数据和人工智能技术，构建进口医疗器械</w:t>
      </w:r>
      <w:r>
        <w:rPr>
          <w:rFonts w:ascii="Times New Roman" w:hAnsi="Times New Roman" w:hint="eastAsia"/>
          <w:sz w:val="22"/>
        </w:rPr>
        <w:t>智慧</w:t>
      </w:r>
      <w:r>
        <w:rPr>
          <w:rFonts w:ascii="Times New Roman" w:hAnsi="Times New Roman"/>
          <w:sz w:val="22"/>
        </w:rPr>
        <w:t>监管平台。平台的主要</w:t>
      </w:r>
      <w:r>
        <w:rPr>
          <w:rFonts w:ascii="Times New Roman" w:hAnsi="Times New Roman" w:hint="eastAsia"/>
          <w:sz w:val="22"/>
        </w:rPr>
        <w:t>模块</w:t>
      </w:r>
      <w:r>
        <w:rPr>
          <w:rFonts w:ascii="Times New Roman" w:hAnsi="Times New Roman"/>
          <w:sz w:val="22"/>
        </w:rPr>
        <w:t>包括：应用开发及管理、模型智能、数据开发及建模</w:t>
      </w:r>
      <w:r>
        <w:rPr>
          <w:rFonts w:ascii="Times New Roman" w:hAnsi="Times New Roman" w:hint="eastAsia"/>
          <w:sz w:val="22"/>
        </w:rPr>
        <w:t>三个模块</w:t>
      </w:r>
      <w:r>
        <w:rPr>
          <w:rFonts w:ascii="Times New Roman" w:hAnsi="Times New Roman"/>
          <w:sz w:val="22"/>
        </w:rPr>
        <w:t>。</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通过</w:t>
      </w:r>
      <w:r>
        <w:rPr>
          <w:rFonts w:asciiTheme="minorEastAsia" w:eastAsiaTheme="minorEastAsia" w:hAnsiTheme="minorEastAsia" w:cstheme="minorEastAsia" w:hint="eastAsia"/>
          <w:bCs/>
          <w:color w:val="000000"/>
          <w:kern w:val="0"/>
          <w:sz w:val="22"/>
        </w:rPr>
        <w:t>风险数据采集</w:t>
      </w:r>
      <w:r>
        <w:rPr>
          <w:rFonts w:ascii="Times New Roman" w:hAnsi="Times New Roman"/>
          <w:sz w:val="22"/>
        </w:rPr>
        <w:t>，采集境内</w:t>
      </w:r>
      <w:proofErr w:type="gramStart"/>
      <w:r>
        <w:rPr>
          <w:rFonts w:ascii="Times New Roman" w:hAnsi="Times New Roman"/>
          <w:sz w:val="22"/>
        </w:rPr>
        <w:t>外医疗</w:t>
      </w:r>
      <w:proofErr w:type="gramEnd"/>
      <w:r>
        <w:rPr>
          <w:rFonts w:ascii="Times New Roman" w:hAnsi="Times New Roman"/>
          <w:sz w:val="22"/>
        </w:rPr>
        <w:t>器械相关的风险信息，将医疗器械的在使用过程中的风险结合海关数据掌握医疗器械的进出口环节风险，掌握进口医疗器械全生命周期风险。通过精准的风险评估与分类管理，平台能够优化医疗器械的查验比例，</w:t>
      </w:r>
      <w:proofErr w:type="gramStart"/>
      <w:r>
        <w:rPr>
          <w:rFonts w:ascii="Times New Roman" w:hAnsi="Times New Roman"/>
          <w:sz w:val="22"/>
        </w:rPr>
        <w:t>减少低</w:t>
      </w:r>
      <w:proofErr w:type="gramEnd"/>
      <w:r>
        <w:rPr>
          <w:rFonts w:ascii="Times New Roman" w:hAnsi="Times New Roman"/>
          <w:sz w:val="22"/>
        </w:rPr>
        <w:t>风险产品的人工干预，从而提升通关效率，压缩通关时长。借助智能化风险监测和预警机制，平台能够提前识别潜在的质量安全隐患，并为监管部门提供快速响应的决策支持。通过数据共享与协作，打破部门间信息孤岛，实现信息互通和资源共享，增强监管精准度与协同效能。</w:t>
      </w:r>
    </w:p>
    <w:p w:rsidR="006059AC" w:rsidRDefault="006059AC" w:rsidP="006059AC">
      <w:pPr>
        <w:adjustRightInd w:val="0"/>
        <w:snapToGrid w:val="0"/>
        <w:spacing w:line="300" w:lineRule="auto"/>
        <w:ind w:firstLineChars="200" w:firstLine="440"/>
        <w:rPr>
          <w:rFonts w:ascii="Times New Roman" w:hAnsi="Times New Roman"/>
          <w:b/>
          <w:bCs/>
          <w:sz w:val="22"/>
        </w:rPr>
      </w:pPr>
      <w:r>
        <w:rPr>
          <w:rFonts w:ascii="宋体" w:hAnsi="宋体" w:cs="宋体" w:hint="eastAsia"/>
          <w:kern w:val="0"/>
          <w:sz w:val="22"/>
        </w:rPr>
        <w:t>最终，项目将带来显著的效益：一方面，提高进口医疗器械的监管智能化水平，提升通关时效，减少不必要的监管成本；另一方面，加强对高风险产品的管控，确保进口医疗器械的质量安全，有效保障公众健康和生命安全，为国家经济和社会稳定贡献力量。同时平台为外高桥保税区的生物医药企业提供精准服务，持续优化和完善保税区域的产业发展生态环境。通过因企施策，平台能够为企业量身定制政策支持，进一步提升通关便利度，推动企业在国内外市场上的竞争力。为未来继续通过因企施策、精准服务，支持外高桥保税区生物医药特色产业园和保税区域国际医疗器械智</w:t>
      </w:r>
      <w:proofErr w:type="gramStart"/>
      <w:r>
        <w:rPr>
          <w:rFonts w:ascii="宋体" w:hAnsi="宋体" w:cs="宋体" w:hint="eastAsia"/>
          <w:kern w:val="0"/>
          <w:sz w:val="22"/>
        </w:rPr>
        <w:t>造基地</w:t>
      </w:r>
      <w:proofErr w:type="gramEnd"/>
      <w:r>
        <w:rPr>
          <w:rFonts w:ascii="宋体" w:hAnsi="宋体" w:cs="宋体" w:hint="eastAsia"/>
          <w:kern w:val="0"/>
          <w:sz w:val="22"/>
        </w:rPr>
        <w:t>建设奠定基础。</w:t>
      </w: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lastRenderedPageBreak/>
        <w:t xml:space="preserve">9.4 </w:t>
      </w:r>
      <w:r>
        <w:rPr>
          <w:rFonts w:ascii="Times New Roman" w:hAnsi="Times New Roman"/>
          <w:b/>
          <w:bCs/>
          <w:sz w:val="22"/>
        </w:rPr>
        <w:t>各模块具体要求</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9.4.1</w:t>
      </w:r>
      <w:r>
        <w:rPr>
          <w:rFonts w:ascii="Times New Roman" w:hAnsi="Times New Roman" w:hint="eastAsia"/>
          <w:sz w:val="22"/>
        </w:rPr>
        <w:t>应用开发及管理</w:t>
      </w:r>
      <w:r>
        <w:rPr>
          <w:rFonts w:ascii="Times New Roman" w:hAnsi="Times New Roman"/>
          <w:sz w:val="22"/>
        </w:rPr>
        <w:t>模块</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6247"/>
      </w:tblGrid>
      <w:tr w:rsidR="006059AC" w:rsidTr="00D31A9F">
        <w:trPr>
          <w:trHeight w:val="425"/>
          <w:jc w:val="center"/>
        </w:trPr>
        <w:tc>
          <w:tcPr>
            <w:tcW w:w="2390" w:type="dxa"/>
            <w:vAlign w:val="center"/>
          </w:tcPr>
          <w:p w:rsidR="006059AC" w:rsidRDefault="006059AC" w:rsidP="00D31A9F">
            <w:pPr>
              <w:adjustRightInd w:val="0"/>
              <w:snapToGrid w:val="0"/>
              <w:jc w:val="center"/>
              <w:rPr>
                <w:rFonts w:ascii="Times New Roman" w:hAnsi="Times New Roman"/>
                <w:b/>
                <w:sz w:val="22"/>
              </w:rPr>
            </w:pPr>
            <w:r>
              <w:rPr>
                <w:rFonts w:ascii="Times New Roman" w:hAnsi="Times New Roman" w:hint="eastAsia"/>
                <w:b/>
                <w:sz w:val="22"/>
              </w:rPr>
              <w:t>功能</w:t>
            </w:r>
          </w:p>
        </w:tc>
        <w:tc>
          <w:tcPr>
            <w:tcW w:w="6247" w:type="dxa"/>
            <w:vAlign w:val="center"/>
          </w:tcPr>
          <w:p w:rsidR="006059AC" w:rsidRDefault="006059AC" w:rsidP="00D31A9F">
            <w:pPr>
              <w:adjustRightInd w:val="0"/>
              <w:snapToGrid w:val="0"/>
              <w:jc w:val="center"/>
              <w:rPr>
                <w:rFonts w:ascii="Times New Roman" w:hAnsi="Times New Roman"/>
                <w:b/>
                <w:sz w:val="22"/>
              </w:rPr>
            </w:pPr>
            <w:r>
              <w:rPr>
                <w:rFonts w:ascii="Times New Roman" w:hAnsi="Times New Roman" w:hint="eastAsia"/>
                <w:b/>
                <w:sz w:val="22"/>
              </w:rPr>
              <w:t>描述</w:t>
            </w:r>
          </w:p>
        </w:tc>
      </w:tr>
      <w:tr w:rsidR="006059AC" w:rsidTr="00D31A9F">
        <w:trPr>
          <w:trHeight w:val="425"/>
          <w:jc w:val="center"/>
        </w:trPr>
        <w:tc>
          <w:tcPr>
            <w:tcW w:w="2390" w:type="dxa"/>
            <w:vAlign w:val="center"/>
          </w:tcPr>
          <w:p w:rsidR="006059AC" w:rsidRDefault="006059AC" w:rsidP="00D31A9F">
            <w:pPr>
              <w:widowControl/>
              <w:jc w:val="left"/>
              <w:textAlignment w:val="center"/>
              <w:rPr>
                <w:rFonts w:asciiTheme="minorEastAsia" w:eastAsiaTheme="minorEastAsia" w:hAnsiTheme="minorEastAsia" w:cstheme="minorEastAsia"/>
                <w:bCs/>
                <w:sz w:val="22"/>
              </w:rPr>
            </w:pPr>
            <w:r>
              <w:rPr>
                <w:rFonts w:asciiTheme="minorEastAsia" w:eastAsiaTheme="minorEastAsia" w:hAnsiTheme="minorEastAsia" w:cstheme="minorEastAsia" w:hint="eastAsia"/>
                <w:bCs/>
                <w:color w:val="000000"/>
                <w:kern w:val="0"/>
                <w:sz w:val="22"/>
              </w:rPr>
              <w:t>医疗器械进口数据监控</w:t>
            </w:r>
          </w:p>
        </w:tc>
        <w:tc>
          <w:tcPr>
            <w:tcW w:w="6247" w:type="dxa"/>
            <w:vAlign w:val="center"/>
          </w:tcPr>
          <w:p w:rsidR="006059AC" w:rsidRDefault="006059AC" w:rsidP="00D31A9F">
            <w:pPr>
              <w:adjustRightInd w:val="0"/>
              <w:snapToGrid w:val="0"/>
              <w:jc w:val="left"/>
              <w:rPr>
                <w:rFonts w:asciiTheme="minorEastAsia" w:eastAsiaTheme="minorEastAsia" w:hAnsiTheme="minorEastAsia" w:cstheme="minorEastAsia"/>
                <w:b/>
                <w:sz w:val="22"/>
              </w:rPr>
            </w:pPr>
            <w:r>
              <w:rPr>
                <w:rFonts w:asciiTheme="minorEastAsia" w:eastAsiaTheme="minorEastAsia" w:hAnsiTheme="minorEastAsia" w:cstheme="minorEastAsia" w:hint="eastAsia"/>
                <w:sz w:val="22"/>
              </w:rPr>
              <w:t>该模块作为平台的首页入口，需要展示医疗器械智慧监管平台目前主要涉及重点模块，如试点企业评估、业务数据概览、不合格数据、风险监测等，用于用户快速了解当前试点企业通关提效成果、企业货物申报检验监管、风险监测情况，从而访问关注模块</w:t>
            </w:r>
          </w:p>
        </w:tc>
      </w:tr>
      <w:tr w:rsidR="006059AC" w:rsidTr="00D31A9F">
        <w:trPr>
          <w:trHeight w:val="425"/>
          <w:jc w:val="center"/>
        </w:trPr>
        <w:tc>
          <w:tcPr>
            <w:tcW w:w="2390" w:type="dxa"/>
            <w:vAlign w:val="center"/>
          </w:tcPr>
          <w:p w:rsidR="006059AC" w:rsidRDefault="006059AC" w:rsidP="00D31A9F">
            <w:pPr>
              <w:widowControl/>
              <w:jc w:val="left"/>
              <w:textAlignment w:val="center"/>
              <w:rPr>
                <w:rFonts w:asciiTheme="minorEastAsia" w:eastAsiaTheme="minorEastAsia" w:hAnsiTheme="minorEastAsia" w:cstheme="minorEastAsia"/>
                <w:bCs/>
                <w:sz w:val="22"/>
              </w:rPr>
            </w:pPr>
            <w:r>
              <w:rPr>
                <w:rFonts w:asciiTheme="minorEastAsia" w:eastAsiaTheme="minorEastAsia" w:hAnsiTheme="minorEastAsia" w:cstheme="minorEastAsia" w:hint="eastAsia"/>
                <w:bCs/>
                <w:color w:val="000000"/>
                <w:kern w:val="0"/>
                <w:sz w:val="22"/>
              </w:rPr>
              <w:t>医疗器械知识库</w:t>
            </w:r>
          </w:p>
        </w:tc>
        <w:tc>
          <w:tcPr>
            <w:tcW w:w="6247" w:type="dxa"/>
            <w:shd w:val="clear" w:color="auto" w:fill="auto"/>
            <w:vAlign w:val="center"/>
          </w:tcPr>
          <w:p w:rsidR="006059AC" w:rsidRDefault="006059AC" w:rsidP="00D31A9F">
            <w:pPr>
              <w:widowControl/>
              <w:jc w:val="left"/>
              <w:textAlignment w:val="center"/>
              <w:rPr>
                <w:rFonts w:ascii="宋体" w:hAnsi="宋体" w:cs="宋体"/>
                <w:color w:val="000000"/>
                <w:kern w:val="0"/>
                <w:sz w:val="22"/>
              </w:rPr>
            </w:pPr>
            <w:r>
              <w:rPr>
                <w:rFonts w:ascii="宋体" w:hAnsi="宋体" w:cs="宋体" w:hint="eastAsia"/>
                <w:color w:val="000000"/>
                <w:kern w:val="0"/>
                <w:sz w:val="22"/>
              </w:rPr>
              <w:t>包含全知识库索引查询和医疗器械知识库AI问答两个子模块。</w:t>
            </w:r>
          </w:p>
          <w:p w:rsidR="006059AC" w:rsidRDefault="006059AC" w:rsidP="00D31A9F">
            <w:pPr>
              <w:widowControl/>
              <w:jc w:val="left"/>
              <w:textAlignment w:val="center"/>
              <w:rPr>
                <w:rFonts w:ascii="宋体" w:hAnsi="宋体" w:cs="宋体"/>
                <w:color w:val="000000"/>
                <w:kern w:val="0"/>
                <w:sz w:val="22"/>
              </w:rPr>
            </w:pPr>
            <w:r>
              <w:rPr>
                <w:rFonts w:ascii="宋体" w:hAnsi="宋体" w:cs="宋体" w:hint="eastAsia"/>
                <w:color w:val="000000"/>
                <w:kern w:val="0"/>
                <w:sz w:val="22"/>
              </w:rPr>
              <w:t>全知识库索引查询包含医疗器械分类目录索引查询、海关医疗器械商品编码索引查询、监管文件查询、技术标准查询、业务流程查询、典型案例查询、质量分析查询。</w:t>
            </w:r>
          </w:p>
          <w:p w:rsidR="006059AC" w:rsidRDefault="006059AC" w:rsidP="00D31A9F">
            <w:pPr>
              <w:widowControl/>
              <w:jc w:val="left"/>
              <w:textAlignment w:val="center"/>
              <w:rPr>
                <w:rFonts w:ascii="宋体" w:hAnsi="宋体" w:cs="宋体"/>
                <w:color w:val="000000"/>
                <w:kern w:val="0"/>
                <w:sz w:val="22"/>
              </w:rPr>
            </w:pPr>
            <w:r>
              <w:rPr>
                <w:rFonts w:ascii="宋体" w:hAnsi="宋体" w:cs="宋体" w:hint="eastAsia"/>
                <w:color w:val="000000"/>
                <w:kern w:val="0"/>
                <w:sz w:val="22"/>
              </w:rPr>
              <w:t>医疗器械知识库AI问答包含智能问答、多轮问答、开放性问答、历史对话、答案溯源、答案评价、语料管理、问答监控、敏感词管理、预设问答、用户反馈</w:t>
            </w:r>
          </w:p>
        </w:tc>
      </w:tr>
      <w:tr w:rsidR="006059AC" w:rsidTr="00D31A9F">
        <w:trPr>
          <w:trHeight w:val="425"/>
          <w:jc w:val="center"/>
        </w:trPr>
        <w:tc>
          <w:tcPr>
            <w:tcW w:w="2390" w:type="dxa"/>
            <w:vAlign w:val="center"/>
          </w:tcPr>
          <w:p w:rsidR="006059AC" w:rsidRDefault="006059AC" w:rsidP="00D31A9F">
            <w:pPr>
              <w:widowControl/>
              <w:jc w:val="left"/>
              <w:textAlignment w:val="center"/>
              <w:rPr>
                <w:rFonts w:asciiTheme="minorEastAsia" w:eastAsiaTheme="minorEastAsia" w:hAnsiTheme="minorEastAsia" w:cstheme="minorEastAsia"/>
                <w:bCs/>
                <w:sz w:val="22"/>
              </w:rPr>
            </w:pPr>
            <w:r>
              <w:rPr>
                <w:rFonts w:asciiTheme="minorEastAsia" w:eastAsiaTheme="minorEastAsia" w:hAnsiTheme="minorEastAsia" w:cstheme="minorEastAsia" w:hint="eastAsia"/>
                <w:bCs/>
                <w:color w:val="000000"/>
                <w:kern w:val="0"/>
                <w:sz w:val="22"/>
              </w:rPr>
              <w:t>智能监测评估</w:t>
            </w:r>
          </w:p>
        </w:tc>
        <w:tc>
          <w:tcPr>
            <w:tcW w:w="6247" w:type="dxa"/>
            <w:vAlign w:val="center"/>
          </w:tcPr>
          <w:p w:rsidR="006059AC" w:rsidRDefault="006059AC" w:rsidP="00D31A9F">
            <w:pPr>
              <w:widowControl/>
              <w:jc w:val="left"/>
              <w:textAlignment w:val="center"/>
              <w:rPr>
                <w:rFonts w:ascii="宋体" w:hAnsi="宋体" w:cs="宋体"/>
                <w:color w:val="000000"/>
                <w:kern w:val="0"/>
                <w:sz w:val="22"/>
              </w:rPr>
            </w:pPr>
            <w:r>
              <w:rPr>
                <w:rFonts w:ascii="宋体" w:hAnsi="宋体" w:cs="宋体" w:hint="eastAsia"/>
                <w:color w:val="000000"/>
                <w:kern w:val="0"/>
                <w:sz w:val="22"/>
              </w:rPr>
              <w:t>包含现场查验、风险监测、医疗器械企业行业信息洞察三个子模块。</w:t>
            </w:r>
          </w:p>
          <w:p w:rsidR="006059AC" w:rsidRDefault="006059AC" w:rsidP="00D31A9F">
            <w:pPr>
              <w:widowControl/>
              <w:jc w:val="left"/>
              <w:textAlignment w:val="center"/>
              <w:rPr>
                <w:rFonts w:ascii="宋体" w:hAnsi="宋体" w:cs="宋体"/>
                <w:color w:val="000000"/>
                <w:kern w:val="0"/>
                <w:sz w:val="22"/>
              </w:rPr>
            </w:pPr>
            <w:r>
              <w:rPr>
                <w:rFonts w:ascii="宋体" w:hAnsi="宋体" w:cs="宋体" w:hint="eastAsia"/>
                <w:color w:val="000000"/>
                <w:kern w:val="0"/>
                <w:sz w:val="22"/>
              </w:rPr>
              <w:t>现场查验包含不合格详情展示、不合格原产国展示、不合格品牌展示、不合格证书展示。</w:t>
            </w:r>
          </w:p>
          <w:p w:rsidR="006059AC" w:rsidRDefault="006059AC" w:rsidP="00D31A9F">
            <w:pPr>
              <w:widowControl/>
              <w:jc w:val="left"/>
              <w:textAlignment w:val="center"/>
              <w:rPr>
                <w:rFonts w:ascii="宋体" w:hAnsi="宋体" w:cs="宋体"/>
                <w:color w:val="000000"/>
                <w:kern w:val="0"/>
                <w:sz w:val="22"/>
              </w:rPr>
            </w:pPr>
            <w:r>
              <w:rPr>
                <w:rFonts w:ascii="宋体" w:hAnsi="宋体" w:cs="宋体" w:hint="eastAsia"/>
                <w:color w:val="000000"/>
                <w:kern w:val="0"/>
                <w:sz w:val="22"/>
              </w:rPr>
              <w:t>风险监测包含召回信息概览、境内召回信息管理、境外召回信息管理、抽查通报管理、不良事件管理、行政处罚管理、产品评估管理、消费者投诉、企业主动报告、检验批动态修正因子、企业评估。</w:t>
            </w:r>
          </w:p>
          <w:p w:rsidR="006059AC" w:rsidRDefault="006059AC" w:rsidP="00D31A9F">
            <w:pPr>
              <w:widowControl/>
              <w:jc w:val="left"/>
              <w:textAlignment w:val="center"/>
              <w:rPr>
                <w:rFonts w:asciiTheme="minorEastAsia" w:eastAsiaTheme="minorEastAsia" w:hAnsiTheme="minorEastAsia" w:cstheme="minorEastAsia"/>
                <w:b/>
                <w:sz w:val="22"/>
              </w:rPr>
            </w:pPr>
            <w:r>
              <w:rPr>
                <w:rFonts w:ascii="宋体" w:hAnsi="宋体" w:cs="宋体" w:hint="eastAsia"/>
                <w:color w:val="000000"/>
                <w:kern w:val="0"/>
                <w:sz w:val="22"/>
              </w:rPr>
              <w:t>医疗器械企业行业信息洞察包含企业基本信息、企业贸易信息、企业评分信息、企业产品大类、企业现场查验、企业行政处罚记录、AI舆情评分、AI风险预警、AI智能舆情分析报告</w:t>
            </w:r>
          </w:p>
        </w:tc>
      </w:tr>
      <w:tr w:rsidR="006059AC" w:rsidTr="00D31A9F">
        <w:trPr>
          <w:trHeight w:val="425"/>
          <w:jc w:val="center"/>
        </w:trPr>
        <w:tc>
          <w:tcPr>
            <w:tcW w:w="2390"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智慧检验监管</w:t>
            </w:r>
          </w:p>
        </w:tc>
        <w:tc>
          <w:tcPr>
            <w:tcW w:w="6247"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包含现场检验、核查监管、业务数据概览三个子模块。</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现场检验包含查验评估、查验结果对接。</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核查监管包含排查监控核查。</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业务数据概览包含日常数据概览展示、国家/地区情况分布展示、产品类型分布展示、监管方式分布展示、关区查验分布展示、试点企业数据概览展示、试点企业指标数据统计、试点企业便利化措施</w:t>
            </w:r>
          </w:p>
        </w:tc>
      </w:tr>
      <w:tr w:rsidR="006059AC" w:rsidTr="00D31A9F">
        <w:trPr>
          <w:trHeight w:val="425"/>
          <w:jc w:val="center"/>
        </w:trPr>
        <w:tc>
          <w:tcPr>
            <w:tcW w:w="2390"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 xml:space="preserve">业务填报 </w:t>
            </w:r>
          </w:p>
        </w:tc>
        <w:tc>
          <w:tcPr>
            <w:tcW w:w="6247"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包含一线填报、填报管理、重点事件统计报表、填报配置。</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一线填报包含问题填写、我的填报。</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填报管理包含填报批复、填报管理。</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重点事件统计报表包含重大问题统计分析、典型案例统计分析。</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填报配置包含数据关联配置</w:t>
            </w:r>
          </w:p>
        </w:tc>
      </w:tr>
      <w:tr w:rsidR="006059AC" w:rsidTr="00D31A9F">
        <w:trPr>
          <w:trHeight w:val="425"/>
          <w:jc w:val="center"/>
        </w:trPr>
        <w:tc>
          <w:tcPr>
            <w:tcW w:w="2390"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保税区域一体化平台数据展示</w:t>
            </w:r>
          </w:p>
        </w:tc>
        <w:tc>
          <w:tcPr>
            <w:tcW w:w="6247"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进口医疗器械企业需要通过一体化平台查询货物清单的评估结果</w:t>
            </w:r>
          </w:p>
        </w:tc>
      </w:tr>
      <w:tr w:rsidR="006059AC" w:rsidTr="00D31A9F">
        <w:trPr>
          <w:trHeight w:val="425"/>
          <w:jc w:val="center"/>
        </w:trPr>
        <w:tc>
          <w:tcPr>
            <w:tcW w:w="2390"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分析展示平台</w:t>
            </w:r>
          </w:p>
        </w:tc>
        <w:tc>
          <w:tcPr>
            <w:tcW w:w="6247"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包含数据源管理、数据组合汇总、数据视图 、仪表盘、导出与共享、统计分析配置。</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数据源管理包含数据源管理</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数据组合汇总包含查询展示、数据组合、组合汇总、数据存储。</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数据视图包含视图创建与管理、指标数据模型、维度和指标运</w:t>
            </w:r>
            <w:r>
              <w:rPr>
                <w:rFonts w:asciiTheme="minorEastAsia" w:eastAsiaTheme="minorEastAsia" w:hAnsiTheme="minorEastAsia" w:cstheme="minorEastAsia" w:hint="eastAsia"/>
                <w:sz w:val="22"/>
              </w:rPr>
              <w:lastRenderedPageBreak/>
              <w:t>算。</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仪表盘包含图表类型管理、布局方式管理、组件集成交互。</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导出与共享包含导出与共享。</w:t>
            </w:r>
          </w:p>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统计分析配置包含导入数据文件格式管理、数据预览、基本编码维护、目录管理、编码规则管理、审计管理、配置辅助、企业信息管理、商品信息管理、备份清理</w:t>
            </w:r>
          </w:p>
        </w:tc>
      </w:tr>
      <w:tr w:rsidR="006059AC" w:rsidTr="00D31A9F">
        <w:trPr>
          <w:trHeight w:val="425"/>
          <w:jc w:val="center"/>
        </w:trPr>
        <w:tc>
          <w:tcPr>
            <w:tcW w:w="2390"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lastRenderedPageBreak/>
              <w:t>H4A对接</w:t>
            </w:r>
          </w:p>
        </w:tc>
        <w:tc>
          <w:tcPr>
            <w:tcW w:w="6247"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该模块需要实现与海关H4A管理系统对接，实现海关内部统一账号的单点登录，角色及功能权限集中管理。前端拼接URL调用h4a服务，将加密前的ticket保存到浏览器缓存中，每次向后端发送请求携带ticket</w:t>
            </w:r>
          </w:p>
        </w:tc>
      </w:tr>
      <w:tr w:rsidR="006059AC" w:rsidTr="00D31A9F">
        <w:trPr>
          <w:trHeight w:val="425"/>
          <w:jc w:val="center"/>
        </w:trPr>
        <w:tc>
          <w:tcPr>
            <w:tcW w:w="2390"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后台管理</w:t>
            </w:r>
          </w:p>
        </w:tc>
        <w:tc>
          <w:tcPr>
            <w:tcW w:w="6247" w:type="dxa"/>
            <w:vAlign w:val="center"/>
          </w:tcPr>
          <w:p w:rsidR="006059AC" w:rsidRDefault="006059AC" w:rsidP="00D31A9F">
            <w:pPr>
              <w:adjustRightInd w:val="0"/>
              <w:snapToGrid w:val="0"/>
              <w:jc w:val="left"/>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后台管理可实现安全性、效率与可维护性的平衡，满足企业</w:t>
            </w:r>
            <w:proofErr w:type="gramStart"/>
            <w:r>
              <w:rPr>
                <w:rFonts w:asciiTheme="minorEastAsia" w:eastAsiaTheme="minorEastAsia" w:hAnsiTheme="minorEastAsia" w:cstheme="minorEastAsia" w:hint="eastAsia"/>
                <w:sz w:val="22"/>
              </w:rPr>
              <w:t>级复杂</w:t>
            </w:r>
            <w:proofErr w:type="gramEnd"/>
            <w:r>
              <w:rPr>
                <w:rFonts w:asciiTheme="minorEastAsia" w:eastAsiaTheme="minorEastAsia" w:hAnsiTheme="minorEastAsia" w:cstheme="minorEastAsia" w:hint="eastAsia"/>
                <w:sz w:val="22"/>
              </w:rPr>
              <w:t>业务场景的需求</w:t>
            </w:r>
            <w:r>
              <w:rPr>
                <w:rFonts w:ascii="MS Gothic" w:eastAsia="MS Gothic" w:hAnsi="MS Gothic" w:cs="MS Gothic" w:hint="eastAsia"/>
                <w:sz w:val="22"/>
              </w:rPr>
              <w:t>‌</w:t>
            </w:r>
          </w:p>
        </w:tc>
      </w:tr>
    </w:tbl>
    <w:p w:rsidR="006059AC" w:rsidRDefault="006059AC" w:rsidP="006059AC">
      <w:pPr>
        <w:adjustRightInd w:val="0"/>
        <w:snapToGrid w:val="0"/>
        <w:spacing w:line="300" w:lineRule="auto"/>
      </w:pP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9.4.2</w:t>
      </w:r>
      <w:r>
        <w:rPr>
          <w:rFonts w:ascii="Times New Roman" w:hAnsi="Times New Roman" w:hint="eastAsia"/>
          <w:sz w:val="22"/>
        </w:rPr>
        <w:t>模型智能模块</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3"/>
        <w:gridCol w:w="6247"/>
      </w:tblGrid>
      <w:tr w:rsidR="006059AC" w:rsidTr="00D31A9F">
        <w:trPr>
          <w:trHeight w:val="425"/>
          <w:jc w:val="center"/>
        </w:trPr>
        <w:tc>
          <w:tcPr>
            <w:tcW w:w="2393" w:type="dxa"/>
            <w:vAlign w:val="center"/>
          </w:tcPr>
          <w:p w:rsidR="006059AC" w:rsidRDefault="006059AC" w:rsidP="00D31A9F">
            <w:pPr>
              <w:adjustRightInd w:val="0"/>
              <w:snapToGrid w:val="0"/>
              <w:spacing w:line="300" w:lineRule="auto"/>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功能</w:t>
            </w:r>
          </w:p>
        </w:tc>
        <w:tc>
          <w:tcPr>
            <w:tcW w:w="6247" w:type="dxa"/>
            <w:vAlign w:val="center"/>
          </w:tcPr>
          <w:p w:rsidR="006059AC" w:rsidRDefault="006059AC" w:rsidP="00D31A9F">
            <w:pPr>
              <w:adjustRightInd w:val="0"/>
              <w:snapToGrid w:val="0"/>
              <w:spacing w:line="300" w:lineRule="auto"/>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描述</w:t>
            </w:r>
          </w:p>
        </w:tc>
      </w:tr>
      <w:tr w:rsidR="006059AC" w:rsidTr="00D31A9F">
        <w:trPr>
          <w:trHeight w:val="425"/>
          <w:jc w:val="center"/>
        </w:trPr>
        <w:tc>
          <w:tcPr>
            <w:tcW w:w="2393" w:type="dxa"/>
            <w:vAlign w:val="center"/>
          </w:tcPr>
          <w:p w:rsidR="006059AC" w:rsidRDefault="006059AC" w:rsidP="00D31A9F">
            <w:pPr>
              <w:adjustRightInd w:val="0"/>
              <w:snapToGrid w:val="0"/>
              <w:rPr>
                <w:rFonts w:asciiTheme="minorEastAsia" w:eastAsiaTheme="minorEastAsia" w:hAnsiTheme="minorEastAsia" w:cstheme="minorEastAsia"/>
                <w:sz w:val="22"/>
              </w:rPr>
            </w:pPr>
            <w:r>
              <w:rPr>
                <w:rFonts w:hint="eastAsia"/>
              </w:rPr>
              <w:t>医疗器械检验监管模型</w:t>
            </w:r>
          </w:p>
        </w:tc>
        <w:tc>
          <w:tcPr>
            <w:tcW w:w="6247" w:type="dxa"/>
            <w:vAlign w:val="center"/>
          </w:tcPr>
          <w:p w:rsidR="006059AC" w:rsidRDefault="006059AC" w:rsidP="00D31A9F">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包含医疗器械企业分级分类模型、医疗器械分级分类模型、医疗器械企业+产品风险评估模型、进口医疗器械规范申报大数据风险排查、动态因子调整模型、行政处罚监控模型</w:t>
            </w:r>
          </w:p>
        </w:tc>
      </w:tr>
      <w:tr w:rsidR="006059AC" w:rsidTr="00D31A9F">
        <w:trPr>
          <w:trHeight w:val="425"/>
          <w:jc w:val="center"/>
        </w:trPr>
        <w:tc>
          <w:tcPr>
            <w:tcW w:w="2393" w:type="dxa"/>
            <w:vAlign w:val="center"/>
          </w:tcPr>
          <w:p w:rsidR="006059AC" w:rsidRDefault="006059AC" w:rsidP="00D31A9F">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医疗器械AI大模型</w:t>
            </w:r>
          </w:p>
        </w:tc>
        <w:tc>
          <w:tcPr>
            <w:tcW w:w="6247" w:type="dxa"/>
            <w:vAlign w:val="center"/>
          </w:tcPr>
          <w:p w:rsidR="006059AC" w:rsidRDefault="006059AC" w:rsidP="00D31A9F">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包含医疗器械高质量语料知识构建、医疗器械AI大模型工程、医疗器械知识库检索增强生成（RAG）、基座模型优化及管理。</w:t>
            </w:r>
          </w:p>
          <w:p w:rsidR="006059AC" w:rsidRDefault="006059AC" w:rsidP="00D31A9F">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医疗器械高质量语料知识构建包含医疗器械知识库图谱构建、领域语料构建与增强。</w:t>
            </w:r>
          </w:p>
          <w:p w:rsidR="006059AC" w:rsidRDefault="006059AC" w:rsidP="00D31A9F">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医疗器械AI大模型工程包含商品编码业务树检索、监管文件自然语言实体抽取、智能问答深度思考思维链嵌入。</w:t>
            </w:r>
          </w:p>
          <w:p w:rsidR="006059AC" w:rsidRDefault="006059AC" w:rsidP="00D31A9F">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医疗器械知识库检索增强生成（RAG）包含文档切分处理、向量处理模型、增强检索模型、语料动态管理与重排、规范生成回答。</w:t>
            </w:r>
          </w:p>
          <w:p w:rsidR="006059AC" w:rsidRDefault="006059AC" w:rsidP="00D31A9F">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基座模型优化及管理包含基座大模型微调、模型架构优化、模型安全与鲁棒性保障、模型生产化适配</w:t>
            </w:r>
          </w:p>
        </w:tc>
      </w:tr>
    </w:tbl>
    <w:p w:rsidR="006059AC" w:rsidRDefault="006059AC" w:rsidP="006059AC">
      <w:pPr>
        <w:tabs>
          <w:tab w:val="left" w:pos="3060"/>
        </w:tabs>
        <w:adjustRightInd w:val="0"/>
        <w:snapToGrid w:val="0"/>
        <w:spacing w:line="300" w:lineRule="auto"/>
        <w:rPr>
          <w:rFonts w:ascii="Times New Roman" w:hAnsi="Times New Roman"/>
          <w:bCs/>
          <w:sz w:val="22"/>
        </w:rPr>
      </w:pP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9.4.</w:t>
      </w:r>
      <w:r>
        <w:rPr>
          <w:rFonts w:ascii="Times New Roman" w:hAnsi="Times New Roman" w:hint="eastAsia"/>
          <w:sz w:val="22"/>
        </w:rPr>
        <w:t>3</w:t>
      </w:r>
      <w:r>
        <w:rPr>
          <w:rFonts w:ascii="Times New Roman" w:hAnsi="Times New Roman" w:hint="eastAsia"/>
          <w:sz w:val="22"/>
        </w:rPr>
        <w:t>数据开发及建模</w:t>
      </w:r>
      <w:r>
        <w:rPr>
          <w:rFonts w:ascii="Times New Roman" w:hAnsi="Times New Roman"/>
          <w:sz w:val="22"/>
        </w:rPr>
        <w:t>模块</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3"/>
        <w:gridCol w:w="6247"/>
      </w:tblGrid>
      <w:tr w:rsidR="006059AC" w:rsidTr="00D31A9F">
        <w:trPr>
          <w:trHeight w:val="425"/>
          <w:jc w:val="center"/>
        </w:trPr>
        <w:tc>
          <w:tcPr>
            <w:tcW w:w="2393" w:type="dxa"/>
            <w:vAlign w:val="center"/>
          </w:tcPr>
          <w:p w:rsidR="006059AC" w:rsidRDefault="006059AC" w:rsidP="00D31A9F">
            <w:pPr>
              <w:adjustRightInd w:val="0"/>
              <w:snapToGrid w:val="0"/>
              <w:spacing w:line="300" w:lineRule="auto"/>
              <w:jc w:val="center"/>
              <w:rPr>
                <w:b/>
                <w:bCs/>
                <w:sz w:val="22"/>
              </w:rPr>
            </w:pPr>
            <w:r>
              <w:rPr>
                <w:rFonts w:hint="eastAsia"/>
                <w:b/>
                <w:bCs/>
                <w:sz w:val="22"/>
              </w:rPr>
              <w:t>功能</w:t>
            </w:r>
          </w:p>
        </w:tc>
        <w:tc>
          <w:tcPr>
            <w:tcW w:w="6247" w:type="dxa"/>
            <w:vAlign w:val="center"/>
          </w:tcPr>
          <w:p w:rsidR="006059AC" w:rsidRDefault="006059AC" w:rsidP="00D31A9F">
            <w:pPr>
              <w:adjustRightInd w:val="0"/>
              <w:snapToGrid w:val="0"/>
              <w:spacing w:line="300" w:lineRule="auto"/>
              <w:jc w:val="center"/>
              <w:rPr>
                <w:b/>
                <w:bCs/>
                <w:sz w:val="22"/>
              </w:rPr>
            </w:pPr>
            <w:r>
              <w:rPr>
                <w:rFonts w:hint="eastAsia"/>
                <w:b/>
                <w:bCs/>
                <w:sz w:val="22"/>
              </w:rPr>
              <w:t>描述</w:t>
            </w:r>
          </w:p>
        </w:tc>
      </w:tr>
      <w:tr w:rsidR="006059AC" w:rsidTr="00D31A9F">
        <w:trPr>
          <w:trHeight w:val="425"/>
          <w:jc w:val="center"/>
        </w:trPr>
        <w:tc>
          <w:tcPr>
            <w:tcW w:w="2393" w:type="dxa"/>
            <w:vAlign w:val="center"/>
          </w:tcPr>
          <w:p w:rsidR="006059AC" w:rsidRDefault="006059AC" w:rsidP="00D31A9F">
            <w:pPr>
              <w:adjustRightInd w:val="0"/>
              <w:snapToGrid w:val="0"/>
              <w:rPr>
                <w:sz w:val="22"/>
              </w:rPr>
            </w:pPr>
            <w:r>
              <w:rPr>
                <w:rFonts w:hint="eastAsia"/>
                <w:sz w:val="22"/>
              </w:rPr>
              <w:t>风险监测数据采集</w:t>
            </w:r>
          </w:p>
        </w:tc>
        <w:tc>
          <w:tcPr>
            <w:tcW w:w="6247" w:type="dxa"/>
            <w:vAlign w:val="center"/>
          </w:tcPr>
          <w:p w:rsidR="006059AC" w:rsidRDefault="006059AC" w:rsidP="00D31A9F">
            <w:pPr>
              <w:adjustRightInd w:val="0"/>
              <w:snapToGrid w:val="0"/>
              <w:rPr>
                <w:sz w:val="22"/>
              </w:rPr>
            </w:pPr>
            <w:r>
              <w:rPr>
                <w:rFonts w:hint="eastAsia"/>
                <w:sz w:val="22"/>
              </w:rPr>
              <w:t>包含监管文件数据采集、技术标准数据采集、典型案例数据采集、证书信息采集、质量分析数据采集、境内召回数据采集、</w:t>
            </w:r>
            <w:r>
              <w:rPr>
                <w:rFonts w:hint="eastAsia"/>
                <w:sz w:val="22"/>
              </w:rPr>
              <w:t>FDA</w:t>
            </w:r>
            <w:r>
              <w:rPr>
                <w:rFonts w:hint="eastAsia"/>
                <w:sz w:val="22"/>
              </w:rPr>
              <w:t>召回数据采集、</w:t>
            </w:r>
            <w:r>
              <w:rPr>
                <w:rFonts w:hint="eastAsia"/>
                <w:sz w:val="22"/>
              </w:rPr>
              <w:t>EMA</w:t>
            </w:r>
            <w:r>
              <w:rPr>
                <w:rFonts w:hint="eastAsia"/>
                <w:sz w:val="22"/>
              </w:rPr>
              <w:t>召回数据采集、抽查通报数据采集、不良事件数据采集、行政处罚数据采集、医疗器械产品图片数据采集</w:t>
            </w:r>
          </w:p>
        </w:tc>
      </w:tr>
      <w:tr w:rsidR="006059AC" w:rsidTr="00D31A9F">
        <w:trPr>
          <w:trHeight w:val="425"/>
          <w:jc w:val="center"/>
        </w:trPr>
        <w:tc>
          <w:tcPr>
            <w:tcW w:w="2393" w:type="dxa"/>
            <w:vAlign w:val="center"/>
          </w:tcPr>
          <w:p w:rsidR="006059AC" w:rsidRDefault="006059AC" w:rsidP="00D31A9F">
            <w:pPr>
              <w:adjustRightInd w:val="0"/>
              <w:snapToGrid w:val="0"/>
              <w:rPr>
                <w:sz w:val="22"/>
              </w:rPr>
            </w:pPr>
            <w:r>
              <w:rPr>
                <w:rFonts w:hint="eastAsia"/>
                <w:sz w:val="22"/>
              </w:rPr>
              <w:t>数据处理</w:t>
            </w:r>
          </w:p>
        </w:tc>
        <w:tc>
          <w:tcPr>
            <w:tcW w:w="6247" w:type="dxa"/>
            <w:vAlign w:val="center"/>
          </w:tcPr>
          <w:p w:rsidR="006059AC" w:rsidRDefault="006059AC" w:rsidP="00D31A9F">
            <w:pPr>
              <w:adjustRightInd w:val="0"/>
              <w:snapToGrid w:val="0"/>
              <w:rPr>
                <w:sz w:val="22"/>
              </w:rPr>
            </w:pPr>
            <w:r>
              <w:rPr>
                <w:rFonts w:hint="eastAsia"/>
                <w:sz w:val="22"/>
              </w:rPr>
              <w:t>包含图像与产品信息处理、</w:t>
            </w:r>
            <w:r>
              <w:rPr>
                <w:rFonts w:hint="eastAsia"/>
                <w:sz w:val="22"/>
              </w:rPr>
              <w:t>PDF</w:t>
            </w:r>
            <w:r>
              <w:rPr>
                <w:rFonts w:hint="eastAsia"/>
                <w:sz w:val="22"/>
              </w:rPr>
              <w:t>文档与扫描件处理、境外公告数据处理、中文公告与抽查文本结构化处理、质控与人工复核。</w:t>
            </w:r>
          </w:p>
          <w:p w:rsidR="006059AC" w:rsidRDefault="006059AC" w:rsidP="00D31A9F">
            <w:pPr>
              <w:adjustRightInd w:val="0"/>
              <w:snapToGrid w:val="0"/>
              <w:rPr>
                <w:sz w:val="22"/>
              </w:rPr>
            </w:pPr>
            <w:r>
              <w:rPr>
                <w:rFonts w:hint="eastAsia"/>
                <w:sz w:val="22"/>
              </w:rPr>
              <w:t>图像与产品信息处理包含图像初步筛查与分类、图像字段识别与信息提取、统一命名与标准化处理、图像去重、图片索引建立与元数据入库。</w:t>
            </w:r>
          </w:p>
          <w:p w:rsidR="006059AC" w:rsidRDefault="006059AC" w:rsidP="00D31A9F">
            <w:pPr>
              <w:adjustRightInd w:val="0"/>
              <w:snapToGrid w:val="0"/>
              <w:rPr>
                <w:sz w:val="22"/>
              </w:rPr>
            </w:pPr>
            <w:r>
              <w:rPr>
                <w:rFonts w:hint="eastAsia"/>
                <w:sz w:val="22"/>
              </w:rPr>
              <w:t>PDF</w:t>
            </w:r>
            <w:r>
              <w:rPr>
                <w:rFonts w:hint="eastAsia"/>
                <w:sz w:val="22"/>
              </w:rPr>
              <w:t>文档与扫描件处理包含文件格式识别与标准化处理、文件</w:t>
            </w:r>
            <w:r>
              <w:rPr>
                <w:rFonts w:hint="eastAsia"/>
                <w:sz w:val="22"/>
              </w:rPr>
              <w:t>ocr</w:t>
            </w:r>
            <w:r>
              <w:rPr>
                <w:rFonts w:hint="eastAsia"/>
                <w:sz w:val="22"/>
              </w:rPr>
              <w:t>识别、内容区块划分与字段提取、字段一致性核验与标准化补全、结构化输出与归档入库。</w:t>
            </w:r>
          </w:p>
          <w:p w:rsidR="006059AC" w:rsidRDefault="006059AC" w:rsidP="00D31A9F">
            <w:pPr>
              <w:adjustRightInd w:val="0"/>
              <w:snapToGrid w:val="0"/>
              <w:rPr>
                <w:sz w:val="22"/>
              </w:rPr>
            </w:pPr>
            <w:r>
              <w:rPr>
                <w:rFonts w:hint="eastAsia"/>
                <w:sz w:val="22"/>
              </w:rPr>
              <w:t>境外公告数据处理包含公告采集与有效信息抽离、字段识别与</w:t>
            </w:r>
            <w:r>
              <w:rPr>
                <w:rFonts w:hint="eastAsia"/>
                <w:sz w:val="22"/>
              </w:rPr>
              <w:lastRenderedPageBreak/>
              <w:t>语义结构划分、字段翻译与术语规范统一、翻译质检与结构化输出。</w:t>
            </w:r>
          </w:p>
          <w:p w:rsidR="006059AC" w:rsidRDefault="006059AC" w:rsidP="00D31A9F">
            <w:pPr>
              <w:adjustRightInd w:val="0"/>
              <w:snapToGrid w:val="0"/>
              <w:rPr>
                <w:sz w:val="22"/>
              </w:rPr>
            </w:pPr>
            <w:r>
              <w:rPr>
                <w:rFonts w:hint="eastAsia"/>
                <w:sz w:val="22"/>
              </w:rPr>
              <w:t>中文公告与抽查文本结构化处理包含文本格式清理与初步分类、正文段落结构识别与语义切分、字段抽取与语义三元组生成、字段标准化与质量校验。</w:t>
            </w:r>
          </w:p>
          <w:p w:rsidR="006059AC" w:rsidRDefault="006059AC" w:rsidP="00D31A9F">
            <w:pPr>
              <w:adjustRightInd w:val="0"/>
              <w:snapToGrid w:val="0"/>
              <w:rPr>
                <w:sz w:val="22"/>
              </w:rPr>
            </w:pPr>
            <w:r>
              <w:rPr>
                <w:rFonts w:hint="eastAsia"/>
                <w:sz w:val="22"/>
              </w:rPr>
              <w:t>质控与人工复核包含高风险字段标记与分类、抽样核查与人工修正、错误类型标注与模型回流、全流程日志记录与质控归档</w:t>
            </w:r>
          </w:p>
        </w:tc>
      </w:tr>
      <w:tr w:rsidR="006059AC" w:rsidTr="00D31A9F">
        <w:trPr>
          <w:trHeight w:val="425"/>
          <w:jc w:val="center"/>
        </w:trPr>
        <w:tc>
          <w:tcPr>
            <w:tcW w:w="2393" w:type="dxa"/>
            <w:vAlign w:val="center"/>
          </w:tcPr>
          <w:p w:rsidR="006059AC" w:rsidRDefault="006059AC" w:rsidP="00D31A9F">
            <w:pPr>
              <w:adjustRightInd w:val="0"/>
              <w:snapToGrid w:val="0"/>
              <w:rPr>
                <w:sz w:val="22"/>
              </w:rPr>
            </w:pPr>
            <w:r>
              <w:rPr>
                <w:rFonts w:hint="eastAsia"/>
                <w:sz w:val="22"/>
              </w:rPr>
              <w:lastRenderedPageBreak/>
              <w:t>数据指标开发</w:t>
            </w:r>
          </w:p>
        </w:tc>
        <w:tc>
          <w:tcPr>
            <w:tcW w:w="6247" w:type="dxa"/>
            <w:vAlign w:val="center"/>
          </w:tcPr>
          <w:p w:rsidR="006059AC" w:rsidRDefault="006059AC" w:rsidP="00D31A9F">
            <w:pPr>
              <w:adjustRightInd w:val="0"/>
              <w:snapToGrid w:val="0"/>
              <w:rPr>
                <w:sz w:val="22"/>
              </w:rPr>
            </w:pPr>
            <w:r>
              <w:rPr>
                <w:rFonts w:hint="eastAsia"/>
                <w:sz w:val="22"/>
              </w:rPr>
              <w:t>包含进口医疗器械智慧监管平台数据指标开发、新一代查验管理系统</w:t>
            </w:r>
            <w:r>
              <w:rPr>
                <w:rFonts w:hint="eastAsia"/>
                <w:sz w:val="22"/>
              </w:rPr>
              <w:t>/</w:t>
            </w:r>
            <w:r>
              <w:rPr>
                <w:rFonts w:hint="eastAsia"/>
                <w:sz w:val="22"/>
              </w:rPr>
              <w:t>属地查检系统查验结果信息支持。</w:t>
            </w:r>
          </w:p>
          <w:p w:rsidR="006059AC" w:rsidRDefault="006059AC" w:rsidP="00D31A9F">
            <w:pPr>
              <w:adjustRightInd w:val="0"/>
              <w:snapToGrid w:val="0"/>
              <w:rPr>
                <w:sz w:val="22"/>
              </w:rPr>
            </w:pPr>
            <w:r>
              <w:rPr>
                <w:rFonts w:hint="eastAsia"/>
                <w:sz w:val="22"/>
              </w:rPr>
              <w:t>进口医疗器械智慧监管平台数据指标开发包含医疗器械申报数据指标开发、医疗器械查验数据指标开发、医疗器械实验室取样送检数据指标开发、医疗器械查验不合格数据指标开发、国家维</w:t>
            </w:r>
            <w:proofErr w:type="gramStart"/>
            <w:r>
              <w:rPr>
                <w:rFonts w:hint="eastAsia"/>
                <w:sz w:val="22"/>
              </w:rPr>
              <w:t>度数据</w:t>
            </w:r>
            <w:proofErr w:type="gramEnd"/>
            <w:r>
              <w:rPr>
                <w:rFonts w:hint="eastAsia"/>
                <w:sz w:val="22"/>
              </w:rPr>
              <w:t>指标开发、产品类型维</w:t>
            </w:r>
            <w:proofErr w:type="gramStart"/>
            <w:r>
              <w:rPr>
                <w:rFonts w:hint="eastAsia"/>
                <w:sz w:val="22"/>
              </w:rPr>
              <w:t>度数据</w:t>
            </w:r>
            <w:proofErr w:type="gramEnd"/>
            <w:r>
              <w:rPr>
                <w:rFonts w:hint="eastAsia"/>
                <w:sz w:val="22"/>
              </w:rPr>
              <w:t>指标开发、监管方式维</w:t>
            </w:r>
            <w:proofErr w:type="gramStart"/>
            <w:r>
              <w:rPr>
                <w:rFonts w:hint="eastAsia"/>
                <w:sz w:val="22"/>
              </w:rPr>
              <w:t>度数据</w:t>
            </w:r>
            <w:proofErr w:type="gramEnd"/>
            <w:r>
              <w:rPr>
                <w:rFonts w:hint="eastAsia"/>
                <w:sz w:val="22"/>
              </w:rPr>
              <w:t>指标开发、关区维</w:t>
            </w:r>
            <w:proofErr w:type="gramStart"/>
            <w:r>
              <w:rPr>
                <w:rFonts w:hint="eastAsia"/>
                <w:sz w:val="22"/>
              </w:rPr>
              <w:t>度数据</w:t>
            </w:r>
            <w:proofErr w:type="gramEnd"/>
            <w:r>
              <w:rPr>
                <w:rFonts w:hint="eastAsia"/>
                <w:sz w:val="22"/>
              </w:rPr>
              <w:t>指标开发、通关时效数据指标开发、参与分级分类企业收益情况数据指标开发、企业评估模型指标开发、产品评估模型指标开发、动态因子指标。</w:t>
            </w:r>
          </w:p>
          <w:p w:rsidR="006059AC" w:rsidRDefault="006059AC" w:rsidP="00D31A9F">
            <w:pPr>
              <w:adjustRightInd w:val="0"/>
              <w:snapToGrid w:val="0"/>
              <w:rPr>
                <w:sz w:val="22"/>
              </w:rPr>
            </w:pPr>
            <w:r>
              <w:rPr>
                <w:rFonts w:hint="eastAsia"/>
                <w:sz w:val="22"/>
              </w:rPr>
              <w:t>新一代查验管理系统</w:t>
            </w:r>
            <w:r>
              <w:rPr>
                <w:rFonts w:hint="eastAsia"/>
                <w:sz w:val="22"/>
              </w:rPr>
              <w:t>/</w:t>
            </w:r>
            <w:r>
              <w:rPr>
                <w:rFonts w:hint="eastAsia"/>
                <w:sz w:val="22"/>
              </w:rPr>
              <w:t>属地查检系统查验结果信息支持包含查验清单信息支持、打分系统标记开发、获取查验结果</w:t>
            </w:r>
          </w:p>
          <w:p w:rsidR="006059AC" w:rsidRDefault="006059AC" w:rsidP="00D31A9F">
            <w:pPr>
              <w:adjustRightInd w:val="0"/>
              <w:snapToGrid w:val="0"/>
              <w:rPr>
                <w:sz w:val="22"/>
              </w:rPr>
            </w:pPr>
          </w:p>
        </w:tc>
      </w:tr>
      <w:tr w:rsidR="006059AC" w:rsidTr="00D31A9F">
        <w:trPr>
          <w:trHeight w:val="425"/>
          <w:jc w:val="center"/>
        </w:trPr>
        <w:tc>
          <w:tcPr>
            <w:tcW w:w="2393" w:type="dxa"/>
            <w:vAlign w:val="center"/>
          </w:tcPr>
          <w:p w:rsidR="006059AC" w:rsidRDefault="006059AC" w:rsidP="00D31A9F">
            <w:pPr>
              <w:adjustRightInd w:val="0"/>
              <w:snapToGrid w:val="0"/>
              <w:rPr>
                <w:sz w:val="22"/>
              </w:rPr>
            </w:pPr>
            <w:r>
              <w:rPr>
                <w:rFonts w:hint="eastAsia"/>
                <w:sz w:val="22"/>
              </w:rPr>
              <w:t>主题库建设及数据服务</w:t>
            </w:r>
          </w:p>
        </w:tc>
        <w:tc>
          <w:tcPr>
            <w:tcW w:w="6247" w:type="dxa"/>
            <w:vAlign w:val="center"/>
          </w:tcPr>
          <w:p w:rsidR="006059AC" w:rsidRDefault="006059AC" w:rsidP="00D31A9F">
            <w:pPr>
              <w:adjustRightInd w:val="0"/>
              <w:snapToGrid w:val="0"/>
              <w:rPr>
                <w:sz w:val="22"/>
              </w:rPr>
            </w:pPr>
            <w:r>
              <w:rPr>
                <w:rFonts w:hint="eastAsia"/>
                <w:sz w:val="22"/>
              </w:rPr>
              <w:t>包含海关申报作业主题库及数据服务、海关查验作业主题库及数据服务、海关实验室检验作业主题库及数据服务、企业信息与风险主题库及数据服务、产品主题库及数据服务、不合格商品主题库及数据服务、舆情政策数据主题库及数据服务</w:t>
            </w:r>
          </w:p>
        </w:tc>
      </w:tr>
    </w:tbl>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w:t>
      </w:r>
      <w:r>
        <w:rPr>
          <w:rFonts w:ascii="Times New Roman" w:hAnsi="Times New Roman" w:hint="eastAsia"/>
          <w:b/>
          <w:bCs/>
          <w:sz w:val="22"/>
        </w:rPr>
        <w:t>5</w:t>
      </w:r>
      <w:r>
        <w:rPr>
          <w:rFonts w:ascii="Times New Roman" w:hAnsi="Times New Roman" w:hint="eastAsia"/>
          <w:b/>
          <w:bCs/>
          <w:sz w:val="22"/>
        </w:rPr>
        <w:t>系统硬件</w:t>
      </w:r>
      <w:r>
        <w:rPr>
          <w:rFonts w:ascii="Times New Roman" w:hAnsi="Times New Roman"/>
          <w:b/>
          <w:bCs/>
          <w:sz w:val="22"/>
        </w:rPr>
        <w:t>要求</w:t>
      </w:r>
    </w:p>
    <w:tbl>
      <w:tblPr>
        <w:tblW w:w="4470" w:type="pct"/>
        <w:jc w:val="center"/>
        <w:tblCellMar>
          <w:top w:w="15" w:type="dxa"/>
          <w:left w:w="15" w:type="dxa"/>
          <w:bottom w:w="15" w:type="dxa"/>
          <w:right w:w="15" w:type="dxa"/>
        </w:tblCellMar>
        <w:tblLook w:val="04A0" w:firstRow="1" w:lastRow="0" w:firstColumn="1" w:lastColumn="0" w:noHBand="0" w:noVBand="1"/>
      </w:tblPr>
      <w:tblGrid>
        <w:gridCol w:w="2370"/>
        <w:gridCol w:w="5019"/>
        <w:gridCol w:w="1255"/>
      </w:tblGrid>
      <w:tr w:rsidR="006059AC" w:rsidTr="00D31A9F">
        <w:trPr>
          <w:trHeight w:val="289"/>
          <w:jc w:val="center"/>
        </w:trPr>
        <w:tc>
          <w:tcPr>
            <w:tcW w:w="13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59AC" w:rsidRDefault="006059AC" w:rsidP="00D31A9F">
            <w:pPr>
              <w:widowControl/>
              <w:jc w:val="center"/>
              <w:textAlignment w:val="center"/>
              <w:rPr>
                <w:rFonts w:ascii="Times New Roman" w:hAnsi="Times New Roman"/>
                <w:b/>
                <w:bCs/>
                <w:color w:val="000000"/>
                <w:sz w:val="22"/>
              </w:rPr>
            </w:pPr>
            <w:r>
              <w:rPr>
                <w:rFonts w:ascii="Times New Roman" w:hAnsi="Times New Roman"/>
                <w:b/>
                <w:bCs/>
                <w:color w:val="000000"/>
                <w:kern w:val="0"/>
                <w:sz w:val="22"/>
              </w:rPr>
              <w:t>设备类型</w:t>
            </w:r>
          </w:p>
        </w:tc>
        <w:tc>
          <w:tcPr>
            <w:tcW w:w="2903" w:type="pct"/>
            <w:tcBorders>
              <w:top w:val="single" w:sz="4" w:space="0" w:color="auto"/>
              <w:left w:val="single" w:sz="4" w:space="0" w:color="auto"/>
              <w:bottom w:val="single" w:sz="4" w:space="0" w:color="auto"/>
              <w:right w:val="single" w:sz="4" w:space="0" w:color="auto"/>
            </w:tcBorders>
            <w:shd w:val="clear" w:color="auto" w:fill="auto"/>
            <w:vAlign w:val="center"/>
          </w:tcPr>
          <w:p w:rsidR="006059AC" w:rsidRDefault="006059AC" w:rsidP="00D31A9F">
            <w:pPr>
              <w:widowControl/>
              <w:jc w:val="center"/>
              <w:textAlignment w:val="center"/>
              <w:rPr>
                <w:rFonts w:ascii="Times New Roman" w:hAnsi="Times New Roman"/>
                <w:b/>
                <w:bCs/>
                <w:color w:val="000000"/>
                <w:sz w:val="22"/>
              </w:rPr>
            </w:pPr>
            <w:r>
              <w:rPr>
                <w:rFonts w:ascii="Times New Roman" w:hAnsi="Times New Roman"/>
                <w:b/>
                <w:bCs/>
                <w:color w:val="000000"/>
                <w:kern w:val="0"/>
                <w:sz w:val="22"/>
              </w:rPr>
              <w:t>规格</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59AC" w:rsidRDefault="006059AC" w:rsidP="00D31A9F">
            <w:pPr>
              <w:widowControl/>
              <w:jc w:val="center"/>
              <w:textAlignment w:val="center"/>
              <w:rPr>
                <w:rFonts w:ascii="Times New Roman" w:hAnsi="Times New Roman"/>
                <w:b/>
                <w:bCs/>
                <w:color w:val="000000"/>
                <w:sz w:val="22"/>
              </w:rPr>
            </w:pPr>
            <w:r>
              <w:rPr>
                <w:rFonts w:ascii="Times New Roman" w:hAnsi="Times New Roman"/>
                <w:b/>
                <w:bCs/>
                <w:color w:val="000000"/>
                <w:kern w:val="0"/>
                <w:sz w:val="22"/>
              </w:rPr>
              <w:t>数量（台）</w:t>
            </w:r>
          </w:p>
        </w:tc>
      </w:tr>
      <w:tr w:rsidR="006059AC" w:rsidTr="00D31A9F">
        <w:trPr>
          <w:trHeight w:val="288"/>
          <w:jc w:val="center"/>
        </w:trPr>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rsidR="006059AC" w:rsidRDefault="006059AC" w:rsidP="00D31A9F">
            <w:pPr>
              <w:widowControl/>
              <w:jc w:val="left"/>
              <w:textAlignment w:val="center"/>
              <w:rPr>
                <w:rFonts w:ascii="Times New Roman" w:hAnsi="Times New Roman"/>
                <w:color w:val="000000"/>
                <w:sz w:val="22"/>
              </w:rPr>
            </w:pPr>
            <w:r>
              <w:rPr>
                <w:rFonts w:ascii="Times New Roman" w:hAnsi="Times New Roman"/>
                <w:color w:val="000000"/>
                <w:kern w:val="0"/>
                <w:sz w:val="22"/>
              </w:rPr>
              <w:t>大模型应用服务器</w:t>
            </w:r>
          </w:p>
        </w:tc>
        <w:tc>
          <w:tcPr>
            <w:tcW w:w="2903" w:type="pct"/>
            <w:tcBorders>
              <w:top w:val="single" w:sz="4" w:space="0" w:color="auto"/>
              <w:left w:val="single" w:sz="4" w:space="0" w:color="auto"/>
              <w:bottom w:val="single" w:sz="4" w:space="0" w:color="auto"/>
              <w:right w:val="single" w:sz="4" w:space="0" w:color="auto"/>
            </w:tcBorders>
            <w:shd w:val="clear" w:color="auto" w:fill="auto"/>
            <w:vAlign w:val="center"/>
          </w:tcPr>
          <w:p w:rsidR="006059AC" w:rsidRDefault="006059AC" w:rsidP="00D31A9F">
            <w:pPr>
              <w:textAlignment w:val="center"/>
              <w:rPr>
                <w:rFonts w:ascii="Times New Roman" w:hAnsi="Times New Roman"/>
                <w:color w:val="000000"/>
                <w:sz w:val="20"/>
                <w:szCs w:val="20"/>
              </w:rPr>
            </w:pPr>
            <w:r>
              <w:rPr>
                <w:rFonts w:ascii="Times New Roman" w:hAnsi="Times New Roman"/>
                <w:color w:val="000000"/>
                <w:sz w:val="20"/>
                <w:szCs w:val="20"/>
              </w:rPr>
              <w:t>CPU</w:t>
            </w:r>
            <w:r>
              <w:rPr>
                <w:rFonts w:ascii="Times New Roman" w:hAnsi="Times New Roman"/>
                <w:color w:val="000000"/>
                <w:sz w:val="20"/>
                <w:szCs w:val="20"/>
              </w:rPr>
              <w:t>：国产化</w:t>
            </w:r>
            <w:r>
              <w:rPr>
                <w:rFonts w:ascii="Times New Roman" w:hAnsi="Times New Roman"/>
                <w:color w:val="000000"/>
                <w:sz w:val="20"/>
                <w:szCs w:val="20"/>
              </w:rPr>
              <w:t>processor 64C 2.7GHz *2</w:t>
            </w:r>
          </w:p>
          <w:p w:rsidR="006059AC" w:rsidRDefault="006059AC" w:rsidP="00D31A9F">
            <w:pPr>
              <w:textAlignment w:val="center"/>
              <w:rPr>
                <w:rFonts w:ascii="Times New Roman" w:hAnsi="Times New Roman"/>
                <w:color w:val="000000"/>
                <w:sz w:val="20"/>
                <w:szCs w:val="20"/>
              </w:rPr>
            </w:pPr>
            <w:r>
              <w:rPr>
                <w:rFonts w:ascii="Times New Roman" w:hAnsi="Times New Roman"/>
                <w:color w:val="000000"/>
                <w:sz w:val="20"/>
                <w:szCs w:val="20"/>
              </w:rPr>
              <w:t>内存：</w:t>
            </w:r>
            <w:r>
              <w:rPr>
                <w:rFonts w:ascii="Times New Roman" w:hAnsi="Times New Roman"/>
                <w:color w:val="000000"/>
                <w:sz w:val="20"/>
                <w:szCs w:val="20"/>
              </w:rPr>
              <w:t xml:space="preserve">DDR5-5600 64G RDIMM *24 </w:t>
            </w:r>
            <w:r>
              <w:rPr>
                <w:rFonts w:ascii="Times New Roman" w:hAnsi="Times New Roman"/>
                <w:color w:val="000000"/>
                <w:sz w:val="20"/>
                <w:szCs w:val="20"/>
              </w:rPr>
              <w:br/>
            </w:r>
            <w:r>
              <w:rPr>
                <w:rFonts w:ascii="Times New Roman" w:hAnsi="Times New Roman"/>
                <w:color w:val="000000"/>
                <w:sz w:val="20"/>
                <w:szCs w:val="20"/>
              </w:rPr>
              <w:t>存储：</w:t>
            </w:r>
            <w:r>
              <w:rPr>
                <w:rFonts w:ascii="Times New Roman" w:hAnsi="Times New Roman"/>
                <w:color w:val="000000"/>
                <w:sz w:val="20"/>
                <w:szCs w:val="20"/>
              </w:rPr>
              <w:t xml:space="preserve">SATA-SSD 480G*1+NVMe-SSD 3.84T*4 </w:t>
            </w:r>
          </w:p>
          <w:p w:rsidR="006059AC" w:rsidRDefault="006059AC" w:rsidP="00D31A9F">
            <w:pPr>
              <w:textAlignment w:val="center"/>
              <w:rPr>
                <w:rFonts w:ascii="Times New Roman" w:hAnsi="Times New Roman"/>
                <w:color w:val="000000"/>
                <w:sz w:val="20"/>
                <w:szCs w:val="20"/>
              </w:rPr>
            </w:pPr>
            <w:r>
              <w:rPr>
                <w:rFonts w:ascii="Times New Roman" w:hAnsi="Times New Roman"/>
                <w:color w:val="000000"/>
                <w:sz w:val="20"/>
                <w:szCs w:val="20"/>
              </w:rPr>
              <w:t>网卡：两块万兆网卡，一块千兆网卡，一块双口</w:t>
            </w:r>
            <w:r>
              <w:rPr>
                <w:rFonts w:ascii="Times New Roman" w:hAnsi="Times New Roman"/>
                <w:color w:val="000000"/>
                <w:sz w:val="20"/>
                <w:szCs w:val="20"/>
              </w:rPr>
              <w:t>25G</w:t>
            </w:r>
            <w:r>
              <w:rPr>
                <w:rFonts w:ascii="Times New Roman" w:hAnsi="Times New Roman"/>
                <w:color w:val="000000"/>
                <w:sz w:val="20"/>
                <w:szCs w:val="20"/>
              </w:rPr>
              <w:t>网卡</w:t>
            </w:r>
            <w:r>
              <w:rPr>
                <w:rFonts w:ascii="Times New Roman" w:hAnsi="Times New Roman"/>
                <w:color w:val="000000"/>
                <w:sz w:val="20"/>
                <w:szCs w:val="20"/>
              </w:rPr>
              <w:br/>
            </w:r>
            <w:r>
              <w:rPr>
                <w:rFonts w:ascii="Times New Roman" w:hAnsi="Times New Roman"/>
                <w:color w:val="000000"/>
                <w:sz w:val="20"/>
                <w:szCs w:val="20"/>
              </w:rPr>
              <w:t>国产加速卡：</w:t>
            </w:r>
            <w:r>
              <w:rPr>
                <w:rFonts w:ascii="Times New Roman" w:hAnsi="Times New Roman"/>
                <w:color w:val="000000"/>
                <w:sz w:val="20"/>
                <w:szCs w:val="20"/>
              </w:rPr>
              <w:t>PCIE ×4</w:t>
            </w:r>
            <w:r>
              <w:rPr>
                <w:rFonts w:ascii="Times New Roman" w:hAnsi="Times New Roman"/>
                <w:color w:val="000000"/>
                <w:sz w:val="20"/>
                <w:szCs w:val="20"/>
              </w:rPr>
              <w:t>，支持</w:t>
            </w:r>
            <w:r>
              <w:rPr>
                <w:rFonts w:ascii="Times New Roman" w:hAnsi="Times New Roman"/>
                <w:color w:val="000000"/>
                <w:sz w:val="20"/>
                <w:szCs w:val="20"/>
              </w:rPr>
              <w:t>8bit</w:t>
            </w:r>
            <w:r>
              <w:rPr>
                <w:rFonts w:ascii="Times New Roman" w:hAnsi="Times New Roman"/>
                <w:color w:val="000000"/>
                <w:sz w:val="20"/>
                <w:szCs w:val="20"/>
              </w:rPr>
              <w:t>推理，总计不低于</w:t>
            </w:r>
            <w:r>
              <w:rPr>
                <w:rFonts w:ascii="Times New Roman" w:hAnsi="Times New Roman"/>
                <w:color w:val="000000"/>
                <w:sz w:val="20"/>
                <w:szCs w:val="20"/>
              </w:rPr>
              <w:t>384G</w:t>
            </w:r>
            <w:r>
              <w:rPr>
                <w:rFonts w:ascii="Times New Roman" w:hAnsi="Times New Roman"/>
                <w:color w:val="000000"/>
                <w:sz w:val="20"/>
                <w:szCs w:val="20"/>
              </w:rPr>
              <w:t>显存</w:t>
            </w:r>
          </w:p>
          <w:p w:rsidR="006059AC" w:rsidRDefault="006059AC" w:rsidP="00D31A9F">
            <w:pPr>
              <w:widowControl/>
              <w:jc w:val="left"/>
              <w:textAlignment w:val="center"/>
              <w:rPr>
                <w:rFonts w:ascii="Times New Roman" w:hAnsi="Times New Roman"/>
                <w:color w:val="000000"/>
                <w:sz w:val="22"/>
              </w:rPr>
            </w:pPr>
            <w:r>
              <w:rPr>
                <w:rFonts w:ascii="Times New Roman" w:hAnsi="Times New Roman"/>
                <w:color w:val="000000"/>
                <w:sz w:val="20"/>
                <w:szCs w:val="20"/>
              </w:rPr>
              <w:t>包含国产化操作系统及</w:t>
            </w:r>
            <w:r>
              <w:rPr>
                <w:rFonts w:ascii="Times New Roman" w:hAnsi="Times New Roman"/>
                <w:color w:val="000000"/>
                <w:sz w:val="20"/>
                <w:szCs w:val="20"/>
              </w:rPr>
              <w:t>DeepSeek</w:t>
            </w:r>
            <w:r>
              <w:rPr>
                <w:rFonts w:ascii="Times New Roman" w:hAnsi="Times New Roman"/>
                <w:color w:val="000000"/>
                <w:sz w:val="20"/>
                <w:szCs w:val="20"/>
              </w:rPr>
              <w:t>基座模型。</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59AC" w:rsidRDefault="006059AC" w:rsidP="00D31A9F">
            <w:pPr>
              <w:widowControl/>
              <w:jc w:val="center"/>
              <w:textAlignment w:val="center"/>
              <w:rPr>
                <w:rFonts w:ascii="Times New Roman" w:hAnsi="Times New Roman"/>
                <w:color w:val="000000"/>
                <w:sz w:val="22"/>
              </w:rPr>
            </w:pPr>
            <w:r>
              <w:rPr>
                <w:rFonts w:ascii="Times New Roman" w:hAnsi="Times New Roman"/>
                <w:color w:val="000000"/>
                <w:kern w:val="0"/>
                <w:sz w:val="22"/>
              </w:rPr>
              <w:t>1</w:t>
            </w:r>
          </w:p>
        </w:tc>
      </w:tr>
    </w:tbl>
    <w:p w:rsidR="006059AC" w:rsidRDefault="006059AC" w:rsidP="006059AC">
      <w:pPr>
        <w:adjustRightInd w:val="0"/>
        <w:snapToGrid w:val="0"/>
        <w:spacing w:line="300" w:lineRule="auto"/>
        <w:ind w:firstLineChars="200" w:firstLine="442"/>
        <w:rPr>
          <w:rFonts w:ascii="Times New Roman" w:hAnsi="Times New Roman"/>
          <w:b/>
          <w:bCs/>
          <w:sz w:val="22"/>
        </w:rPr>
      </w:pP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9.6 </w:t>
      </w:r>
      <w:r>
        <w:rPr>
          <w:rFonts w:ascii="Times New Roman" w:hAnsi="Times New Roman"/>
          <w:b/>
          <w:bCs/>
          <w:sz w:val="22"/>
        </w:rPr>
        <w:t>系统接口要求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1</w:t>
      </w:r>
      <w:r>
        <w:rPr>
          <w:rFonts w:ascii="Times New Roman" w:hAnsi="Times New Roman"/>
          <w:kern w:val="0"/>
          <w:sz w:val="22"/>
        </w:rPr>
        <w:t>）接口协议</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采用标准的</w:t>
      </w:r>
      <w:r>
        <w:rPr>
          <w:rFonts w:ascii="Times New Roman" w:hAnsi="Times New Roman"/>
          <w:kern w:val="0"/>
          <w:sz w:val="22"/>
        </w:rPr>
        <w:t>HTTP</w:t>
      </w:r>
      <w:r>
        <w:rPr>
          <w:rFonts w:ascii="Times New Roman" w:hAnsi="Times New Roman"/>
          <w:kern w:val="0"/>
          <w:sz w:val="22"/>
        </w:rPr>
        <w:t>或</w:t>
      </w:r>
      <w:r>
        <w:rPr>
          <w:rFonts w:ascii="Times New Roman" w:hAnsi="Times New Roman"/>
          <w:kern w:val="0"/>
          <w:sz w:val="22"/>
        </w:rPr>
        <w:t>HTTPS</w:t>
      </w:r>
      <w:r>
        <w:rPr>
          <w:rFonts w:ascii="Times New Roman" w:hAnsi="Times New Roman"/>
          <w:kern w:val="0"/>
          <w:sz w:val="22"/>
        </w:rPr>
        <w:t>协议进行接口通信，确保数据的传输安全和稳定性。</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根据业务需求，可采用</w:t>
      </w:r>
      <w:r>
        <w:rPr>
          <w:rFonts w:ascii="Times New Roman" w:hAnsi="Times New Roman"/>
          <w:kern w:val="0"/>
          <w:sz w:val="22"/>
        </w:rPr>
        <w:t>RESTful</w:t>
      </w:r>
      <w:r>
        <w:rPr>
          <w:rFonts w:ascii="Times New Roman" w:hAnsi="Times New Roman"/>
          <w:kern w:val="0"/>
          <w:sz w:val="22"/>
        </w:rPr>
        <w:t>风格进行接口设计。</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2</w:t>
      </w:r>
      <w:r>
        <w:rPr>
          <w:rFonts w:ascii="Times New Roman" w:hAnsi="Times New Roman"/>
          <w:kern w:val="0"/>
          <w:sz w:val="22"/>
        </w:rPr>
        <w:t>）数据格式</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使用通用的数据交换格式</w:t>
      </w:r>
      <w:r>
        <w:rPr>
          <w:rFonts w:ascii="Times New Roman" w:hAnsi="Times New Roman" w:hint="eastAsia"/>
          <w:kern w:val="0"/>
          <w:sz w:val="22"/>
        </w:rPr>
        <w:t>，</w:t>
      </w:r>
      <w:r>
        <w:rPr>
          <w:rFonts w:ascii="Times New Roman" w:hAnsi="Times New Roman"/>
          <w:kern w:val="0"/>
          <w:sz w:val="22"/>
        </w:rPr>
        <w:t>如</w:t>
      </w:r>
      <w:r>
        <w:rPr>
          <w:rFonts w:ascii="Times New Roman" w:hAnsi="Times New Roman"/>
          <w:kern w:val="0"/>
          <w:sz w:val="22"/>
        </w:rPr>
        <w:t>JSON</w:t>
      </w:r>
      <w:r>
        <w:rPr>
          <w:rFonts w:ascii="Times New Roman" w:hAnsi="Times New Roman"/>
          <w:kern w:val="0"/>
          <w:sz w:val="22"/>
        </w:rPr>
        <w:t>，以便不同系统之间的数据交换和解析。</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根据接口的功能和数据结构，设计合适的数据格式和字段，确保数据的一致性和完整性。</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3</w:t>
      </w:r>
      <w:r>
        <w:rPr>
          <w:rFonts w:ascii="Times New Roman" w:hAnsi="Times New Roman"/>
          <w:kern w:val="0"/>
          <w:sz w:val="22"/>
        </w:rPr>
        <w:t>）接口认证与安全</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设计接口认证机制，如</w:t>
      </w:r>
      <w:r>
        <w:rPr>
          <w:rFonts w:ascii="Times New Roman" w:hAnsi="Times New Roman"/>
          <w:kern w:val="0"/>
          <w:sz w:val="22"/>
        </w:rPr>
        <w:t>Token</w:t>
      </w:r>
      <w:r>
        <w:rPr>
          <w:rFonts w:ascii="Times New Roman" w:hAnsi="Times New Roman"/>
          <w:kern w:val="0"/>
          <w:sz w:val="22"/>
        </w:rPr>
        <w:t>，确保只有经过授权的用户可以访问接口。</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根据具体需求，可以使用</w:t>
      </w:r>
      <w:r>
        <w:rPr>
          <w:rFonts w:ascii="Times New Roman" w:hAnsi="Times New Roman"/>
          <w:kern w:val="0"/>
          <w:sz w:val="22"/>
        </w:rPr>
        <w:t>HTTPS</w:t>
      </w:r>
      <w:r>
        <w:rPr>
          <w:rFonts w:ascii="Times New Roman" w:hAnsi="Times New Roman"/>
          <w:kern w:val="0"/>
          <w:sz w:val="22"/>
        </w:rPr>
        <w:t>进行数据加密和传输，防止数据被非法改和截获。</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4</w:t>
      </w:r>
      <w:r>
        <w:rPr>
          <w:rFonts w:ascii="Times New Roman" w:hAnsi="Times New Roman"/>
          <w:kern w:val="0"/>
          <w:sz w:val="22"/>
        </w:rPr>
        <w:t>）异常处理与错误码</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lastRenderedPageBreak/>
        <w:t>设计合理的异常处理机制，对各种可能出现的异常情况进行处理和返回合适的错误信息。</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定义统一的错误码和错误信息，方便调用方进行错误处理和故障排查。</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5</w:t>
      </w:r>
      <w:r>
        <w:rPr>
          <w:rFonts w:ascii="Times New Roman" w:hAnsi="Times New Roman"/>
          <w:kern w:val="0"/>
          <w:sz w:val="22"/>
        </w:rPr>
        <w:t>）</w:t>
      </w:r>
      <w:proofErr w:type="gramStart"/>
      <w:r>
        <w:rPr>
          <w:rFonts w:ascii="Times New Roman" w:hAnsi="Times New Roman"/>
          <w:kern w:val="0"/>
          <w:sz w:val="22"/>
        </w:rPr>
        <w:t>接口交档和</w:t>
      </w:r>
      <w:proofErr w:type="gramEnd"/>
      <w:r>
        <w:rPr>
          <w:rFonts w:ascii="Times New Roman" w:hAnsi="Times New Roman"/>
          <w:kern w:val="0"/>
          <w:sz w:val="22"/>
        </w:rPr>
        <w:t>版本管理</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编写清晰、详细的接口文档，包括接口的功能描述、请求参数、响应结构等信息，方便开发和集成。</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对接口进行版本管理，确保接口的兼容性和</w:t>
      </w:r>
      <w:proofErr w:type="gramStart"/>
      <w:r>
        <w:rPr>
          <w:rFonts w:ascii="Times New Roman" w:hAnsi="Times New Roman"/>
          <w:kern w:val="0"/>
          <w:sz w:val="22"/>
        </w:rPr>
        <w:t>可</w:t>
      </w:r>
      <w:proofErr w:type="gramEnd"/>
      <w:r>
        <w:rPr>
          <w:rFonts w:ascii="Times New Roman" w:hAnsi="Times New Roman"/>
          <w:kern w:val="0"/>
          <w:sz w:val="22"/>
        </w:rPr>
        <w:t>迭代升级。</w:t>
      </w: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9.7 </w:t>
      </w:r>
      <w:r>
        <w:rPr>
          <w:rFonts w:ascii="Times New Roman" w:hAnsi="Times New Roman"/>
          <w:b/>
          <w:bCs/>
          <w:sz w:val="22"/>
        </w:rPr>
        <w:t>系统性能指标要求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1</w:t>
      </w:r>
      <w:r>
        <w:rPr>
          <w:rFonts w:ascii="Times New Roman" w:hAnsi="Times New Roman"/>
          <w:kern w:val="0"/>
          <w:sz w:val="22"/>
        </w:rPr>
        <w:t>）响应时间</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系统对用户请求或操作的</w:t>
      </w:r>
      <w:r>
        <w:rPr>
          <w:rFonts w:ascii="Times New Roman" w:hAnsi="Times New Roman"/>
        </w:rPr>
        <w:t>平均响应时间不超过</w:t>
      </w:r>
      <w:r>
        <w:rPr>
          <w:rFonts w:ascii="Times New Roman" w:hAnsi="Times New Roman"/>
        </w:rPr>
        <w:t>5</w:t>
      </w:r>
      <w:r>
        <w:rPr>
          <w:rFonts w:ascii="Times New Roman" w:hAnsi="Times New Roman"/>
        </w:rPr>
        <w:t>秒（大量综合查询、统计分析不超过</w:t>
      </w:r>
      <w:r>
        <w:rPr>
          <w:rFonts w:ascii="Times New Roman" w:hAnsi="Times New Roman"/>
        </w:rPr>
        <w:t>15</w:t>
      </w:r>
      <w:r>
        <w:rPr>
          <w:rFonts w:ascii="Times New Roman" w:hAnsi="Times New Roman"/>
        </w:rPr>
        <w:t>秒）</w:t>
      </w:r>
      <w:r>
        <w:rPr>
          <w:rFonts w:ascii="Times New Roman" w:hAnsi="Times New Roman"/>
          <w:kern w:val="0"/>
          <w:sz w:val="22"/>
        </w:rPr>
        <w:t>。</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2</w:t>
      </w:r>
      <w:r>
        <w:rPr>
          <w:rFonts w:ascii="Times New Roman" w:hAnsi="Times New Roman"/>
          <w:kern w:val="0"/>
          <w:sz w:val="22"/>
        </w:rPr>
        <w:t>）用户最大连接数</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系统能够同时支持的最大用户数量大于等于</w:t>
      </w:r>
      <w:r>
        <w:rPr>
          <w:rFonts w:ascii="Times New Roman" w:hAnsi="Times New Roman"/>
          <w:kern w:val="0"/>
          <w:sz w:val="22"/>
        </w:rPr>
        <w:t>200</w:t>
      </w:r>
      <w:r>
        <w:rPr>
          <w:rFonts w:ascii="Times New Roman" w:hAnsi="Times New Roman"/>
          <w:kern w:val="0"/>
          <w:sz w:val="22"/>
        </w:rPr>
        <w:t>个。</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3</w:t>
      </w:r>
      <w:r>
        <w:rPr>
          <w:rFonts w:ascii="Times New Roman" w:hAnsi="Times New Roman"/>
          <w:kern w:val="0"/>
          <w:sz w:val="22"/>
        </w:rPr>
        <w:t>）支持并发数</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系统能够同时支持的并发访问数量不低于</w:t>
      </w:r>
      <w:r>
        <w:rPr>
          <w:rFonts w:ascii="Times New Roman" w:hAnsi="Times New Roman"/>
          <w:kern w:val="0"/>
          <w:sz w:val="22"/>
        </w:rPr>
        <w:t>50</w:t>
      </w:r>
      <w:r>
        <w:rPr>
          <w:rFonts w:ascii="Times New Roman" w:hAnsi="Times New Roman"/>
          <w:kern w:val="0"/>
          <w:sz w:val="22"/>
        </w:rPr>
        <w:t>个，以确保在并发访问高峰时系统的稳定性。</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4</w:t>
      </w:r>
      <w:r>
        <w:rPr>
          <w:rFonts w:ascii="Times New Roman" w:hAnsi="Times New Roman"/>
          <w:kern w:val="0"/>
          <w:sz w:val="22"/>
        </w:rPr>
        <w:t>）用户界面和用户体验</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有美观、大方的良好用户界面，做到易学习、易操作。操作应符合用户平时工作流程的要求，使用户感到工作变的轻松流畅，提高工作效率服务，保证在功能和人机交互界面上贴近用户日常使用习惯，达到简单易用的目的。</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5</w:t>
      </w:r>
      <w:r>
        <w:rPr>
          <w:rFonts w:ascii="Times New Roman" w:hAnsi="Times New Roman"/>
          <w:kern w:val="0"/>
          <w:sz w:val="22"/>
        </w:rPr>
        <w:t>）系统运行情况</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保障系统在不同环境和条件下保持稳定运行，网络及应用系统正常运行率</w:t>
      </w:r>
      <w:r>
        <w:rPr>
          <w:rFonts w:ascii="Times New Roman" w:hAnsi="Times New Roman"/>
          <w:kern w:val="0"/>
          <w:sz w:val="22"/>
        </w:rPr>
        <w:t>(</w:t>
      </w:r>
      <w:proofErr w:type="gramStart"/>
      <w:r>
        <w:rPr>
          <w:rFonts w:ascii="Times New Roman" w:hAnsi="Times New Roman"/>
          <w:kern w:val="0"/>
          <w:sz w:val="22"/>
        </w:rPr>
        <w:t>按时间计</w:t>
      </w:r>
      <w:proofErr w:type="gramEnd"/>
      <w:r>
        <w:rPr>
          <w:rFonts w:ascii="Times New Roman" w:hAnsi="Times New Roman"/>
          <w:kern w:val="0"/>
          <w:sz w:val="22"/>
        </w:rPr>
        <w:t>)</w:t>
      </w:r>
      <w:r>
        <w:rPr>
          <w:rFonts w:ascii="Times New Roman" w:hAnsi="Times New Roman"/>
          <w:kern w:val="0"/>
          <w:sz w:val="22"/>
        </w:rPr>
        <w:t>大于</w:t>
      </w:r>
      <w:r>
        <w:rPr>
          <w:rFonts w:ascii="Times New Roman" w:hAnsi="Times New Roman"/>
          <w:kern w:val="0"/>
          <w:sz w:val="22"/>
        </w:rPr>
        <w:t>98%</w:t>
      </w:r>
      <w:r>
        <w:rPr>
          <w:rFonts w:ascii="Times New Roman" w:hAnsi="Times New Roman"/>
          <w:kern w:val="0"/>
          <w:sz w:val="22"/>
        </w:rPr>
        <w:t>。</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6</w:t>
      </w:r>
      <w:r>
        <w:rPr>
          <w:rFonts w:ascii="Times New Roman" w:hAnsi="Times New Roman"/>
          <w:kern w:val="0"/>
          <w:sz w:val="22"/>
        </w:rPr>
        <w:t>）故障恢复和灾难恢复</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系统在发生故障或灾难时的恢复能力和速度，包括备份策略、恢复时间和恢复步骤，保障业务连续性所需采取的措施和设施。</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w:t>
      </w:r>
      <w:r>
        <w:rPr>
          <w:rFonts w:ascii="Times New Roman" w:hAnsi="Times New Roman"/>
          <w:kern w:val="0"/>
          <w:sz w:val="22"/>
        </w:rPr>
        <w:t>7</w:t>
      </w:r>
      <w:r>
        <w:rPr>
          <w:rFonts w:ascii="Times New Roman" w:hAnsi="Times New Roman"/>
          <w:kern w:val="0"/>
          <w:sz w:val="22"/>
        </w:rPr>
        <w:t>）错误处理和日志记录</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系统应具备完善的错误处理和日志记录机制，能够对不同类型的错误进行分类和响应，在出现问题时能够快速定位和解决，确保系统的稳定性和可维护性，减少对用户的影响。</w:t>
      </w: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w:t>
      </w:r>
      <w:r>
        <w:rPr>
          <w:rFonts w:ascii="Times New Roman" w:hAnsi="Times New Roman" w:hint="eastAsia"/>
          <w:b/>
          <w:bCs/>
          <w:sz w:val="22"/>
        </w:rPr>
        <w:t>8</w:t>
      </w:r>
      <w:r>
        <w:rPr>
          <w:rFonts w:ascii="Times New Roman" w:hAnsi="Times New Roman" w:hint="eastAsia"/>
          <w:b/>
          <w:bCs/>
          <w:sz w:val="22"/>
        </w:rPr>
        <w:t>安全应用功能</w:t>
      </w:r>
      <w:r>
        <w:rPr>
          <w:rFonts w:ascii="Times New Roman" w:hAnsi="Times New Roman"/>
          <w:b/>
          <w:bCs/>
          <w:sz w:val="22"/>
        </w:rPr>
        <w:t>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作为核心业务系统，系统安全一定是不容忽视的重中之重。按照《</w:t>
      </w:r>
      <w:r>
        <w:rPr>
          <w:rFonts w:ascii="Times New Roman" w:hAnsi="Times New Roman"/>
          <w:kern w:val="0"/>
          <w:sz w:val="22"/>
        </w:rPr>
        <w:t>GB∕T 22239-2019</w:t>
      </w:r>
      <w:r>
        <w:rPr>
          <w:rFonts w:ascii="Times New Roman" w:hAnsi="Times New Roman"/>
          <w:kern w:val="0"/>
          <w:sz w:val="22"/>
        </w:rPr>
        <w:t>信息安全技术网络安全等级保护基本要求》中对信息系统的安全保护要求，结合当前信息安全技术的发展水平，设计一套科学合理的安全保障体系，形成有效的安全防护能力、隐患发现能力、应急反应能力和系统恢复能力，从用户访问安全角度和运</w:t>
      </w:r>
      <w:proofErr w:type="gramStart"/>
      <w:r>
        <w:rPr>
          <w:rFonts w:ascii="Times New Roman" w:hAnsi="Times New Roman"/>
          <w:kern w:val="0"/>
          <w:sz w:val="22"/>
        </w:rPr>
        <w:t>维管理</w:t>
      </w:r>
      <w:proofErr w:type="gramEnd"/>
      <w:r>
        <w:rPr>
          <w:rFonts w:ascii="Times New Roman" w:hAnsi="Times New Roman"/>
          <w:kern w:val="0"/>
          <w:sz w:val="22"/>
        </w:rPr>
        <w:t>安全角度，规划设计采用包括物理安全、网络安全、平台安全、系统安全、应用安全和数据安全等多角度协同运作的安全运营体系。保证信息系统的安全、高效、可靠运行，保证信息的机密性、完整性、可用性和操作的不可否认性，避免各种潜在的信息安全威胁。</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kern w:val="0"/>
          <w:sz w:val="22"/>
        </w:rPr>
        <w:t>本项目信息系统需按照网络信息安全等级保护三级要求进行建设，并通过安全测评。</w:t>
      </w: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9.</w:t>
      </w:r>
      <w:r>
        <w:rPr>
          <w:rFonts w:ascii="Times New Roman" w:hAnsi="Times New Roman" w:hint="eastAsia"/>
          <w:b/>
          <w:bCs/>
          <w:sz w:val="22"/>
        </w:rPr>
        <w:t>9</w:t>
      </w:r>
      <w:r>
        <w:rPr>
          <w:rFonts w:ascii="Times New Roman" w:hAnsi="Times New Roman" w:hint="eastAsia"/>
          <w:b/>
          <w:bCs/>
          <w:sz w:val="22"/>
        </w:rPr>
        <w:t>密码应用功能</w:t>
      </w:r>
      <w:r>
        <w:rPr>
          <w:rFonts w:ascii="Times New Roman" w:hAnsi="Times New Roman"/>
          <w:b/>
          <w:bCs/>
          <w:sz w:val="22"/>
        </w:rPr>
        <w:t>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对业务系统涉及到密码应用的功能点进行设计，需遵循</w:t>
      </w:r>
      <w:r>
        <w:rPr>
          <w:rFonts w:ascii="Times New Roman" w:hAnsi="Times New Roman" w:hint="eastAsia"/>
          <w:kern w:val="0"/>
          <w:sz w:val="22"/>
        </w:rPr>
        <w:t>GB/T 39786-2021</w:t>
      </w:r>
      <w:r>
        <w:rPr>
          <w:rFonts w:ascii="Times New Roman" w:hAnsi="Times New Roman" w:hint="eastAsia"/>
          <w:kern w:val="0"/>
          <w:sz w:val="22"/>
        </w:rPr>
        <w:t>《信息系统密码应用基本要求》，对进口医疗器械智慧监管平台进行密码应用建设。系统密码应用功能实现后，需经国家密码管理局认定的测评机构进行商用密码应用安全性评估，并确保通过密码测评。</w:t>
      </w:r>
    </w:p>
    <w:p w:rsidR="006059AC" w:rsidRDefault="006059AC" w:rsidP="006059AC">
      <w:pPr>
        <w:adjustRightInd w:val="0"/>
        <w:snapToGrid w:val="0"/>
        <w:spacing w:line="300" w:lineRule="auto"/>
        <w:ind w:firstLineChars="200" w:firstLine="442"/>
        <w:rPr>
          <w:rFonts w:ascii="Times New Roman" w:hAnsi="Times New Roman"/>
          <w:b/>
          <w:bCs/>
          <w:sz w:val="22"/>
        </w:rPr>
      </w:pPr>
      <w:r>
        <w:rPr>
          <w:rFonts w:ascii="Times New Roman" w:hAnsi="Times New Roman" w:hint="eastAsia"/>
          <w:b/>
          <w:bCs/>
          <w:sz w:val="22"/>
        </w:rPr>
        <w:t xml:space="preserve">9.10 </w:t>
      </w:r>
      <w:r>
        <w:rPr>
          <w:rFonts w:ascii="Times New Roman" w:hAnsi="Times New Roman" w:hint="eastAsia"/>
          <w:b/>
          <w:bCs/>
          <w:sz w:val="22"/>
        </w:rPr>
        <w:t>实施、验收要求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lastRenderedPageBreak/>
        <w:t>9.10.1</w:t>
      </w:r>
      <w:r>
        <w:rPr>
          <w:rFonts w:ascii="Times New Roman" w:hAnsi="Times New Roman" w:hint="eastAsia"/>
          <w:kern w:val="0"/>
          <w:sz w:val="22"/>
        </w:rPr>
        <w:t>总体要求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1</w:t>
      </w:r>
      <w:r>
        <w:rPr>
          <w:rFonts w:ascii="Times New Roman" w:hAnsi="Times New Roman" w:hint="eastAsia"/>
          <w:kern w:val="0"/>
          <w:sz w:val="22"/>
        </w:rPr>
        <w:t>）投标人应在上海设有固定的售后服务团队和软件开发团队。</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2</w:t>
      </w:r>
      <w:r>
        <w:rPr>
          <w:rFonts w:ascii="Times New Roman" w:hAnsi="Times New Roman" w:hint="eastAsia"/>
          <w:kern w:val="0"/>
          <w:sz w:val="22"/>
        </w:rPr>
        <w:t>）投标人应本着认真负责态度，组织技术队伍，认真做好项目的实施工作。在签订合同前，提出具体实施、服务、维护以及今后技术支持的措施计划和承诺。</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3</w:t>
      </w:r>
      <w:r>
        <w:rPr>
          <w:rFonts w:ascii="Times New Roman" w:hAnsi="Times New Roman" w:hint="eastAsia"/>
          <w:kern w:val="0"/>
          <w:sz w:val="22"/>
        </w:rPr>
        <w:t>）投标人提供项目实施计划，经采购人同意后，严格执行。如果遇到问题，由项目组提出项目变更说明，经采购人和系统提供商确定后，修改计划。</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4</w:t>
      </w:r>
      <w:r>
        <w:rPr>
          <w:rFonts w:ascii="Times New Roman" w:hAnsi="Times New Roman" w:hint="eastAsia"/>
          <w:kern w:val="0"/>
          <w:sz w:val="22"/>
        </w:rPr>
        <w:t>）投标人应负责在项目验收时将系统的全部有关技术文件、资料、及安装、测试、验收报告等文档汇集成册交付采购人。</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5</w:t>
      </w:r>
      <w:r>
        <w:rPr>
          <w:rFonts w:ascii="Times New Roman" w:hAnsi="Times New Roman" w:hint="eastAsia"/>
          <w:kern w:val="0"/>
          <w:sz w:val="22"/>
        </w:rPr>
        <w:t>）结合实际情况，拟定详细的系统实施计划，承诺保证在合同规定时间内上线及上线后系统平稳运行。</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6</w:t>
      </w:r>
      <w:r>
        <w:rPr>
          <w:rFonts w:ascii="Times New Roman" w:hAnsi="Times New Roman" w:hint="eastAsia"/>
          <w:kern w:val="0"/>
          <w:sz w:val="22"/>
        </w:rPr>
        <w:t>）投标人应在专家验收前完成对系统进行软件测评，取得国家权威第三方测评机构出具的测评报告。</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7</w:t>
      </w:r>
      <w:r>
        <w:rPr>
          <w:rFonts w:ascii="Times New Roman" w:hAnsi="Times New Roman" w:hint="eastAsia"/>
          <w:kern w:val="0"/>
          <w:sz w:val="22"/>
        </w:rPr>
        <w:t>）投标人在实施过程中，参照信息系统安全等级保护三级的要求建设。</w:t>
      </w:r>
    </w:p>
    <w:p w:rsidR="006059AC" w:rsidRDefault="006059AC" w:rsidP="006059AC">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9.10.2</w:t>
      </w:r>
      <w:r>
        <w:rPr>
          <w:rFonts w:ascii="Times New Roman" w:hAnsi="Times New Roman" w:hint="eastAsia"/>
          <w:bCs/>
          <w:sz w:val="22"/>
        </w:rPr>
        <w:t>技术文档要求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系统验收后投标人需提供详细的软件相关技术文档、使用说明书、维护手册等文档资料。提供系统应急方案，提供维护和二次开发所需要的源代码及技术支持工具。文档包括但不限于以下内容：</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1</w:t>
      </w:r>
      <w:r>
        <w:rPr>
          <w:rFonts w:ascii="Times New Roman" w:hAnsi="Times New Roman" w:hint="eastAsia"/>
          <w:kern w:val="0"/>
          <w:sz w:val="22"/>
        </w:rPr>
        <w:t>）项目计划书、用户需求说明书、数据字典</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2</w:t>
      </w:r>
      <w:r>
        <w:rPr>
          <w:rFonts w:ascii="Times New Roman" w:hAnsi="Times New Roman" w:hint="eastAsia"/>
          <w:kern w:val="0"/>
          <w:sz w:val="22"/>
        </w:rPr>
        <w:t>）系统设计说明书：包括《概要设计说明书》、《详细设计说明书》、《数据库设计说明书》</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3</w:t>
      </w:r>
      <w:r>
        <w:rPr>
          <w:rFonts w:ascii="Times New Roman" w:hAnsi="Times New Roman" w:hint="eastAsia"/>
          <w:kern w:val="0"/>
          <w:sz w:val="22"/>
        </w:rPr>
        <w:t>）系统部署、测试报告：包括《部署手册》、《系统测试报告》等</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4</w:t>
      </w:r>
      <w:r>
        <w:rPr>
          <w:rFonts w:ascii="Times New Roman" w:hAnsi="Times New Roman" w:hint="eastAsia"/>
          <w:kern w:val="0"/>
          <w:sz w:val="22"/>
        </w:rPr>
        <w:t>）使用手册：包括《用户操作手册》、《用户培训手册》</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5</w:t>
      </w:r>
      <w:r>
        <w:rPr>
          <w:rFonts w:ascii="Times New Roman" w:hAnsi="Times New Roman" w:hint="eastAsia"/>
          <w:kern w:val="0"/>
          <w:sz w:val="22"/>
        </w:rPr>
        <w:t>）项目验收报告等</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6</w:t>
      </w:r>
      <w:r>
        <w:rPr>
          <w:rFonts w:ascii="Times New Roman" w:hAnsi="Times New Roman" w:hint="eastAsia"/>
          <w:kern w:val="0"/>
          <w:sz w:val="22"/>
        </w:rPr>
        <w:t>）程序源代码</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9.10.3</w:t>
      </w:r>
      <w:r>
        <w:rPr>
          <w:rFonts w:ascii="Times New Roman" w:hAnsi="Times New Roman" w:hint="eastAsia"/>
          <w:kern w:val="0"/>
          <w:sz w:val="22"/>
        </w:rPr>
        <w:t>知识产权承诺</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1</w:t>
      </w:r>
      <w:r>
        <w:rPr>
          <w:rFonts w:ascii="Times New Roman" w:hAnsi="Times New Roman" w:hint="eastAsia"/>
          <w:kern w:val="0"/>
          <w:sz w:val="22"/>
        </w:rPr>
        <w:t>）本项目中形成的知识产权（包含需求分析、系统设计、软件程序、核心技术、数据标准、接口规范、知识库、专有方法、模板、工具包、培训材料、专有数据、技术文档、服务模式、运作模式等，但不限于上述形式）归建设单位所有。投标人向建设单位交付的信息系统已享有知识产权的，建设单位在许可范围内合理使用。</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2</w:t>
      </w:r>
      <w:r>
        <w:rPr>
          <w:rFonts w:ascii="Times New Roman" w:hAnsi="Times New Roman" w:hint="eastAsia"/>
          <w:kern w:val="0"/>
          <w:sz w:val="22"/>
        </w:rPr>
        <w:t>）本项目中形成的知识产权的申请权、所有权与利益（包括：专利权、商标权、著作权、商业秘密专有权等，但不限于上述权益的申请权）归建设单位所有。未经建设单位书面同意，投标人不得以任何形式申请。</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3</w:t>
      </w:r>
      <w:r>
        <w:rPr>
          <w:rFonts w:ascii="Times New Roman" w:hAnsi="Times New Roman" w:hint="eastAsia"/>
          <w:kern w:val="0"/>
          <w:sz w:val="22"/>
        </w:rPr>
        <w:t>）投标人不得以任何形式侵害本项目中形成的知识产权。未经建设单位书面同意，投标人不得以任何形式提供或出售给同行业</w:t>
      </w:r>
      <w:r>
        <w:rPr>
          <w:rFonts w:ascii="Times New Roman" w:hAnsi="Times New Roman" w:hint="eastAsia"/>
          <w:kern w:val="0"/>
          <w:sz w:val="22"/>
        </w:rPr>
        <w:t>/</w:t>
      </w:r>
      <w:r>
        <w:rPr>
          <w:rFonts w:ascii="Times New Roman" w:hAnsi="Times New Roman" w:hint="eastAsia"/>
          <w:kern w:val="0"/>
          <w:sz w:val="22"/>
        </w:rPr>
        <w:t>同性质单位使用。若发生侵害行为，投标人则全额赔付建设单位本项目中标金额以及投标人通过侵害行为获得的全部收益。</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4</w:t>
      </w:r>
      <w:r>
        <w:rPr>
          <w:rFonts w:ascii="Times New Roman" w:hAnsi="Times New Roman" w:hint="eastAsia"/>
          <w:kern w:val="0"/>
          <w:sz w:val="22"/>
        </w:rPr>
        <w:t>）没有建设单位明示的书面同意，投标人不能</w:t>
      </w:r>
      <w:proofErr w:type="gramStart"/>
      <w:r>
        <w:rPr>
          <w:rFonts w:ascii="Times New Roman" w:hAnsi="Times New Roman" w:hint="eastAsia"/>
          <w:kern w:val="0"/>
          <w:sz w:val="22"/>
        </w:rPr>
        <w:t>作出</w:t>
      </w:r>
      <w:proofErr w:type="gramEnd"/>
      <w:r>
        <w:rPr>
          <w:rFonts w:ascii="Times New Roman" w:hAnsi="Times New Roman" w:hint="eastAsia"/>
          <w:kern w:val="0"/>
          <w:sz w:val="22"/>
        </w:rPr>
        <w:t>关于本项目或者其条款的任何新闻公告、媒体宣传或其他形式的公开披露。</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5</w:t>
      </w:r>
      <w:r>
        <w:rPr>
          <w:rFonts w:ascii="Times New Roman" w:hAnsi="Times New Roman" w:hint="eastAsia"/>
          <w:kern w:val="0"/>
          <w:sz w:val="22"/>
        </w:rPr>
        <w:t>）投标人提供的产品和服务等不得侵犯任何第三方的知识产权。若发生侵权行为，一切法律责任、后果及损失均由投标人承担，建设单位不承担任何法律责任及后果，且保留追责权。</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9.10.4</w:t>
      </w:r>
      <w:r>
        <w:rPr>
          <w:rFonts w:ascii="Times New Roman" w:hAnsi="Times New Roman" w:hint="eastAsia"/>
          <w:kern w:val="0"/>
          <w:sz w:val="22"/>
        </w:rPr>
        <w:t>保密承诺</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1</w:t>
      </w:r>
      <w:r>
        <w:rPr>
          <w:rFonts w:ascii="Times New Roman" w:hAnsi="Times New Roman" w:hint="eastAsia"/>
          <w:kern w:val="0"/>
          <w:sz w:val="22"/>
        </w:rPr>
        <w:t>）投标人承诺参与本项目的所有服务人员需严格保守与本项目有关的技术秘密和商业秘密，</w:t>
      </w:r>
      <w:r>
        <w:rPr>
          <w:rFonts w:ascii="Times New Roman" w:hAnsi="Times New Roman" w:hint="eastAsia"/>
          <w:kern w:val="0"/>
          <w:sz w:val="22"/>
        </w:rPr>
        <w:lastRenderedPageBreak/>
        <w:t>任何涉及建设单位及使用单位的信息，包括但不限于数据、特有的功能需求等，未得到建设单位及使用单位的书面同意，不得对任何第三方展示、举例乃至销售，否则投标人将承担由此产生的一切后果。</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2</w:t>
      </w:r>
      <w:r>
        <w:rPr>
          <w:rFonts w:ascii="Times New Roman" w:hAnsi="Times New Roman" w:hint="eastAsia"/>
          <w:kern w:val="0"/>
          <w:sz w:val="22"/>
        </w:rPr>
        <w:t>）投标人不以实施项目为名，侵害本项目各参与单位的技术、商业秘密或者知识产权。</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 xml:space="preserve">9.11 </w:t>
      </w:r>
      <w:r>
        <w:rPr>
          <w:rFonts w:ascii="Times New Roman" w:hAnsi="Times New Roman"/>
          <w:kern w:val="0"/>
          <w:sz w:val="22"/>
        </w:rPr>
        <w:t>绩效考核指标要求</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kern w:val="0"/>
          <w:sz w:val="22"/>
        </w:rPr>
        <w:t>1</w:t>
      </w:r>
      <w:r>
        <w:rPr>
          <w:rFonts w:ascii="Times New Roman" w:hAnsi="Times New Roman" w:hint="eastAsia"/>
          <w:kern w:val="0"/>
          <w:sz w:val="22"/>
        </w:rPr>
        <w:t>）试点企业年进口医疗器械贸易额量级大于等于</w:t>
      </w:r>
      <w:r>
        <w:rPr>
          <w:rFonts w:ascii="Times New Roman" w:hAnsi="Times New Roman"/>
          <w:kern w:val="0"/>
          <w:sz w:val="22"/>
        </w:rPr>
        <w:t>400</w:t>
      </w:r>
      <w:r>
        <w:rPr>
          <w:rFonts w:ascii="Times New Roman" w:hAnsi="Times New Roman" w:hint="eastAsia"/>
          <w:kern w:val="0"/>
          <w:sz w:val="22"/>
        </w:rPr>
        <w:t>亿。</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2</w:t>
      </w:r>
      <w:r>
        <w:rPr>
          <w:rFonts w:ascii="Times New Roman" w:hAnsi="Times New Roman" w:hint="eastAsia"/>
          <w:kern w:val="0"/>
          <w:sz w:val="22"/>
        </w:rPr>
        <w:t>）平台数据监控试点企业数量大于等于</w:t>
      </w:r>
      <w:r>
        <w:rPr>
          <w:rFonts w:ascii="Times New Roman" w:hAnsi="Times New Roman" w:hint="eastAsia"/>
          <w:kern w:val="0"/>
          <w:sz w:val="22"/>
        </w:rPr>
        <w:t>10</w:t>
      </w:r>
      <w:r>
        <w:rPr>
          <w:rFonts w:ascii="Times New Roman" w:hAnsi="Times New Roman" w:hint="eastAsia"/>
          <w:kern w:val="0"/>
          <w:sz w:val="22"/>
        </w:rPr>
        <w:t>个。</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3</w:t>
      </w:r>
      <w:r>
        <w:rPr>
          <w:rFonts w:ascii="Times New Roman" w:hAnsi="Times New Roman" w:hint="eastAsia"/>
          <w:kern w:val="0"/>
          <w:sz w:val="22"/>
        </w:rPr>
        <w:t>）平台接入外部数据项大于等于</w:t>
      </w:r>
      <w:r>
        <w:rPr>
          <w:rFonts w:ascii="Times New Roman" w:hAnsi="Times New Roman" w:hint="eastAsia"/>
          <w:kern w:val="0"/>
          <w:sz w:val="22"/>
        </w:rPr>
        <w:t>11</w:t>
      </w:r>
      <w:r>
        <w:rPr>
          <w:rFonts w:ascii="Times New Roman" w:hAnsi="Times New Roman" w:hint="eastAsia"/>
          <w:kern w:val="0"/>
          <w:sz w:val="22"/>
        </w:rPr>
        <w:t>个。</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4</w:t>
      </w:r>
      <w:r>
        <w:rPr>
          <w:rFonts w:ascii="Times New Roman" w:hAnsi="Times New Roman" w:hint="eastAsia"/>
          <w:kern w:val="0"/>
          <w:sz w:val="22"/>
        </w:rPr>
        <w:t>）经分级分类评估后，平台推荐试点企业进口医疗器械商品查验率降幅，中风险降</w:t>
      </w:r>
      <w:r>
        <w:rPr>
          <w:rFonts w:ascii="Times New Roman" w:hAnsi="Times New Roman" w:hint="eastAsia"/>
          <w:kern w:val="0"/>
          <w:sz w:val="22"/>
        </w:rPr>
        <w:t>60%</w:t>
      </w:r>
      <w:r>
        <w:rPr>
          <w:rFonts w:ascii="Times New Roman" w:hAnsi="Times New Roman" w:hint="eastAsia"/>
          <w:kern w:val="0"/>
          <w:sz w:val="22"/>
        </w:rPr>
        <w:t>，低风险减</w:t>
      </w:r>
      <w:r>
        <w:rPr>
          <w:rFonts w:ascii="Times New Roman" w:hAnsi="Times New Roman" w:hint="eastAsia"/>
          <w:kern w:val="0"/>
          <w:sz w:val="22"/>
        </w:rPr>
        <w:t>90%</w:t>
      </w:r>
      <w:r>
        <w:rPr>
          <w:rFonts w:ascii="Times New Roman" w:hAnsi="Times New Roman" w:hint="eastAsia"/>
          <w:kern w:val="0"/>
          <w:sz w:val="22"/>
        </w:rPr>
        <w:t>。</w:t>
      </w:r>
    </w:p>
    <w:p w:rsidR="006059AC" w:rsidRDefault="006059AC" w:rsidP="006059AC">
      <w:pPr>
        <w:snapToGrid w:val="0"/>
        <w:spacing w:line="300" w:lineRule="auto"/>
        <w:ind w:firstLineChars="200" w:firstLine="440"/>
        <w:jc w:val="left"/>
        <w:rPr>
          <w:rFonts w:ascii="Times New Roman" w:hAnsi="Times New Roman"/>
          <w:kern w:val="0"/>
          <w:sz w:val="22"/>
        </w:rPr>
      </w:pPr>
      <w:r>
        <w:rPr>
          <w:rFonts w:ascii="Times New Roman" w:hAnsi="Times New Roman" w:hint="eastAsia"/>
          <w:kern w:val="0"/>
          <w:sz w:val="22"/>
        </w:rPr>
        <w:t>（</w:t>
      </w:r>
      <w:r>
        <w:rPr>
          <w:rFonts w:ascii="Times New Roman" w:hAnsi="Times New Roman" w:hint="eastAsia"/>
          <w:kern w:val="0"/>
          <w:sz w:val="22"/>
        </w:rPr>
        <w:t>5</w:t>
      </w:r>
      <w:r>
        <w:rPr>
          <w:rFonts w:ascii="Times New Roman" w:hAnsi="Times New Roman" w:hint="eastAsia"/>
          <w:kern w:val="0"/>
          <w:sz w:val="22"/>
        </w:rPr>
        <w:t>）提高口岸营商环境，平台利用大数据和人工智能技术优化查验策略，将试点企业医疗器械进口查验比例从</w:t>
      </w:r>
      <w:r>
        <w:rPr>
          <w:rFonts w:ascii="Times New Roman" w:hAnsi="Times New Roman" w:hint="eastAsia"/>
          <w:kern w:val="0"/>
          <w:sz w:val="22"/>
        </w:rPr>
        <w:t>100%</w:t>
      </w:r>
      <w:r>
        <w:rPr>
          <w:rFonts w:ascii="Times New Roman" w:hAnsi="Times New Roman" w:hint="eastAsia"/>
          <w:kern w:val="0"/>
          <w:sz w:val="22"/>
        </w:rPr>
        <w:t>调至合理范围，通关时间由数天甚至数周缩短至数小时或数天。</w:t>
      </w:r>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22" w:name="_Toc5612487"/>
      <w:bookmarkStart w:id="23" w:name="_Toc202447550"/>
      <w:r>
        <w:rPr>
          <w:rFonts w:ascii="Times New Roman" w:hAnsi="Times New Roman"/>
          <w:b/>
          <w:bCs/>
          <w:sz w:val="22"/>
        </w:rPr>
        <w:t>10</w:t>
      </w:r>
      <w:r>
        <w:rPr>
          <w:rFonts w:ascii="Times New Roman" w:hAnsi="Times New Roman"/>
          <w:b/>
          <w:bCs/>
          <w:sz w:val="22"/>
        </w:rPr>
        <w:t>人员配备要求</w:t>
      </w:r>
      <w:bookmarkEnd w:id="22"/>
      <w:bookmarkEnd w:id="23"/>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10.1 </w:t>
      </w:r>
      <w:r>
        <w:rPr>
          <w:rFonts w:ascii="Times New Roman" w:hAnsi="Times New Roman"/>
          <w:sz w:val="22"/>
        </w:rPr>
        <w:t>投标人应充分考虑满足本项目的建设要求，提出自身有足够能力实施的方案，根据对项目的理解提供项目实施详细进度计划和项目人员配置管理计划，包括组织结构、项目负责人、组成人员及分工职责。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1726"/>
        <w:gridCol w:w="4228"/>
        <w:gridCol w:w="815"/>
      </w:tblGrid>
      <w:tr w:rsidR="006059AC" w:rsidTr="00D31A9F">
        <w:trPr>
          <w:trHeight w:val="454"/>
          <w:jc w:val="center"/>
        </w:trPr>
        <w:tc>
          <w:tcPr>
            <w:tcW w:w="851" w:type="dxa"/>
            <w:shd w:val="clear" w:color="auto" w:fill="auto"/>
            <w:vAlign w:val="center"/>
          </w:tcPr>
          <w:p w:rsidR="006059AC" w:rsidRDefault="006059AC" w:rsidP="00D31A9F">
            <w:pPr>
              <w:adjustRightInd w:val="0"/>
              <w:snapToGrid w:val="0"/>
              <w:spacing w:line="300" w:lineRule="auto"/>
              <w:jc w:val="center"/>
              <w:rPr>
                <w:rFonts w:ascii="Times New Roman" w:hAnsi="Times New Roman"/>
                <w:b/>
                <w:bCs/>
                <w:color w:val="000000"/>
                <w:sz w:val="22"/>
              </w:rPr>
            </w:pPr>
            <w:r>
              <w:rPr>
                <w:rFonts w:ascii="Times New Roman" w:hAnsi="Times New Roman"/>
                <w:b/>
                <w:bCs/>
                <w:color w:val="000000"/>
                <w:sz w:val="22"/>
              </w:rPr>
              <w:t>序号</w:t>
            </w:r>
          </w:p>
        </w:tc>
        <w:tc>
          <w:tcPr>
            <w:tcW w:w="1559" w:type="dxa"/>
            <w:shd w:val="clear" w:color="auto" w:fill="auto"/>
            <w:vAlign w:val="center"/>
          </w:tcPr>
          <w:p w:rsidR="006059AC" w:rsidRDefault="006059AC" w:rsidP="00D31A9F">
            <w:pPr>
              <w:adjustRightInd w:val="0"/>
              <w:snapToGrid w:val="0"/>
              <w:spacing w:line="300" w:lineRule="auto"/>
              <w:jc w:val="center"/>
              <w:rPr>
                <w:rFonts w:ascii="Times New Roman" w:hAnsi="Times New Roman"/>
                <w:b/>
                <w:bCs/>
                <w:color w:val="000000"/>
                <w:sz w:val="22"/>
              </w:rPr>
            </w:pPr>
            <w:r>
              <w:rPr>
                <w:rFonts w:ascii="Times New Roman" w:hAnsi="Times New Roman"/>
                <w:b/>
                <w:bCs/>
                <w:color w:val="000000"/>
                <w:sz w:val="22"/>
              </w:rPr>
              <w:t>岗位名称</w:t>
            </w:r>
          </w:p>
        </w:tc>
        <w:tc>
          <w:tcPr>
            <w:tcW w:w="1726" w:type="dxa"/>
            <w:shd w:val="clear" w:color="auto" w:fill="auto"/>
            <w:vAlign w:val="center"/>
          </w:tcPr>
          <w:p w:rsidR="006059AC" w:rsidRDefault="006059AC" w:rsidP="00D31A9F">
            <w:pPr>
              <w:widowControl/>
              <w:jc w:val="center"/>
              <w:rPr>
                <w:rFonts w:ascii="Times New Roman" w:hAnsi="Times New Roman"/>
                <w:b/>
                <w:bCs/>
                <w:color w:val="000000"/>
                <w:sz w:val="22"/>
              </w:rPr>
            </w:pPr>
            <w:r>
              <w:rPr>
                <w:rFonts w:ascii="Times New Roman" w:hAnsi="Times New Roman"/>
                <w:b/>
                <w:bCs/>
                <w:color w:val="000000"/>
                <w:kern w:val="0"/>
                <w:sz w:val="22"/>
              </w:rPr>
              <w:t>配置岗位人数</w:t>
            </w:r>
          </w:p>
        </w:tc>
        <w:tc>
          <w:tcPr>
            <w:tcW w:w="4228" w:type="dxa"/>
            <w:shd w:val="clear" w:color="auto" w:fill="auto"/>
            <w:vAlign w:val="center"/>
          </w:tcPr>
          <w:p w:rsidR="006059AC" w:rsidRDefault="006059AC" w:rsidP="00D31A9F">
            <w:pPr>
              <w:widowControl/>
              <w:jc w:val="center"/>
              <w:rPr>
                <w:rFonts w:ascii="Times New Roman" w:hAnsi="Times New Roman"/>
                <w:b/>
                <w:bCs/>
                <w:color w:val="000000"/>
                <w:sz w:val="22"/>
              </w:rPr>
            </w:pPr>
            <w:r>
              <w:rPr>
                <w:rFonts w:ascii="Times New Roman" w:hAnsi="Times New Roman"/>
                <w:b/>
                <w:bCs/>
                <w:color w:val="000000"/>
                <w:kern w:val="0"/>
                <w:sz w:val="22"/>
              </w:rPr>
              <w:t>基本要求</w:t>
            </w:r>
          </w:p>
        </w:tc>
        <w:tc>
          <w:tcPr>
            <w:tcW w:w="815" w:type="dxa"/>
            <w:shd w:val="clear" w:color="auto" w:fill="auto"/>
            <w:vAlign w:val="center"/>
          </w:tcPr>
          <w:p w:rsidR="006059AC" w:rsidRDefault="006059AC" w:rsidP="00D31A9F">
            <w:pPr>
              <w:adjustRightInd w:val="0"/>
              <w:snapToGrid w:val="0"/>
              <w:spacing w:line="300" w:lineRule="auto"/>
              <w:jc w:val="center"/>
              <w:rPr>
                <w:rFonts w:ascii="Times New Roman" w:hAnsi="Times New Roman"/>
                <w:b/>
                <w:bCs/>
                <w:color w:val="000000"/>
                <w:sz w:val="22"/>
              </w:rPr>
            </w:pPr>
            <w:r>
              <w:rPr>
                <w:rFonts w:ascii="Times New Roman" w:hAnsi="Times New Roman"/>
                <w:b/>
                <w:bCs/>
                <w:color w:val="000000"/>
                <w:sz w:val="22"/>
              </w:rPr>
              <w:t>备注</w:t>
            </w:r>
          </w:p>
        </w:tc>
      </w:tr>
      <w:tr w:rsidR="006059AC" w:rsidTr="00D31A9F">
        <w:trPr>
          <w:trHeight w:val="454"/>
          <w:jc w:val="center"/>
        </w:trPr>
        <w:tc>
          <w:tcPr>
            <w:tcW w:w="851" w:type="dxa"/>
            <w:shd w:val="clear" w:color="auto" w:fill="auto"/>
            <w:vAlign w:val="center"/>
          </w:tcPr>
          <w:p w:rsidR="006059AC" w:rsidRDefault="006059AC" w:rsidP="00D31A9F">
            <w:pPr>
              <w:adjustRightInd w:val="0"/>
              <w:snapToGrid w:val="0"/>
              <w:spacing w:line="300" w:lineRule="auto"/>
              <w:jc w:val="center"/>
              <w:rPr>
                <w:rFonts w:ascii="Times New Roman" w:hAnsi="Times New Roman"/>
                <w:color w:val="000000"/>
                <w:sz w:val="22"/>
              </w:rPr>
            </w:pPr>
            <w:r>
              <w:rPr>
                <w:rFonts w:ascii="Times New Roman" w:hAnsi="Times New Roman"/>
                <w:color w:val="000000"/>
                <w:sz w:val="22"/>
              </w:rPr>
              <w:t>1</w:t>
            </w:r>
          </w:p>
        </w:tc>
        <w:tc>
          <w:tcPr>
            <w:tcW w:w="1559" w:type="dxa"/>
            <w:shd w:val="clear" w:color="auto" w:fill="auto"/>
            <w:vAlign w:val="center"/>
          </w:tcPr>
          <w:p w:rsidR="006059AC" w:rsidRDefault="006059AC" w:rsidP="00D31A9F">
            <w:pPr>
              <w:rPr>
                <w:rFonts w:ascii="Times New Roman" w:hAnsi="Times New Roman"/>
              </w:rPr>
            </w:pPr>
            <w:r>
              <w:rPr>
                <w:rFonts w:ascii="Times New Roman" w:hAnsi="Times New Roman"/>
              </w:rPr>
              <w:t>项目经理</w:t>
            </w:r>
          </w:p>
        </w:tc>
        <w:tc>
          <w:tcPr>
            <w:tcW w:w="1726" w:type="dxa"/>
            <w:shd w:val="clear" w:color="auto" w:fill="auto"/>
            <w:vAlign w:val="center"/>
          </w:tcPr>
          <w:p w:rsidR="006059AC" w:rsidRDefault="006059AC" w:rsidP="00D31A9F">
            <w:pPr>
              <w:jc w:val="center"/>
              <w:rPr>
                <w:rFonts w:ascii="Times New Roman" w:hAnsi="Times New Roman"/>
              </w:rPr>
            </w:pPr>
            <w:r>
              <w:rPr>
                <w:rFonts w:ascii="Times New Roman" w:hAnsi="Times New Roman"/>
              </w:rPr>
              <w:t>1</w:t>
            </w:r>
          </w:p>
        </w:tc>
        <w:tc>
          <w:tcPr>
            <w:tcW w:w="4228" w:type="dxa"/>
            <w:shd w:val="clear" w:color="auto" w:fill="auto"/>
            <w:vAlign w:val="center"/>
          </w:tcPr>
          <w:p w:rsidR="006059AC" w:rsidRDefault="006059AC" w:rsidP="00D31A9F">
            <w:pPr>
              <w:rPr>
                <w:rFonts w:ascii="Times New Roman" w:hAnsi="Times New Roman"/>
              </w:rPr>
            </w:pPr>
            <w:r>
              <w:rPr>
                <w:rFonts w:ascii="Times New Roman" w:hAnsi="Times New Roman"/>
              </w:rPr>
              <w:t>5</w:t>
            </w:r>
            <w:r>
              <w:rPr>
                <w:rFonts w:ascii="Times New Roman" w:hAnsi="Times New Roman"/>
              </w:rPr>
              <w:t>年以上项目管理经验</w:t>
            </w:r>
          </w:p>
        </w:tc>
        <w:tc>
          <w:tcPr>
            <w:tcW w:w="815" w:type="dxa"/>
            <w:shd w:val="clear" w:color="auto" w:fill="auto"/>
          </w:tcPr>
          <w:p w:rsidR="006059AC" w:rsidRDefault="006059AC" w:rsidP="00D31A9F">
            <w:pPr>
              <w:adjustRightInd w:val="0"/>
              <w:snapToGrid w:val="0"/>
              <w:spacing w:line="300" w:lineRule="auto"/>
              <w:rPr>
                <w:rFonts w:ascii="Times New Roman" w:hAnsi="Times New Roman"/>
                <w:color w:val="000000"/>
                <w:sz w:val="22"/>
              </w:rPr>
            </w:pPr>
          </w:p>
        </w:tc>
      </w:tr>
      <w:tr w:rsidR="006059AC" w:rsidTr="00D31A9F">
        <w:trPr>
          <w:trHeight w:val="454"/>
          <w:jc w:val="center"/>
        </w:trPr>
        <w:tc>
          <w:tcPr>
            <w:tcW w:w="851" w:type="dxa"/>
            <w:shd w:val="clear" w:color="auto" w:fill="auto"/>
            <w:vAlign w:val="center"/>
          </w:tcPr>
          <w:p w:rsidR="006059AC" w:rsidRDefault="006059AC" w:rsidP="00D31A9F">
            <w:pPr>
              <w:adjustRightInd w:val="0"/>
              <w:snapToGrid w:val="0"/>
              <w:spacing w:line="300" w:lineRule="auto"/>
              <w:jc w:val="center"/>
              <w:rPr>
                <w:rFonts w:ascii="Times New Roman" w:hAnsi="Times New Roman"/>
                <w:color w:val="000000"/>
                <w:sz w:val="22"/>
              </w:rPr>
            </w:pPr>
            <w:r>
              <w:rPr>
                <w:rFonts w:ascii="Times New Roman" w:hAnsi="Times New Roman"/>
                <w:color w:val="000000"/>
                <w:sz w:val="22"/>
              </w:rPr>
              <w:t>2</w:t>
            </w:r>
          </w:p>
        </w:tc>
        <w:tc>
          <w:tcPr>
            <w:tcW w:w="1559" w:type="dxa"/>
            <w:shd w:val="clear" w:color="auto" w:fill="auto"/>
            <w:vAlign w:val="center"/>
          </w:tcPr>
          <w:p w:rsidR="006059AC" w:rsidRDefault="006059AC" w:rsidP="00D31A9F">
            <w:pPr>
              <w:rPr>
                <w:rFonts w:ascii="Times New Roman" w:hAnsi="Times New Roman"/>
              </w:rPr>
            </w:pPr>
            <w:proofErr w:type="gramStart"/>
            <w:r>
              <w:rPr>
                <w:rFonts w:ascii="Times New Roman" w:hAnsi="Times New Roman"/>
                <w:sz w:val="22"/>
              </w:rPr>
              <w:t>架构师</w:t>
            </w:r>
            <w:proofErr w:type="gramEnd"/>
          </w:p>
        </w:tc>
        <w:tc>
          <w:tcPr>
            <w:tcW w:w="1726" w:type="dxa"/>
            <w:shd w:val="clear" w:color="auto" w:fill="auto"/>
            <w:vAlign w:val="center"/>
          </w:tcPr>
          <w:p w:rsidR="006059AC" w:rsidRDefault="006059AC" w:rsidP="00D31A9F">
            <w:pPr>
              <w:jc w:val="center"/>
              <w:rPr>
                <w:rFonts w:ascii="Times New Roman" w:hAnsi="Times New Roman"/>
              </w:rPr>
            </w:pPr>
            <w:r>
              <w:rPr>
                <w:rFonts w:ascii="Times New Roman" w:hAnsi="Times New Roman"/>
              </w:rPr>
              <w:t>1</w:t>
            </w:r>
          </w:p>
        </w:tc>
        <w:tc>
          <w:tcPr>
            <w:tcW w:w="4228" w:type="dxa"/>
            <w:shd w:val="clear" w:color="auto" w:fill="auto"/>
            <w:vAlign w:val="center"/>
          </w:tcPr>
          <w:p w:rsidR="006059AC" w:rsidRDefault="006059AC" w:rsidP="00D31A9F">
            <w:pPr>
              <w:rPr>
                <w:rFonts w:ascii="Times New Roman" w:hAnsi="Times New Roman"/>
              </w:rPr>
            </w:pPr>
            <w:r>
              <w:rPr>
                <w:rFonts w:ascii="Times New Roman" w:hAnsi="Times New Roman"/>
              </w:rPr>
              <w:t>8</w:t>
            </w:r>
            <w:r>
              <w:rPr>
                <w:rFonts w:ascii="Times New Roman" w:hAnsi="Times New Roman"/>
              </w:rPr>
              <w:t>年以上软件开发经验</w:t>
            </w:r>
          </w:p>
        </w:tc>
        <w:tc>
          <w:tcPr>
            <w:tcW w:w="815" w:type="dxa"/>
            <w:shd w:val="clear" w:color="auto" w:fill="auto"/>
          </w:tcPr>
          <w:p w:rsidR="006059AC" w:rsidRDefault="006059AC" w:rsidP="00D31A9F">
            <w:pPr>
              <w:adjustRightInd w:val="0"/>
              <w:snapToGrid w:val="0"/>
              <w:spacing w:line="300" w:lineRule="auto"/>
              <w:rPr>
                <w:rFonts w:ascii="Times New Roman" w:hAnsi="Times New Roman"/>
                <w:color w:val="000000"/>
                <w:sz w:val="22"/>
              </w:rPr>
            </w:pPr>
          </w:p>
        </w:tc>
      </w:tr>
      <w:tr w:rsidR="006059AC" w:rsidTr="00D31A9F">
        <w:trPr>
          <w:trHeight w:val="454"/>
          <w:jc w:val="center"/>
        </w:trPr>
        <w:tc>
          <w:tcPr>
            <w:tcW w:w="851" w:type="dxa"/>
            <w:shd w:val="clear" w:color="auto" w:fill="auto"/>
            <w:vAlign w:val="center"/>
          </w:tcPr>
          <w:p w:rsidR="006059AC" w:rsidRDefault="006059AC" w:rsidP="00D31A9F">
            <w:pPr>
              <w:adjustRightInd w:val="0"/>
              <w:snapToGrid w:val="0"/>
              <w:spacing w:line="300" w:lineRule="auto"/>
              <w:jc w:val="center"/>
              <w:rPr>
                <w:rFonts w:ascii="Times New Roman" w:hAnsi="Times New Roman"/>
                <w:color w:val="000000"/>
                <w:sz w:val="22"/>
              </w:rPr>
            </w:pPr>
            <w:r>
              <w:rPr>
                <w:rFonts w:ascii="Times New Roman" w:hAnsi="Times New Roman"/>
                <w:color w:val="000000"/>
                <w:sz w:val="22"/>
              </w:rPr>
              <w:t>3</w:t>
            </w:r>
          </w:p>
        </w:tc>
        <w:tc>
          <w:tcPr>
            <w:tcW w:w="1559" w:type="dxa"/>
            <w:shd w:val="clear" w:color="auto" w:fill="auto"/>
            <w:vAlign w:val="center"/>
          </w:tcPr>
          <w:p w:rsidR="006059AC" w:rsidRDefault="006059AC" w:rsidP="00D31A9F">
            <w:pPr>
              <w:rPr>
                <w:rFonts w:ascii="Times New Roman" w:hAnsi="Times New Roman"/>
              </w:rPr>
            </w:pPr>
            <w:r>
              <w:rPr>
                <w:rFonts w:ascii="Times New Roman" w:hAnsi="Times New Roman"/>
                <w:sz w:val="22"/>
              </w:rPr>
              <w:t>开发工程师</w:t>
            </w:r>
          </w:p>
        </w:tc>
        <w:tc>
          <w:tcPr>
            <w:tcW w:w="1726" w:type="dxa"/>
            <w:shd w:val="clear" w:color="auto" w:fill="auto"/>
            <w:vAlign w:val="center"/>
          </w:tcPr>
          <w:p w:rsidR="006059AC" w:rsidRDefault="006059AC" w:rsidP="00D31A9F">
            <w:pPr>
              <w:jc w:val="center"/>
              <w:rPr>
                <w:rFonts w:ascii="Times New Roman" w:hAnsi="Times New Roman"/>
              </w:rPr>
            </w:pPr>
            <w:r>
              <w:rPr>
                <w:rFonts w:ascii="Times New Roman" w:hAnsi="Times New Roman"/>
              </w:rPr>
              <w:t>13</w:t>
            </w:r>
          </w:p>
        </w:tc>
        <w:tc>
          <w:tcPr>
            <w:tcW w:w="4228" w:type="dxa"/>
            <w:shd w:val="clear" w:color="auto" w:fill="auto"/>
            <w:vAlign w:val="center"/>
          </w:tcPr>
          <w:p w:rsidR="006059AC" w:rsidRDefault="006059AC" w:rsidP="00D31A9F">
            <w:pPr>
              <w:rPr>
                <w:rFonts w:ascii="Times New Roman" w:hAnsi="Times New Roman"/>
              </w:rPr>
            </w:pPr>
            <w:r>
              <w:rPr>
                <w:rFonts w:ascii="Times New Roman" w:hAnsi="Times New Roman"/>
              </w:rPr>
              <w:t>本科或以上学历</w:t>
            </w:r>
          </w:p>
        </w:tc>
        <w:tc>
          <w:tcPr>
            <w:tcW w:w="815" w:type="dxa"/>
            <w:shd w:val="clear" w:color="auto" w:fill="auto"/>
          </w:tcPr>
          <w:p w:rsidR="006059AC" w:rsidRDefault="006059AC" w:rsidP="00D31A9F">
            <w:pPr>
              <w:adjustRightInd w:val="0"/>
              <w:snapToGrid w:val="0"/>
              <w:spacing w:line="300" w:lineRule="auto"/>
              <w:rPr>
                <w:rFonts w:ascii="Times New Roman" w:hAnsi="Times New Roman"/>
                <w:color w:val="000000"/>
                <w:sz w:val="22"/>
              </w:rPr>
            </w:pPr>
          </w:p>
        </w:tc>
      </w:tr>
      <w:tr w:rsidR="006059AC" w:rsidTr="00D31A9F">
        <w:trPr>
          <w:trHeight w:val="454"/>
          <w:jc w:val="center"/>
        </w:trPr>
        <w:tc>
          <w:tcPr>
            <w:tcW w:w="851" w:type="dxa"/>
            <w:shd w:val="clear" w:color="auto" w:fill="auto"/>
            <w:vAlign w:val="center"/>
          </w:tcPr>
          <w:p w:rsidR="006059AC" w:rsidRDefault="006059AC" w:rsidP="00D31A9F">
            <w:pPr>
              <w:adjustRightInd w:val="0"/>
              <w:snapToGrid w:val="0"/>
              <w:spacing w:line="300" w:lineRule="auto"/>
              <w:jc w:val="center"/>
              <w:rPr>
                <w:rFonts w:ascii="Times New Roman" w:hAnsi="Times New Roman"/>
                <w:color w:val="000000"/>
                <w:sz w:val="22"/>
              </w:rPr>
            </w:pPr>
            <w:r>
              <w:rPr>
                <w:rFonts w:ascii="Times New Roman" w:hAnsi="Times New Roman"/>
                <w:color w:val="000000"/>
                <w:sz w:val="22"/>
              </w:rPr>
              <w:t>4</w:t>
            </w:r>
          </w:p>
        </w:tc>
        <w:tc>
          <w:tcPr>
            <w:tcW w:w="1559" w:type="dxa"/>
            <w:shd w:val="clear" w:color="auto" w:fill="auto"/>
            <w:vAlign w:val="center"/>
          </w:tcPr>
          <w:p w:rsidR="006059AC" w:rsidRDefault="006059AC" w:rsidP="00D31A9F">
            <w:pPr>
              <w:rPr>
                <w:rFonts w:ascii="Times New Roman" w:hAnsi="Times New Roman"/>
              </w:rPr>
            </w:pPr>
            <w:r>
              <w:rPr>
                <w:rFonts w:ascii="Times New Roman" w:hAnsi="Times New Roman"/>
              </w:rPr>
              <w:t>数据库工程师</w:t>
            </w:r>
          </w:p>
        </w:tc>
        <w:tc>
          <w:tcPr>
            <w:tcW w:w="1726" w:type="dxa"/>
            <w:shd w:val="clear" w:color="auto" w:fill="auto"/>
            <w:vAlign w:val="center"/>
          </w:tcPr>
          <w:p w:rsidR="006059AC" w:rsidRDefault="006059AC" w:rsidP="00D31A9F">
            <w:pPr>
              <w:jc w:val="center"/>
              <w:rPr>
                <w:rFonts w:ascii="Times New Roman" w:hAnsi="Times New Roman"/>
              </w:rPr>
            </w:pPr>
            <w:r>
              <w:rPr>
                <w:rFonts w:ascii="Times New Roman" w:hAnsi="Times New Roman"/>
              </w:rPr>
              <w:t>2</w:t>
            </w:r>
          </w:p>
        </w:tc>
        <w:tc>
          <w:tcPr>
            <w:tcW w:w="4228" w:type="dxa"/>
            <w:shd w:val="clear" w:color="auto" w:fill="auto"/>
            <w:vAlign w:val="center"/>
          </w:tcPr>
          <w:p w:rsidR="006059AC" w:rsidRDefault="006059AC" w:rsidP="00D31A9F">
            <w:pPr>
              <w:rPr>
                <w:rFonts w:ascii="Times New Roman" w:hAnsi="Times New Roman"/>
              </w:rPr>
            </w:pPr>
            <w:r>
              <w:rPr>
                <w:rFonts w:ascii="Times New Roman" w:hAnsi="Times New Roman"/>
              </w:rPr>
              <w:t>本科或以上学历，</w:t>
            </w:r>
            <w:r>
              <w:rPr>
                <w:rFonts w:ascii="Times New Roman" w:hAnsi="Times New Roman"/>
              </w:rPr>
              <w:t>3</w:t>
            </w:r>
            <w:r>
              <w:rPr>
                <w:rFonts w:ascii="Times New Roman" w:hAnsi="Times New Roman"/>
              </w:rPr>
              <w:t>年以上</w:t>
            </w:r>
            <w:r>
              <w:rPr>
                <w:rFonts w:ascii="Times New Roman" w:hAnsi="Times New Roman"/>
                <w:sz w:val="22"/>
              </w:rPr>
              <w:t>相关行业的数据库开发经验</w:t>
            </w:r>
            <w:r>
              <w:rPr>
                <w:rFonts w:ascii="Times New Roman" w:hAnsi="Times New Roman"/>
              </w:rPr>
              <w:t>，</w:t>
            </w:r>
          </w:p>
        </w:tc>
        <w:tc>
          <w:tcPr>
            <w:tcW w:w="815" w:type="dxa"/>
            <w:shd w:val="clear" w:color="auto" w:fill="auto"/>
          </w:tcPr>
          <w:p w:rsidR="006059AC" w:rsidRDefault="006059AC" w:rsidP="00D31A9F">
            <w:pPr>
              <w:adjustRightInd w:val="0"/>
              <w:snapToGrid w:val="0"/>
              <w:spacing w:line="300" w:lineRule="auto"/>
              <w:rPr>
                <w:rFonts w:ascii="Times New Roman" w:hAnsi="Times New Roman"/>
                <w:color w:val="000000"/>
                <w:sz w:val="22"/>
              </w:rPr>
            </w:pPr>
          </w:p>
        </w:tc>
      </w:tr>
      <w:tr w:rsidR="006059AC" w:rsidTr="00D31A9F">
        <w:trPr>
          <w:trHeight w:val="454"/>
          <w:jc w:val="center"/>
        </w:trPr>
        <w:tc>
          <w:tcPr>
            <w:tcW w:w="851" w:type="dxa"/>
            <w:shd w:val="clear" w:color="auto" w:fill="auto"/>
            <w:vAlign w:val="center"/>
          </w:tcPr>
          <w:p w:rsidR="006059AC" w:rsidRDefault="006059AC" w:rsidP="00D31A9F">
            <w:pPr>
              <w:adjustRightInd w:val="0"/>
              <w:snapToGrid w:val="0"/>
              <w:spacing w:line="300" w:lineRule="auto"/>
              <w:jc w:val="center"/>
              <w:rPr>
                <w:rFonts w:ascii="Times New Roman" w:hAnsi="Times New Roman"/>
                <w:color w:val="000000"/>
                <w:sz w:val="22"/>
              </w:rPr>
            </w:pPr>
            <w:r>
              <w:rPr>
                <w:rFonts w:ascii="Times New Roman" w:hAnsi="Times New Roman"/>
                <w:color w:val="000000"/>
                <w:sz w:val="22"/>
              </w:rPr>
              <w:t>5</w:t>
            </w:r>
          </w:p>
        </w:tc>
        <w:tc>
          <w:tcPr>
            <w:tcW w:w="1559" w:type="dxa"/>
            <w:shd w:val="clear" w:color="auto" w:fill="auto"/>
            <w:vAlign w:val="center"/>
          </w:tcPr>
          <w:p w:rsidR="006059AC" w:rsidRDefault="006059AC" w:rsidP="00D31A9F">
            <w:pPr>
              <w:rPr>
                <w:rFonts w:ascii="Times New Roman" w:hAnsi="Times New Roman"/>
              </w:rPr>
            </w:pPr>
            <w:r>
              <w:rPr>
                <w:rFonts w:ascii="Times New Roman" w:hAnsi="Times New Roman"/>
              </w:rPr>
              <w:t>测试工程师</w:t>
            </w:r>
          </w:p>
        </w:tc>
        <w:tc>
          <w:tcPr>
            <w:tcW w:w="1726" w:type="dxa"/>
            <w:shd w:val="clear" w:color="auto" w:fill="auto"/>
            <w:vAlign w:val="center"/>
          </w:tcPr>
          <w:p w:rsidR="006059AC" w:rsidRDefault="006059AC" w:rsidP="00D31A9F">
            <w:pPr>
              <w:jc w:val="center"/>
              <w:rPr>
                <w:rFonts w:ascii="Times New Roman" w:hAnsi="Times New Roman"/>
              </w:rPr>
            </w:pPr>
            <w:r>
              <w:rPr>
                <w:rFonts w:ascii="Times New Roman" w:hAnsi="Times New Roman"/>
              </w:rPr>
              <w:t>3</w:t>
            </w:r>
          </w:p>
        </w:tc>
        <w:tc>
          <w:tcPr>
            <w:tcW w:w="4228" w:type="dxa"/>
            <w:shd w:val="clear" w:color="auto" w:fill="auto"/>
            <w:vAlign w:val="center"/>
          </w:tcPr>
          <w:p w:rsidR="006059AC" w:rsidRDefault="006059AC" w:rsidP="00D31A9F">
            <w:pPr>
              <w:rPr>
                <w:rFonts w:ascii="Times New Roman" w:hAnsi="Times New Roman"/>
              </w:rPr>
            </w:pPr>
            <w:r>
              <w:rPr>
                <w:rFonts w:ascii="Times New Roman" w:hAnsi="Times New Roman"/>
              </w:rPr>
              <w:t>本科或以上学历，</w:t>
            </w:r>
            <w:r>
              <w:rPr>
                <w:rFonts w:ascii="Times New Roman" w:hAnsi="Times New Roman"/>
                <w:sz w:val="22"/>
              </w:rPr>
              <w:t xml:space="preserve">3 </w:t>
            </w:r>
            <w:r>
              <w:rPr>
                <w:rFonts w:ascii="Times New Roman" w:hAnsi="Times New Roman"/>
                <w:sz w:val="22"/>
              </w:rPr>
              <w:t>年以上软件测试工作经验</w:t>
            </w:r>
            <w:r>
              <w:rPr>
                <w:rFonts w:ascii="Times New Roman" w:hAnsi="Times New Roman"/>
              </w:rPr>
              <w:t>。</w:t>
            </w:r>
          </w:p>
        </w:tc>
        <w:tc>
          <w:tcPr>
            <w:tcW w:w="815" w:type="dxa"/>
            <w:shd w:val="clear" w:color="auto" w:fill="auto"/>
          </w:tcPr>
          <w:p w:rsidR="006059AC" w:rsidRDefault="006059AC" w:rsidP="00D31A9F">
            <w:pPr>
              <w:adjustRightInd w:val="0"/>
              <w:snapToGrid w:val="0"/>
              <w:spacing w:line="300" w:lineRule="auto"/>
              <w:rPr>
                <w:rFonts w:ascii="Times New Roman" w:hAnsi="Times New Roman"/>
                <w:color w:val="000000"/>
                <w:sz w:val="22"/>
              </w:rPr>
            </w:pPr>
          </w:p>
        </w:tc>
      </w:tr>
      <w:tr w:rsidR="006059AC" w:rsidTr="00D31A9F">
        <w:trPr>
          <w:trHeight w:val="454"/>
          <w:jc w:val="center"/>
        </w:trPr>
        <w:tc>
          <w:tcPr>
            <w:tcW w:w="9179" w:type="dxa"/>
            <w:gridSpan w:val="5"/>
            <w:shd w:val="clear" w:color="auto" w:fill="auto"/>
            <w:vAlign w:val="center"/>
          </w:tcPr>
          <w:p w:rsidR="006059AC" w:rsidRDefault="006059AC" w:rsidP="00D31A9F">
            <w:pPr>
              <w:adjustRightInd w:val="0"/>
              <w:snapToGrid w:val="0"/>
              <w:spacing w:line="300" w:lineRule="auto"/>
              <w:jc w:val="left"/>
              <w:rPr>
                <w:rFonts w:ascii="Times New Roman" w:hAnsi="Times New Roman"/>
                <w:color w:val="000000"/>
                <w:sz w:val="22"/>
              </w:rPr>
            </w:pPr>
            <w:r>
              <w:rPr>
                <w:rFonts w:ascii="Times New Roman" w:hAnsi="Times New Roman"/>
                <w:color w:val="000000"/>
                <w:sz w:val="22"/>
              </w:rPr>
              <w:t>备注：</w:t>
            </w:r>
          </w:p>
          <w:p w:rsidR="006059AC" w:rsidRDefault="006059AC" w:rsidP="00D31A9F">
            <w:pPr>
              <w:adjustRightInd w:val="0"/>
              <w:snapToGrid w:val="0"/>
              <w:spacing w:line="300" w:lineRule="auto"/>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1</w:t>
            </w:r>
            <w:r>
              <w:rPr>
                <w:rFonts w:ascii="Times New Roman" w:hAnsi="Times New Roman"/>
                <w:color w:val="000000"/>
                <w:sz w:val="22"/>
              </w:rPr>
              <w:t>）项目总负责人、项目经理、技术负责人为主要人员。</w:t>
            </w:r>
          </w:p>
          <w:p w:rsidR="006059AC" w:rsidRDefault="006059AC" w:rsidP="00D31A9F">
            <w:pPr>
              <w:adjustRightInd w:val="0"/>
              <w:snapToGrid w:val="0"/>
              <w:spacing w:line="300" w:lineRule="auto"/>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2</w:t>
            </w:r>
            <w:r>
              <w:rPr>
                <w:rFonts w:ascii="Times New Roman" w:hAnsi="Times New Roman"/>
                <w:color w:val="000000"/>
                <w:sz w:val="22"/>
              </w:rPr>
              <w:t>）项目建设期间要求包含主要人员在内，不少于</w:t>
            </w:r>
            <w:r>
              <w:rPr>
                <w:rFonts w:ascii="Times New Roman" w:hAnsi="Times New Roman"/>
                <w:color w:val="000000"/>
                <w:sz w:val="22"/>
              </w:rPr>
              <w:t>3</w:t>
            </w:r>
            <w:r>
              <w:rPr>
                <w:rFonts w:ascii="Times New Roman" w:hAnsi="Times New Roman"/>
                <w:color w:val="000000"/>
                <w:sz w:val="22"/>
              </w:rPr>
              <w:t>人的项目团队驻场开发。</w:t>
            </w:r>
          </w:p>
          <w:p w:rsidR="006059AC" w:rsidRDefault="006059AC" w:rsidP="00D31A9F">
            <w:pPr>
              <w:adjustRightInd w:val="0"/>
              <w:snapToGrid w:val="0"/>
              <w:spacing w:line="300" w:lineRule="auto"/>
              <w:jc w:val="left"/>
              <w:rPr>
                <w:rFonts w:ascii="Times New Roman" w:hAnsi="Times New Roman"/>
                <w:color w:val="000000"/>
                <w:kern w:val="0"/>
                <w:sz w:val="22"/>
              </w:rPr>
            </w:pPr>
            <w:r>
              <w:rPr>
                <w:rFonts w:ascii="Times New Roman" w:hAnsi="Times New Roman"/>
                <w:color w:val="000000"/>
                <w:sz w:val="22"/>
              </w:rPr>
              <w:t>（</w:t>
            </w:r>
            <w:r>
              <w:rPr>
                <w:rFonts w:ascii="Times New Roman" w:hAnsi="Times New Roman"/>
                <w:color w:val="000000"/>
                <w:sz w:val="22"/>
              </w:rPr>
              <w:t>3</w:t>
            </w:r>
            <w:r>
              <w:rPr>
                <w:rFonts w:ascii="Times New Roman" w:hAnsi="Times New Roman"/>
                <w:color w:val="000000"/>
                <w:sz w:val="22"/>
              </w:rPr>
              <w:t>）投标时请附拟派人员的相关证明资料（包括但不限于学历、资格证书、在职证明材料等）。</w:t>
            </w:r>
          </w:p>
        </w:tc>
      </w:tr>
    </w:tbl>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 xml:space="preserve">10.2 </w:t>
      </w:r>
      <w:r>
        <w:rPr>
          <w:rFonts w:ascii="Times New Roman" w:hAnsi="Times New Roman" w:hint="eastAsia"/>
          <w:sz w:val="22"/>
        </w:rPr>
        <w:t>投标人应优先选派具备相关项目实施经验的项目经理和核心技术人员，组建本项目实施团队人员不低于</w:t>
      </w:r>
      <w:r>
        <w:rPr>
          <w:rFonts w:ascii="Times New Roman" w:hAnsi="Times New Roman" w:hint="eastAsia"/>
          <w:sz w:val="22"/>
        </w:rPr>
        <w:t>20</w:t>
      </w:r>
      <w:r>
        <w:rPr>
          <w:rFonts w:ascii="Times New Roman" w:hAnsi="Times New Roman" w:hint="eastAsia"/>
          <w:sz w:val="22"/>
        </w:rPr>
        <w:t>人，确保项目按计划开发实施完成。</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 xml:space="preserve">10.3 </w:t>
      </w:r>
      <w:r>
        <w:rPr>
          <w:rFonts w:ascii="Times New Roman" w:hAnsi="Times New Roman" w:hint="eastAsia"/>
          <w:sz w:val="22"/>
        </w:rPr>
        <w:t>投标人针对本项目成立项目小组，在投标书中提供书面名单，人员一旦得到确认，无特殊理由不得随意变动，其中项目经理具有相当项目经验，项目经理未得到采购人同意的情况下不得随意更换。</w:t>
      </w:r>
    </w:p>
    <w:p w:rsidR="006059AC" w:rsidRDefault="006059AC" w:rsidP="006059A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 xml:space="preserve">10.4 </w:t>
      </w:r>
      <w:r>
        <w:rPr>
          <w:rFonts w:ascii="Times New Roman" w:hAnsi="Times New Roman" w:hint="eastAsia"/>
          <w:sz w:val="22"/>
        </w:rPr>
        <w:t>采购人有权根据实施情况要求更换项目经理和实施人员。</w:t>
      </w:r>
    </w:p>
    <w:p w:rsidR="006059AC" w:rsidRDefault="006059AC" w:rsidP="006059AC">
      <w:pPr>
        <w:adjustRightInd w:val="0"/>
        <w:snapToGrid w:val="0"/>
        <w:spacing w:line="300" w:lineRule="auto"/>
        <w:ind w:firstLineChars="200" w:firstLine="442"/>
        <w:rPr>
          <w:rFonts w:ascii="Times New Roman" w:hAnsi="Times New Roman"/>
          <w:b/>
          <w:color w:val="FF0000"/>
          <w:sz w:val="22"/>
          <w:u w:val="wavyHeavy"/>
        </w:rPr>
      </w:pPr>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24" w:name="_Toc202447551"/>
      <w:r>
        <w:rPr>
          <w:rFonts w:ascii="Times New Roman" w:hAnsi="Times New Roman"/>
          <w:b/>
          <w:bCs/>
          <w:sz w:val="22"/>
        </w:rPr>
        <w:t>11</w:t>
      </w:r>
      <w:r>
        <w:rPr>
          <w:rFonts w:ascii="Times New Roman" w:hAnsi="Times New Roman"/>
          <w:b/>
          <w:bCs/>
          <w:sz w:val="22"/>
        </w:rPr>
        <w:t>质量标准及验收要求</w:t>
      </w:r>
      <w:bookmarkEnd w:id="24"/>
    </w:p>
    <w:p w:rsidR="006059AC" w:rsidRDefault="006059AC" w:rsidP="006059AC">
      <w:pPr>
        <w:tabs>
          <w:tab w:val="left" w:pos="306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11.1</w:t>
      </w:r>
      <w:r>
        <w:rPr>
          <w:rFonts w:ascii="Times New Roman" w:hAnsi="Times New Roman"/>
          <w:b/>
          <w:bCs/>
          <w:sz w:val="22"/>
        </w:rPr>
        <w:t>质量标准</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11.1.1 </w:t>
      </w:r>
      <w:r>
        <w:rPr>
          <w:rFonts w:ascii="Times New Roman" w:hAnsi="Times New Roman"/>
          <w:color w:val="000000"/>
          <w:sz w:val="22"/>
        </w:rPr>
        <w:t>中标人所交付软件系统应满足本项目合同文件明确的功能性、使用性要求。软件开发质量标准按照国家标准、招标需求确定，上述标准不一致的，以严格的标准为准。没有国家标准、行业标</w:t>
      </w:r>
      <w:r>
        <w:rPr>
          <w:rFonts w:ascii="Times New Roman" w:hAnsi="Times New Roman"/>
          <w:color w:val="000000"/>
          <w:sz w:val="22"/>
        </w:rPr>
        <w:lastRenderedPageBreak/>
        <w:t>准和企业标准的，按照通常标准或者符合招标目的的特定标准确定。</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11.1.2 </w:t>
      </w:r>
      <w:r>
        <w:rPr>
          <w:rFonts w:ascii="Times New Roman" w:hAnsi="Times New Roman"/>
          <w:color w:val="000000"/>
          <w:sz w:val="22"/>
        </w:rPr>
        <w:t>中标人所交付的软件系统还应符合国家和上海市有关系统运行安全之规定。</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11.1.3</w:t>
      </w:r>
      <w:r>
        <w:rPr>
          <w:rFonts w:ascii="Times New Roman" w:hAnsi="Times New Roman"/>
          <w:color w:val="000000"/>
          <w:sz w:val="22"/>
        </w:rPr>
        <w:t>在软件开发启动之前，中标人应根据采购人需求进一步进行项目应用调研与开发前分析，双方对现拟需求、投标方案、运行目标及实施计划进行全面回顾与梳理，按实际可操作性进行必要调整，调整结果双方以合同附件形式增补生效。</w:t>
      </w:r>
    </w:p>
    <w:p w:rsidR="006059AC" w:rsidRDefault="006059AC" w:rsidP="006059AC">
      <w:pPr>
        <w:tabs>
          <w:tab w:val="left" w:pos="306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t xml:space="preserve">11.2 </w:t>
      </w:r>
      <w:r>
        <w:rPr>
          <w:rFonts w:ascii="Times New Roman" w:hAnsi="Times New Roman"/>
          <w:b/>
          <w:bCs/>
          <w:sz w:val="22"/>
        </w:rPr>
        <w:t>验收要求</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11.2.1</w:t>
      </w:r>
      <w:r>
        <w:rPr>
          <w:rFonts w:ascii="Times New Roman" w:hAnsi="Times New Roman" w:hint="eastAsia"/>
          <w:color w:val="000000"/>
          <w:sz w:val="22"/>
        </w:rPr>
        <w:t>中标人应对应用系统进行完善的测试和自验收。同时提供测试文档和自验收文档。</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11.2.2</w:t>
      </w:r>
      <w:r>
        <w:rPr>
          <w:rFonts w:ascii="Times New Roman" w:hAnsi="Times New Roman" w:hint="eastAsia"/>
          <w:color w:val="000000"/>
          <w:sz w:val="22"/>
        </w:rPr>
        <w:t>采购人应依据信息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11.2.3</w:t>
      </w:r>
      <w:r>
        <w:rPr>
          <w:rFonts w:ascii="Times New Roman" w:hAnsi="Times New Roman" w:hint="eastAsia"/>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11.2.4</w:t>
      </w:r>
      <w:r>
        <w:rPr>
          <w:rFonts w:ascii="Times New Roman" w:hAnsi="Times New Roman" w:hint="eastAsia"/>
          <w:color w:val="000000"/>
          <w:sz w:val="22"/>
        </w:rPr>
        <w:t>中标人应在进行系统交付前</w:t>
      </w:r>
      <w:r>
        <w:rPr>
          <w:rFonts w:ascii="Times New Roman" w:hAnsi="Times New Roman" w:hint="eastAsia"/>
          <w:color w:val="000000"/>
          <w:sz w:val="22"/>
        </w:rPr>
        <w:t>5</w:t>
      </w:r>
      <w:r>
        <w:rPr>
          <w:rFonts w:ascii="Times New Roman" w:hAnsi="Times New Roman" w:hint="eastAsia"/>
          <w:color w:val="000000"/>
          <w:sz w:val="22"/>
        </w:rPr>
        <w:t>个工作日内，以书面方式通知采购人并向采购人提供完整的竣工资料、竣工验收报告及竣工图。采购人应当在接到通知与资料的</w:t>
      </w:r>
      <w:r>
        <w:rPr>
          <w:rFonts w:ascii="Times New Roman" w:hAnsi="Times New Roman" w:hint="eastAsia"/>
          <w:color w:val="000000"/>
          <w:sz w:val="22"/>
        </w:rPr>
        <w:t>5</w:t>
      </w:r>
      <w:r>
        <w:rPr>
          <w:rFonts w:ascii="Times New Roman" w:hAnsi="Times New Roman" w:hint="eastAsia"/>
          <w:color w:val="000000"/>
          <w:sz w:val="22"/>
        </w:rPr>
        <w:t>个工作日内安排交付验收（初步验收）。中标人在交付前应当根据合同文件中的检测标准对本项目进行功能和运行检测，以确认本项目初步达到符合本合同交付的规定。</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11.2.5</w:t>
      </w:r>
      <w:r>
        <w:rPr>
          <w:rFonts w:ascii="Times New Roman" w:hAnsi="Times New Roman" w:hint="eastAsia"/>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11.2.6</w:t>
      </w:r>
      <w:r>
        <w:rPr>
          <w:rFonts w:ascii="Times New Roman" w:hAnsi="Times New Roman" w:hint="eastAsia"/>
          <w:color w:val="000000"/>
          <w:sz w:val="22"/>
        </w:rPr>
        <w:t>采购人在本项目交付后，应当在</w:t>
      </w:r>
      <w:r>
        <w:rPr>
          <w:rFonts w:ascii="Times New Roman" w:hAnsi="Times New Roman" w:hint="eastAsia"/>
          <w:color w:val="000000"/>
          <w:sz w:val="22"/>
        </w:rPr>
        <w:t>5</w:t>
      </w:r>
      <w:r>
        <w:rPr>
          <w:rFonts w:ascii="Times New Roman" w:hAnsi="Times New Roman" w:hint="eastAsia"/>
          <w:color w:val="000000"/>
          <w:sz w:val="22"/>
        </w:rPr>
        <w:t>个工作日内向中标人出具书面文件（初验报告），以确认其初步达到符合本合同所约定信息系统的任务、需求和功能。如有缺陷，应向中标人出具书面报告，陈述需要改进的缺陷。中标人应立即改进此项缺陷，并再次进行检测和评估。期间中标人需承担由自身原因造成修改的费用。甲、乙双方将重复本章节第</w:t>
      </w:r>
      <w:r>
        <w:rPr>
          <w:rFonts w:ascii="Times New Roman" w:hAnsi="Times New Roman" w:hint="eastAsia"/>
          <w:color w:val="000000"/>
          <w:sz w:val="22"/>
        </w:rPr>
        <w:t>11.2.4</w:t>
      </w:r>
      <w:r>
        <w:rPr>
          <w:rFonts w:ascii="Times New Roman" w:hAnsi="Times New Roman" w:hint="eastAsia"/>
          <w:color w:val="000000"/>
          <w:sz w:val="22"/>
        </w:rPr>
        <w:t>、</w:t>
      </w:r>
      <w:r>
        <w:rPr>
          <w:rFonts w:ascii="Times New Roman" w:hAnsi="Times New Roman" w:hint="eastAsia"/>
          <w:color w:val="000000"/>
          <w:sz w:val="22"/>
        </w:rPr>
        <w:t>11.2.6</w:t>
      </w:r>
      <w:r>
        <w:rPr>
          <w:rFonts w:ascii="Times New Roman" w:hAnsi="Times New Roman" w:hint="eastAsia"/>
          <w:color w:val="000000"/>
          <w:sz w:val="22"/>
        </w:rPr>
        <w:t>款程序直至采购人领受或采购人依法或依约终止本合同为止。</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11.2.7</w:t>
      </w:r>
      <w:proofErr w:type="gramStart"/>
      <w:r>
        <w:rPr>
          <w:rFonts w:ascii="Times New Roman" w:hAnsi="Times New Roman" w:hint="eastAsia"/>
          <w:color w:val="000000"/>
          <w:sz w:val="22"/>
        </w:rPr>
        <w:t>自系统</w:t>
      </w:r>
      <w:proofErr w:type="gramEnd"/>
      <w:r>
        <w:rPr>
          <w:rFonts w:ascii="Times New Roman" w:hAnsi="Times New Roman" w:hint="eastAsia"/>
          <w:color w:val="000000"/>
          <w:sz w:val="22"/>
        </w:rPr>
        <w:t>初步验收通过之日起，采购人拥有</w:t>
      </w:r>
      <w:r>
        <w:rPr>
          <w:rFonts w:ascii="Times New Roman" w:hAnsi="Times New Roman" w:hint="eastAsia"/>
          <w:color w:val="000000"/>
          <w:sz w:val="22"/>
        </w:rPr>
        <w:t>30</w:t>
      </w:r>
      <w:r>
        <w:rPr>
          <w:rFonts w:ascii="Times New Roman" w:hAnsi="Times New Roman" w:hint="eastAsia"/>
          <w:color w:val="000000"/>
          <w:sz w:val="22"/>
        </w:rPr>
        <w:t>个</w:t>
      </w:r>
      <w:proofErr w:type="gramStart"/>
      <w:r>
        <w:rPr>
          <w:rFonts w:ascii="Times New Roman" w:hAnsi="Times New Roman" w:hint="eastAsia"/>
          <w:color w:val="000000"/>
          <w:sz w:val="22"/>
        </w:rPr>
        <w:t>日历天</w:t>
      </w:r>
      <w:proofErr w:type="gramEnd"/>
      <w:r>
        <w:rPr>
          <w:rFonts w:ascii="Times New Roman" w:hAnsi="Times New Roman" w:hint="eastAsia"/>
          <w:color w:val="000000"/>
          <w:sz w:val="22"/>
        </w:rPr>
        <w:t>的系统试运行权利。</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11.2.8</w:t>
      </w:r>
      <w:r>
        <w:rPr>
          <w:rFonts w:ascii="Times New Roman" w:hAnsi="Times New Roman" w:hint="eastAsia"/>
          <w:color w:val="000000"/>
          <w:sz w:val="22"/>
        </w:rPr>
        <w:t>如果由于中标人原因，导致系统在试运行期间出现故障或问题，中标人应及时排除该故障或问题。以上行为产生的费用均由中标人承担。</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11.2.9</w:t>
      </w:r>
      <w:r>
        <w:rPr>
          <w:rFonts w:ascii="Times New Roman" w:hAnsi="Times New Roman" w:hint="eastAsia"/>
          <w:color w:val="000000"/>
          <w:sz w:val="22"/>
        </w:rPr>
        <w:t>如果由于采购人原因，导致系统在试运行期间出现故障或问题，中标人应及时配合排除该方面的故障或问题。以上行为产生的相关费用均由采购人承担。</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11.2.10</w:t>
      </w:r>
      <w:r>
        <w:rPr>
          <w:rFonts w:ascii="Times New Roman" w:hAnsi="Times New Roman" w:hint="eastAsia"/>
          <w:color w:val="000000"/>
          <w:sz w:val="22"/>
        </w:rPr>
        <w:t>系统试运行完成后，采购人应及时组织系统行业验收。本项目行业验收形式为由新区信息化行业主管部门组织的专家验收。中标人应在专家验收</w:t>
      </w:r>
      <w:proofErr w:type="gramStart"/>
      <w:r>
        <w:rPr>
          <w:rFonts w:ascii="Times New Roman" w:hAnsi="Times New Roman" w:hint="eastAsia"/>
          <w:color w:val="000000"/>
          <w:sz w:val="22"/>
        </w:rPr>
        <w:t>前配合</w:t>
      </w:r>
      <w:proofErr w:type="gramEnd"/>
      <w:r>
        <w:rPr>
          <w:rFonts w:ascii="Times New Roman" w:hAnsi="Times New Roman" w:hint="eastAsia"/>
          <w:color w:val="000000"/>
          <w:sz w:val="22"/>
        </w:rPr>
        <w:t>采购人对系统进行软件测评、安全测评和密码测评，取得国家权威第三方测评机构出具的测评报告后，中标人应当以书面形式向采购人递交验收通知书，采购人在收到验收通知书后的</w:t>
      </w:r>
      <w:r>
        <w:rPr>
          <w:rFonts w:ascii="Times New Roman" w:hAnsi="Times New Roman" w:hint="eastAsia"/>
          <w:color w:val="000000"/>
          <w:sz w:val="22"/>
        </w:rPr>
        <w:t>5</w:t>
      </w:r>
      <w:r>
        <w:rPr>
          <w:rFonts w:ascii="Times New Roman" w:hAnsi="Times New Roman" w:hint="eastAsia"/>
          <w:color w:val="000000"/>
          <w:sz w:val="22"/>
        </w:rPr>
        <w:t>个工作日内，向新区信息化行业主管部门申请行业验收，并确定具体日期，由双方按照本合同的规定完成系统验收。</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11.2.11</w:t>
      </w:r>
      <w:r>
        <w:rPr>
          <w:rFonts w:ascii="Times New Roman" w:hAnsi="Times New Roman" w:hint="eastAsia"/>
          <w:color w:val="000000"/>
          <w:sz w:val="22"/>
        </w:rPr>
        <w:t>如果属于中标</w:t>
      </w:r>
      <w:proofErr w:type="gramStart"/>
      <w:r>
        <w:rPr>
          <w:rFonts w:ascii="Times New Roman" w:hAnsi="Times New Roman" w:hint="eastAsia"/>
          <w:color w:val="000000"/>
          <w:sz w:val="22"/>
        </w:rPr>
        <w:t>人原因</w:t>
      </w:r>
      <w:proofErr w:type="gramEnd"/>
      <w:r>
        <w:rPr>
          <w:rFonts w:ascii="Times New Roman" w:hAnsi="Times New Roman" w:hint="eastAsia"/>
          <w:color w:val="000000"/>
          <w:sz w:val="22"/>
        </w:rPr>
        <w:t>致使系统未能通过验收，中标人应当排除故障，并自行承担相关费用，同时延长试运行期</w:t>
      </w:r>
      <w:r>
        <w:rPr>
          <w:rFonts w:ascii="Times New Roman" w:hAnsi="Times New Roman" w:hint="eastAsia"/>
          <w:color w:val="000000"/>
          <w:sz w:val="22"/>
        </w:rPr>
        <w:t>30</w:t>
      </w:r>
      <w:r>
        <w:rPr>
          <w:rFonts w:ascii="Times New Roman" w:hAnsi="Times New Roman" w:hint="eastAsia"/>
          <w:color w:val="000000"/>
          <w:sz w:val="22"/>
        </w:rPr>
        <w:t>个日历天，直至系统完全符合验收标准。</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11.2.12</w:t>
      </w:r>
      <w:r>
        <w:rPr>
          <w:rFonts w:ascii="Times New Roman" w:hAnsi="Times New Roman" w:hint="eastAsia"/>
          <w:color w:val="000000"/>
          <w:sz w:val="22"/>
        </w:rPr>
        <w:t>如果属于采购</w:t>
      </w:r>
      <w:proofErr w:type="gramStart"/>
      <w:r>
        <w:rPr>
          <w:rFonts w:ascii="Times New Roman" w:hAnsi="Times New Roman" w:hint="eastAsia"/>
          <w:color w:val="000000"/>
          <w:sz w:val="22"/>
        </w:rPr>
        <w:t>人原因</w:t>
      </w:r>
      <w:proofErr w:type="gramEnd"/>
      <w:r>
        <w:rPr>
          <w:rFonts w:ascii="Times New Roman" w:hAnsi="Times New Roman" w:hint="eastAsia"/>
          <w:color w:val="000000"/>
          <w:sz w:val="22"/>
        </w:rPr>
        <w:t>致使系统未能通过验收，采购人应在合理时间内排除故障，再次进行</w:t>
      </w:r>
      <w:r>
        <w:rPr>
          <w:rFonts w:ascii="Times New Roman" w:hAnsi="Times New Roman" w:hint="eastAsia"/>
          <w:color w:val="000000"/>
          <w:sz w:val="22"/>
        </w:rPr>
        <w:lastRenderedPageBreak/>
        <w:t>验收。</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11.2.13</w:t>
      </w:r>
      <w:r>
        <w:rPr>
          <w:rFonts w:ascii="Times New Roman" w:hAnsi="Times New Roman" w:hint="eastAsia"/>
          <w:color w:val="000000"/>
          <w:sz w:val="22"/>
        </w:rPr>
        <w:t>采购人根据信息系统的技术规格要求和质量标准，对信息系统验收合格，签署验收意见。</w:t>
      </w:r>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25" w:name="_Toc202447552"/>
      <w:r>
        <w:rPr>
          <w:rFonts w:ascii="Times New Roman" w:hAnsi="Times New Roman"/>
          <w:b/>
          <w:bCs/>
          <w:sz w:val="22"/>
        </w:rPr>
        <w:t>12</w:t>
      </w:r>
      <w:r>
        <w:rPr>
          <w:rFonts w:ascii="Times New Roman" w:hAnsi="Times New Roman"/>
          <w:b/>
          <w:bCs/>
          <w:sz w:val="22"/>
        </w:rPr>
        <w:t>售后服务要求</w:t>
      </w:r>
      <w:bookmarkEnd w:id="25"/>
    </w:p>
    <w:p w:rsidR="006059AC" w:rsidRDefault="006059AC" w:rsidP="006059AC">
      <w:pPr>
        <w:adjustRightInd w:val="0"/>
        <w:snapToGrid w:val="0"/>
        <w:spacing w:line="300" w:lineRule="auto"/>
        <w:ind w:firstLineChars="200" w:firstLine="442"/>
        <w:rPr>
          <w:rFonts w:ascii="Times New Roman" w:hAnsi="Times New Roman"/>
          <w:b/>
          <w:color w:val="000000"/>
          <w:sz w:val="22"/>
        </w:rPr>
      </w:pPr>
      <w:r>
        <w:rPr>
          <w:rFonts w:ascii="Times New Roman" w:hAnsi="Times New Roman"/>
          <w:b/>
          <w:color w:val="000000"/>
          <w:sz w:val="22"/>
        </w:rPr>
        <w:t>12.1</w:t>
      </w:r>
      <w:r>
        <w:rPr>
          <w:rFonts w:ascii="Times New Roman" w:hAnsi="Times New Roman"/>
          <w:b/>
          <w:color w:val="000000"/>
          <w:sz w:val="22"/>
        </w:rPr>
        <w:t>软件运行保证</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在中标人驻场服务期满，提供免费技术支持服务期（质量保质期）内，负责本项目的维护工作，确保系统安全、稳定、正常地运行并对由于设计、功能的缺陷而产生的故障负责。提供</w:t>
      </w:r>
      <w:r>
        <w:rPr>
          <w:rFonts w:ascii="Times New Roman" w:hAnsi="Times New Roman"/>
          <w:color w:val="000000"/>
          <w:sz w:val="22"/>
        </w:rPr>
        <w:t>7</w:t>
      </w:r>
      <w:r>
        <w:rPr>
          <w:rFonts w:ascii="Times New Roman" w:hAnsi="Times New Roman"/>
          <w:color w:val="000000"/>
          <w:sz w:val="22"/>
        </w:rPr>
        <w:t>日</w:t>
      </w:r>
      <w:r>
        <w:rPr>
          <w:rFonts w:ascii="Times New Roman" w:hAnsi="Times New Roman"/>
          <w:color w:val="000000"/>
          <w:sz w:val="22"/>
        </w:rPr>
        <w:t>*24</w:t>
      </w:r>
      <w:r>
        <w:rPr>
          <w:rFonts w:ascii="Times New Roman" w:hAnsi="Times New Roman"/>
          <w:color w:val="000000"/>
          <w:sz w:val="22"/>
        </w:rPr>
        <w:t>小时响应维护服务。在此期间如发生系统运作故障，或出现瑕疵，中标人将按照售后服务的承诺提供保修和维护服务。中标人将通过以下三种服务方式进行技术支持：</w:t>
      </w:r>
    </w:p>
    <w:p w:rsidR="006059AC" w:rsidRDefault="006059AC" w:rsidP="006059AC">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Pr>
          <w:rFonts w:ascii="Times New Roman" w:hAnsi="Times New Roman" w:cs="Times New Roman"/>
          <w:color w:val="000000"/>
          <w:kern w:val="2"/>
          <w:sz w:val="22"/>
          <w:szCs w:val="22"/>
        </w:rPr>
        <w:t xml:space="preserve">12.1.1 </w:t>
      </w:r>
      <w:r>
        <w:rPr>
          <w:rFonts w:ascii="Times New Roman" w:hAnsi="Times New Roman" w:cs="Times New Roman"/>
          <w:color w:val="000000"/>
          <w:kern w:val="2"/>
          <w:sz w:val="22"/>
          <w:szCs w:val="22"/>
        </w:rPr>
        <w:t>电话支持：客户通过拨打中标人指定的维护工程师电话，由中标人工程师进行电话支持。</w:t>
      </w:r>
    </w:p>
    <w:p w:rsidR="006059AC" w:rsidRDefault="006059AC" w:rsidP="006059AC">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Pr>
          <w:rFonts w:ascii="Times New Roman" w:hAnsi="Times New Roman" w:cs="Times New Roman"/>
          <w:color w:val="000000"/>
          <w:kern w:val="2"/>
          <w:sz w:val="22"/>
          <w:szCs w:val="22"/>
        </w:rPr>
        <w:t xml:space="preserve">12.1.2 </w:t>
      </w:r>
      <w:r>
        <w:rPr>
          <w:rFonts w:ascii="Times New Roman" w:hAnsi="Times New Roman" w:cs="Times New Roman"/>
          <w:color w:val="000000"/>
          <w:kern w:val="2"/>
          <w:sz w:val="22"/>
          <w:szCs w:val="22"/>
        </w:rPr>
        <w:t>远程技术支持：在采购人保证服务器网络联通的情况下，通过远程诊断、电话支持、电子邮件等方式进行技术支持。</w:t>
      </w:r>
    </w:p>
    <w:p w:rsidR="006059AC" w:rsidRDefault="006059AC" w:rsidP="006059AC">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Pr>
          <w:rFonts w:ascii="Times New Roman" w:hAnsi="Times New Roman" w:cs="Times New Roman"/>
          <w:color w:val="000000"/>
          <w:kern w:val="2"/>
          <w:sz w:val="22"/>
          <w:szCs w:val="22"/>
        </w:rPr>
        <w:t xml:space="preserve">12.1.3 </w:t>
      </w:r>
      <w:r>
        <w:rPr>
          <w:rFonts w:ascii="Times New Roman" w:hAnsi="Times New Roman" w:cs="Times New Roman"/>
          <w:color w:val="000000"/>
          <w:kern w:val="2"/>
          <w:sz w:val="22"/>
          <w:szCs w:val="22"/>
        </w:rPr>
        <w:t>现场支持：如果不能通过远程技术支持方式解决系统的技术故障，在用户提出现场支持要求后的</w:t>
      </w:r>
      <w:r>
        <w:rPr>
          <w:rFonts w:ascii="Times New Roman" w:hAnsi="Times New Roman" w:cs="Times New Roman"/>
          <w:color w:val="000000"/>
          <w:kern w:val="2"/>
          <w:sz w:val="22"/>
          <w:szCs w:val="22"/>
        </w:rPr>
        <w:t>24</w:t>
      </w:r>
      <w:r>
        <w:rPr>
          <w:rFonts w:ascii="Times New Roman" w:hAnsi="Times New Roman" w:cs="Times New Roman"/>
          <w:color w:val="000000"/>
          <w:kern w:val="2"/>
          <w:sz w:val="22"/>
          <w:szCs w:val="22"/>
        </w:rPr>
        <w:t>小时内，中标人将派遣工程师赶赴现场分析故障原因，制定故障排除方案，提供故障排除服务。</w:t>
      </w:r>
    </w:p>
    <w:p w:rsidR="006059AC" w:rsidRDefault="006059AC" w:rsidP="006059AC">
      <w:pPr>
        <w:adjustRightInd w:val="0"/>
        <w:snapToGrid w:val="0"/>
        <w:spacing w:line="300" w:lineRule="auto"/>
        <w:ind w:firstLineChars="200" w:firstLine="442"/>
        <w:rPr>
          <w:rFonts w:ascii="Times New Roman" w:hAnsi="Times New Roman"/>
          <w:b/>
          <w:color w:val="000000"/>
          <w:sz w:val="22"/>
        </w:rPr>
      </w:pPr>
      <w:r>
        <w:rPr>
          <w:rFonts w:ascii="Times New Roman" w:hAnsi="Times New Roman"/>
          <w:b/>
          <w:color w:val="000000"/>
          <w:sz w:val="22"/>
        </w:rPr>
        <w:t xml:space="preserve">12.2 </w:t>
      </w:r>
      <w:r>
        <w:rPr>
          <w:rFonts w:ascii="Times New Roman" w:hAnsi="Times New Roman"/>
          <w:b/>
          <w:color w:val="000000"/>
          <w:sz w:val="22"/>
        </w:rPr>
        <w:t>软件维护要求</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12.2.1 </w:t>
      </w:r>
      <w:r>
        <w:rPr>
          <w:rFonts w:ascii="Times New Roman" w:hAnsi="Times New Roman"/>
          <w:color w:val="000000"/>
          <w:sz w:val="22"/>
        </w:rPr>
        <w:t>质量保质期内，由采购人负责日常性管理工作，包括信息更新、数据维护和系统管理，中标人负责本项目所涉及的技术性维护，其工作范围为：软件日常运行维护、软件版本升级和错误更正；合同所界定的功能范围内的局部调整。</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12.2.2 </w:t>
      </w:r>
      <w:r>
        <w:rPr>
          <w:rFonts w:ascii="Times New Roman" w:hAnsi="Times New Roman"/>
          <w:color w:val="000000"/>
          <w:sz w:val="22"/>
        </w:rPr>
        <w:t>当出现故障时，采购人应立即通知到中标人。如属于严重故障，中标人立即委派工程师进行处理；如属于一般故障，中标人委派工程师在一小时内开展问题处理工作；必要时到现场进行紧急处置。</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12.2.3 </w:t>
      </w:r>
      <w:r>
        <w:rPr>
          <w:rFonts w:ascii="Times New Roman" w:hAnsi="Times New Roman"/>
          <w:color w:val="000000"/>
          <w:sz w:val="22"/>
        </w:rPr>
        <w:t>中标人在约定的时间内未能弥补缺陷，采购人可采取必要的补救措施，但其风险和费用将由中标人承担，采购人根据合同规定对中标人行使的其他权利不受影响。</w:t>
      </w:r>
    </w:p>
    <w:p w:rsidR="006059AC" w:rsidRDefault="006059AC" w:rsidP="006059AC">
      <w:pPr>
        <w:adjustRightInd w:val="0"/>
        <w:snapToGrid w:val="0"/>
        <w:spacing w:line="300" w:lineRule="auto"/>
        <w:ind w:firstLineChars="200" w:firstLine="442"/>
        <w:rPr>
          <w:rFonts w:ascii="Times New Roman" w:hAnsi="Times New Roman"/>
          <w:b/>
          <w:color w:val="000000"/>
          <w:sz w:val="22"/>
        </w:rPr>
      </w:pPr>
      <w:r>
        <w:rPr>
          <w:rFonts w:ascii="Times New Roman" w:hAnsi="Times New Roman"/>
          <w:b/>
          <w:color w:val="000000"/>
          <w:sz w:val="22"/>
        </w:rPr>
        <w:t xml:space="preserve">12.3 </w:t>
      </w:r>
      <w:r>
        <w:rPr>
          <w:rFonts w:ascii="Times New Roman" w:hAnsi="Times New Roman"/>
          <w:b/>
          <w:color w:val="000000"/>
          <w:sz w:val="22"/>
        </w:rPr>
        <w:t>软件系统的培训要求</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中标人</w:t>
      </w:r>
      <w:r>
        <w:rPr>
          <w:rFonts w:ascii="Times New Roman" w:hAnsi="Times New Roman"/>
          <w:bCs/>
          <w:sz w:val="22"/>
        </w:rPr>
        <w:t>应提供对软件使用人员和管理人员的培训，培训内容包括软件的使用及维护培训</w:t>
      </w:r>
      <w:r>
        <w:rPr>
          <w:rFonts w:ascii="Times New Roman" w:hAnsi="Times New Roman"/>
          <w:color w:val="000000"/>
          <w:sz w:val="22"/>
        </w:rPr>
        <w:t>，使受训者能够独立、熟练地完成系统运行维护与操作，实现依据本合同所规定的系统运行保障的目标。</w:t>
      </w:r>
    </w:p>
    <w:p w:rsidR="006059AC" w:rsidRDefault="006059AC" w:rsidP="006059AC">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color w:val="000000"/>
          <w:sz w:val="22"/>
        </w:rPr>
        <w:t xml:space="preserve">12.3.2 </w:t>
      </w:r>
      <w:r>
        <w:rPr>
          <w:rFonts w:ascii="Times New Roman" w:hAnsi="Times New Roman"/>
          <w:color w:val="000000"/>
          <w:sz w:val="22"/>
        </w:rPr>
        <w:t>中标人</w:t>
      </w:r>
      <w:r>
        <w:rPr>
          <w:rFonts w:ascii="Times New Roman" w:hAnsi="Times New Roman"/>
          <w:bCs/>
          <w:sz w:val="22"/>
        </w:rPr>
        <w:t>应为所有被培训人员提供培训用文字资料。</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12.3.3 </w:t>
      </w:r>
      <w:r>
        <w:rPr>
          <w:rFonts w:ascii="Times New Roman" w:hAnsi="Times New Roman"/>
          <w:color w:val="000000"/>
          <w:sz w:val="22"/>
        </w:rPr>
        <w:t>培训时</w:t>
      </w:r>
      <w:r>
        <w:rPr>
          <w:rFonts w:ascii="Times New Roman" w:hAnsi="Times New Roman"/>
          <w:bCs/>
          <w:sz w:val="22"/>
        </w:rPr>
        <w:t>间与日期应在软件开发完毕后由采购人和中标人共同商定，并提供具体的培训方案。</w:t>
      </w:r>
    </w:p>
    <w:p w:rsidR="006059AC" w:rsidRDefault="006059AC" w:rsidP="006059AC">
      <w:pPr>
        <w:adjustRightInd w:val="0"/>
        <w:snapToGrid w:val="0"/>
        <w:spacing w:line="300" w:lineRule="auto"/>
        <w:ind w:firstLineChars="200" w:firstLine="442"/>
        <w:rPr>
          <w:rFonts w:ascii="Times New Roman" w:hAnsi="Times New Roman"/>
          <w:b/>
          <w:color w:val="000000"/>
          <w:sz w:val="22"/>
        </w:rPr>
      </w:pPr>
      <w:r>
        <w:rPr>
          <w:rFonts w:ascii="Times New Roman" w:hAnsi="Times New Roman"/>
          <w:b/>
          <w:color w:val="000000"/>
          <w:sz w:val="22"/>
        </w:rPr>
        <w:t>12.4</w:t>
      </w:r>
      <w:r>
        <w:rPr>
          <w:rFonts w:ascii="Times New Roman" w:hAnsi="Times New Roman"/>
          <w:b/>
          <w:color w:val="000000"/>
          <w:sz w:val="22"/>
        </w:rPr>
        <w:t>质保要求</w:t>
      </w:r>
    </w:p>
    <w:p w:rsidR="006059AC" w:rsidRDefault="006059AC" w:rsidP="006059AC">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12.4.1 </w:t>
      </w:r>
      <w:r>
        <w:rPr>
          <w:rFonts w:ascii="Times New Roman" w:hAnsi="Times New Roman"/>
          <w:bCs/>
          <w:sz w:val="22"/>
        </w:rPr>
        <w:t>质保期内</w:t>
      </w:r>
    </w:p>
    <w:p w:rsidR="006059AC" w:rsidRDefault="006059AC" w:rsidP="006059AC">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hint="eastAsia"/>
          <w:color w:val="000000"/>
          <w:sz w:val="22"/>
        </w:rPr>
        <w:t>中标人接到维护通知后应在半小时内响应并协助采购人处理问题，</w:t>
      </w:r>
      <w:r>
        <w:rPr>
          <w:rFonts w:ascii="Times New Roman" w:hAnsi="Times New Roman" w:hint="eastAsia"/>
          <w:color w:val="000000"/>
          <w:sz w:val="22"/>
        </w:rPr>
        <w:t>1</w:t>
      </w:r>
      <w:r>
        <w:rPr>
          <w:rFonts w:ascii="Times New Roman" w:hAnsi="Times New Roman" w:hint="eastAsia"/>
          <w:color w:val="000000"/>
          <w:sz w:val="22"/>
        </w:rPr>
        <w:t>小时内赶赴采购人现场处理问题，除不可抗力因素外，费用全部由中标人承担。质保期内设备质量经权威机构鉴定不符合质量要求的，由此给采购人带来的一切损失由中标人承担。</w:t>
      </w:r>
    </w:p>
    <w:p w:rsidR="006059AC" w:rsidRDefault="006059AC" w:rsidP="006059AC">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12.4.2 </w:t>
      </w:r>
      <w:r>
        <w:rPr>
          <w:rFonts w:ascii="Times New Roman" w:hAnsi="Times New Roman"/>
          <w:bCs/>
          <w:sz w:val="22"/>
        </w:rPr>
        <w:t>质保期外</w:t>
      </w:r>
    </w:p>
    <w:p w:rsidR="006059AC" w:rsidRDefault="006059AC" w:rsidP="006059AC">
      <w:pPr>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hint="eastAsia"/>
          <w:color w:val="000000"/>
          <w:sz w:val="22"/>
        </w:rPr>
        <w:t>中标人接到维护通知后应在</w:t>
      </w:r>
      <w:r>
        <w:rPr>
          <w:rFonts w:ascii="Times New Roman" w:hAnsi="Times New Roman" w:hint="eastAsia"/>
          <w:color w:val="000000"/>
          <w:sz w:val="22"/>
        </w:rPr>
        <w:t>1</w:t>
      </w:r>
      <w:r>
        <w:rPr>
          <w:rFonts w:ascii="Times New Roman" w:hAnsi="Times New Roman" w:hint="eastAsia"/>
          <w:color w:val="000000"/>
          <w:sz w:val="22"/>
        </w:rPr>
        <w:t>小时内响应并协助采购人处理问题，</w:t>
      </w:r>
      <w:r>
        <w:rPr>
          <w:rFonts w:ascii="Times New Roman" w:hAnsi="Times New Roman" w:hint="eastAsia"/>
          <w:color w:val="000000"/>
          <w:sz w:val="22"/>
        </w:rPr>
        <w:t>3</w:t>
      </w:r>
      <w:r>
        <w:rPr>
          <w:rFonts w:ascii="Times New Roman" w:hAnsi="Times New Roman" w:hint="eastAsia"/>
          <w:color w:val="000000"/>
          <w:sz w:val="22"/>
        </w:rPr>
        <w:t>小时内赶赴采购人现场处理问题，费用按年计算，投标人需列明质量保证期外售后服务所需费用（不能超过中标合同）。</w:t>
      </w:r>
    </w:p>
    <w:p w:rsidR="006059AC" w:rsidRDefault="006059AC" w:rsidP="006059AC">
      <w:pPr>
        <w:adjustRightInd w:val="0"/>
        <w:snapToGrid w:val="0"/>
        <w:spacing w:line="300" w:lineRule="auto"/>
        <w:ind w:firstLineChars="200" w:firstLine="442"/>
        <w:outlineLvl w:val="2"/>
        <w:rPr>
          <w:rFonts w:ascii="Times New Roman" w:hAnsi="Times New Roman"/>
          <w:b/>
          <w:bCs/>
          <w:sz w:val="22"/>
        </w:rPr>
      </w:pPr>
      <w:bookmarkStart w:id="26" w:name="_Toc202447553"/>
      <w:r>
        <w:rPr>
          <w:rFonts w:ascii="Times New Roman" w:hAnsi="Times New Roman"/>
          <w:b/>
          <w:bCs/>
          <w:sz w:val="22"/>
        </w:rPr>
        <w:t xml:space="preserve">13 </w:t>
      </w:r>
      <w:r>
        <w:rPr>
          <w:rFonts w:ascii="Times New Roman" w:hAnsi="Times New Roman"/>
          <w:b/>
          <w:bCs/>
          <w:sz w:val="22"/>
        </w:rPr>
        <w:t>所有权和使用权要求</w:t>
      </w:r>
      <w:bookmarkEnd w:id="26"/>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投标人提供软件产品（包括软件载体和文档）和相关系统接口，仅限于采购人使用，未经</w:t>
      </w:r>
      <w:r>
        <w:rPr>
          <w:rFonts w:ascii="Times New Roman" w:hAnsi="Times New Roman" w:hint="eastAsia"/>
          <w:color w:val="000000"/>
          <w:sz w:val="22"/>
        </w:rPr>
        <w:t>采购人</w:t>
      </w:r>
      <w:r>
        <w:rPr>
          <w:rFonts w:ascii="Times New Roman" w:hAnsi="Times New Roman"/>
          <w:color w:val="000000"/>
          <w:sz w:val="22"/>
        </w:rPr>
        <w:t>书面许可不能对外转让。软件不加密，不限制采购人安装次数和安装的终端数量。</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lastRenderedPageBreak/>
        <w:t>13.2</w:t>
      </w:r>
      <w:r>
        <w:rPr>
          <w:rFonts w:ascii="Times New Roman" w:hAnsi="Times New Roman"/>
          <w:color w:val="000000"/>
          <w:sz w:val="22"/>
        </w:rPr>
        <w:t>投标人保证对其交付的软件系统享有合法的权利，并且就交付的软件系统不做任何的权利保留。</w:t>
      </w:r>
    </w:p>
    <w:p w:rsidR="006059AC" w:rsidRDefault="006059AC" w:rsidP="006059AC">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人需保守因本项目执行而获得的采购人的所有资料（包括信息账号、图表、文字、计算过程、电子文件、访谈记录、现场实测数据及采购人的相关工作程序等）秘密，不得利用工作之便外泄资料或做其他用途，否则投标人需承担由此引起的法律责任和赔偿采购人的经济损失。本款规定的效力及于采购人及采购人的所有经办人员。</w:t>
      </w:r>
    </w:p>
    <w:p w:rsidR="006059AC" w:rsidRDefault="006059AC" w:rsidP="006059AC">
      <w:pPr>
        <w:tabs>
          <w:tab w:val="left" w:pos="3060"/>
        </w:tabs>
        <w:adjustRightInd w:val="0"/>
        <w:snapToGrid w:val="0"/>
        <w:spacing w:line="300" w:lineRule="auto"/>
        <w:ind w:firstLineChars="200" w:firstLine="440"/>
        <w:rPr>
          <w:rFonts w:ascii="Times New Roman" w:hAnsi="Times New Roman"/>
          <w:sz w:val="22"/>
        </w:rPr>
      </w:pPr>
      <w:r>
        <w:rPr>
          <w:rFonts w:ascii="Times New Roman" w:hAnsi="Times New Roman"/>
          <w:sz w:val="22"/>
        </w:rPr>
        <w:t>13.4</w:t>
      </w:r>
      <w:r>
        <w:rPr>
          <w:rFonts w:ascii="Times New Roman" w:hAnsi="Times New Roman"/>
          <w:sz w:val="22"/>
        </w:rPr>
        <w:t>投标人应向采购人提供包括源代码和目标代码在内的全部程序。</w:t>
      </w:r>
    </w:p>
    <w:p w:rsidR="006059AC" w:rsidRDefault="006059AC" w:rsidP="006059AC">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13.5 </w:t>
      </w:r>
      <w:r>
        <w:rPr>
          <w:rFonts w:ascii="Times New Roman" w:hAnsi="Times New Roman"/>
          <w:color w:val="000000"/>
          <w:sz w:val="22"/>
        </w:rPr>
        <w:t>除开发者身份权外，项目的软件著作权的其他全部权益属于采购人。此权利担保规定的效力不受所签合同有效期的限制。</w:t>
      </w:r>
    </w:p>
    <w:p w:rsidR="006059AC" w:rsidRDefault="006059AC" w:rsidP="006059AC">
      <w:pPr>
        <w:adjustRightInd w:val="0"/>
        <w:snapToGrid w:val="0"/>
        <w:spacing w:line="300" w:lineRule="auto"/>
        <w:jc w:val="center"/>
        <w:outlineLvl w:val="1"/>
        <w:rPr>
          <w:rFonts w:ascii="Times New Roman" w:eastAsia="黑体" w:hAnsi="Times New Roman"/>
          <w:sz w:val="30"/>
          <w:szCs w:val="30"/>
        </w:rPr>
      </w:pPr>
      <w:bookmarkStart w:id="27" w:name="_Toc202447554"/>
      <w:bookmarkStart w:id="28" w:name="_Toc475631915"/>
      <w:r>
        <w:rPr>
          <w:rFonts w:ascii="Times New Roman" w:eastAsia="黑体" w:hAnsi="Times New Roman"/>
          <w:sz w:val="30"/>
          <w:szCs w:val="30"/>
        </w:rPr>
        <w:t>四、投标报价须知</w:t>
      </w:r>
      <w:bookmarkEnd w:id="27"/>
      <w:bookmarkEnd w:id="28"/>
    </w:p>
    <w:p w:rsidR="006059AC" w:rsidRDefault="006059AC" w:rsidP="006059AC">
      <w:pPr>
        <w:adjustRightInd w:val="0"/>
        <w:snapToGrid w:val="0"/>
        <w:spacing w:line="300" w:lineRule="auto"/>
        <w:ind w:firstLineChars="200" w:firstLine="442"/>
        <w:jc w:val="left"/>
        <w:outlineLvl w:val="2"/>
        <w:rPr>
          <w:rFonts w:ascii="Times New Roman" w:hAnsi="Times New Roman"/>
          <w:b/>
          <w:color w:val="000000"/>
          <w:sz w:val="22"/>
        </w:rPr>
      </w:pPr>
      <w:bookmarkStart w:id="29" w:name="_Toc202447555"/>
      <w:r>
        <w:rPr>
          <w:rFonts w:ascii="Times New Roman" w:hAnsi="Times New Roman"/>
          <w:b/>
          <w:color w:val="000000"/>
          <w:sz w:val="22"/>
        </w:rPr>
        <w:t xml:space="preserve">14 </w:t>
      </w:r>
      <w:r>
        <w:rPr>
          <w:rFonts w:ascii="Times New Roman" w:hAnsi="Times New Roman"/>
          <w:b/>
          <w:color w:val="000000"/>
          <w:sz w:val="22"/>
        </w:rPr>
        <w:t>投标报价依据</w:t>
      </w:r>
      <w:bookmarkEnd w:id="29"/>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投标报价计算依据包括本项目的招标文件（包括提供的附件）、招标文件答疑或修改的补充文书、工作量清单、项目现场条件等。</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招标文件明确的项目范围、实施内容、实施期限、质量要求、验收要求、培训要求及售后服务要求等。</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14.3</w:t>
      </w:r>
      <w:r>
        <w:rPr>
          <w:rFonts w:ascii="Times New Roman" w:hAnsi="Times New Roman"/>
          <w:color w:val="000000"/>
          <w:sz w:val="22"/>
        </w:rPr>
        <w:t>工作量清单说明</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14.3.1 </w:t>
      </w:r>
      <w:r>
        <w:rPr>
          <w:rFonts w:ascii="Times New Roman" w:hAnsi="Times New Roman"/>
          <w:color w:val="000000"/>
          <w:sz w:val="22"/>
        </w:rPr>
        <w:t>工作量清单应与投标人须知、合同条件、项目质量标准和要求等文件结合起来理解或解释。</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14.3.2</w:t>
      </w:r>
      <w:r>
        <w:rPr>
          <w:rFonts w:ascii="Times New Roman" w:hAnsi="Times New Roman"/>
          <w:sz w:val="22"/>
        </w:rPr>
        <w:t>采购人提供的工作量清单是依照采购需求测算出的主要工作内容，投标人如发现其中的核心工作内容和实际采购需求不一致时，应立即以书面形式通知采购人核查，除非采购人以答疑文件或补充文件予以更正，否则，应以</w:t>
      </w:r>
      <w:r>
        <w:rPr>
          <w:rFonts w:ascii="Times New Roman" w:hAnsi="Times New Roman"/>
          <w:bCs/>
          <w:sz w:val="22"/>
        </w:rPr>
        <w:t>软件开发工作清单为准</w:t>
      </w:r>
      <w:r>
        <w:rPr>
          <w:rFonts w:ascii="Times New Roman" w:hAnsi="Times New Roman"/>
          <w:sz w:val="22"/>
        </w:rPr>
        <w:t>。</w:t>
      </w:r>
    </w:p>
    <w:p w:rsidR="006059AC" w:rsidRDefault="006059AC" w:rsidP="006059AC">
      <w:pPr>
        <w:adjustRightInd w:val="0"/>
        <w:snapToGrid w:val="0"/>
        <w:spacing w:line="300" w:lineRule="auto"/>
        <w:ind w:firstLineChars="200" w:firstLine="442"/>
        <w:jc w:val="left"/>
        <w:outlineLvl w:val="2"/>
        <w:rPr>
          <w:rFonts w:ascii="Times New Roman" w:hAnsi="Times New Roman"/>
          <w:b/>
          <w:sz w:val="22"/>
        </w:rPr>
      </w:pPr>
      <w:bookmarkStart w:id="30" w:name="_Toc202447556"/>
      <w:r>
        <w:rPr>
          <w:rFonts w:ascii="Times New Roman" w:hAnsi="Times New Roman"/>
          <w:b/>
          <w:sz w:val="22"/>
        </w:rPr>
        <w:t>15</w:t>
      </w:r>
      <w:r>
        <w:rPr>
          <w:rFonts w:ascii="Times New Roman" w:hAnsi="Times New Roman"/>
          <w:b/>
          <w:sz w:val="22"/>
        </w:rPr>
        <w:t>投标报价内容</w:t>
      </w:r>
      <w:bookmarkEnd w:id="30"/>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15.1 </w:t>
      </w:r>
      <w:r>
        <w:rPr>
          <w:rFonts w:ascii="Times New Roman" w:hAnsi="Times New Roman"/>
          <w:sz w:val="22"/>
        </w:rPr>
        <w:t>本项目报价为</w:t>
      </w:r>
      <w:proofErr w:type="gramStart"/>
      <w:r>
        <w:rPr>
          <w:rFonts w:ascii="Times New Roman" w:hAnsi="Times New Roman"/>
          <w:sz w:val="22"/>
        </w:rPr>
        <w:t>全费用</w:t>
      </w:r>
      <w:proofErr w:type="gramEnd"/>
      <w:r>
        <w:rPr>
          <w:rFonts w:ascii="Times New Roman" w:hAnsi="Times New Roman"/>
          <w:sz w:val="22"/>
        </w:rPr>
        <w:t>报价，是履行合同的最终价格，除投标需求中另有说明外，投标报价（即投标总价）应包括</w:t>
      </w:r>
      <w:bookmarkStart w:id="31" w:name="_Hlk491533796"/>
      <w:r>
        <w:rPr>
          <w:rFonts w:ascii="Times New Roman" w:hAnsi="Times New Roman"/>
          <w:sz w:val="22"/>
        </w:rPr>
        <w:t>项目前期调研、数据收集和分析、方案设计、研发、</w:t>
      </w:r>
      <w:r>
        <w:rPr>
          <w:rFonts w:ascii="Times New Roman" w:hAnsi="Times New Roman"/>
          <w:color w:val="0000FF"/>
          <w:sz w:val="22"/>
        </w:rPr>
        <w:t>上线测试</w:t>
      </w:r>
      <w:r>
        <w:rPr>
          <w:rFonts w:ascii="Times New Roman" w:hAnsi="Times New Roman"/>
          <w:sz w:val="22"/>
        </w:rPr>
        <w:t>、验收和评估、操作培训、</w:t>
      </w:r>
      <w:r>
        <w:rPr>
          <w:rFonts w:ascii="Times New Roman" w:hAnsi="Times New Roman"/>
          <w:color w:val="000000"/>
          <w:sz w:val="22"/>
        </w:rPr>
        <w:t>售后服务、</w:t>
      </w:r>
      <w:r>
        <w:rPr>
          <w:rFonts w:ascii="Times New Roman" w:hAnsi="Times New Roman"/>
          <w:sz w:val="22"/>
        </w:rPr>
        <w:t>投入使用这一系列过程中所包含的所有费用。</w:t>
      </w:r>
      <w:bookmarkEnd w:id="31"/>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15.2 </w:t>
      </w:r>
      <w:bookmarkStart w:id="32" w:name="_Hlk491533881"/>
      <w:r>
        <w:rPr>
          <w:rFonts w:ascii="Times New Roman" w:hAnsi="Times New Roman"/>
          <w:sz w:val="22"/>
        </w:rPr>
        <w:t>投标报价中投标人应考虑本项目可能存在的风险因素。投标报价应将所有工作内容考虑在内，如有漏项或缺项，均属于投标人的风险</w:t>
      </w:r>
      <w:r>
        <w:rPr>
          <w:rFonts w:ascii="Times New Roman" w:eastAsiaTheme="minorEastAsia" w:hAnsi="Times New Roman"/>
          <w:sz w:val="22"/>
        </w:rPr>
        <w:t>，其费用视作已分配在报价明细表内单价或总价之中</w:t>
      </w:r>
      <w:r>
        <w:rPr>
          <w:rFonts w:ascii="Times New Roman" w:hAnsi="Times New Roman"/>
          <w:sz w:val="22"/>
        </w:rPr>
        <w:t>。投标人应逐项计算并填写单价、合计价和总价。</w:t>
      </w:r>
      <w:bookmarkEnd w:id="32"/>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sz w:val="22"/>
        </w:rPr>
        <w:t>15.3</w:t>
      </w:r>
      <w:r>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15.4 </w:t>
      </w:r>
      <w:r>
        <w:rPr>
          <w:rFonts w:ascii="Times New Roman" w:hAnsi="Times New Roman"/>
          <w:color w:val="000000"/>
          <w:sz w:val="22"/>
        </w:rPr>
        <w:t>投标人按照投标文件格式中所附的表式完整地填写《开标一览表》及各类投</w:t>
      </w:r>
      <w:r>
        <w:rPr>
          <w:rFonts w:ascii="Times New Roman" w:hAnsi="Times New Roman"/>
          <w:sz w:val="22"/>
        </w:rPr>
        <w:t>标报价明细表，说明其拟提供服务的内容、数量、价格、时间、价格构成等。</w:t>
      </w:r>
    </w:p>
    <w:p w:rsidR="006059AC" w:rsidRDefault="006059AC" w:rsidP="006059AC">
      <w:pPr>
        <w:adjustRightInd w:val="0"/>
        <w:snapToGrid w:val="0"/>
        <w:spacing w:line="300" w:lineRule="auto"/>
        <w:ind w:firstLineChars="200" w:firstLine="442"/>
        <w:jc w:val="left"/>
        <w:outlineLvl w:val="2"/>
        <w:rPr>
          <w:rFonts w:ascii="Times New Roman" w:hAnsi="Times New Roman"/>
          <w:b/>
          <w:color w:val="000000"/>
          <w:sz w:val="22"/>
        </w:rPr>
      </w:pPr>
      <w:bookmarkStart w:id="33" w:name="_Toc202447557"/>
      <w:r>
        <w:rPr>
          <w:rFonts w:ascii="Times New Roman" w:hAnsi="Times New Roman"/>
          <w:b/>
          <w:color w:val="000000"/>
          <w:sz w:val="22"/>
        </w:rPr>
        <w:t xml:space="preserve">16 </w:t>
      </w:r>
      <w:r>
        <w:rPr>
          <w:rFonts w:ascii="Times New Roman" w:hAnsi="Times New Roman"/>
          <w:b/>
          <w:color w:val="000000"/>
          <w:sz w:val="22"/>
        </w:rPr>
        <w:t>投标报价控制性条款</w:t>
      </w:r>
      <w:bookmarkEnd w:id="33"/>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投标报价不得超过公布的预算金额或最高限价，其中各分项报价（如有要求）均不得超过对应的预算金额或最高限价。</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本项目只允许有一个报价，任何有选择的报价将不予接受。</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宋体" w:hAnsi="宋体"/>
          <w:sz w:val="22"/>
        </w:rPr>
        <w:lastRenderedPageBreak/>
        <w:t>★</w:t>
      </w:r>
      <w:r>
        <w:rPr>
          <w:rFonts w:ascii="Times New Roman" w:hAnsi="Times New Roman"/>
          <w:color w:val="000000"/>
          <w:sz w:val="22"/>
        </w:rPr>
        <w:t xml:space="preserve">16.4 </w:t>
      </w:r>
      <w:r>
        <w:rPr>
          <w:rFonts w:ascii="Times New Roman" w:hAnsi="Times New Roman"/>
          <w:color w:val="000000"/>
          <w:sz w:val="22"/>
        </w:rPr>
        <w:t>经评标委员会审定，投标报价存在下列情形之一的，该投标文件作无效标处理：</w:t>
      </w:r>
    </w:p>
    <w:p w:rsidR="006059AC" w:rsidRDefault="006059AC" w:rsidP="006059A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16.4.1</w:t>
      </w:r>
      <w:r>
        <w:rPr>
          <w:rFonts w:ascii="Times New Roman" w:hAnsi="Times New Roman"/>
          <w:sz w:val="22"/>
        </w:rPr>
        <w:t>减少软</w:t>
      </w:r>
      <w:r>
        <w:rPr>
          <w:rFonts w:ascii="Times New Roman" w:hAnsi="Times New Roman"/>
          <w:bCs/>
          <w:sz w:val="22"/>
        </w:rPr>
        <w:t>件开发工作清单</w:t>
      </w:r>
      <w:r>
        <w:rPr>
          <w:rFonts w:ascii="Times New Roman" w:hAnsi="Times New Roman"/>
          <w:sz w:val="22"/>
        </w:rPr>
        <w:t>中的核心工作模块的；</w:t>
      </w:r>
    </w:p>
    <w:p w:rsidR="006059AC" w:rsidRDefault="006059AC" w:rsidP="006059A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16.4.2 </w:t>
      </w:r>
      <w:r>
        <w:rPr>
          <w:rFonts w:ascii="Times New Roman" w:hAnsi="Times New Roman"/>
          <w:color w:val="000000"/>
          <w:sz w:val="22"/>
        </w:rPr>
        <w:t>投标报价和技术方案明显不相符的。</w:t>
      </w:r>
    </w:p>
    <w:p w:rsidR="006059AC" w:rsidRDefault="006059AC" w:rsidP="006059AC">
      <w:pPr>
        <w:numPr>
          <w:ilvl w:val="0"/>
          <w:numId w:val="1"/>
        </w:numPr>
        <w:adjustRightInd w:val="0"/>
        <w:snapToGrid w:val="0"/>
        <w:spacing w:line="300" w:lineRule="auto"/>
        <w:jc w:val="center"/>
        <w:outlineLvl w:val="1"/>
        <w:rPr>
          <w:rFonts w:ascii="Times New Roman" w:eastAsia="黑体" w:hAnsi="Times New Roman"/>
          <w:sz w:val="30"/>
          <w:szCs w:val="30"/>
        </w:rPr>
      </w:pPr>
      <w:bookmarkStart w:id="34" w:name="_Toc202447558"/>
      <w:bookmarkStart w:id="35" w:name="_Toc486604818"/>
      <w:bookmarkStart w:id="36" w:name="_Toc481849902"/>
      <w:bookmarkStart w:id="37" w:name="_Toc486947670"/>
      <w:r>
        <w:rPr>
          <w:rFonts w:ascii="Times New Roman" w:eastAsia="黑体" w:hAnsi="Times New Roman"/>
          <w:sz w:val="30"/>
          <w:szCs w:val="30"/>
        </w:rPr>
        <w:t>政府采购政策</w:t>
      </w:r>
      <w:bookmarkEnd w:id="34"/>
    </w:p>
    <w:p w:rsidR="006059AC" w:rsidRDefault="006059AC" w:rsidP="006059AC">
      <w:pPr>
        <w:adjustRightInd w:val="0"/>
        <w:snapToGrid w:val="0"/>
        <w:spacing w:line="300" w:lineRule="auto"/>
        <w:ind w:firstLineChars="200" w:firstLine="442"/>
        <w:outlineLvl w:val="2"/>
        <w:rPr>
          <w:rFonts w:ascii="Times New Roman" w:eastAsiaTheme="minorEastAsia" w:hAnsi="Times New Roman"/>
          <w:b/>
          <w:sz w:val="22"/>
        </w:rPr>
      </w:pPr>
      <w:bookmarkStart w:id="38" w:name="_Toc202447559"/>
      <w:bookmarkEnd w:id="35"/>
      <w:bookmarkEnd w:id="36"/>
      <w:r>
        <w:rPr>
          <w:rFonts w:ascii="Times New Roman" w:eastAsiaTheme="minorEastAsia" w:hAnsi="Times New Roman"/>
          <w:b/>
          <w:sz w:val="22"/>
        </w:rPr>
        <w:t>17</w:t>
      </w:r>
      <w:r>
        <w:rPr>
          <w:rFonts w:ascii="Times New Roman" w:eastAsiaTheme="minorEastAsia" w:hAnsiTheme="minorEastAsia"/>
          <w:b/>
          <w:sz w:val="22"/>
        </w:rPr>
        <w:t>促进中小企业发展</w:t>
      </w:r>
      <w:bookmarkEnd w:id="38"/>
    </w:p>
    <w:p w:rsidR="006059AC" w:rsidRDefault="006059AC" w:rsidP="006059AC">
      <w:pPr>
        <w:tabs>
          <w:tab w:val="left" w:pos="3060"/>
        </w:tabs>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17</w:t>
      </w:r>
      <w:r>
        <w:rPr>
          <w:rFonts w:ascii="Times New Roman" w:eastAsiaTheme="minorEastAsia" w:hAnsi="Times New Roman"/>
          <w:bCs/>
          <w:sz w:val="22"/>
        </w:rPr>
        <w:t xml:space="preserve">.1 </w:t>
      </w:r>
      <w:r>
        <w:rPr>
          <w:rFonts w:ascii="Times New Roman" w:eastAsiaTheme="minorEastAsia" w:hAnsiTheme="minorEastAsia"/>
          <w:sz w:val="22"/>
        </w:rPr>
        <w:t>中小企业（含中型、小型、微型企业，下同）的划定按照《中小企业划型标准规定》（工信部联企业【</w:t>
      </w:r>
      <w:r>
        <w:rPr>
          <w:rFonts w:ascii="Times New Roman" w:eastAsiaTheme="minorEastAsia" w:hAnsi="Times New Roman"/>
          <w:sz w:val="22"/>
        </w:rPr>
        <w:t>2011</w:t>
      </w:r>
      <w:r>
        <w:rPr>
          <w:rFonts w:ascii="Times New Roman" w:eastAsiaTheme="minorEastAsia" w:hAnsiTheme="minorEastAsia"/>
          <w:sz w:val="22"/>
        </w:rPr>
        <w:t>】</w:t>
      </w:r>
      <w:r>
        <w:rPr>
          <w:rFonts w:ascii="Times New Roman" w:eastAsiaTheme="minorEastAsia" w:hAnsi="Times New Roman"/>
          <w:sz w:val="22"/>
        </w:rPr>
        <w:t>300</w:t>
      </w:r>
      <w:r>
        <w:rPr>
          <w:rFonts w:ascii="Times New Roman" w:eastAsiaTheme="minorEastAsia" w:hAnsiTheme="minorEastAsia"/>
          <w:sz w:val="22"/>
        </w:rPr>
        <w:t>号）执行，参加投标的中小企业应当提供《中小企业声明函》（具体格式见</w:t>
      </w:r>
      <w:r>
        <w:rPr>
          <w:rFonts w:ascii="Times New Roman" w:eastAsiaTheme="minorEastAsia" w:hAnsi="Times New Roman"/>
          <w:sz w:val="22"/>
        </w:rPr>
        <w:t>“</w:t>
      </w:r>
      <w:r>
        <w:rPr>
          <w:rFonts w:ascii="Times New Roman" w:eastAsiaTheme="minorEastAsia" w:hAnsiTheme="minorEastAsia"/>
          <w:sz w:val="22"/>
        </w:rPr>
        <w:t>投标文件格式</w:t>
      </w:r>
      <w:r>
        <w:rPr>
          <w:rFonts w:ascii="Times New Roman" w:eastAsiaTheme="minorEastAsia" w:hAnsi="Times New Roman"/>
          <w:sz w:val="22"/>
        </w:rPr>
        <w:t>”</w:t>
      </w:r>
      <w:r>
        <w:rPr>
          <w:rFonts w:ascii="Times New Roman" w:eastAsiaTheme="minorEastAsia" w:hAnsiTheme="minorEastAsia"/>
          <w:sz w:val="22"/>
        </w:rPr>
        <w:t>），反之，视作非中小企业，不享受相应的扶持政策。如项目允许联合体参与竞争的，则联合体中的中小企业均应按本款要求提供《中小企业声明函》。</w:t>
      </w:r>
    </w:p>
    <w:p w:rsidR="006059AC" w:rsidRDefault="006059AC" w:rsidP="006059AC">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 xml:space="preserve">17.2 </w:t>
      </w:r>
      <w:r>
        <w:rPr>
          <w:rFonts w:ascii="Times New Roman" w:eastAsiaTheme="minorEastAsia" w:hAnsiTheme="minorEastAsia"/>
          <w:sz w:val="22"/>
        </w:rPr>
        <w:t>依据市财政局</w:t>
      </w:r>
      <w:r>
        <w:rPr>
          <w:rFonts w:ascii="Times New Roman" w:eastAsiaTheme="minorEastAsia" w:hAnsi="Times New Roman"/>
          <w:sz w:val="22"/>
        </w:rPr>
        <w:t>2015</w:t>
      </w:r>
      <w:r>
        <w:rPr>
          <w:rFonts w:ascii="Times New Roman" w:eastAsiaTheme="minorEastAsia" w:hAnsiTheme="minorEastAsia"/>
          <w:sz w:val="22"/>
        </w:rPr>
        <w:t>年</w:t>
      </w:r>
      <w:r>
        <w:rPr>
          <w:rFonts w:ascii="Times New Roman" w:eastAsiaTheme="minorEastAsia" w:hAnsi="Times New Roman"/>
          <w:sz w:val="22"/>
        </w:rPr>
        <w:t>9</w:t>
      </w:r>
      <w:r>
        <w:rPr>
          <w:rFonts w:ascii="Times New Roman" w:eastAsiaTheme="minorEastAsia" w:hAnsiTheme="minorEastAsia"/>
          <w:sz w:val="22"/>
        </w:rPr>
        <w:t>月发布的《</w:t>
      </w:r>
      <w:r>
        <w:rPr>
          <w:rStyle w:val="navname"/>
          <w:rFonts w:ascii="Times New Roman" w:eastAsiaTheme="minorEastAsia" w:hAnsiTheme="minorEastAsia"/>
          <w:sz w:val="22"/>
        </w:rPr>
        <w:t>关于执行促进中小企业发展政策相关事宜的通知</w:t>
      </w:r>
      <w:r>
        <w:rPr>
          <w:rFonts w:ascii="Times New Roman" w:eastAsiaTheme="minorEastAsia" w:hAnsiTheme="minor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eastAsiaTheme="minorEastAsia" w:hAnsiTheme="minorEastAsia" w:hint="eastAsia"/>
          <w:sz w:val="22"/>
        </w:rPr>
        <w:t>管理</w:t>
      </w:r>
      <w:r>
        <w:rPr>
          <w:rFonts w:ascii="Times New Roman" w:eastAsiaTheme="minorEastAsia" w:hAnsiTheme="minorEastAsia"/>
          <w:sz w:val="22"/>
        </w:rPr>
        <w:t>办法》。</w:t>
      </w:r>
    </w:p>
    <w:p w:rsidR="006059AC" w:rsidRDefault="006059AC" w:rsidP="006059AC">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 xml:space="preserve">17.3 </w:t>
      </w:r>
      <w:r>
        <w:rPr>
          <w:rFonts w:ascii="Times New Roman" w:eastAsiaTheme="minorEastAsia" w:hAnsiTheme="minorEastAsia"/>
          <w:sz w:val="22"/>
        </w:rPr>
        <w:t>如项目允许联合体参与竞争的，组成联合体的大中型企业和其他自然人、法人或者其他组织，与小型、微型企业之间不得存在投资关系。</w:t>
      </w:r>
    </w:p>
    <w:p w:rsidR="006059AC" w:rsidRDefault="006059AC" w:rsidP="006059AC">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17.4</w:t>
      </w:r>
      <w:r>
        <w:rPr>
          <w:rFonts w:ascii="Times New Roman" w:eastAsiaTheme="minorEastAsia" w:hAnsiTheme="minorEastAsia"/>
          <w:sz w:val="22"/>
        </w:rPr>
        <w:t>对于小型、微型企业，按照《政府采购促进中小企业发展</w:t>
      </w:r>
      <w:r>
        <w:rPr>
          <w:rFonts w:ascii="Times New Roman" w:eastAsiaTheme="minorEastAsia" w:hAnsiTheme="minorEastAsia" w:hint="eastAsia"/>
          <w:sz w:val="22"/>
        </w:rPr>
        <w:t>管理</w:t>
      </w:r>
      <w:r>
        <w:rPr>
          <w:rFonts w:ascii="Times New Roman" w:eastAsiaTheme="minorEastAsia" w:hAnsiTheme="minorEastAsia"/>
          <w:sz w:val="22"/>
        </w:rPr>
        <w:t>办法》（财库【</w:t>
      </w:r>
      <w:r>
        <w:rPr>
          <w:rFonts w:ascii="Times New Roman" w:eastAsiaTheme="minorEastAsia" w:hAnsi="Times New Roman"/>
          <w:sz w:val="22"/>
        </w:rPr>
        <w:t>20</w:t>
      </w:r>
      <w:r>
        <w:rPr>
          <w:rFonts w:ascii="Times New Roman" w:eastAsiaTheme="minorEastAsia" w:hAnsi="Times New Roman" w:hint="eastAsia"/>
          <w:sz w:val="22"/>
        </w:rPr>
        <w:t>20</w:t>
      </w:r>
      <w:r>
        <w:rPr>
          <w:rFonts w:ascii="Times New Roman" w:eastAsiaTheme="minorEastAsia" w:hAnsiTheme="minorEastAsia"/>
          <w:sz w:val="22"/>
        </w:rPr>
        <w:t>】</w:t>
      </w:r>
      <w:r>
        <w:rPr>
          <w:rFonts w:ascii="Times New Roman" w:eastAsiaTheme="minorEastAsia" w:hAnsi="Times New Roman" w:hint="eastAsia"/>
          <w:sz w:val="22"/>
        </w:rPr>
        <w:t>46</w:t>
      </w:r>
      <w:r>
        <w:rPr>
          <w:rFonts w:ascii="Times New Roman" w:eastAsiaTheme="minorEastAsia" w:hAnsiTheme="minorEastAsia"/>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w:t>
      </w:r>
      <w:r>
        <w:rPr>
          <w:rFonts w:ascii="Times New Roman" w:eastAsiaTheme="minorEastAsia" w:hAnsiTheme="minorEastAsia"/>
          <w:sz w:val="22"/>
        </w:rPr>
        <w:t>规定，其报价给予</w:t>
      </w:r>
      <w:r>
        <w:rPr>
          <w:rFonts w:hint="eastAsia"/>
          <w:b/>
          <w:color w:val="FF0000"/>
          <w:sz w:val="22"/>
          <w:u w:val="single"/>
        </w:rPr>
        <w:t>10</w:t>
      </w:r>
      <w:r>
        <w:rPr>
          <w:b/>
          <w:color w:val="FF0000"/>
          <w:sz w:val="22"/>
          <w:u w:val="single"/>
        </w:rPr>
        <w:t>%</w:t>
      </w:r>
      <w:r>
        <w:rPr>
          <w:rFonts w:ascii="Times New Roman" w:eastAsiaTheme="minorEastAsia" w:hAnsiTheme="minorEastAsia"/>
          <w:sz w:val="22"/>
        </w:rPr>
        <w:t>的扣除，用扣除后的价格参与评审。</w:t>
      </w:r>
    </w:p>
    <w:p w:rsidR="006059AC" w:rsidRDefault="006059AC" w:rsidP="006059AC">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17.5</w:t>
      </w:r>
      <w:r>
        <w:rPr>
          <w:rFonts w:ascii="Times New Roman" w:eastAsiaTheme="minorEastAsia" w:hAnsiTheme="minorEastAsia"/>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rFonts w:ascii="Times New Roman" w:eastAsiaTheme="minorEastAsia" w:hAnsiTheme="minorEastAsia"/>
          <w:sz w:val="22"/>
        </w:rPr>
        <w:t>的扣除，用扣除后的价格参与评审。反之，依照联合体协议约定，小型、微型企业的协议合同金额占到联合体协议合同总金额</w:t>
      </w:r>
      <w:r>
        <w:rPr>
          <w:rFonts w:ascii="Times New Roman" w:eastAsiaTheme="minorEastAsia" w:hAnsi="Times New Roman"/>
          <w:sz w:val="22"/>
        </w:rPr>
        <w:t>30%</w:t>
      </w:r>
      <w:r>
        <w:rPr>
          <w:rFonts w:ascii="Times New Roman" w:eastAsiaTheme="minorEastAsia" w:hAnsiTheme="minorEastAsia"/>
          <w:sz w:val="22"/>
        </w:rPr>
        <w:t>以上的，给予联合体</w:t>
      </w:r>
      <w:r>
        <w:rPr>
          <w:rFonts w:hint="eastAsia"/>
          <w:b/>
          <w:color w:val="FF0000"/>
          <w:sz w:val="22"/>
          <w:u w:val="single"/>
        </w:rPr>
        <w:t>4</w:t>
      </w:r>
      <w:r>
        <w:rPr>
          <w:b/>
          <w:color w:val="FF0000"/>
          <w:sz w:val="22"/>
          <w:u w:val="single"/>
        </w:rPr>
        <w:t>%</w:t>
      </w:r>
      <w:r>
        <w:rPr>
          <w:rFonts w:ascii="Times New Roman" w:eastAsiaTheme="minorEastAsia" w:hAnsiTheme="minorEastAsia"/>
          <w:sz w:val="22"/>
        </w:rPr>
        <w:t>的价格扣除，用扣除后的价格参与评审。</w:t>
      </w:r>
    </w:p>
    <w:p w:rsidR="006059AC" w:rsidRDefault="006059AC" w:rsidP="006059AC">
      <w:pPr>
        <w:adjustRightInd w:val="0"/>
        <w:snapToGrid w:val="0"/>
        <w:spacing w:line="300" w:lineRule="auto"/>
        <w:ind w:firstLineChars="200" w:firstLine="440"/>
        <w:rPr>
          <w:rFonts w:ascii="Times New Roman" w:eastAsiaTheme="minorEastAsia" w:hAnsi="Times New Roman"/>
          <w:kern w:val="0"/>
          <w:sz w:val="22"/>
        </w:rPr>
      </w:pPr>
      <w:r>
        <w:rPr>
          <w:rFonts w:ascii="Times New Roman" w:eastAsiaTheme="minorEastAsia" w:hAnsi="Times New Roman"/>
          <w:sz w:val="22"/>
        </w:rPr>
        <w:t>17.6</w:t>
      </w:r>
      <w:r>
        <w:rPr>
          <w:rFonts w:ascii="Times New Roman" w:eastAsiaTheme="minorEastAsia" w:hAnsiTheme="minorEastAsia"/>
          <w:sz w:val="22"/>
        </w:rPr>
        <w:t>供应商如提供虚假材料以谋取成交的，按照《政府采购法》有关条款处理，并记入供应商诚信档案。</w:t>
      </w:r>
    </w:p>
    <w:p w:rsidR="006059AC" w:rsidRDefault="006059AC" w:rsidP="006059AC">
      <w:pPr>
        <w:adjustRightInd w:val="0"/>
        <w:snapToGrid w:val="0"/>
        <w:spacing w:line="300" w:lineRule="auto"/>
        <w:ind w:firstLineChars="200" w:firstLine="442"/>
        <w:outlineLvl w:val="2"/>
        <w:rPr>
          <w:rFonts w:ascii="Times New Roman" w:eastAsiaTheme="minorEastAsia" w:hAnsi="Times New Roman"/>
          <w:b/>
          <w:sz w:val="22"/>
        </w:rPr>
      </w:pPr>
      <w:bookmarkStart w:id="39" w:name="_Toc202447560"/>
      <w:r>
        <w:rPr>
          <w:rFonts w:ascii="Times New Roman" w:eastAsiaTheme="minorEastAsia" w:hAnsi="Times New Roman"/>
          <w:b/>
          <w:sz w:val="22"/>
        </w:rPr>
        <w:t xml:space="preserve">18 </w:t>
      </w:r>
      <w:r>
        <w:rPr>
          <w:rFonts w:ascii="Times New Roman" w:eastAsiaTheme="minorEastAsia" w:hAnsiTheme="minorEastAsia"/>
          <w:b/>
          <w:sz w:val="22"/>
        </w:rPr>
        <w:t>促进残疾人就业</w:t>
      </w:r>
      <w:r>
        <w:rPr>
          <w:rFonts w:hint="eastAsia"/>
          <w:sz w:val="22"/>
        </w:rPr>
        <w:t>（注：仅残疾人福利单位适用）</w:t>
      </w:r>
      <w:bookmarkEnd w:id="39"/>
    </w:p>
    <w:p w:rsidR="006059AC" w:rsidRDefault="006059AC" w:rsidP="006059AC">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 xml:space="preserve">18.1 </w:t>
      </w:r>
      <w:r>
        <w:rPr>
          <w:rFonts w:ascii="Times New Roman" w:eastAsiaTheme="minorEastAsia" w:hAnsiTheme="minorEastAsia"/>
          <w:sz w:val="22"/>
        </w:rPr>
        <w:t>符合财库【</w:t>
      </w:r>
      <w:r>
        <w:rPr>
          <w:rFonts w:ascii="Times New Roman" w:eastAsiaTheme="minorEastAsia" w:hAnsi="Times New Roman"/>
          <w:sz w:val="22"/>
        </w:rPr>
        <w:t>2017</w:t>
      </w:r>
      <w:r>
        <w:rPr>
          <w:rFonts w:ascii="Times New Roman" w:eastAsiaTheme="minorEastAsia" w:hAnsiTheme="minorEastAsia"/>
          <w:sz w:val="22"/>
        </w:rPr>
        <w:t>】</w:t>
      </w:r>
      <w:r>
        <w:rPr>
          <w:rFonts w:ascii="Times New Roman" w:eastAsiaTheme="minorEastAsia" w:hAnsi="Times New Roman"/>
          <w:sz w:val="22"/>
        </w:rPr>
        <w:t>141</w:t>
      </w:r>
      <w:r>
        <w:rPr>
          <w:rFonts w:ascii="Times New Roman" w:eastAsiaTheme="minorEastAsia" w:hAnsiTheme="minorEastAsia"/>
          <w:sz w:val="22"/>
        </w:rPr>
        <w:t>号文中所示条件的残疾人福利性单位视同小型、微型企业，享受促进中小企业发展的政府采购政策。残疾人福利性单位属于小型、微型企业的，不重复享受政策。</w:t>
      </w:r>
    </w:p>
    <w:p w:rsidR="0083401B" w:rsidRPr="006059AC" w:rsidRDefault="006059AC" w:rsidP="006059AC">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18.2</w:t>
      </w:r>
      <w:r>
        <w:rPr>
          <w:rFonts w:ascii="Times New Roman" w:eastAsiaTheme="minorEastAsia" w:hAnsiTheme="minorEastAsia"/>
          <w:sz w:val="22"/>
        </w:rPr>
        <w:t>残疾人福利性单位在参加政府采购活动时，</w:t>
      </w:r>
      <w:proofErr w:type="gramStart"/>
      <w:r>
        <w:rPr>
          <w:rFonts w:ascii="Times New Roman" w:eastAsiaTheme="minorEastAsia" w:hAnsiTheme="minorEastAsia"/>
          <w:sz w:val="22"/>
        </w:rPr>
        <w:t>应当按财库</w:t>
      </w:r>
      <w:proofErr w:type="gramEnd"/>
      <w:r>
        <w:rPr>
          <w:rFonts w:ascii="Times New Roman" w:eastAsiaTheme="minorEastAsia" w:hAnsiTheme="minorEastAsia"/>
          <w:sz w:val="22"/>
        </w:rPr>
        <w:t>【</w:t>
      </w:r>
      <w:r>
        <w:rPr>
          <w:rFonts w:ascii="Times New Roman" w:eastAsiaTheme="minorEastAsia" w:hAnsi="Times New Roman"/>
          <w:sz w:val="22"/>
        </w:rPr>
        <w:t>2017</w:t>
      </w:r>
      <w:r>
        <w:rPr>
          <w:rFonts w:ascii="Times New Roman" w:eastAsiaTheme="minorEastAsia" w:hAnsiTheme="minorEastAsia"/>
          <w:sz w:val="22"/>
        </w:rPr>
        <w:t>】</w:t>
      </w:r>
      <w:r>
        <w:rPr>
          <w:rFonts w:ascii="Times New Roman" w:eastAsiaTheme="minorEastAsia" w:hAnsi="Times New Roman"/>
          <w:sz w:val="22"/>
        </w:rPr>
        <w:t>141</w:t>
      </w:r>
      <w:r>
        <w:rPr>
          <w:rFonts w:ascii="Times New Roman" w:eastAsiaTheme="minorEastAsia" w:hAnsiTheme="minorEastAsia"/>
          <w:sz w:val="22"/>
        </w:rPr>
        <w:t>号规定的《残疾人福利性单位声明函》（具体格式详见</w:t>
      </w:r>
      <w:r>
        <w:rPr>
          <w:rFonts w:ascii="Times New Roman" w:eastAsiaTheme="minorEastAsia" w:hAnsi="Times New Roman"/>
          <w:sz w:val="22"/>
        </w:rPr>
        <w:t>“</w:t>
      </w:r>
      <w:r>
        <w:rPr>
          <w:rFonts w:ascii="Times New Roman" w:eastAsiaTheme="minorEastAsia" w:hAnsiTheme="minorEastAsia"/>
          <w:sz w:val="22"/>
        </w:rPr>
        <w:t>投标文件格式</w:t>
      </w:r>
      <w:r>
        <w:rPr>
          <w:rFonts w:ascii="Times New Roman" w:eastAsiaTheme="minorEastAsia" w:hAnsi="Times New Roman"/>
          <w:sz w:val="22"/>
        </w:rPr>
        <w:t>”</w:t>
      </w:r>
      <w:r>
        <w:rPr>
          <w:rFonts w:ascii="Times New Roman" w:eastAsiaTheme="minorEastAsia" w:hAnsiTheme="minorEastAsia"/>
          <w:sz w:val="22"/>
        </w:rPr>
        <w:t>），并对声明的真实性负责。</w:t>
      </w:r>
      <w:bookmarkEnd w:id="37"/>
    </w:p>
    <w:sectPr w:rsidR="0083401B" w:rsidRPr="006059AC" w:rsidSect="006059AC">
      <w:pgSz w:w="11906" w:h="16838"/>
      <w:pgMar w:top="1440" w:right="1133"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9AC" w:rsidRDefault="006059AC" w:rsidP="006059AC">
      <w:r>
        <w:separator/>
      </w:r>
    </w:p>
  </w:endnote>
  <w:endnote w:type="continuationSeparator" w:id="0">
    <w:p w:rsidR="006059AC" w:rsidRDefault="006059AC" w:rsidP="0060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9AC" w:rsidRDefault="006059AC" w:rsidP="006059AC">
      <w:r>
        <w:separator/>
      </w:r>
    </w:p>
  </w:footnote>
  <w:footnote w:type="continuationSeparator" w:id="0">
    <w:p w:rsidR="006059AC" w:rsidRDefault="006059AC" w:rsidP="006059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96B16"/>
    <w:multiLevelType w:val="singleLevel"/>
    <w:tmpl w:val="59B96B16"/>
    <w:lvl w:ilvl="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01"/>
    <w:rsid w:val="00271401"/>
    <w:rsid w:val="006059AC"/>
    <w:rsid w:val="0083401B"/>
    <w:rsid w:val="00EE7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A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59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9AC"/>
    <w:rPr>
      <w:sz w:val="18"/>
      <w:szCs w:val="18"/>
    </w:rPr>
  </w:style>
  <w:style w:type="paragraph" w:styleId="a4">
    <w:name w:val="footer"/>
    <w:basedOn w:val="a"/>
    <w:link w:val="Char0"/>
    <w:uiPriority w:val="99"/>
    <w:unhideWhenUsed/>
    <w:rsid w:val="006059AC"/>
    <w:pPr>
      <w:tabs>
        <w:tab w:val="center" w:pos="4153"/>
        <w:tab w:val="right" w:pos="8306"/>
      </w:tabs>
      <w:snapToGrid w:val="0"/>
      <w:jc w:val="left"/>
    </w:pPr>
    <w:rPr>
      <w:sz w:val="18"/>
      <w:szCs w:val="18"/>
    </w:rPr>
  </w:style>
  <w:style w:type="character" w:customStyle="1" w:styleId="Char0">
    <w:name w:val="页脚 Char"/>
    <w:basedOn w:val="a0"/>
    <w:link w:val="a4"/>
    <w:uiPriority w:val="99"/>
    <w:rsid w:val="006059AC"/>
    <w:rPr>
      <w:sz w:val="18"/>
      <w:szCs w:val="18"/>
    </w:rPr>
  </w:style>
  <w:style w:type="paragraph" w:customStyle="1" w:styleId="txt">
    <w:name w:val="txt"/>
    <w:basedOn w:val="a"/>
    <w:qFormat/>
    <w:rsid w:val="006059AC"/>
    <w:pPr>
      <w:widowControl/>
      <w:spacing w:before="100" w:beforeAutospacing="1" w:after="100" w:afterAutospacing="1"/>
      <w:jc w:val="left"/>
    </w:pPr>
    <w:rPr>
      <w:rFonts w:ascii="宋体" w:hAnsi="宋体" w:cs="宋体"/>
      <w:kern w:val="0"/>
      <w:sz w:val="24"/>
      <w:szCs w:val="24"/>
    </w:rPr>
  </w:style>
  <w:style w:type="character" w:customStyle="1" w:styleId="navname">
    <w:name w:val="navname"/>
    <w:basedOn w:val="a0"/>
    <w:qFormat/>
    <w:rsid w:val="006059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A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59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9AC"/>
    <w:rPr>
      <w:sz w:val="18"/>
      <w:szCs w:val="18"/>
    </w:rPr>
  </w:style>
  <w:style w:type="paragraph" w:styleId="a4">
    <w:name w:val="footer"/>
    <w:basedOn w:val="a"/>
    <w:link w:val="Char0"/>
    <w:uiPriority w:val="99"/>
    <w:unhideWhenUsed/>
    <w:rsid w:val="006059AC"/>
    <w:pPr>
      <w:tabs>
        <w:tab w:val="center" w:pos="4153"/>
        <w:tab w:val="right" w:pos="8306"/>
      </w:tabs>
      <w:snapToGrid w:val="0"/>
      <w:jc w:val="left"/>
    </w:pPr>
    <w:rPr>
      <w:sz w:val="18"/>
      <w:szCs w:val="18"/>
    </w:rPr>
  </w:style>
  <w:style w:type="character" w:customStyle="1" w:styleId="Char0">
    <w:name w:val="页脚 Char"/>
    <w:basedOn w:val="a0"/>
    <w:link w:val="a4"/>
    <w:uiPriority w:val="99"/>
    <w:rsid w:val="006059AC"/>
    <w:rPr>
      <w:sz w:val="18"/>
      <w:szCs w:val="18"/>
    </w:rPr>
  </w:style>
  <w:style w:type="paragraph" w:customStyle="1" w:styleId="txt">
    <w:name w:val="txt"/>
    <w:basedOn w:val="a"/>
    <w:qFormat/>
    <w:rsid w:val="006059AC"/>
    <w:pPr>
      <w:widowControl/>
      <w:spacing w:before="100" w:beforeAutospacing="1" w:after="100" w:afterAutospacing="1"/>
      <w:jc w:val="left"/>
    </w:pPr>
    <w:rPr>
      <w:rFonts w:ascii="宋体" w:hAnsi="宋体" w:cs="宋体"/>
      <w:kern w:val="0"/>
      <w:sz w:val="24"/>
      <w:szCs w:val="24"/>
    </w:rPr>
  </w:style>
  <w:style w:type="character" w:customStyle="1" w:styleId="navname">
    <w:name w:val="navname"/>
    <w:basedOn w:val="a0"/>
    <w:qFormat/>
    <w:rsid w:val="00605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9178</Words>
  <Characters>9454</Characters>
  <Application>Microsoft Office Word</Application>
  <DocSecurity>0</DocSecurity>
  <Lines>378</Lines>
  <Paragraphs>388</Paragraphs>
  <ScaleCrop>false</ScaleCrop>
  <Company/>
  <LinksUpToDate>false</LinksUpToDate>
  <CharactersWithSpaces>18244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LL</cp:lastModifiedBy>
  <cp:revision>4</cp:revision>
  <dcterms:created xsi:type="dcterms:W3CDTF">2025-07-15T15:06:00Z</dcterms:created>
  <dcterms:modified xsi:type="dcterms:W3CDTF">2025-07-15T15:07:00Z</dcterms:modified>
</cp:coreProperties>
</file>