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iagrams/colors1.xml" ContentType="application/vnd.openxmlformats-officedocument.drawingml.diagramColors+xml"/>
  <Override PartName="/word/diagrams/data1.xml" ContentType="application/vnd.openxmlformats-officedocument.drawingml.diagramData+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FC5184">
      <w:pPr>
        <w:adjustRightInd w:val="0"/>
        <w:snapToGrid w:val="0"/>
        <w:spacing w:line="300" w:lineRule="auto"/>
        <w:jc w:val="center"/>
        <w:outlineLvl w:val="1"/>
        <w:rPr>
          <w:rFonts w:ascii="Times New Roman" w:hAnsi="Times New Roman" w:eastAsia="黑体" w:cs="Times New Roman"/>
          <w:b/>
          <w:bCs/>
          <w:sz w:val="30"/>
          <w:szCs w:val="30"/>
        </w:rPr>
      </w:pPr>
      <w:bookmarkStart w:id="0" w:name="_Toc14424"/>
      <w:bookmarkStart w:id="1" w:name="_Toc464465671"/>
      <w:bookmarkStart w:id="2" w:name="_Toc464465672"/>
      <w:bookmarkStart w:id="3" w:name="_Toc464465670"/>
      <w:bookmarkStart w:id="4" w:name="_Toc460922281"/>
      <w:bookmarkStart w:id="5" w:name="_Toc460922283"/>
      <w:bookmarkStart w:id="6" w:name="_Toc464465673"/>
      <w:bookmarkStart w:id="7" w:name="_Toc464465675"/>
      <w:bookmarkStart w:id="8" w:name="_Toc460922282"/>
      <w:bookmarkStart w:id="9" w:name="_Toc460922279"/>
      <w:bookmarkStart w:id="10" w:name="_Toc464465674"/>
      <w:bookmarkStart w:id="11" w:name="_Toc460922284"/>
      <w:bookmarkStart w:id="12" w:name="_Toc464465676"/>
      <w:bookmarkStart w:id="13" w:name="_Toc460922285"/>
      <w:bookmarkStart w:id="14" w:name="_Toc464465677"/>
      <w:bookmarkStart w:id="15" w:name="_Toc460922286"/>
      <w:bookmarkStart w:id="16" w:name="_Toc464465679"/>
      <w:bookmarkStart w:id="17" w:name="_Toc460922287"/>
      <w:bookmarkStart w:id="18" w:name="_Toc464465678"/>
      <w:r>
        <w:rPr>
          <w:rFonts w:ascii="Times New Roman" w:hAnsi="Times New Roman" w:eastAsia="黑体" w:cs="Times New Roman"/>
          <w:b/>
          <w:bCs/>
          <w:sz w:val="30"/>
          <w:szCs w:val="30"/>
        </w:rPr>
        <w:t>一、说明</w:t>
      </w:r>
      <w:bookmarkEnd w:id="0"/>
    </w:p>
    <w:p w14:paraId="1A9243D9">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19" w:name="_Toc25203"/>
      <w:r>
        <w:rPr>
          <w:rFonts w:ascii="Times New Roman" w:hAnsi="Times New Roman" w:eastAsia="宋体" w:cs="Times New Roman"/>
          <w:b/>
          <w:bCs/>
          <w:sz w:val="22"/>
          <w:szCs w:val="22"/>
        </w:rPr>
        <w:t>1 总则</w:t>
      </w:r>
      <w:bookmarkEnd w:id="19"/>
    </w:p>
    <w:p w14:paraId="7EDC1440">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1.1 投标人应具备国家或行业管理部门规定的，在本市实施本项目所需的资格（资质）和相关手续（如果有），由此引起的所有有关事宜及费用由投标人自行负责。</w:t>
      </w:r>
    </w:p>
    <w:p w14:paraId="13EA0453">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1.2 投标人提供的服务应当符合招标文件的要求，并且其质量完全符合国家标准、行业标准或地方标准。</w:t>
      </w:r>
    </w:p>
    <w:p w14:paraId="20795E8D">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1.3 投标人在投标前应认真了解项目的实施背景、应提供的服务内容和质量、项目考核管理要求等，一旦中标，应按照招标文件和合同规定的要求提供相关服务。</w:t>
      </w:r>
    </w:p>
    <w:p w14:paraId="5D738778">
      <w:pPr>
        <w:adjustRightInd w:val="0"/>
        <w:snapToGrid w:val="0"/>
        <w:spacing w:line="300" w:lineRule="auto"/>
        <w:ind w:firstLine="440" w:firstLineChars="200"/>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1.4</w:t>
      </w:r>
      <w:r>
        <w:rPr>
          <w:rFonts w:hint="eastAsia" w:ascii="Times New Roman" w:hAnsi="Times New Roman" w:eastAsia="宋体" w:cs="Times New Roman"/>
          <w:color w:val="000000"/>
          <w:sz w:val="22"/>
          <w:szCs w:val="22"/>
        </w:rPr>
        <w:t xml:space="preserve"> </w:t>
      </w:r>
      <w:r>
        <w:rPr>
          <w:rFonts w:hint="eastAsia" w:ascii="Times New Roman" w:hAnsi="Times New Roman" w:eastAsia="宋体" w:cs="Times New Roman"/>
          <w:sz w:val="22"/>
          <w:szCs w:val="22"/>
        </w:rPr>
        <w:t>投标人认为招标文</w:t>
      </w:r>
      <w:r>
        <w:rPr>
          <w:rFonts w:hint="eastAsia" w:ascii="Times New Roman" w:hAnsi="Times New Roman" w:eastAsia="宋体" w:cs="Times New Roman"/>
          <w:color w:val="000000"/>
          <w:sz w:val="22"/>
          <w:szCs w:val="22"/>
        </w:rPr>
        <w:t>件（包括招标补充文件）存在排他性或歧视性条款，自收到招标文件之日或者招标文件公告期限届满之日起</w:t>
      </w:r>
      <w:r>
        <w:rPr>
          <w:rFonts w:ascii="Times New Roman" w:hAnsi="Times New Roman" w:eastAsia="宋体" w:cs="Times New Roman"/>
          <w:color w:val="000000"/>
          <w:sz w:val="22"/>
          <w:szCs w:val="22"/>
        </w:rPr>
        <w:t>10日内</w:t>
      </w:r>
      <w:r>
        <w:rPr>
          <w:rFonts w:hint="eastAsia" w:ascii="Times New Roman" w:hAnsi="Times New Roman" w:eastAsia="宋体" w:cs="Times New Roman"/>
          <w:color w:val="000000"/>
          <w:sz w:val="22"/>
          <w:szCs w:val="22"/>
        </w:rPr>
        <w:t>，以书面形式提出，并附相关证据。</w:t>
      </w:r>
      <w:bookmarkEnd w:id="1"/>
      <w:bookmarkEnd w:id="2"/>
      <w:bookmarkEnd w:id="3"/>
      <w:bookmarkEnd w:id="4"/>
      <w:bookmarkEnd w:id="5"/>
      <w:bookmarkEnd w:id="6"/>
      <w:bookmarkEnd w:id="7"/>
      <w:bookmarkEnd w:id="8"/>
      <w:bookmarkEnd w:id="9"/>
      <w:bookmarkEnd w:id="10"/>
    </w:p>
    <w:p w14:paraId="1CD5B9D5">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1.5 本项目若涉及保安服务内容，根据《保安服务管理条例》（国务院令第564号）第十四条规定，中标人应当自开始保安服务之日起30日内，向所在地设区的市级人民政府公安机关备案。</w:t>
      </w:r>
    </w:p>
    <w:p w14:paraId="6430CA62">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1.6 本项目若涉及餐饮服务内容</w:t>
      </w:r>
      <w:r>
        <w:rPr>
          <w:rFonts w:hint="eastAsia" w:ascii="Times New Roman" w:hAnsi="Times New Roman" w:eastAsia="宋体" w:cs="Times New Roman"/>
          <w:color w:val="000000"/>
          <w:sz w:val="22"/>
          <w:szCs w:val="22"/>
        </w:rPr>
        <w:t>，则应满足以下条件：</w:t>
      </w:r>
    </w:p>
    <w:p w14:paraId="5CC96578">
      <w:pPr>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1.6.1 投标人应按许可范围依法经营；如为学校餐饮采购项目，投标人应具有食品经营方面的资格（资质）。</w:t>
      </w:r>
    </w:p>
    <w:p w14:paraId="1F9FEB40">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 xml:space="preserve">1.6.2 </w:t>
      </w:r>
      <w:r>
        <w:rPr>
          <w:rFonts w:ascii="Times New Roman" w:hAnsi="Times New Roman" w:eastAsia="宋体" w:cs="Times New Roman"/>
          <w:color w:val="000000"/>
          <w:sz w:val="22"/>
          <w:szCs w:val="22"/>
        </w:rPr>
        <w:t>中标人需负责与有关部门和单位协调，协助配合采购人办理与餐饮服务相关的项目申报、审批、核准、备案许可等手续，为采购人的餐饮服务提供必要的工作条件。</w:t>
      </w:r>
    </w:p>
    <w:p w14:paraId="67F82049">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1.7 投标人需在投标文件中承诺，如之前在岗的工作人员经考评符合上岗要求的，原则上应继续留用。</w:t>
      </w:r>
    </w:p>
    <w:p w14:paraId="5073EDA3">
      <w:pPr>
        <w:snapToGrid w:val="0"/>
        <w:spacing w:line="300" w:lineRule="auto"/>
        <w:ind w:firstLine="440" w:firstLineChars="200"/>
        <w:jc w:val="left"/>
        <w:rPr>
          <w:rFonts w:ascii="Calibri" w:hAnsi="Calibri" w:eastAsia="宋体" w:cs="Times New Roman"/>
          <w:color w:val="FF0000"/>
          <w:sz w:val="22"/>
          <w:szCs w:val="22"/>
        </w:rPr>
      </w:pPr>
      <w:r>
        <w:rPr>
          <w:rFonts w:hint="eastAsia" w:ascii="宋体" w:hAnsi="宋体" w:eastAsia="宋体" w:cs="宋体"/>
          <w:color w:val="FF0000"/>
          <w:sz w:val="22"/>
          <w:szCs w:val="22"/>
        </w:rPr>
        <w:t>★</w:t>
      </w:r>
      <w:r>
        <w:rPr>
          <w:rFonts w:ascii="Times New Roman" w:hAnsi="Times New Roman" w:eastAsia="宋体" w:cs="Times New Roman"/>
          <w:color w:val="FF0000"/>
          <w:sz w:val="22"/>
          <w:szCs w:val="22"/>
        </w:rPr>
        <w:t>1.</w:t>
      </w:r>
      <w:r>
        <w:rPr>
          <w:rFonts w:hint="eastAsia" w:ascii="Times New Roman" w:hAnsi="Times New Roman" w:eastAsia="宋体" w:cs="Times New Roman"/>
          <w:color w:val="FF0000"/>
          <w:sz w:val="22"/>
          <w:szCs w:val="22"/>
        </w:rPr>
        <w:t xml:space="preserve">8 </w:t>
      </w:r>
      <w:r>
        <w:rPr>
          <w:rFonts w:hint="eastAsia" w:ascii="Calibri" w:hAnsi="Calibri" w:eastAsia="宋体" w:cs="Times New Roman"/>
          <w:color w:val="FF0000"/>
          <w:sz w:val="22"/>
          <w:szCs w:val="22"/>
        </w:rPr>
        <w:t>投标人提供的服务必须符合国家强制性标准。</w:t>
      </w:r>
    </w:p>
    <w:p w14:paraId="3F149434">
      <w:pPr>
        <w:snapToGrid w:val="0"/>
        <w:spacing w:line="300" w:lineRule="auto"/>
        <w:ind w:firstLine="442" w:firstLineChars="200"/>
        <w:jc w:val="left"/>
        <w:rPr>
          <w:rFonts w:ascii="Times New Roman" w:hAnsi="Times New Roman" w:eastAsia="宋体" w:cs="Times New Roman"/>
          <w:b/>
          <w:bCs/>
          <w:sz w:val="22"/>
          <w:szCs w:val="22"/>
        </w:rPr>
      </w:pPr>
    </w:p>
    <w:p w14:paraId="71D63ECD">
      <w:pPr>
        <w:adjustRightInd w:val="0"/>
        <w:snapToGrid w:val="0"/>
        <w:spacing w:line="300" w:lineRule="auto"/>
        <w:ind w:firstLine="442" w:firstLineChars="200"/>
        <w:jc w:val="left"/>
        <w:outlineLvl w:val="1"/>
        <w:rPr>
          <w:rFonts w:ascii="Times New Roman" w:hAnsi="Times New Roman" w:eastAsia="宋体" w:cs="Times New Roman"/>
          <w:b/>
          <w:bCs/>
          <w:color w:val="000000"/>
          <w:sz w:val="22"/>
          <w:szCs w:val="22"/>
        </w:rPr>
      </w:pPr>
      <w:bookmarkStart w:id="20" w:name="_Toc14955"/>
      <w:r>
        <w:rPr>
          <w:rFonts w:hint="eastAsia" w:ascii="Times New Roman" w:hAnsi="Times New Roman" w:eastAsia="宋体" w:cs="Times New Roman"/>
          <w:b/>
          <w:bCs/>
          <w:color w:val="000000"/>
          <w:sz w:val="22"/>
          <w:szCs w:val="22"/>
        </w:rPr>
        <w:t>包件1：上海市浦东新区机场社区卫生服务中心保安服务</w:t>
      </w:r>
      <w:bookmarkEnd w:id="20"/>
    </w:p>
    <w:p w14:paraId="2FA1B503">
      <w:pPr>
        <w:adjustRightInd w:val="0"/>
        <w:snapToGrid w:val="0"/>
        <w:spacing w:line="300" w:lineRule="auto"/>
        <w:jc w:val="center"/>
        <w:outlineLvl w:val="1"/>
        <w:rPr>
          <w:rFonts w:ascii="Times New Roman" w:hAnsi="Times New Roman" w:eastAsia="黑体" w:cs="Times New Roman"/>
          <w:sz w:val="30"/>
          <w:szCs w:val="30"/>
        </w:rPr>
      </w:pPr>
      <w:bookmarkStart w:id="21" w:name="_Toc17695"/>
      <w:r>
        <w:rPr>
          <w:rFonts w:ascii="Times New Roman" w:hAnsi="Times New Roman" w:eastAsia="黑体" w:cs="Times New Roman"/>
          <w:b/>
          <w:bCs/>
          <w:sz w:val="30"/>
          <w:szCs w:val="30"/>
        </w:rPr>
        <w:t>二、项目概况</w:t>
      </w:r>
      <w:bookmarkEnd w:id="21"/>
    </w:p>
    <w:p w14:paraId="06C1004E">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22" w:name="_Toc27868"/>
      <w:r>
        <w:rPr>
          <w:rFonts w:ascii="Times New Roman" w:hAnsi="Times New Roman" w:eastAsia="宋体" w:cs="Times New Roman"/>
          <w:b/>
          <w:bCs/>
          <w:sz w:val="22"/>
          <w:szCs w:val="22"/>
        </w:rPr>
        <w:t xml:space="preserve">2 </w:t>
      </w:r>
      <w:r>
        <w:rPr>
          <w:rFonts w:hint="eastAsia" w:ascii="Times New Roman" w:hAnsi="Times New Roman" w:eastAsia="宋体" w:cs="Times New Roman"/>
          <w:b/>
          <w:bCs/>
          <w:sz w:val="22"/>
          <w:szCs w:val="22"/>
        </w:rPr>
        <w:t>包</w:t>
      </w:r>
      <w:r>
        <w:rPr>
          <w:rFonts w:ascii="Times New Roman" w:hAnsi="Times New Roman" w:eastAsia="宋体" w:cs="Times New Roman"/>
          <w:b/>
          <w:bCs/>
          <w:sz w:val="22"/>
          <w:szCs w:val="22"/>
        </w:rPr>
        <w:t>名称</w:t>
      </w:r>
      <w:bookmarkEnd w:id="22"/>
    </w:p>
    <w:p w14:paraId="5A4C7227">
      <w:pPr>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包</w:t>
      </w:r>
      <w:r>
        <w:rPr>
          <w:rFonts w:ascii="Times New Roman" w:hAnsi="Times New Roman" w:eastAsia="宋体" w:cs="Times New Roman"/>
          <w:bCs/>
          <w:sz w:val="22"/>
          <w:szCs w:val="22"/>
        </w:rPr>
        <w:t>名称：</w:t>
      </w:r>
      <w:r>
        <w:rPr>
          <w:rFonts w:hint="eastAsia" w:ascii="宋体" w:hAnsi="宋体" w:eastAsia="宋体" w:cs="Times New Roman"/>
          <w:bCs/>
          <w:sz w:val="22"/>
          <w:szCs w:val="22"/>
        </w:rPr>
        <w:t>上海市浦东新区机场社区卫生服务中心保安服务</w:t>
      </w:r>
    </w:p>
    <w:p w14:paraId="0E2AB22E">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23" w:name="_Toc24323"/>
      <w:r>
        <w:rPr>
          <w:rFonts w:ascii="Times New Roman" w:hAnsi="Times New Roman" w:eastAsia="宋体" w:cs="Times New Roman"/>
          <w:b/>
          <w:bCs/>
          <w:sz w:val="22"/>
          <w:szCs w:val="22"/>
        </w:rPr>
        <w:t>3</w:t>
      </w:r>
      <w:r>
        <w:rPr>
          <w:rFonts w:hint="eastAsia" w:ascii="Times New Roman" w:hAnsi="Times New Roman" w:eastAsia="宋体" w:cs="Times New Roman"/>
          <w:b/>
          <w:bCs/>
          <w:sz w:val="22"/>
          <w:szCs w:val="22"/>
        </w:rPr>
        <w:t xml:space="preserve"> </w:t>
      </w:r>
      <w:r>
        <w:rPr>
          <w:rFonts w:ascii="Times New Roman" w:hAnsi="Times New Roman" w:eastAsia="宋体" w:cs="Times New Roman"/>
          <w:b/>
          <w:bCs/>
          <w:sz w:val="22"/>
          <w:szCs w:val="22"/>
        </w:rPr>
        <w:t>物业基本情况</w:t>
      </w:r>
      <w:bookmarkEnd w:id="23"/>
    </w:p>
    <w:p w14:paraId="5D691602">
      <w:pPr>
        <w:adjustRightInd w:val="0"/>
        <w:snapToGrid w:val="0"/>
        <w:spacing w:line="300" w:lineRule="auto"/>
        <w:ind w:firstLine="440" w:firstLineChars="200"/>
        <w:rPr>
          <w:rFonts w:ascii="Times New Roman" w:hAnsi="Times New Roman" w:eastAsia="宋体" w:cs="Times New Roman"/>
          <w:sz w:val="22"/>
          <w:szCs w:val="22"/>
        </w:rPr>
      </w:pPr>
      <w:r>
        <w:rPr>
          <w:rFonts w:ascii="Times New Roman" w:hAnsi="Times New Roman" w:eastAsia="宋体" w:cs="Times New Roman"/>
          <w:sz w:val="22"/>
          <w:szCs w:val="22"/>
        </w:rPr>
        <w:t>物业类型：</w:t>
      </w:r>
      <w:r>
        <w:rPr>
          <w:rFonts w:hint="eastAsia" w:ascii="Times New Roman" w:hAnsi="Times New Roman" w:eastAsia="宋体" w:cs="Times New Roman"/>
          <w:sz w:val="22"/>
          <w:szCs w:val="22"/>
        </w:rPr>
        <w:t>医院</w:t>
      </w:r>
    </w:p>
    <w:p w14:paraId="154BFC6A">
      <w:pPr>
        <w:adjustRightInd w:val="0"/>
        <w:snapToGrid w:val="0"/>
        <w:spacing w:line="300" w:lineRule="auto"/>
        <w:ind w:firstLine="440" w:firstLineChars="200"/>
        <w:rPr>
          <w:rFonts w:ascii="Times New Roman" w:hAnsi="Times New Roman" w:eastAsia="宋体" w:cs="Times New Roman"/>
          <w:sz w:val="22"/>
          <w:szCs w:val="22"/>
        </w:rPr>
      </w:pPr>
      <w:r>
        <w:rPr>
          <w:rFonts w:hint="eastAsia" w:ascii="Times New Roman" w:hAnsi="Times New Roman" w:eastAsia="宋体" w:cs="Times New Roman"/>
          <w:sz w:val="22"/>
          <w:szCs w:val="22"/>
        </w:rPr>
        <w:t>详细地址</w:t>
      </w:r>
      <w:r>
        <w:rPr>
          <w:rFonts w:ascii="Times New Roman" w:hAnsi="Times New Roman" w:eastAsia="宋体" w:cs="Times New Roman"/>
          <w:sz w:val="22"/>
          <w:szCs w:val="22"/>
        </w:rPr>
        <w:t>：</w:t>
      </w:r>
      <w:r>
        <w:rPr>
          <w:rFonts w:hint="eastAsia" w:ascii="Times New Roman" w:hAnsi="Times New Roman" w:eastAsia="宋体" w:cs="Times New Roman"/>
          <w:sz w:val="22"/>
          <w:szCs w:val="22"/>
        </w:rPr>
        <w:t>川南奉公路3385号。</w:t>
      </w:r>
      <w:r>
        <w:rPr>
          <w:rFonts w:ascii="Times New Roman" w:hAnsi="Times New Roman" w:eastAsia="宋体" w:cs="Times New Roman"/>
          <w:sz w:val="22"/>
          <w:szCs w:val="22"/>
        </w:rPr>
        <w:t>  </w:t>
      </w:r>
    </w:p>
    <w:p w14:paraId="219D4DEF">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24" w:name="_Toc18853"/>
      <w:r>
        <w:rPr>
          <w:rFonts w:ascii="Times New Roman" w:hAnsi="Times New Roman" w:eastAsia="宋体" w:cs="Times New Roman"/>
          <w:b/>
          <w:color w:val="000000"/>
          <w:sz w:val="22"/>
          <w:szCs w:val="22"/>
        </w:rPr>
        <w:t>4 招标范围与内容</w:t>
      </w:r>
      <w:bookmarkEnd w:id="24"/>
    </w:p>
    <w:p w14:paraId="63A46C20">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4.1 项目背景及现状</w:t>
      </w:r>
    </w:p>
    <w:p w14:paraId="61D72FDD">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上海市浦东新区机场社区卫生服务中心为辖区提供预防、保健、医疗、康复、健康教育、计划生育六位一体服务。</w:t>
      </w:r>
    </w:p>
    <w:p w14:paraId="360D6F96">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4.2 项目招标范围及内容</w:t>
      </w:r>
    </w:p>
    <w:p w14:paraId="025969A9">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上海市浦东新区机场社区卫生服务中心保安服务，主要包括门岗服务、治安服务、车辆秩序引导、消防监控服务等。</w:t>
      </w:r>
    </w:p>
    <w:p w14:paraId="65DBBC45">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4.3 本项目服务期限：</w:t>
      </w:r>
      <w:r>
        <w:rPr>
          <w:rFonts w:hint="eastAsia" w:ascii="Times New Roman" w:hAnsi="Times New Roman" w:eastAsia="宋体" w:cs="Times New Roman"/>
          <w:color w:val="000000"/>
          <w:sz w:val="22"/>
          <w:szCs w:val="22"/>
        </w:rPr>
        <w:t>本项目一招三年，合同一年一签。第一年服务期满，经采购人考核合格后，双方可以续签合同，服务期限具体起始时间以合同签订日期为准。</w:t>
      </w:r>
    </w:p>
    <w:bookmarkEnd w:id="11"/>
    <w:bookmarkEnd w:id="12"/>
    <w:p w14:paraId="7CF997FD">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25" w:name="_Toc3818"/>
      <w:r>
        <w:rPr>
          <w:rFonts w:ascii="Times New Roman" w:hAnsi="Times New Roman" w:eastAsia="宋体" w:cs="Times New Roman"/>
          <w:b/>
          <w:color w:val="000000"/>
          <w:sz w:val="22"/>
          <w:szCs w:val="22"/>
        </w:rPr>
        <w:t>5 承包方式</w:t>
      </w:r>
      <w:bookmarkEnd w:id="25"/>
    </w:p>
    <w:p w14:paraId="303BCB3A">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5.1 依照本项目的招标范围和内容，中标人以</w:t>
      </w:r>
      <w:r>
        <w:rPr>
          <w:rFonts w:ascii="Times New Roman" w:hAnsi="Times New Roman" w:eastAsia="宋体" w:cs="Times New Roman"/>
          <w:b/>
          <w:color w:val="FF0000"/>
          <w:kern w:val="0"/>
          <w:sz w:val="22"/>
          <w:szCs w:val="22"/>
          <w:u w:val="single"/>
        </w:rPr>
        <w:t>“清包”</w:t>
      </w:r>
      <w:r>
        <w:rPr>
          <w:rFonts w:ascii="Times New Roman" w:hAnsi="Times New Roman" w:eastAsia="宋体" w:cs="Times New Roman"/>
          <w:color w:val="000000"/>
          <w:sz w:val="22"/>
          <w:szCs w:val="22"/>
        </w:rPr>
        <w:t>方式实施服务管理承包。“清包”的含义指：采购人按双方约定的服务人数，</w:t>
      </w:r>
      <w:r>
        <w:rPr>
          <w:rFonts w:hint="eastAsia" w:ascii="Calibri" w:hAnsi="Calibri" w:eastAsia="宋体" w:cs="Times New Roman"/>
          <w:szCs w:val="22"/>
        </w:rPr>
        <w:t>每季度向中标人支付管理服务费</w:t>
      </w:r>
      <w:r>
        <w:rPr>
          <w:rFonts w:ascii="Times New Roman" w:hAnsi="Times New Roman" w:eastAsia="宋体" w:cs="Times New Roman"/>
          <w:bCs/>
          <w:sz w:val="22"/>
          <w:szCs w:val="22"/>
        </w:rPr>
        <w:t>。</w:t>
      </w:r>
      <w:r>
        <w:rPr>
          <w:rFonts w:ascii="Times New Roman" w:hAnsi="Times New Roman" w:eastAsia="宋体" w:cs="Times New Roman"/>
          <w:color w:val="000000"/>
          <w:sz w:val="22"/>
          <w:szCs w:val="22"/>
        </w:rPr>
        <w:t>项目过程中所发生的水电气等能耗，设备添置、维修、保养等费用均由采购人承担。</w:t>
      </w:r>
    </w:p>
    <w:p w14:paraId="0C1C8DB4">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5.2</w:t>
      </w:r>
      <w:r>
        <w:rPr>
          <w:rFonts w:hint="eastAsia" w:ascii="Times New Roman" w:hAnsi="Times New Roman" w:eastAsia="宋体" w:cs="Times New Roman"/>
          <w:sz w:val="22"/>
          <w:szCs w:val="22"/>
        </w:rPr>
        <w:t xml:space="preserve"> </w:t>
      </w:r>
      <w:r>
        <w:rPr>
          <w:rFonts w:ascii="Times New Roman" w:hAnsi="Times New Roman" w:eastAsia="宋体" w:cs="Times New Roman"/>
          <w:color w:val="0000FA"/>
          <w:sz w:val="22"/>
          <w:szCs w:val="22"/>
        </w:rPr>
        <w:t>本项目不允许分包。</w:t>
      </w:r>
    </w:p>
    <w:p w14:paraId="17E8B6A4">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26" w:name="_Toc5709"/>
      <w:r>
        <w:rPr>
          <w:rFonts w:ascii="Times New Roman" w:hAnsi="Times New Roman" w:eastAsia="宋体" w:cs="Times New Roman"/>
          <w:b/>
          <w:color w:val="000000"/>
          <w:sz w:val="22"/>
          <w:szCs w:val="22"/>
        </w:rPr>
        <w:t>6 合同的签订</w:t>
      </w:r>
      <w:bookmarkEnd w:id="26"/>
    </w:p>
    <w:p w14:paraId="12C20286">
      <w:pPr>
        <w:snapToGrid w:val="0"/>
        <w:spacing w:line="300" w:lineRule="auto"/>
        <w:ind w:firstLine="440" w:firstLineChars="200"/>
        <w:rPr>
          <w:rFonts w:ascii="Times New Roman" w:hAnsi="Times New Roman" w:eastAsia="宋体" w:cs="Times New Roman"/>
          <w:sz w:val="22"/>
          <w:szCs w:val="22"/>
        </w:rPr>
      </w:pPr>
      <w:r>
        <w:rPr>
          <w:rFonts w:ascii="Times New Roman" w:hAnsi="Times New Roman" w:eastAsia="宋体" w:cs="Times New Roman"/>
          <w:sz w:val="22"/>
          <w:szCs w:val="22"/>
        </w:rPr>
        <w:t>6.1 本项目合同的标的、价格、质量及验收标准、考核管理、履约期限等主要条款应当与招标文件和中标人投标文件的内容一致，并互相补充和解释。</w:t>
      </w:r>
    </w:p>
    <w:p w14:paraId="6426B995">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6.2 合同履约过程中，如遇不可抗力或政策性调价（以招标文件和合同约定为准），经双方商定可以调整合同金额（调整原则以招标文件约定为准），并签订补充协议。</w:t>
      </w:r>
    </w:p>
    <w:p w14:paraId="625C0F3E">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sz w:val="22"/>
          <w:szCs w:val="22"/>
        </w:rPr>
        <w:t>6.3</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本项目资金由新区财政预算逐年安排，中标后</w:t>
      </w:r>
      <w:r>
        <w:rPr>
          <w:rFonts w:hint="eastAsia" w:ascii="Times New Roman" w:hAnsi="Times New Roman" w:eastAsia="宋体" w:cs="Times New Roman"/>
          <w:sz w:val="22"/>
          <w:szCs w:val="22"/>
        </w:rPr>
        <w:t>3</w:t>
      </w:r>
      <w:r>
        <w:rPr>
          <w:rFonts w:ascii="Times New Roman" w:hAnsi="Times New Roman" w:eastAsia="宋体" w:cs="Times New Roman"/>
          <w:sz w:val="22"/>
          <w:szCs w:val="22"/>
        </w:rPr>
        <w:t>年有效，在承包期限内，项目经费合同需逐年签订。采购人每年度对中标人的工作进行考核，考核通过的，双方续签下一年度合同。如中标人年度考核未通过，双方不再续签下一年度合同。</w:t>
      </w:r>
    </w:p>
    <w:p w14:paraId="6ACA593E">
      <w:pPr>
        <w:adjustRightInd w:val="0"/>
        <w:snapToGrid w:val="0"/>
        <w:spacing w:line="300" w:lineRule="auto"/>
        <w:ind w:firstLine="442" w:firstLineChars="200"/>
        <w:jc w:val="left"/>
        <w:outlineLvl w:val="2"/>
        <w:rPr>
          <w:rFonts w:ascii="Times New Roman" w:hAnsi="Times New Roman" w:eastAsia="宋体" w:cs="Times New Roman"/>
          <w:sz w:val="22"/>
          <w:szCs w:val="22"/>
        </w:rPr>
      </w:pPr>
      <w:bookmarkStart w:id="27" w:name="_Toc1663"/>
      <w:r>
        <w:rPr>
          <w:rFonts w:ascii="Times New Roman" w:hAnsi="Times New Roman" w:eastAsia="宋体" w:cs="Times New Roman"/>
          <w:b/>
          <w:color w:val="000000"/>
          <w:sz w:val="22"/>
          <w:szCs w:val="22"/>
        </w:rPr>
        <w:t>7 结算原则和支付方式</w:t>
      </w:r>
      <w:bookmarkEnd w:id="27"/>
    </w:p>
    <w:p w14:paraId="6290A393">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7.1 结算原则</w:t>
      </w:r>
    </w:p>
    <w:p w14:paraId="2BD592E2">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7.1.1</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根据考核管理要求，依照考核结果按实结算。</w:t>
      </w:r>
    </w:p>
    <w:p w14:paraId="71306CA0">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bCs/>
          <w:sz w:val="22"/>
          <w:szCs w:val="22"/>
        </w:rPr>
        <w:t>7.1.2</w:t>
      </w:r>
      <w:r>
        <w:rPr>
          <w:rFonts w:hint="eastAsia" w:ascii="Times New Roman" w:hAnsi="Times New Roman" w:eastAsia="宋体" w:cs="Times New Roman"/>
          <w:bCs/>
          <w:sz w:val="22"/>
          <w:szCs w:val="22"/>
        </w:rPr>
        <w:t xml:space="preserve"> </w:t>
      </w:r>
      <w:r>
        <w:rPr>
          <w:rFonts w:ascii="Times New Roman" w:hAnsi="Times New Roman" w:eastAsia="宋体" w:cs="Times New Roman"/>
          <w:bCs/>
          <w:sz w:val="22"/>
          <w:szCs w:val="22"/>
        </w:rPr>
        <w:t>第一年度的合同价不变，采购人不会因政策性调价、人工成本、材料、设备使用年限增长引起的维修成本增加和效能衰减等因素（不可抗力除外）的变动而进行调整。自第二年度起，中标服务单价不变（不可抗力和政策性调价除外），当年度的实际合同价以经核定的实际服务内容确定。</w:t>
      </w:r>
    </w:p>
    <w:p w14:paraId="15DFA799">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bCs/>
          <w:sz w:val="22"/>
          <w:szCs w:val="22"/>
        </w:rPr>
        <w:t>7.1.3 合同履约期间，如发生设备中修、大修和应急维修的，则费用按实结算。</w:t>
      </w:r>
    </w:p>
    <w:p w14:paraId="638E97D2">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bCs/>
          <w:sz w:val="22"/>
          <w:szCs w:val="22"/>
        </w:rPr>
        <w:t>7.2 支付方式</w:t>
      </w:r>
    </w:p>
    <w:p w14:paraId="56A8FDCA">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bCs/>
          <w:sz w:val="22"/>
          <w:szCs w:val="22"/>
        </w:rPr>
        <w:t>7.2.1 本项目合同金额采用</w:t>
      </w:r>
      <w:r>
        <w:rPr>
          <w:rFonts w:ascii="Times New Roman" w:hAnsi="Times New Roman" w:eastAsia="宋体" w:cs="Times New Roman"/>
          <w:bCs/>
          <w:sz w:val="22"/>
          <w:szCs w:val="22"/>
          <w:u w:val="single"/>
        </w:rPr>
        <w:t>分期付款</w:t>
      </w:r>
      <w:r>
        <w:rPr>
          <w:rFonts w:ascii="Times New Roman" w:hAnsi="Times New Roman" w:eastAsia="宋体" w:cs="Times New Roman"/>
          <w:bCs/>
          <w:sz w:val="22"/>
          <w:szCs w:val="22"/>
        </w:rPr>
        <w:t>方式，在采购人和中标人合同签订，且财政资金到位后，每</w:t>
      </w:r>
      <w:r>
        <w:rPr>
          <w:rFonts w:hint="eastAsia" w:ascii="Times New Roman" w:hAnsi="Times New Roman" w:eastAsia="宋体" w:cs="Times New Roman"/>
          <w:bCs/>
          <w:sz w:val="22"/>
          <w:szCs w:val="22"/>
        </w:rPr>
        <w:t>季度末，采购人根据当季度考核结果支付相应的合同款项</w:t>
      </w:r>
      <w:r>
        <w:rPr>
          <w:rFonts w:ascii="Times New Roman" w:hAnsi="Times New Roman" w:eastAsia="宋体" w:cs="Times New Roman"/>
          <w:bCs/>
          <w:sz w:val="22"/>
          <w:szCs w:val="22"/>
        </w:rPr>
        <w:t>。</w:t>
      </w:r>
    </w:p>
    <w:p w14:paraId="4241B565">
      <w:pPr>
        <w:snapToGrid w:val="0"/>
        <w:spacing w:line="300" w:lineRule="auto"/>
        <w:ind w:firstLine="440" w:firstLineChars="200"/>
        <w:jc w:val="left"/>
        <w:rPr>
          <w:rFonts w:ascii="Calibri" w:hAnsi="Calibri" w:eastAsia="宋体" w:cs="Times New Roman"/>
          <w:sz w:val="22"/>
          <w:szCs w:val="22"/>
        </w:rPr>
      </w:pPr>
      <w:r>
        <w:rPr>
          <w:rFonts w:hint="eastAsia" w:ascii="Calibri" w:hAnsi="Calibri" w:eastAsia="宋体" w:cs="Times New Roman"/>
          <w:sz w:val="22"/>
          <w:szCs w:val="22"/>
        </w:rPr>
        <w:t>7.3 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1年期贷款市场报价利率。</w:t>
      </w:r>
    </w:p>
    <w:p w14:paraId="602D87AC">
      <w:pPr>
        <w:snapToGrid w:val="0"/>
        <w:spacing w:line="300" w:lineRule="auto"/>
        <w:ind w:firstLine="440" w:firstLineChars="200"/>
        <w:jc w:val="left"/>
        <w:rPr>
          <w:rFonts w:ascii="Calibri" w:hAnsi="Calibri" w:eastAsia="宋体" w:cs="Times New Roman"/>
          <w:sz w:val="22"/>
          <w:szCs w:val="22"/>
        </w:rPr>
      </w:pPr>
    </w:p>
    <w:p w14:paraId="7CC005F1">
      <w:pPr>
        <w:adjustRightInd w:val="0"/>
        <w:snapToGrid w:val="0"/>
        <w:spacing w:line="300" w:lineRule="auto"/>
        <w:jc w:val="center"/>
        <w:outlineLvl w:val="1"/>
        <w:rPr>
          <w:rFonts w:ascii="Times New Roman" w:hAnsi="Times New Roman" w:eastAsia="黑体" w:cs="Times New Roman"/>
          <w:sz w:val="30"/>
          <w:szCs w:val="30"/>
        </w:rPr>
      </w:pPr>
      <w:bookmarkStart w:id="28" w:name="_Toc16140"/>
      <w:r>
        <w:rPr>
          <w:rFonts w:ascii="Times New Roman" w:hAnsi="Times New Roman" w:eastAsia="黑体" w:cs="Times New Roman"/>
          <w:b/>
          <w:bCs/>
          <w:sz w:val="30"/>
          <w:szCs w:val="30"/>
        </w:rPr>
        <w:t>三、技术质量要求</w:t>
      </w:r>
      <w:bookmarkEnd w:id="13"/>
      <w:bookmarkEnd w:id="14"/>
      <w:bookmarkEnd w:id="28"/>
    </w:p>
    <w:bookmarkEnd w:id="15"/>
    <w:bookmarkEnd w:id="16"/>
    <w:bookmarkEnd w:id="17"/>
    <w:bookmarkEnd w:id="18"/>
    <w:p w14:paraId="5103C257">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29" w:name="_Toc25961"/>
      <w:r>
        <w:rPr>
          <w:rFonts w:ascii="Times New Roman" w:hAnsi="Times New Roman" w:eastAsia="宋体" w:cs="Times New Roman"/>
          <w:b/>
          <w:bCs/>
          <w:sz w:val="22"/>
          <w:szCs w:val="22"/>
        </w:rPr>
        <w:t>8 适用技术规范和规范性文件</w:t>
      </w:r>
      <w:bookmarkEnd w:id="29"/>
    </w:p>
    <w:p w14:paraId="621AA5F5">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 国家和市政府颁发的有关物业管理的法律、法规、标准和规范性文件。包括但不限于：</w:t>
      </w:r>
    </w:p>
    <w:p w14:paraId="3C217C2D">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8.1.1 《物业管理条例》中华人民共和国国国务院令第379号；</w:t>
      </w:r>
    </w:p>
    <w:p w14:paraId="145A181B">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8.1.2 《物业服务定价成本监审办法（试行）》发改价格（2007）2285号；</w:t>
      </w:r>
    </w:p>
    <w:p w14:paraId="09705AA6">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8.1.3 《建设部关于修订全国物业管理示范住宅小区（大厦、工业区）标准及有关考核验收工作的通知》（建住房物[2000]008号）；</w:t>
      </w:r>
    </w:p>
    <w:p w14:paraId="3487E642">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8.1.4 《上海市食品安全条例》(上海市人民代表大会公告第18号)</w:t>
      </w:r>
    </w:p>
    <w:p w14:paraId="40FCB3C0">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8.1.5 《上海市物业管理行业规范》（沪房地资物[2001]0035号）。</w:t>
      </w:r>
    </w:p>
    <w:p w14:paraId="12255B1C">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8.2 预算单位（使用单位）的现场实际情况；</w:t>
      </w:r>
    </w:p>
    <w:p w14:paraId="0D00BE03">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8.3 本项目招标文件、实施单位投标文件和双方确认的其他相关文件等。</w:t>
      </w:r>
    </w:p>
    <w:p w14:paraId="3364BD14">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各投标人应充分注意，凡涉及国家或行业管理部门颁发的相关规范、规程和标准，无论其是否在本招标文件中列明，中标人应无条件执行。标准、规范等不一致的，以要求高者为准。</w:t>
      </w:r>
    </w:p>
    <w:p w14:paraId="2D912315">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30" w:name="_Toc32759"/>
      <w:r>
        <w:rPr>
          <w:rFonts w:ascii="Times New Roman" w:hAnsi="Times New Roman" w:eastAsia="宋体" w:cs="Times New Roman"/>
          <w:b/>
          <w:bCs/>
          <w:sz w:val="22"/>
          <w:szCs w:val="22"/>
        </w:rPr>
        <w:t>9 招标内容与质量要求</w:t>
      </w:r>
      <w:bookmarkEnd w:id="30"/>
    </w:p>
    <w:p w14:paraId="1B40B4D6">
      <w:pPr>
        <w:adjustRightInd w:val="0"/>
        <w:snapToGrid w:val="0"/>
        <w:spacing w:line="300" w:lineRule="auto"/>
        <w:ind w:firstLine="442" w:firstLineChars="200"/>
        <w:jc w:val="left"/>
        <w:outlineLvl w:val="3"/>
        <w:rPr>
          <w:rFonts w:ascii="Times New Roman" w:hAnsi="Times New Roman" w:eastAsia="宋体" w:cs="Times New Roman"/>
          <w:b/>
          <w:kern w:val="0"/>
          <w:sz w:val="22"/>
          <w:szCs w:val="22"/>
          <w:u w:val="single"/>
        </w:rPr>
      </w:pPr>
      <w:r>
        <w:rPr>
          <w:rFonts w:ascii="Times New Roman" w:hAnsi="Times New Roman" w:eastAsia="宋体" w:cs="Times New Roman"/>
          <w:b/>
          <w:sz w:val="22"/>
          <w:szCs w:val="22"/>
        </w:rPr>
        <w:t xml:space="preserve">9.1 </w:t>
      </w:r>
      <w:r>
        <w:rPr>
          <w:rFonts w:ascii="Times New Roman" w:hAnsi="Times New Roman" w:eastAsia="宋体" w:cs="Times New Roman"/>
          <w:b/>
          <w:kern w:val="0"/>
          <w:sz w:val="22"/>
          <w:szCs w:val="22"/>
          <w:u w:val="single"/>
        </w:rPr>
        <w:t>岗位设置一览表</w:t>
      </w:r>
    </w:p>
    <w:tbl>
      <w:tblPr>
        <w:tblStyle w:val="3"/>
        <w:tblW w:w="97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811"/>
        <w:gridCol w:w="1406"/>
        <w:gridCol w:w="921"/>
        <w:gridCol w:w="54"/>
        <w:gridCol w:w="1417"/>
        <w:gridCol w:w="4479"/>
      </w:tblGrid>
      <w:tr w14:paraId="77AEC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0" w:type="dxa"/>
            <w:vAlign w:val="center"/>
          </w:tcPr>
          <w:p w14:paraId="666BB70A">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序号</w:t>
            </w:r>
          </w:p>
        </w:tc>
        <w:tc>
          <w:tcPr>
            <w:tcW w:w="811" w:type="dxa"/>
            <w:vAlign w:val="center"/>
          </w:tcPr>
          <w:p w14:paraId="33DB89BD">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区域</w:t>
            </w:r>
          </w:p>
        </w:tc>
        <w:tc>
          <w:tcPr>
            <w:tcW w:w="1406" w:type="dxa"/>
            <w:vAlign w:val="center"/>
          </w:tcPr>
          <w:p w14:paraId="6715C141">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岗位名称</w:t>
            </w:r>
          </w:p>
        </w:tc>
        <w:tc>
          <w:tcPr>
            <w:tcW w:w="921" w:type="dxa"/>
            <w:vAlign w:val="center"/>
          </w:tcPr>
          <w:p w14:paraId="1EAC06D5">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岗位数</w:t>
            </w:r>
          </w:p>
        </w:tc>
        <w:tc>
          <w:tcPr>
            <w:tcW w:w="1471" w:type="dxa"/>
            <w:gridSpan w:val="2"/>
            <w:vAlign w:val="center"/>
          </w:tcPr>
          <w:p w14:paraId="14E285FF">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说明</w:t>
            </w:r>
          </w:p>
        </w:tc>
        <w:tc>
          <w:tcPr>
            <w:tcW w:w="4479" w:type="dxa"/>
            <w:vAlign w:val="center"/>
          </w:tcPr>
          <w:p w14:paraId="7F8021C8">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工作内容</w:t>
            </w:r>
          </w:p>
        </w:tc>
      </w:tr>
      <w:tr w14:paraId="5882A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0" w:type="dxa"/>
            <w:vMerge w:val="restart"/>
            <w:vAlign w:val="center"/>
          </w:tcPr>
          <w:p w14:paraId="03985C07">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1</w:t>
            </w:r>
          </w:p>
        </w:tc>
        <w:tc>
          <w:tcPr>
            <w:tcW w:w="811" w:type="dxa"/>
            <w:vMerge w:val="restart"/>
            <w:vAlign w:val="center"/>
          </w:tcPr>
          <w:p w14:paraId="505E6F73">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机场社区</w:t>
            </w:r>
          </w:p>
        </w:tc>
        <w:tc>
          <w:tcPr>
            <w:tcW w:w="1406" w:type="dxa"/>
            <w:vAlign w:val="center"/>
          </w:tcPr>
          <w:p w14:paraId="68CECD91">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日班门岗保安</w:t>
            </w:r>
          </w:p>
        </w:tc>
        <w:tc>
          <w:tcPr>
            <w:tcW w:w="975" w:type="dxa"/>
            <w:gridSpan w:val="2"/>
            <w:vAlign w:val="center"/>
          </w:tcPr>
          <w:p w14:paraId="6DF8A7BF">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1</w:t>
            </w:r>
          </w:p>
        </w:tc>
        <w:tc>
          <w:tcPr>
            <w:tcW w:w="1417" w:type="dxa"/>
            <w:vAlign w:val="center"/>
          </w:tcPr>
          <w:p w14:paraId="362752DB">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12小时，每周7天</w:t>
            </w:r>
          </w:p>
        </w:tc>
        <w:tc>
          <w:tcPr>
            <w:tcW w:w="4479" w:type="dxa"/>
            <w:vAlign w:val="center"/>
          </w:tcPr>
          <w:p w14:paraId="67B59C16">
            <w:pPr>
              <w:widowControl/>
              <w:jc w:val="center"/>
              <w:textAlignment w:val="center"/>
              <w:rPr>
                <w:rFonts w:ascii="宋体" w:hAnsi="宋体" w:eastAsia="Times New Roman" w:cs="宋体"/>
                <w:color w:val="000000"/>
                <w:kern w:val="0"/>
                <w:szCs w:val="21"/>
                <w:lang w:bidi="ar"/>
              </w:rPr>
            </w:pPr>
            <w:r>
              <w:rPr>
                <w:rFonts w:hint="eastAsia" w:ascii="宋体" w:hAnsi="宋体" w:eastAsia="Times New Roman" w:cs="宋体"/>
                <w:color w:val="000000"/>
                <w:kern w:val="0"/>
                <w:szCs w:val="21"/>
                <w:lang w:bidi="ar"/>
              </w:rPr>
              <w:t>负责医院出入口的安全管理、安全秩序维护；</w:t>
            </w:r>
          </w:p>
        </w:tc>
      </w:tr>
      <w:tr w14:paraId="046C2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0" w:type="dxa"/>
            <w:vMerge w:val="continue"/>
            <w:vAlign w:val="center"/>
          </w:tcPr>
          <w:p w14:paraId="13FF2467">
            <w:pPr>
              <w:adjustRightInd w:val="0"/>
              <w:snapToGrid w:val="0"/>
              <w:spacing w:line="300" w:lineRule="auto"/>
              <w:jc w:val="left"/>
              <w:rPr>
                <w:rFonts w:ascii="Times New Roman" w:hAnsi="Times New Roman" w:eastAsia="Times New Roman" w:cs="Times New Roman"/>
                <w:sz w:val="22"/>
                <w:szCs w:val="22"/>
              </w:rPr>
            </w:pPr>
          </w:p>
        </w:tc>
        <w:tc>
          <w:tcPr>
            <w:tcW w:w="811" w:type="dxa"/>
            <w:vMerge w:val="continue"/>
            <w:vAlign w:val="center"/>
          </w:tcPr>
          <w:p w14:paraId="2B9F969D">
            <w:pPr>
              <w:adjustRightInd w:val="0"/>
              <w:snapToGrid w:val="0"/>
              <w:spacing w:line="300" w:lineRule="auto"/>
              <w:jc w:val="left"/>
              <w:rPr>
                <w:rFonts w:ascii="Times New Roman" w:hAnsi="Times New Roman" w:eastAsia="Times New Roman" w:cs="Times New Roman"/>
                <w:sz w:val="22"/>
                <w:szCs w:val="22"/>
              </w:rPr>
            </w:pPr>
          </w:p>
        </w:tc>
        <w:tc>
          <w:tcPr>
            <w:tcW w:w="1406" w:type="dxa"/>
            <w:vAlign w:val="center"/>
          </w:tcPr>
          <w:p w14:paraId="018ED14E">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日间门岗兼监控岗</w:t>
            </w:r>
          </w:p>
        </w:tc>
        <w:tc>
          <w:tcPr>
            <w:tcW w:w="975" w:type="dxa"/>
            <w:gridSpan w:val="2"/>
            <w:vAlign w:val="center"/>
          </w:tcPr>
          <w:p w14:paraId="75EC9FB3">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1</w:t>
            </w:r>
          </w:p>
        </w:tc>
        <w:tc>
          <w:tcPr>
            <w:tcW w:w="1417" w:type="dxa"/>
            <w:vAlign w:val="center"/>
          </w:tcPr>
          <w:p w14:paraId="0449A1CF">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12小时日间，每周7天</w:t>
            </w:r>
          </w:p>
        </w:tc>
        <w:tc>
          <w:tcPr>
            <w:tcW w:w="4479" w:type="dxa"/>
            <w:vAlign w:val="center"/>
          </w:tcPr>
          <w:p w14:paraId="515D1F33">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负责医院出入口的安全管理、安全秩序维护；实行日班监控室值班制度</w:t>
            </w:r>
          </w:p>
        </w:tc>
      </w:tr>
      <w:tr w14:paraId="71094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0" w:type="dxa"/>
            <w:vMerge w:val="continue"/>
            <w:vAlign w:val="center"/>
          </w:tcPr>
          <w:p w14:paraId="7A5AB479">
            <w:pPr>
              <w:adjustRightInd w:val="0"/>
              <w:snapToGrid w:val="0"/>
              <w:spacing w:line="300" w:lineRule="auto"/>
              <w:jc w:val="left"/>
              <w:rPr>
                <w:rFonts w:ascii="Times New Roman" w:hAnsi="Times New Roman" w:eastAsia="Times New Roman" w:cs="Times New Roman"/>
                <w:sz w:val="22"/>
                <w:szCs w:val="22"/>
              </w:rPr>
            </w:pPr>
          </w:p>
        </w:tc>
        <w:tc>
          <w:tcPr>
            <w:tcW w:w="811" w:type="dxa"/>
            <w:vMerge w:val="continue"/>
            <w:vAlign w:val="center"/>
          </w:tcPr>
          <w:p w14:paraId="74CEDC9C">
            <w:pPr>
              <w:adjustRightInd w:val="0"/>
              <w:snapToGrid w:val="0"/>
              <w:spacing w:line="300" w:lineRule="auto"/>
              <w:jc w:val="left"/>
              <w:rPr>
                <w:rFonts w:ascii="Times New Roman" w:hAnsi="Times New Roman" w:eastAsia="Times New Roman" w:cs="Times New Roman"/>
                <w:sz w:val="22"/>
                <w:szCs w:val="22"/>
              </w:rPr>
            </w:pPr>
          </w:p>
        </w:tc>
        <w:tc>
          <w:tcPr>
            <w:tcW w:w="1406" w:type="dxa"/>
            <w:vAlign w:val="center"/>
          </w:tcPr>
          <w:p w14:paraId="1F387EB4">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夜间门岗兼监控岗</w:t>
            </w:r>
          </w:p>
        </w:tc>
        <w:tc>
          <w:tcPr>
            <w:tcW w:w="975" w:type="dxa"/>
            <w:gridSpan w:val="2"/>
            <w:vAlign w:val="center"/>
          </w:tcPr>
          <w:p w14:paraId="1A5BF0B8">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1</w:t>
            </w:r>
          </w:p>
        </w:tc>
        <w:tc>
          <w:tcPr>
            <w:tcW w:w="1417" w:type="dxa"/>
            <w:vAlign w:val="center"/>
          </w:tcPr>
          <w:p w14:paraId="7BF59957">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12小时夜间，每周7天</w:t>
            </w:r>
          </w:p>
        </w:tc>
        <w:tc>
          <w:tcPr>
            <w:tcW w:w="4479" w:type="dxa"/>
            <w:vAlign w:val="center"/>
          </w:tcPr>
          <w:p w14:paraId="55AF3759">
            <w:pPr>
              <w:widowControl/>
              <w:jc w:val="center"/>
              <w:textAlignment w:val="center"/>
              <w:rPr>
                <w:rFonts w:ascii="Calibri" w:hAnsi="Calibri" w:eastAsia="Times New Roman" w:cs="Calibri"/>
                <w:color w:val="000000"/>
                <w:kern w:val="0"/>
                <w:szCs w:val="21"/>
                <w:lang w:bidi="ar"/>
              </w:rPr>
            </w:pPr>
            <w:r>
              <w:rPr>
                <w:rFonts w:hint="eastAsia" w:ascii="Calibri" w:hAnsi="Calibri" w:eastAsia="Times New Roman" w:cs="Calibri"/>
                <w:color w:val="000000"/>
                <w:kern w:val="0"/>
                <w:szCs w:val="21"/>
                <w:lang w:bidi="ar"/>
              </w:rPr>
              <w:t>负责医院出入口的安全管理、安全秩序维护；实行夜班监控室值班制度</w:t>
            </w:r>
          </w:p>
        </w:tc>
      </w:tr>
      <w:tr w14:paraId="56D8D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1" w:type="dxa"/>
            <w:gridSpan w:val="2"/>
            <w:vAlign w:val="center"/>
          </w:tcPr>
          <w:p w14:paraId="30EF7B54">
            <w:pPr>
              <w:adjustRightInd w:val="0"/>
              <w:snapToGrid w:val="0"/>
              <w:spacing w:line="300" w:lineRule="auto"/>
              <w:jc w:val="center"/>
              <w:rPr>
                <w:rFonts w:ascii="Times New Roman" w:hAnsi="Times New Roman" w:eastAsia="Times New Roman" w:cs="Times New Roman"/>
                <w:sz w:val="22"/>
                <w:szCs w:val="22"/>
              </w:rPr>
            </w:pPr>
            <w:r>
              <w:rPr>
                <w:rFonts w:hint="eastAsia" w:ascii="宋体" w:hAnsi="宋体" w:eastAsia="Times New Roman" w:cs="宋体"/>
                <w:color w:val="000000"/>
                <w:kern w:val="0"/>
                <w:szCs w:val="21"/>
                <w:lang w:bidi="ar"/>
              </w:rPr>
              <w:t>总计</w:t>
            </w:r>
          </w:p>
        </w:tc>
        <w:tc>
          <w:tcPr>
            <w:tcW w:w="1406" w:type="dxa"/>
            <w:vAlign w:val="center"/>
          </w:tcPr>
          <w:p w14:paraId="76F61F63">
            <w:pPr>
              <w:adjustRightInd w:val="0"/>
              <w:snapToGrid w:val="0"/>
              <w:spacing w:line="300" w:lineRule="auto"/>
              <w:jc w:val="left"/>
              <w:rPr>
                <w:rFonts w:ascii="Times New Roman" w:hAnsi="Times New Roman" w:eastAsia="Times New Roman" w:cs="Times New Roman"/>
                <w:sz w:val="22"/>
                <w:szCs w:val="22"/>
              </w:rPr>
            </w:pPr>
          </w:p>
        </w:tc>
        <w:tc>
          <w:tcPr>
            <w:tcW w:w="975" w:type="dxa"/>
            <w:gridSpan w:val="2"/>
            <w:vAlign w:val="center"/>
          </w:tcPr>
          <w:p w14:paraId="1590BFA3">
            <w:pPr>
              <w:adjustRightInd w:val="0"/>
              <w:snapToGrid w:val="0"/>
              <w:spacing w:line="300" w:lineRule="auto"/>
              <w:jc w:val="center"/>
              <w:rPr>
                <w:rFonts w:ascii="Times New Roman" w:hAnsi="Times New Roman" w:eastAsia="Times New Roman" w:cs="Times New Roman"/>
                <w:sz w:val="22"/>
                <w:szCs w:val="22"/>
              </w:rPr>
            </w:pPr>
            <w:r>
              <w:rPr>
                <w:rFonts w:hint="eastAsia" w:ascii="Times New Roman" w:hAnsi="Times New Roman" w:eastAsia="Times New Roman" w:cs="Times New Roman"/>
                <w:sz w:val="22"/>
                <w:szCs w:val="22"/>
              </w:rPr>
              <w:t>3</w:t>
            </w:r>
          </w:p>
        </w:tc>
        <w:tc>
          <w:tcPr>
            <w:tcW w:w="1417" w:type="dxa"/>
            <w:vAlign w:val="center"/>
          </w:tcPr>
          <w:p w14:paraId="619F1251">
            <w:pPr>
              <w:adjustRightInd w:val="0"/>
              <w:snapToGrid w:val="0"/>
              <w:spacing w:line="300" w:lineRule="auto"/>
              <w:jc w:val="left"/>
              <w:rPr>
                <w:rFonts w:ascii="Times New Roman" w:hAnsi="Times New Roman" w:eastAsia="Times New Roman" w:cs="Times New Roman"/>
                <w:sz w:val="22"/>
                <w:szCs w:val="22"/>
              </w:rPr>
            </w:pPr>
          </w:p>
        </w:tc>
        <w:tc>
          <w:tcPr>
            <w:tcW w:w="4479" w:type="dxa"/>
            <w:vAlign w:val="center"/>
          </w:tcPr>
          <w:p w14:paraId="729900E4">
            <w:pPr>
              <w:adjustRightInd w:val="0"/>
              <w:snapToGrid w:val="0"/>
              <w:spacing w:line="300" w:lineRule="auto"/>
              <w:jc w:val="left"/>
              <w:rPr>
                <w:rFonts w:ascii="Times New Roman" w:hAnsi="Times New Roman" w:eastAsia="Times New Roman" w:cs="Times New Roman"/>
                <w:sz w:val="22"/>
                <w:szCs w:val="22"/>
              </w:rPr>
            </w:pPr>
          </w:p>
        </w:tc>
      </w:tr>
    </w:tbl>
    <w:p w14:paraId="41BEF023">
      <w:pPr>
        <w:tabs>
          <w:tab w:val="left" w:pos="7200"/>
        </w:tabs>
        <w:adjustRightInd w:val="0"/>
        <w:snapToGrid w:val="0"/>
        <w:spacing w:line="300" w:lineRule="auto"/>
        <w:rPr>
          <w:rFonts w:ascii="Times New Roman" w:hAnsi="Times New Roman" w:eastAsia="宋体" w:cs="Times New Roman"/>
          <w:b/>
          <w:color w:val="0000FF"/>
          <w:sz w:val="22"/>
          <w:szCs w:val="22"/>
        </w:rPr>
      </w:pPr>
      <w:r>
        <w:rPr>
          <w:rFonts w:hint="eastAsia" w:ascii="Times New Roman" w:hAnsi="Times New Roman" w:eastAsia="宋体" w:cs="Times New Roman"/>
          <w:b/>
          <w:color w:val="0000FF"/>
          <w:sz w:val="22"/>
          <w:szCs w:val="22"/>
        </w:rPr>
        <w:t>说明：1、投标人的各岗位配置标准不得低于表内岗位配置数要求。</w:t>
      </w:r>
    </w:p>
    <w:p w14:paraId="6C03EFB6">
      <w:pPr>
        <w:tabs>
          <w:tab w:val="left" w:pos="7200"/>
        </w:tabs>
        <w:adjustRightInd w:val="0"/>
        <w:snapToGrid w:val="0"/>
        <w:spacing w:line="300" w:lineRule="auto"/>
        <w:ind w:firstLine="663" w:firstLineChars="300"/>
        <w:rPr>
          <w:rFonts w:ascii="Times New Roman" w:hAnsi="Times New Roman" w:eastAsia="宋体" w:cs="Times New Roman"/>
          <w:bCs/>
          <w:sz w:val="22"/>
          <w:szCs w:val="22"/>
        </w:rPr>
      </w:pPr>
      <w:r>
        <w:rPr>
          <w:rFonts w:hint="eastAsia" w:ascii="Times New Roman" w:hAnsi="Times New Roman" w:eastAsia="宋体" w:cs="Times New Roman"/>
          <w:b/>
          <w:color w:val="0000FF"/>
          <w:sz w:val="22"/>
          <w:szCs w:val="22"/>
        </w:rPr>
        <w:t>2、此次招标上海市浦东新区机场社区卫生服务中心保安服务项目以岗位清算，共计3个岗位数，工作日程根据医院具体需求（请见岗位设置一览表），投标人在本次投标报价中应充分考虑岗位/人数配比（如岗位换休、请假、就餐等其他可能离开岗位的情况，以及充分考量法定工作时长等因素）适配足够数量保安队员以满足岗位需求。</w:t>
      </w:r>
    </w:p>
    <w:p w14:paraId="477888A4">
      <w:pPr>
        <w:tabs>
          <w:tab w:val="left" w:pos="7200"/>
        </w:tabs>
        <w:adjustRightInd w:val="0"/>
        <w:snapToGrid w:val="0"/>
        <w:spacing w:line="300" w:lineRule="auto"/>
        <w:ind w:firstLine="442" w:firstLineChars="200"/>
        <w:outlineLvl w:val="3"/>
        <w:rPr>
          <w:rFonts w:ascii="Times New Roman" w:hAnsi="Times New Roman" w:eastAsia="宋体" w:cs="Times New Roman"/>
          <w:b/>
          <w:sz w:val="22"/>
          <w:szCs w:val="22"/>
        </w:rPr>
      </w:pPr>
      <w:r>
        <w:rPr>
          <w:rFonts w:hint="eastAsia" w:ascii="Times New Roman" w:hAnsi="Times New Roman" w:eastAsia="宋体" w:cs="Times New Roman"/>
          <w:b/>
          <w:sz w:val="22"/>
          <w:szCs w:val="22"/>
        </w:rPr>
        <w:t>9.2 服务内容及工作要求</w:t>
      </w:r>
    </w:p>
    <w:p w14:paraId="3C40922F">
      <w:pPr>
        <w:tabs>
          <w:tab w:val="left" w:pos="7200"/>
        </w:tabs>
        <w:adjustRightInd w:val="0"/>
        <w:snapToGrid w:val="0"/>
        <w:spacing w:line="300" w:lineRule="auto"/>
        <w:ind w:firstLine="442" w:firstLineChars="200"/>
        <w:outlineLvl w:val="4"/>
        <w:rPr>
          <w:rFonts w:ascii="Times New Roman" w:hAnsi="Times New Roman" w:eastAsia="宋体" w:cs="Times New Roman"/>
          <w:b/>
          <w:sz w:val="22"/>
          <w:szCs w:val="22"/>
        </w:rPr>
      </w:pPr>
      <w:r>
        <w:rPr>
          <w:rFonts w:hint="eastAsia" w:ascii="Times New Roman" w:hAnsi="Times New Roman" w:eastAsia="宋体" w:cs="Times New Roman"/>
          <w:b/>
          <w:sz w:val="22"/>
          <w:szCs w:val="22"/>
        </w:rPr>
        <w:t>9.2.1 总体要求</w:t>
      </w:r>
    </w:p>
    <w:p w14:paraId="27A1AED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（1）提供保安服务的单位和从业人员必须符合《保安服务管理条例》相关要求，并在规定的权限内提供服务。</w:t>
      </w:r>
    </w:p>
    <w:p w14:paraId="3C651CE2">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（2）严格遵守院方的相关规定制度及规定，严格把关，保障医院内正常的医、教、研工作秩序，制止任何影响、破坏医院秩序及环境的行为，树立良好的保安窗口服务形象，做好保安工作。</w:t>
      </w:r>
    </w:p>
    <w:p w14:paraId="370691A3">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（3）为本项目提供优质的保安服务，在行使职能过程中，如果出现纠纷或其他突发事件，应按照规定的程序进行协调和处理；如果处理不成，应及时向院方报告。</w:t>
      </w:r>
    </w:p>
    <w:p w14:paraId="180F1F20">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（4）针对本项目建立的各项规章制度应符合法律、法规的要求，在实施前要向院方报备，院方有审核权。</w:t>
      </w:r>
    </w:p>
    <w:p w14:paraId="5B4D0EE1">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（5）在处理特殊事件、紧急或突发事故时院方对所辖区内的保安服务人员有直接指挥权。</w:t>
      </w:r>
    </w:p>
    <w:p w14:paraId="3A6BD062">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（6）对所录用人员要进行审核，确保无犯罪记录。</w:t>
      </w:r>
    </w:p>
    <w:p w14:paraId="45E0846E">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（7）保安员要按岗位要求统一着装、言行规范、注意仪容仪表、公众形象。</w:t>
      </w:r>
    </w:p>
    <w:p w14:paraId="7119F9BB">
      <w:pPr>
        <w:tabs>
          <w:tab w:val="left" w:pos="7200"/>
        </w:tabs>
        <w:adjustRightInd w:val="0"/>
        <w:snapToGrid w:val="0"/>
        <w:spacing w:line="300" w:lineRule="auto"/>
        <w:ind w:firstLine="442" w:firstLineChars="200"/>
        <w:outlineLvl w:val="4"/>
        <w:rPr>
          <w:rFonts w:ascii="Times New Roman" w:hAnsi="Times New Roman" w:eastAsia="宋体" w:cs="Times New Roman"/>
          <w:b/>
          <w:sz w:val="22"/>
          <w:szCs w:val="22"/>
        </w:rPr>
      </w:pPr>
      <w:r>
        <w:rPr>
          <w:rFonts w:hint="eastAsia" w:ascii="Times New Roman" w:hAnsi="Times New Roman" w:eastAsia="宋体" w:cs="Times New Roman"/>
          <w:b/>
          <w:sz w:val="22"/>
          <w:szCs w:val="22"/>
        </w:rPr>
        <w:t>9.2.2 人员及设备</w:t>
      </w:r>
    </w:p>
    <w:p w14:paraId="1EBD16AC">
      <w:pPr>
        <w:tabs>
          <w:tab w:val="left" w:pos="7200"/>
        </w:tabs>
        <w:adjustRightInd w:val="0"/>
        <w:snapToGrid w:val="0"/>
        <w:spacing w:line="300" w:lineRule="auto"/>
        <w:ind w:firstLine="442" w:firstLineChars="200"/>
        <w:rPr>
          <w:rFonts w:ascii="Times New Roman" w:hAnsi="Times New Roman" w:eastAsia="宋体" w:cs="Times New Roman"/>
          <w:b/>
          <w:sz w:val="22"/>
          <w:szCs w:val="22"/>
        </w:rPr>
      </w:pPr>
      <w:r>
        <w:rPr>
          <w:rFonts w:hint="eastAsia" w:ascii="Times New Roman" w:hAnsi="Times New Roman" w:eastAsia="宋体" w:cs="Times New Roman"/>
          <w:b/>
          <w:sz w:val="22"/>
          <w:szCs w:val="22"/>
        </w:rPr>
        <w:t>9.2.2.1 保安人员配备要求</w:t>
      </w:r>
    </w:p>
    <w:p w14:paraId="6BAFECD7">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（1）男性，身体健康，相貌端正，仪表大方，无传染疾病，有3年及以上相关工作经验。</w:t>
      </w:r>
    </w:p>
    <w:p w14:paraId="4CD8DF30">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（2）资质要求：保安员须持证上岗、监控岗须持有消防设施操作员证。包括并不限于公安部门颁发的国家保安员证以及其他按照国家法律法规或行业标准需要具备的专业技术证书或上岗证书。</w:t>
      </w:r>
    </w:p>
    <w:p w14:paraId="1E4F42F5">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（3）政治素质要求：坚决拥护党的线路、方针、政策；尊重领导、服从安排、听从指挥；爱岗敬业、恪尽职守、遵纪守法、文明执勤，无违法犯罪记录；敢于同违法犯罪现象作斗争。</w:t>
      </w:r>
    </w:p>
    <w:p w14:paraId="5BBBC515">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（4）业务技能要求：具备相关法律法规知识及保安知识和消防知识，熟悉掌握消防、治安相应技能，熟练掌握灭火器等消防救援器材操作应用。</w:t>
      </w:r>
    </w:p>
    <w:p w14:paraId="405687D3">
      <w:pPr>
        <w:tabs>
          <w:tab w:val="left" w:pos="7200"/>
        </w:tabs>
        <w:adjustRightInd w:val="0"/>
        <w:snapToGrid w:val="0"/>
        <w:spacing w:line="300" w:lineRule="auto"/>
        <w:ind w:firstLine="442" w:firstLineChars="200"/>
        <w:rPr>
          <w:rFonts w:ascii="Times New Roman" w:hAnsi="Times New Roman" w:eastAsia="宋体" w:cs="Times New Roman"/>
          <w:b/>
          <w:bCs/>
          <w:sz w:val="22"/>
          <w:szCs w:val="22"/>
        </w:rPr>
      </w:pPr>
      <w:r>
        <w:rPr>
          <w:rFonts w:hint="eastAsia" w:ascii="Times New Roman" w:hAnsi="Times New Roman" w:eastAsia="宋体" w:cs="Times New Roman"/>
          <w:b/>
          <w:bCs/>
          <w:sz w:val="22"/>
          <w:szCs w:val="22"/>
        </w:rPr>
        <w:t>9.2.2.2 保安服务设施设备配备情况</w:t>
      </w:r>
    </w:p>
    <w:tbl>
      <w:tblPr>
        <w:tblStyle w:val="2"/>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2361"/>
        <w:gridCol w:w="1500"/>
        <w:gridCol w:w="1489"/>
        <w:gridCol w:w="2988"/>
      </w:tblGrid>
      <w:tr w14:paraId="0507E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Merge w:val="restart"/>
            <w:vAlign w:val="center"/>
          </w:tcPr>
          <w:p w14:paraId="741AD76A">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序号</w:t>
            </w:r>
          </w:p>
        </w:tc>
        <w:tc>
          <w:tcPr>
            <w:tcW w:w="2361" w:type="dxa"/>
            <w:vMerge w:val="restart"/>
            <w:vAlign w:val="center"/>
          </w:tcPr>
          <w:p w14:paraId="620E59D6">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设施设备名称</w:t>
            </w:r>
          </w:p>
        </w:tc>
        <w:tc>
          <w:tcPr>
            <w:tcW w:w="2989" w:type="dxa"/>
            <w:gridSpan w:val="2"/>
            <w:vAlign w:val="center"/>
          </w:tcPr>
          <w:p w14:paraId="0447E51C">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配备要求</w:t>
            </w:r>
          </w:p>
        </w:tc>
        <w:tc>
          <w:tcPr>
            <w:tcW w:w="2988" w:type="dxa"/>
            <w:vMerge w:val="restart"/>
            <w:vAlign w:val="center"/>
          </w:tcPr>
          <w:p w14:paraId="57D29679">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备注</w:t>
            </w:r>
          </w:p>
        </w:tc>
      </w:tr>
      <w:tr w14:paraId="28393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Merge w:val="continue"/>
            <w:vAlign w:val="center"/>
          </w:tcPr>
          <w:p w14:paraId="63917C59">
            <w:pPr>
              <w:widowControl/>
              <w:jc w:val="center"/>
              <w:textAlignment w:val="center"/>
              <w:rPr>
                <w:rFonts w:ascii="宋体" w:hAnsi="宋体" w:eastAsia="宋体" w:cs="宋体"/>
                <w:color w:val="000000"/>
                <w:kern w:val="0"/>
                <w:szCs w:val="21"/>
                <w:lang w:bidi="ar"/>
              </w:rPr>
            </w:pPr>
          </w:p>
        </w:tc>
        <w:tc>
          <w:tcPr>
            <w:tcW w:w="2361" w:type="dxa"/>
            <w:vMerge w:val="continue"/>
            <w:vAlign w:val="center"/>
          </w:tcPr>
          <w:p w14:paraId="482162BA">
            <w:pPr>
              <w:widowControl/>
              <w:jc w:val="center"/>
              <w:textAlignment w:val="center"/>
              <w:rPr>
                <w:rFonts w:ascii="宋体" w:hAnsi="宋体" w:eastAsia="宋体" w:cs="宋体"/>
                <w:color w:val="000000"/>
                <w:kern w:val="0"/>
                <w:szCs w:val="21"/>
                <w:lang w:bidi="ar"/>
              </w:rPr>
            </w:pPr>
          </w:p>
        </w:tc>
        <w:tc>
          <w:tcPr>
            <w:tcW w:w="1500" w:type="dxa"/>
            <w:vAlign w:val="center"/>
          </w:tcPr>
          <w:p w14:paraId="3552D183">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由采购人提供</w:t>
            </w:r>
          </w:p>
        </w:tc>
        <w:tc>
          <w:tcPr>
            <w:tcW w:w="1489" w:type="dxa"/>
            <w:vAlign w:val="center"/>
          </w:tcPr>
          <w:p w14:paraId="347CBBAC">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由投标人提供</w:t>
            </w:r>
          </w:p>
        </w:tc>
        <w:tc>
          <w:tcPr>
            <w:tcW w:w="2988" w:type="dxa"/>
            <w:vMerge w:val="continue"/>
            <w:vAlign w:val="center"/>
          </w:tcPr>
          <w:p w14:paraId="091E6D84">
            <w:pPr>
              <w:widowControl/>
              <w:jc w:val="center"/>
              <w:textAlignment w:val="center"/>
              <w:rPr>
                <w:rFonts w:ascii="宋体" w:hAnsi="宋体" w:eastAsia="宋体" w:cs="宋体"/>
                <w:color w:val="000000"/>
                <w:kern w:val="0"/>
                <w:szCs w:val="21"/>
                <w:lang w:bidi="ar"/>
              </w:rPr>
            </w:pPr>
          </w:p>
        </w:tc>
      </w:tr>
      <w:tr w14:paraId="4DEFE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Align w:val="center"/>
          </w:tcPr>
          <w:p w14:paraId="06ED1026">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w:t>
            </w:r>
          </w:p>
        </w:tc>
        <w:tc>
          <w:tcPr>
            <w:tcW w:w="2361" w:type="dxa"/>
            <w:vAlign w:val="center"/>
          </w:tcPr>
          <w:p w14:paraId="0EA79FBD">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保安用房</w:t>
            </w:r>
          </w:p>
        </w:tc>
        <w:tc>
          <w:tcPr>
            <w:tcW w:w="1500" w:type="dxa"/>
            <w:vAlign w:val="center"/>
          </w:tcPr>
          <w:p w14:paraId="6D64A2ED">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w:t>
            </w:r>
          </w:p>
        </w:tc>
        <w:tc>
          <w:tcPr>
            <w:tcW w:w="1489" w:type="dxa"/>
            <w:vAlign w:val="center"/>
          </w:tcPr>
          <w:p w14:paraId="03EE4444">
            <w:pPr>
              <w:widowControl/>
              <w:jc w:val="center"/>
              <w:textAlignment w:val="center"/>
              <w:rPr>
                <w:rFonts w:ascii="宋体" w:hAnsi="宋体" w:eastAsia="宋体" w:cs="宋体"/>
                <w:color w:val="000000"/>
                <w:kern w:val="0"/>
                <w:szCs w:val="21"/>
                <w:lang w:bidi="ar"/>
              </w:rPr>
            </w:pPr>
          </w:p>
        </w:tc>
        <w:tc>
          <w:tcPr>
            <w:tcW w:w="2988" w:type="dxa"/>
            <w:vAlign w:val="center"/>
          </w:tcPr>
          <w:p w14:paraId="482B357C">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门卫室</w:t>
            </w:r>
          </w:p>
        </w:tc>
      </w:tr>
      <w:tr w14:paraId="2F40B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Align w:val="center"/>
          </w:tcPr>
          <w:p w14:paraId="078A7629">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2</w:t>
            </w:r>
          </w:p>
        </w:tc>
        <w:tc>
          <w:tcPr>
            <w:tcW w:w="2361" w:type="dxa"/>
            <w:vAlign w:val="center"/>
          </w:tcPr>
          <w:p w14:paraId="49D040F1">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办公设施设备</w:t>
            </w:r>
          </w:p>
        </w:tc>
        <w:tc>
          <w:tcPr>
            <w:tcW w:w="1500" w:type="dxa"/>
            <w:vAlign w:val="center"/>
          </w:tcPr>
          <w:p w14:paraId="334C09F0">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w:t>
            </w:r>
          </w:p>
        </w:tc>
        <w:tc>
          <w:tcPr>
            <w:tcW w:w="1489" w:type="dxa"/>
            <w:vAlign w:val="center"/>
          </w:tcPr>
          <w:p w14:paraId="2FB9FF8E">
            <w:pPr>
              <w:widowControl/>
              <w:jc w:val="center"/>
              <w:textAlignment w:val="center"/>
              <w:rPr>
                <w:rFonts w:ascii="宋体" w:hAnsi="宋体" w:eastAsia="宋体" w:cs="宋体"/>
                <w:color w:val="000000"/>
                <w:kern w:val="0"/>
                <w:szCs w:val="21"/>
                <w:lang w:bidi="ar"/>
              </w:rPr>
            </w:pPr>
          </w:p>
        </w:tc>
        <w:tc>
          <w:tcPr>
            <w:tcW w:w="2988" w:type="dxa"/>
            <w:vAlign w:val="center"/>
          </w:tcPr>
          <w:p w14:paraId="1AC92FE2">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如办公桌椅等</w:t>
            </w:r>
          </w:p>
        </w:tc>
      </w:tr>
      <w:tr w14:paraId="7A10B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Align w:val="center"/>
          </w:tcPr>
          <w:p w14:paraId="5F4DBD4F">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w:t>
            </w:r>
          </w:p>
        </w:tc>
        <w:tc>
          <w:tcPr>
            <w:tcW w:w="2361" w:type="dxa"/>
            <w:vAlign w:val="center"/>
          </w:tcPr>
          <w:p w14:paraId="0C792DD1">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安防设备</w:t>
            </w:r>
          </w:p>
        </w:tc>
        <w:tc>
          <w:tcPr>
            <w:tcW w:w="1500" w:type="dxa"/>
            <w:vAlign w:val="center"/>
          </w:tcPr>
          <w:p w14:paraId="3656C49A">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w:t>
            </w:r>
          </w:p>
        </w:tc>
        <w:tc>
          <w:tcPr>
            <w:tcW w:w="1489" w:type="dxa"/>
            <w:vAlign w:val="center"/>
          </w:tcPr>
          <w:p w14:paraId="76B820AD">
            <w:pPr>
              <w:widowControl/>
              <w:jc w:val="center"/>
              <w:textAlignment w:val="center"/>
              <w:rPr>
                <w:rFonts w:ascii="宋体" w:hAnsi="宋体" w:eastAsia="宋体" w:cs="宋体"/>
                <w:color w:val="000000"/>
                <w:kern w:val="0"/>
                <w:szCs w:val="21"/>
                <w:lang w:bidi="ar"/>
              </w:rPr>
            </w:pPr>
          </w:p>
        </w:tc>
        <w:tc>
          <w:tcPr>
            <w:tcW w:w="2988" w:type="dxa"/>
            <w:vAlign w:val="center"/>
          </w:tcPr>
          <w:p w14:paraId="1457F5FC">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如消控设备、监控设备等</w:t>
            </w:r>
          </w:p>
        </w:tc>
      </w:tr>
      <w:tr w14:paraId="3927E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Align w:val="center"/>
          </w:tcPr>
          <w:p w14:paraId="5CB44DC1">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4</w:t>
            </w:r>
          </w:p>
        </w:tc>
        <w:tc>
          <w:tcPr>
            <w:tcW w:w="2361" w:type="dxa"/>
            <w:vAlign w:val="center"/>
          </w:tcPr>
          <w:p w14:paraId="248FDE79">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安保设施</w:t>
            </w:r>
          </w:p>
        </w:tc>
        <w:tc>
          <w:tcPr>
            <w:tcW w:w="1500" w:type="dxa"/>
            <w:vAlign w:val="center"/>
          </w:tcPr>
          <w:p w14:paraId="17B09F3F">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w:t>
            </w:r>
          </w:p>
        </w:tc>
        <w:tc>
          <w:tcPr>
            <w:tcW w:w="1489" w:type="dxa"/>
            <w:vAlign w:val="center"/>
          </w:tcPr>
          <w:p w14:paraId="03EED22F">
            <w:pPr>
              <w:widowControl/>
              <w:jc w:val="center"/>
              <w:textAlignment w:val="center"/>
              <w:rPr>
                <w:rFonts w:ascii="宋体" w:hAnsi="宋体" w:eastAsia="宋体" w:cs="宋体"/>
                <w:color w:val="000000"/>
                <w:kern w:val="0"/>
                <w:szCs w:val="21"/>
                <w:lang w:bidi="ar"/>
              </w:rPr>
            </w:pPr>
          </w:p>
        </w:tc>
        <w:tc>
          <w:tcPr>
            <w:tcW w:w="2988" w:type="dxa"/>
            <w:vAlign w:val="center"/>
          </w:tcPr>
          <w:p w14:paraId="719C661B">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如隔离带、警戒线、警示锥等</w:t>
            </w:r>
          </w:p>
        </w:tc>
      </w:tr>
      <w:tr w14:paraId="24DDC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2" w:type="dxa"/>
            <w:vAlign w:val="center"/>
          </w:tcPr>
          <w:p w14:paraId="45851269">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5</w:t>
            </w:r>
          </w:p>
        </w:tc>
        <w:tc>
          <w:tcPr>
            <w:tcW w:w="2361" w:type="dxa"/>
            <w:vAlign w:val="center"/>
          </w:tcPr>
          <w:p w14:paraId="4A35D48E">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保安员工作装备及用品</w:t>
            </w:r>
          </w:p>
        </w:tc>
        <w:tc>
          <w:tcPr>
            <w:tcW w:w="1500" w:type="dxa"/>
            <w:vAlign w:val="center"/>
          </w:tcPr>
          <w:p w14:paraId="2AC86892">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w:t>
            </w:r>
          </w:p>
        </w:tc>
        <w:tc>
          <w:tcPr>
            <w:tcW w:w="1489" w:type="dxa"/>
            <w:vAlign w:val="center"/>
          </w:tcPr>
          <w:p w14:paraId="28D7ED4A">
            <w:pPr>
              <w:widowControl/>
              <w:jc w:val="center"/>
              <w:textAlignment w:val="center"/>
              <w:rPr>
                <w:rFonts w:ascii="宋体" w:hAnsi="宋体" w:eastAsia="宋体" w:cs="宋体"/>
                <w:color w:val="000000"/>
                <w:kern w:val="0"/>
                <w:szCs w:val="21"/>
                <w:lang w:bidi="ar"/>
              </w:rPr>
            </w:pPr>
          </w:p>
        </w:tc>
        <w:tc>
          <w:tcPr>
            <w:tcW w:w="2988" w:type="dxa"/>
            <w:vAlign w:val="center"/>
          </w:tcPr>
          <w:p w14:paraId="1C96D416">
            <w:pPr>
              <w:widowControl/>
              <w:jc w:val="center"/>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如防暴靴、防暴叉等</w:t>
            </w:r>
          </w:p>
        </w:tc>
      </w:tr>
    </w:tbl>
    <w:p w14:paraId="286D6747">
      <w:pPr>
        <w:tabs>
          <w:tab w:val="left" w:pos="7200"/>
        </w:tabs>
        <w:adjustRightInd w:val="0"/>
        <w:snapToGrid w:val="0"/>
        <w:spacing w:line="300" w:lineRule="auto"/>
        <w:ind w:firstLine="442" w:firstLineChars="200"/>
        <w:outlineLvl w:val="4"/>
        <w:rPr>
          <w:rFonts w:ascii="Times New Roman" w:hAnsi="Times New Roman" w:eastAsia="宋体" w:cs="Times New Roman"/>
          <w:b/>
          <w:sz w:val="22"/>
          <w:szCs w:val="22"/>
        </w:rPr>
      </w:pPr>
      <w:r>
        <w:rPr>
          <w:rFonts w:hint="eastAsia" w:ascii="Times New Roman" w:hAnsi="Times New Roman" w:eastAsia="宋体" w:cs="Times New Roman"/>
          <w:b/>
          <w:sz w:val="22"/>
          <w:szCs w:val="22"/>
        </w:rPr>
        <w:t>9.2.3 具体服务要求</w:t>
      </w:r>
    </w:p>
    <w:p w14:paraId="7DE6119E">
      <w:pPr>
        <w:tabs>
          <w:tab w:val="left" w:pos="7200"/>
        </w:tabs>
        <w:adjustRightInd w:val="0"/>
        <w:snapToGrid w:val="0"/>
        <w:spacing w:line="300" w:lineRule="auto"/>
        <w:ind w:firstLine="442" w:firstLineChars="200"/>
        <w:rPr>
          <w:rFonts w:ascii="Times New Roman" w:hAnsi="Times New Roman" w:eastAsia="宋体" w:cs="Times New Roman"/>
          <w:bCs/>
          <w:sz w:val="22"/>
          <w:szCs w:val="22"/>
        </w:rPr>
      </w:pPr>
      <w:r>
        <w:rPr>
          <w:rFonts w:hint="eastAsia" w:ascii="Times New Roman" w:hAnsi="Times New Roman" w:eastAsia="宋体" w:cs="Times New Roman"/>
          <w:b/>
          <w:sz w:val="22"/>
          <w:szCs w:val="22"/>
        </w:rPr>
        <w:t>9.2.3.1 门卫管理</w:t>
      </w:r>
    </w:p>
    <w:p w14:paraId="684C5CE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（1）服务范围：负责医院出入口的安全管理，包含但不限于管理人员、车辆、物品的出入；主动问询并接待来访人员；严格控制大件物品进出门；严禁推销、拾荒、发小广告等闲杂人员进入。</w:t>
      </w:r>
    </w:p>
    <w:p w14:paraId="3DFDE940">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（2）总体要求：投标人须按照采购人相关规定，设置24小时值班岗。</w:t>
      </w:r>
    </w:p>
    <w:p w14:paraId="52EC827C">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（3）人员要求：具备相应岗位的上岗证书，有3年以上保安工作经验。</w:t>
      </w:r>
    </w:p>
    <w:p w14:paraId="38B0472A">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（4）工作职责：负责区域内的安全秩序维护。</w:t>
      </w:r>
    </w:p>
    <w:p w14:paraId="4E282F65">
      <w:pPr>
        <w:tabs>
          <w:tab w:val="left" w:pos="7200"/>
        </w:tabs>
        <w:adjustRightInd w:val="0"/>
        <w:snapToGrid w:val="0"/>
        <w:spacing w:line="300" w:lineRule="auto"/>
        <w:ind w:firstLine="442" w:firstLineChars="200"/>
        <w:rPr>
          <w:rFonts w:ascii="Times New Roman" w:hAnsi="Times New Roman" w:eastAsia="宋体" w:cs="Times New Roman"/>
          <w:b/>
          <w:sz w:val="22"/>
          <w:szCs w:val="22"/>
        </w:rPr>
      </w:pPr>
      <w:r>
        <w:rPr>
          <w:rFonts w:hint="eastAsia" w:ascii="Times New Roman" w:hAnsi="Times New Roman" w:eastAsia="宋体" w:cs="Times New Roman"/>
          <w:b/>
          <w:sz w:val="22"/>
          <w:szCs w:val="22"/>
        </w:rPr>
        <w:t>9.2.3.2 治安管理</w:t>
      </w:r>
    </w:p>
    <w:p w14:paraId="650CF590">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服务范围：负责医院门急诊等区域安全管理，维护采购人的正常医疗工作秩序，做好“四防”管理。根据采购人要求对人员、车辆、物品的出入进行严格管理，严禁推销或拾荒等闲杂人员进入；管辖范围内出现可疑人员，礼貌查问；严格执行采购人有关对物品出入管理规章制度，凡出门的大件物品（私人生活用品除外）一律凭物品出门证出门，执勤队员必须根据出门证注明物品种类进行核查，相符后放行并收缴物品出门证归档备案；遇有聚众闹事、寻衅滋事、偷盗、抢劫、行凶、纵火等违法犯罪活动时应立即启动应急预案，并向公安机关和采购人报告，协助迅速平息事件，把损失降到最低限度；协助采购人和公安部门对各类突发事件进行预防与处理。</w:t>
      </w:r>
    </w:p>
    <w:p w14:paraId="7015869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（2）总体要求：投标人须按照采购人相关规定，设置巡查岗位，落实工作要求。</w:t>
      </w:r>
    </w:p>
    <w:p w14:paraId="33883FED">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（3）人员要求：具备相应岗位的上岗证书，宜有3年以上保安工作经验。</w:t>
      </w:r>
    </w:p>
    <w:p w14:paraId="26400F6C">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（4）工作职责：</w:t>
      </w:r>
    </w:p>
    <w:p w14:paraId="3724260F">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①负责区域内的秩序维护；</w:t>
      </w:r>
    </w:p>
    <w:p w14:paraId="7447981A">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②如遇突发情况及时汇报主管协同处理，并做好记录；</w:t>
      </w:r>
    </w:p>
    <w:p w14:paraId="1B54242C">
      <w:pPr>
        <w:tabs>
          <w:tab w:val="left" w:pos="7200"/>
        </w:tabs>
        <w:adjustRightInd w:val="0"/>
        <w:snapToGrid w:val="0"/>
        <w:spacing w:line="300" w:lineRule="auto"/>
        <w:ind w:firstLine="442" w:firstLineChars="200"/>
        <w:rPr>
          <w:rFonts w:ascii="Times New Roman" w:hAnsi="Times New Roman" w:eastAsia="宋体" w:cs="Times New Roman"/>
          <w:b/>
          <w:sz w:val="22"/>
          <w:szCs w:val="22"/>
        </w:rPr>
      </w:pPr>
      <w:r>
        <w:rPr>
          <w:rFonts w:hint="eastAsia" w:ascii="Times New Roman" w:hAnsi="Times New Roman" w:eastAsia="宋体" w:cs="Times New Roman"/>
          <w:b/>
          <w:sz w:val="22"/>
          <w:szCs w:val="22"/>
        </w:rPr>
        <w:t>9.2.3.3 车辆管理</w:t>
      </w:r>
    </w:p>
    <w:p w14:paraId="5276592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服务范围：对进出医院的车辆进行停放管理，做好停车场车辆管理工作，提供安全有序、文明礼貌、专业的车辆停放管理服务；车辆进入管理区域后，应引导车辆停放。出现有固定车位而任意停放、不按规定任意停放、占用消防通道停车等情况时，应及时劝阻；车辆进入停车位停放时，应验证车况，查看车辆是否有损坏，车窗是否已关闭，是否有贵重物品遗留车内等，必要时立刻与车主沟通并做好记录，避免出现法律纠纷；定期巡视，确保停车场、停车库的设施设备保持安全完好、整洁。</w:t>
      </w:r>
    </w:p>
    <w:p w14:paraId="4820AECD">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（2）总体要求：投标人须按照采购人相关规定，设置岗位，落实工作要求。</w:t>
      </w:r>
    </w:p>
    <w:p w14:paraId="7874304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（3）人员要求：具备相应岗位的上岗证书，宜有3年以上保安工作经验。</w:t>
      </w:r>
    </w:p>
    <w:p w14:paraId="2B095289">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（4）工作职责：</w:t>
      </w:r>
    </w:p>
    <w:p w14:paraId="09CF302A">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①负责对采购人进出医院车辆的停放指引，做好停车区域车辆管理工作，提供安全有序、文明礼貌、专业的车辆停放管理服务。出现有固定车位而任意停放、不按规定任意停放、占用消防通道停车等情况时，应及时劝阻；</w:t>
      </w:r>
    </w:p>
    <w:p w14:paraId="7FDDD75D">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②阻止“黑救护车”等进入医院；</w:t>
      </w:r>
    </w:p>
    <w:p w14:paraId="7AA5C1FE">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③定期巡视，确保停车区域的设施设备保持安全完好、整洁。</w:t>
      </w:r>
    </w:p>
    <w:p w14:paraId="0C343767">
      <w:pPr>
        <w:tabs>
          <w:tab w:val="left" w:pos="7200"/>
        </w:tabs>
        <w:adjustRightInd w:val="0"/>
        <w:snapToGrid w:val="0"/>
        <w:spacing w:line="300" w:lineRule="auto"/>
        <w:ind w:firstLine="442" w:firstLineChars="200"/>
        <w:rPr>
          <w:rFonts w:ascii="Times New Roman" w:hAnsi="Times New Roman" w:eastAsia="宋体" w:cs="Times New Roman"/>
          <w:b/>
          <w:sz w:val="22"/>
          <w:szCs w:val="22"/>
        </w:rPr>
      </w:pPr>
      <w:r>
        <w:rPr>
          <w:rFonts w:hint="eastAsia" w:ascii="Times New Roman" w:hAnsi="Times New Roman" w:eastAsia="宋体" w:cs="Times New Roman"/>
          <w:b/>
          <w:sz w:val="22"/>
          <w:szCs w:val="22"/>
        </w:rPr>
        <w:t>9.2.3.4 消防、监控管理</w:t>
      </w:r>
    </w:p>
    <w:p w14:paraId="06FB0EC2">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服务范围：建立健全消防责任制，对全体员工定期进行消防培训，使之掌握基本消防技能；消防监控室实行24小时值班制度，记录齐全；消防设备设施定期巡视，巡视记录规范完整，发现问题及时报告采购人并向专业单位报修；制定火警事故及其他应急情况处理预案，保证应急疏散通道畅通无阻；杜绝火灾隐患和无火灾事故；积极配和采购人完成消防设施设备的验收事项；遇有火情或自然灾害时，执勤人员应判断事态阶段，启动应急预案（果断处置、组织疏散人员），并同时拨打119、110等相关部门组织抢救。</w:t>
      </w:r>
    </w:p>
    <w:p w14:paraId="5F2A2FAF">
      <w:pPr>
        <w:tabs>
          <w:tab w:val="left" w:pos="7200"/>
        </w:tabs>
        <w:adjustRightInd w:val="0"/>
        <w:snapToGrid w:val="0"/>
        <w:spacing w:line="300" w:lineRule="auto"/>
        <w:ind w:firstLine="440" w:firstLineChars="200"/>
        <w:rPr>
          <w:rFonts w:ascii="Times New Roman" w:hAnsi="Times New Roman" w:eastAsia="宋体" w:cs="Times New Roman"/>
          <w:bCs/>
          <w:sz w:val="22"/>
          <w:szCs w:val="22"/>
          <w:highlight w:val="yellow"/>
        </w:rPr>
      </w:pPr>
      <w:r>
        <w:rPr>
          <w:rFonts w:hint="eastAsia" w:ascii="Times New Roman" w:hAnsi="Times New Roman" w:eastAsia="宋体" w:cs="Times New Roman"/>
          <w:bCs/>
          <w:sz w:val="22"/>
          <w:szCs w:val="22"/>
        </w:rPr>
        <w:t>（2）总体要求：投标人须按照采购人相关规定设置岗位，到岗人员须具备消防设施操作员证。</w:t>
      </w:r>
    </w:p>
    <w:p w14:paraId="3829D54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（3）人员要求：具备相应岗位的上岗证书，宜有3年以上保安工作经验，有医院类似工作经验。</w:t>
      </w:r>
    </w:p>
    <w:p w14:paraId="157901B6">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（4）工作职责：①按照采购人工作需求合理排班，建立完善值班值守工作要求，随时响应配合采购人的工作要求，及时赶赴现场处置突发事件，维护好医疗秩序；</w:t>
      </w:r>
    </w:p>
    <w:p w14:paraId="07F299ED">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②突发事件管理：遇有聚众闹事、寻衅滋事、偷盗、抢劫、行凶、纵火等违法犯罪活动时应立即启动应急预案，并向公安机关和采购人报告，协助迅速平息事件，把损失降到最低限度；发生医疗纠纷时，全力保护医务人员的人身安全。</w:t>
      </w:r>
    </w:p>
    <w:p w14:paraId="1832E784">
      <w:pPr>
        <w:tabs>
          <w:tab w:val="left" w:pos="7200"/>
        </w:tabs>
        <w:adjustRightInd w:val="0"/>
        <w:snapToGrid w:val="0"/>
        <w:spacing w:line="300" w:lineRule="auto"/>
        <w:ind w:firstLine="442" w:firstLineChars="200"/>
        <w:outlineLvl w:val="4"/>
        <w:rPr>
          <w:rFonts w:ascii="Times New Roman" w:hAnsi="Times New Roman" w:eastAsia="宋体" w:cs="Times New Roman"/>
          <w:bCs/>
          <w:sz w:val="22"/>
          <w:szCs w:val="22"/>
        </w:rPr>
      </w:pPr>
      <w:r>
        <w:rPr>
          <w:rFonts w:hint="eastAsia" w:ascii="Times New Roman" w:hAnsi="Times New Roman" w:eastAsia="宋体" w:cs="Times New Roman"/>
          <w:b/>
          <w:sz w:val="22"/>
          <w:szCs w:val="22"/>
        </w:rPr>
        <w:t>9.2.4 夜间管理具体要求：</w:t>
      </w:r>
    </w:p>
    <w:p w14:paraId="1184A84C">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严格执行安全防范巡视检查的有关规定，定时对整个管理区域进行巡逻检查，如发现可疑情况，在处置的同时及时报告。按规定时间填写巡视记录（如消防通道、消防设施、消防器材、重要部位等）；随时坚守大门并与监控中心结合，发现情况及时赶赴现场处置应急事故，维护好采购人的办公秩序。执勤队员必须树立高度的责任心，在巡查过程中，要注意观察，决不放过任何可疑人员和可疑之处，发现异常情况应及时报告同时记录在案。</w:t>
      </w:r>
    </w:p>
    <w:p w14:paraId="61DD02AD">
      <w:pPr>
        <w:tabs>
          <w:tab w:val="left" w:pos="7200"/>
        </w:tabs>
        <w:adjustRightInd w:val="0"/>
        <w:snapToGrid w:val="0"/>
        <w:spacing w:line="300" w:lineRule="auto"/>
        <w:ind w:firstLine="442" w:firstLineChars="200"/>
        <w:outlineLvl w:val="2"/>
        <w:rPr>
          <w:rFonts w:ascii="Times New Roman" w:hAnsi="Times New Roman" w:eastAsia="宋体" w:cs="Times New Roman"/>
          <w:b/>
          <w:sz w:val="22"/>
          <w:szCs w:val="22"/>
        </w:rPr>
      </w:pPr>
      <w:bookmarkStart w:id="31" w:name="_Toc20045"/>
      <w:r>
        <w:rPr>
          <w:rFonts w:hint="eastAsia" w:ascii="Times New Roman" w:hAnsi="Times New Roman" w:eastAsia="宋体" w:cs="Times New Roman"/>
          <w:b/>
          <w:sz w:val="22"/>
          <w:szCs w:val="22"/>
        </w:rPr>
        <w:t>10 安全文明作业要求和应急处置要求</w:t>
      </w:r>
      <w:bookmarkEnd w:id="31"/>
    </w:p>
    <w:p w14:paraId="24495BC0">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14:paraId="6FD10FBC">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（2）中标人在项目实施期间，必须遵守国家与上海市各项有关安全作业规章、规范与制度，建立动用明火申请批准制度，安全用电等制度，确保杜绝各类事故的发生。</w:t>
      </w:r>
    </w:p>
    <w:p w14:paraId="0680D391">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（3）中标人在提供物业服务时，如岗位涉及维护修理等工作，其负责人应具有专业证书，服务人员必须持证上岗。中标人对其提供服务的人员的人身安全负责，对采购方、第三方的人身安全和财产安全负责。</w:t>
      </w:r>
    </w:p>
    <w:p w14:paraId="569840E4">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（4）中标人在提供物业服务时必须保护好服务区域内的环境和原有建筑、装饰与设施，保证环境和原有建筑、装饰与设施完好。</w:t>
      </w:r>
    </w:p>
    <w:p w14:paraId="19736AB9">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（5）各投标人在投标文件中要结合本项目的特点和采购人上述的具体要求制定相应的安全文明施工措施。</w:t>
      </w:r>
    </w:p>
    <w:p w14:paraId="3177BB1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（6）建立突发事件应急处置方案，定期开展防灾防火应急疏散演练，并做好相应记录。</w:t>
      </w:r>
    </w:p>
    <w:p w14:paraId="5B1C41AF">
      <w:pPr>
        <w:tabs>
          <w:tab w:val="left" w:pos="7200"/>
        </w:tabs>
        <w:adjustRightInd w:val="0"/>
        <w:snapToGrid w:val="0"/>
        <w:spacing w:line="300" w:lineRule="auto"/>
        <w:ind w:firstLine="442" w:firstLineChars="200"/>
        <w:outlineLvl w:val="2"/>
        <w:rPr>
          <w:rFonts w:ascii="Times New Roman" w:hAnsi="Times New Roman" w:eastAsia="宋体" w:cs="Times New Roman"/>
          <w:bCs/>
          <w:sz w:val="22"/>
          <w:szCs w:val="22"/>
        </w:rPr>
      </w:pPr>
      <w:bookmarkStart w:id="32" w:name="_Toc29818"/>
      <w:r>
        <w:rPr>
          <w:rFonts w:hint="eastAsia" w:ascii="Times New Roman" w:hAnsi="Times New Roman" w:eastAsia="宋体" w:cs="Times New Roman"/>
          <w:b/>
          <w:sz w:val="22"/>
          <w:szCs w:val="22"/>
        </w:rPr>
        <w:t>11 考核管理办法和要求</w:t>
      </w:r>
      <w:bookmarkEnd w:id="32"/>
    </w:p>
    <w:p w14:paraId="73C4369E">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11.1 考核形式：采购人相关部门每季度对中标人执勤人员的出勤在位情况、仪态仪表、组织及岗位纪律等，进行巡视检查，如发现问题，记录发生事件，进行奖、扣分。考核采用百分制扣分方法，采购人相关部门根据实际需要有权在服务期限内对中标人的工作进行测评和考核，测评和考核内容及标准（详见附表），测评和考核成绩作为支付合同价款的依据。</w:t>
      </w:r>
    </w:p>
    <w:p w14:paraId="02D04968">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11.2 考核标准：依据考核结果，按得分高低分为好、较好、及格、差四个等级。</w:t>
      </w:r>
    </w:p>
    <w:tbl>
      <w:tblPr>
        <w:tblStyle w:val="2"/>
        <w:tblW w:w="9954" w:type="dxa"/>
        <w:jc w:val="center"/>
        <w:tblLayout w:type="fixed"/>
        <w:tblCellMar>
          <w:top w:w="0" w:type="dxa"/>
          <w:left w:w="108" w:type="dxa"/>
          <w:bottom w:w="0" w:type="dxa"/>
          <w:right w:w="108" w:type="dxa"/>
        </w:tblCellMar>
      </w:tblPr>
      <w:tblGrid>
        <w:gridCol w:w="1193"/>
        <w:gridCol w:w="1477"/>
        <w:gridCol w:w="6577"/>
        <w:gridCol w:w="707"/>
      </w:tblGrid>
      <w:tr w14:paraId="2FAAC568">
        <w:tblPrEx>
          <w:tblCellMar>
            <w:top w:w="0" w:type="dxa"/>
            <w:left w:w="108" w:type="dxa"/>
            <w:bottom w:w="0" w:type="dxa"/>
            <w:right w:w="108" w:type="dxa"/>
          </w:tblCellMar>
        </w:tblPrEx>
        <w:trPr>
          <w:trHeight w:val="23" w:hRule="atLeast"/>
          <w:jc w:val="center"/>
        </w:trPr>
        <w:tc>
          <w:tcPr>
            <w:tcW w:w="11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212C3">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考核单位</w:t>
            </w: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F704E">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考核分</w:t>
            </w:r>
          </w:p>
        </w:tc>
        <w:tc>
          <w:tcPr>
            <w:tcW w:w="65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FB056">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评分依据</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11A55">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等级</w:t>
            </w:r>
          </w:p>
        </w:tc>
      </w:tr>
      <w:tr w14:paraId="3B8EABD3">
        <w:tblPrEx>
          <w:tblCellMar>
            <w:top w:w="0" w:type="dxa"/>
            <w:left w:w="108" w:type="dxa"/>
            <w:bottom w:w="0" w:type="dxa"/>
            <w:right w:w="108" w:type="dxa"/>
          </w:tblCellMar>
        </w:tblPrEx>
        <w:trPr>
          <w:trHeight w:val="23" w:hRule="atLeast"/>
          <w:jc w:val="center"/>
        </w:trPr>
        <w:tc>
          <w:tcPr>
            <w:tcW w:w="11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C761B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采购人</w:t>
            </w: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D819D">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90</w:t>
            </w:r>
            <w:r>
              <w:rPr>
                <w:rFonts w:hint="default" w:ascii="宋体" w:hAnsi="宋体" w:eastAsia="宋体" w:cs="宋体"/>
                <w:color w:val="000000"/>
                <w:sz w:val="22"/>
                <w:szCs w:val="22"/>
                <w:u w:val="none"/>
                <w:lang w:bidi="ar"/>
              </w:rPr>
              <w:t>分以上</w:t>
            </w:r>
          </w:p>
        </w:tc>
        <w:tc>
          <w:tcPr>
            <w:tcW w:w="6577" w:type="dxa"/>
            <w:tcBorders>
              <w:top w:val="single" w:color="000000" w:sz="4" w:space="0"/>
              <w:left w:val="single" w:color="000000" w:sz="4" w:space="0"/>
              <w:bottom w:val="single" w:color="000000" w:sz="4" w:space="0"/>
              <w:right w:val="single" w:color="000000" w:sz="4" w:space="0"/>
            </w:tcBorders>
            <w:shd w:val="clear" w:color="auto" w:fill="auto"/>
          </w:tcPr>
          <w:p w14:paraId="1F358AEB">
            <w:pPr>
              <w:widowControl/>
              <w:jc w:val="left"/>
              <w:textAlignment w:val="center"/>
              <w:rPr>
                <w:rFonts w:ascii="Times New Roman" w:hAnsi="Times New Roman" w:eastAsia="宋体" w:cs="Times New Roman"/>
                <w:color w:val="000000"/>
                <w:sz w:val="22"/>
                <w:szCs w:val="22"/>
              </w:rPr>
            </w:pPr>
            <w:r>
              <w:rPr>
                <w:rFonts w:ascii="宋体" w:hAnsi="宋体" w:eastAsia="宋体" w:cs="宋体"/>
                <w:color w:val="000000"/>
                <w:kern w:val="0"/>
                <w:sz w:val="22"/>
                <w:szCs w:val="22"/>
                <w:lang w:bidi="ar"/>
              </w:rPr>
              <w:t>1</w:t>
            </w:r>
            <w:r>
              <w:rPr>
                <w:rFonts w:hint="eastAsia" w:ascii="宋体" w:hAnsi="宋体" w:eastAsia="宋体" w:cs="宋体"/>
                <w:color w:val="000000"/>
                <w:kern w:val="0"/>
                <w:sz w:val="22"/>
                <w:szCs w:val="22"/>
                <w:lang w:bidi="ar"/>
              </w:rPr>
              <w:t>.</w:t>
            </w:r>
            <w:r>
              <w:rPr>
                <w:rFonts w:ascii="Calibri" w:hAnsi="Calibri" w:eastAsia="宋体" w:cs="Times New Roman"/>
                <w:color w:val="000000"/>
                <w:kern w:val="0"/>
                <w:sz w:val="22"/>
                <w:szCs w:val="22"/>
              </w:rPr>
              <w:t>全年安保无安全事故</w:t>
            </w:r>
            <w:r>
              <w:rPr>
                <w:rFonts w:ascii="Calibri" w:hAnsi="Calibri" w:eastAsia="宋体" w:cs="Times New Roman"/>
                <w:kern w:val="0"/>
                <w:sz w:val="22"/>
                <w:szCs w:val="22"/>
              </w:rPr>
              <w:t>；</w:t>
            </w:r>
            <w:r>
              <w:rPr>
                <w:rFonts w:hint="eastAsia" w:ascii="宋体" w:hAnsi="宋体" w:eastAsia="宋体" w:cs="宋体"/>
                <w:kern w:val="0"/>
                <w:sz w:val="22"/>
                <w:szCs w:val="22"/>
              </w:rPr>
              <w:t>2.</w:t>
            </w:r>
            <w:r>
              <w:rPr>
                <w:rFonts w:ascii="Calibri" w:hAnsi="Calibri" w:eastAsia="宋体" w:cs="Times New Roman"/>
                <w:kern w:val="0"/>
                <w:sz w:val="22"/>
                <w:szCs w:val="22"/>
              </w:rPr>
              <w:t>设施设备常年保持良好运行，无责任事故；</w:t>
            </w:r>
            <w:r>
              <w:rPr>
                <w:rFonts w:hint="eastAsia" w:ascii="宋体" w:hAnsi="宋体" w:eastAsia="宋体" w:cs="宋体"/>
                <w:kern w:val="0"/>
                <w:sz w:val="22"/>
                <w:szCs w:val="22"/>
              </w:rPr>
              <w:t>3.</w:t>
            </w:r>
            <w:r>
              <w:rPr>
                <w:rFonts w:ascii="Calibri" w:hAnsi="Calibri" w:eastAsia="宋体" w:cs="Times New Roman"/>
                <w:kern w:val="0"/>
                <w:sz w:val="22"/>
                <w:szCs w:val="22"/>
              </w:rPr>
              <w:t>服务达到管理服务承诺及质量保证措施；</w:t>
            </w:r>
            <w:r>
              <w:rPr>
                <w:rFonts w:hint="eastAsia" w:ascii="宋体" w:hAnsi="宋体" w:eastAsia="宋体" w:cs="宋体"/>
                <w:kern w:val="0"/>
                <w:sz w:val="22"/>
                <w:szCs w:val="22"/>
              </w:rPr>
              <w:t>4.</w:t>
            </w:r>
            <w:r>
              <w:rPr>
                <w:rFonts w:ascii="Calibri" w:hAnsi="Calibri" w:eastAsia="宋体" w:cs="Times New Roman"/>
                <w:kern w:val="0"/>
                <w:sz w:val="22"/>
                <w:szCs w:val="22"/>
              </w:rPr>
              <w:t>客户满意度达到</w:t>
            </w:r>
            <w:r>
              <w:rPr>
                <w:rFonts w:ascii="宋体" w:hAnsi="宋体" w:eastAsia="宋体" w:cs="宋体"/>
                <w:kern w:val="0"/>
                <w:sz w:val="22"/>
                <w:szCs w:val="22"/>
              </w:rPr>
              <w:t>≥90%</w:t>
            </w:r>
            <w:r>
              <w:rPr>
                <w:rFonts w:ascii="Calibri" w:hAnsi="Calibri" w:eastAsia="宋体" w:cs="Times New Roman"/>
                <w:kern w:val="0"/>
                <w:sz w:val="22"/>
                <w:szCs w:val="22"/>
              </w:rPr>
              <w:t>以上；</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DF0D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好</w:t>
            </w:r>
          </w:p>
        </w:tc>
      </w:tr>
      <w:tr w14:paraId="30B427A0">
        <w:tblPrEx>
          <w:tblCellMar>
            <w:top w:w="0" w:type="dxa"/>
            <w:left w:w="108" w:type="dxa"/>
            <w:bottom w:w="0" w:type="dxa"/>
            <w:right w:w="108" w:type="dxa"/>
          </w:tblCellMar>
        </w:tblPrEx>
        <w:trPr>
          <w:trHeight w:val="23" w:hRule="atLeast"/>
          <w:jc w:val="center"/>
        </w:trPr>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94F2EE">
            <w:pPr>
              <w:jc w:val="center"/>
              <w:rPr>
                <w:rFonts w:ascii="宋体" w:hAnsi="宋体" w:eastAsia="宋体" w:cs="宋体"/>
                <w:color w:val="000000"/>
                <w:sz w:val="22"/>
                <w:szCs w:val="22"/>
              </w:rPr>
            </w:pP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727C">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80</w:t>
            </w:r>
            <w:r>
              <w:rPr>
                <w:rFonts w:hint="default" w:ascii="宋体" w:hAnsi="宋体" w:eastAsia="宋体" w:cs="宋体"/>
                <w:color w:val="000000"/>
                <w:sz w:val="22"/>
                <w:szCs w:val="22"/>
                <w:u w:val="none"/>
                <w:lang w:bidi="ar"/>
              </w:rPr>
              <w:t>分～</w:t>
            </w:r>
            <w:r>
              <w:rPr>
                <w:rFonts w:hint="default" w:ascii="Times New Roman" w:hAnsi="Times New Roman" w:eastAsia="宋体" w:cs="Times New Roman"/>
                <w:color w:val="000000"/>
                <w:sz w:val="22"/>
                <w:szCs w:val="22"/>
                <w:u w:val="none"/>
                <w:lang w:bidi="ar"/>
              </w:rPr>
              <w:t>89</w:t>
            </w:r>
            <w:r>
              <w:rPr>
                <w:rFonts w:hint="default" w:ascii="宋体" w:hAnsi="宋体" w:eastAsia="宋体" w:cs="宋体"/>
                <w:color w:val="000000"/>
                <w:sz w:val="22"/>
                <w:szCs w:val="22"/>
                <w:u w:val="none"/>
                <w:lang w:bidi="ar"/>
              </w:rPr>
              <w:t>分</w:t>
            </w:r>
          </w:p>
        </w:tc>
        <w:tc>
          <w:tcPr>
            <w:tcW w:w="6577" w:type="dxa"/>
            <w:tcBorders>
              <w:top w:val="single" w:color="000000" w:sz="4" w:space="0"/>
              <w:left w:val="single" w:color="000000" w:sz="4" w:space="0"/>
              <w:bottom w:val="single" w:color="000000" w:sz="4" w:space="0"/>
              <w:right w:val="single" w:color="000000" w:sz="4" w:space="0"/>
            </w:tcBorders>
            <w:shd w:val="clear" w:color="auto" w:fill="auto"/>
          </w:tcPr>
          <w:p w14:paraId="04045D4D">
            <w:pPr>
              <w:widowControl/>
              <w:jc w:val="left"/>
              <w:textAlignment w:val="center"/>
              <w:rPr>
                <w:rFonts w:ascii="Times New Roman" w:hAnsi="Times New Roman" w:eastAsia="宋体" w:cs="Times New Roman"/>
                <w:color w:val="000000"/>
                <w:sz w:val="22"/>
                <w:szCs w:val="22"/>
              </w:rPr>
            </w:pPr>
            <w:r>
              <w:rPr>
                <w:rFonts w:ascii="宋体" w:hAnsi="宋体" w:eastAsia="宋体" w:cs="宋体"/>
                <w:color w:val="000000"/>
                <w:kern w:val="0"/>
                <w:sz w:val="22"/>
                <w:szCs w:val="22"/>
                <w:lang w:bidi="ar"/>
              </w:rPr>
              <w:t>1</w:t>
            </w:r>
            <w:r>
              <w:rPr>
                <w:rFonts w:hint="eastAsia" w:ascii="宋体" w:hAnsi="宋体" w:eastAsia="宋体" w:cs="宋体"/>
                <w:color w:val="000000"/>
                <w:kern w:val="0"/>
                <w:sz w:val="22"/>
                <w:szCs w:val="22"/>
                <w:lang w:bidi="ar"/>
              </w:rPr>
              <w:t>.</w:t>
            </w:r>
            <w:r>
              <w:rPr>
                <w:rFonts w:ascii="宋体" w:hAnsi="宋体" w:eastAsia="宋体" w:cs="宋体"/>
                <w:color w:val="000000"/>
                <w:kern w:val="0"/>
                <w:sz w:val="22"/>
                <w:szCs w:val="22"/>
                <w:lang w:bidi="ar"/>
              </w:rPr>
              <w:t>全年安保无责任安全事故；</w:t>
            </w:r>
            <w:r>
              <w:rPr>
                <w:rFonts w:hint="eastAsia" w:ascii="宋体" w:hAnsi="宋体" w:eastAsia="宋体" w:cs="宋体"/>
                <w:color w:val="000000"/>
                <w:kern w:val="0"/>
                <w:sz w:val="22"/>
                <w:szCs w:val="22"/>
                <w:lang w:bidi="ar"/>
              </w:rPr>
              <w:t>2.</w:t>
            </w:r>
            <w:r>
              <w:rPr>
                <w:rFonts w:ascii="宋体" w:hAnsi="宋体" w:eastAsia="宋体" w:cs="宋体"/>
                <w:color w:val="000000"/>
                <w:kern w:val="0"/>
                <w:sz w:val="22"/>
                <w:szCs w:val="22"/>
                <w:lang w:bidi="ar"/>
              </w:rPr>
              <w:t>设施设备常年保持良好运行，无大的责任事故；</w:t>
            </w:r>
            <w:r>
              <w:rPr>
                <w:rFonts w:hint="eastAsia" w:ascii="宋体" w:hAnsi="宋体" w:eastAsia="宋体" w:cs="宋体"/>
                <w:color w:val="000000"/>
                <w:kern w:val="0"/>
                <w:sz w:val="22"/>
                <w:szCs w:val="22"/>
                <w:lang w:bidi="ar"/>
              </w:rPr>
              <w:t>3</w:t>
            </w:r>
            <w:r>
              <w:rPr>
                <w:rFonts w:ascii="宋体" w:hAnsi="宋体" w:eastAsia="宋体" w:cs="宋体"/>
                <w:color w:val="000000"/>
                <w:kern w:val="0"/>
                <w:sz w:val="22"/>
                <w:szCs w:val="22"/>
                <w:lang w:bidi="ar"/>
              </w:rPr>
              <w:t>.服务基本达到管理服务承诺及质量保证措施；</w:t>
            </w:r>
            <w:r>
              <w:rPr>
                <w:rFonts w:hint="eastAsia" w:ascii="宋体" w:hAnsi="宋体" w:eastAsia="宋体" w:cs="宋体"/>
                <w:color w:val="000000"/>
                <w:kern w:val="0"/>
                <w:sz w:val="22"/>
                <w:szCs w:val="22"/>
                <w:lang w:bidi="ar"/>
              </w:rPr>
              <w:t>4</w:t>
            </w:r>
            <w:r>
              <w:rPr>
                <w:rFonts w:ascii="宋体" w:hAnsi="宋体" w:eastAsia="宋体" w:cs="宋体"/>
                <w:color w:val="000000"/>
                <w:kern w:val="0"/>
                <w:sz w:val="22"/>
                <w:szCs w:val="22"/>
                <w:lang w:bidi="ar"/>
              </w:rPr>
              <w:t>.客户满意度达到≥85%以上；</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79C5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较好</w:t>
            </w:r>
          </w:p>
        </w:tc>
      </w:tr>
      <w:tr w14:paraId="650BEAD0">
        <w:tblPrEx>
          <w:tblCellMar>
            <w:top w:w="0" w:type="dxa"/>
            <w:left w:w="108" w:type="dxa"/>
            <w:bottom w:w="0" w:type="dxa"/>
            <w:right w:w="108" w:type="dxa"/>
          </w:tblCellMar>
        </w:tblPrEx>
        <w:trPr>
          <w:trHeight w:val="23" w:hRule="atLeast"/>
          <w:jc w:val="center"/>
        </w:trPr>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1F95FC">
            <w:pPr>
              <w:jc w:val="center"/>
              <w:rPr>
                <w:rFonts w:ascii="宋体" w:hAnsi="宋体" w:eastAsia="宋体" w:cs="宋体"/>
                <w:color w:val="000000"/>
                <w:sz w:val="22"/>
                <w:szCs w:val="22"/>
              </w:rPr>
            </w:pP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1CC58">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70</w:t>
            </w:r>
            <w:r>
              <w:rPr>
                <w:rFonts w:hint="default" w:ascii="宋体" w:hAnsi="宋体" w:eastAsia="宋体" w:cs="宋体"/>
                <w:color w:val="000000"/>
                <w:sz w:val="22"/>
                <w:szCs w:val="22"/>
                <w:u w:val="none"/>
                <w:lang w:bidi="ar"/>
              </w:rPr>
              <w:t>分～</w:t>
            </w:r>
            <w:r>
              <w:rPr>
                <w:rFonts w:hint="default" w:ascii="Times New Roman" w:hAnsi="Times New Roman" w:eastAsia="宋体" w:cs="Times New Roman"/>
                <w:color w:val="000000"/>
                <w:sz w:val="22"/>
                <w:szCs w:val="22"/>
                <w:u w:val="none"/>
                <w:lang w:bidi="ar"/>
              </w:rPr>
              <w:t>79</w:t>
            </w:r>
            <w:r>
              <w:rPr>
                <w:rFonts w:hint="default" w:ascii="宋体" w:hAnsi="宋体" w:eastAsia="宋体" w:cs="宋体"/>
                <w:color w:val="000000"/>
                <w:sz w:val="22"/>
                <w:szCs w:val="22"/>
                <w:u w:val="none"/>
                <w:lang w:bidi="ar"/>
              </w:rPr>
              <w:t>分</w:t>
            </w:r>
          </w:p>
        </w:tc>
        <w:tc>
          <w:tcPr>
            <w:tcW w:w="6577" w:type="dxa"/>
            <w:tcBorders>
              <w:top w:val="single" w:color="000000" w:sz="4" w:space="0"/>
              <w:left w:val="single" w:color="000000" w:sz="4" w:space="0"/>
              <w:bottom w:val="single" w:color="000000" w:sz="4" w:space="0"/>
              <w:right w:val="single" w:color="000000" w:sz="4" w:space="0"/>
            </w:tcBorders>
            <w:shd w:val="clear" w:color="auto" w:fill="auto"/>
          </w:tcPr>
          <w:p w14:paraId="1D3D5B81">
            <w:pPr>
              <w:widowControl/>
              <w:jc w:val="left"/>
              <w:textAlignment w:val="center"/>
              <w:rPr>
                <w:rFonts w:ascii="Times New Roman" w:hAnsi="Times New Roman" w:eastAsia="宋体" w:cs="Times New Roman"/>
                <w:color w:val="000000"/>
                <w:sz w:val="22"/>
                <w:szCs w:val="22"/>
              </w:rPr>
            </w:pPr>
            <w:r>
              <w:rPr>
                <w:rFonts w:ascii="宋体" w:hAnsi="宋体" w:eastAsia="宋体" w:cs="宋体"/>
                <w:color w:val="000000"/>
                <w:kern w:val="0"/>
                <w:sz w:val="22"/>
                <w:szCs w:val="22"/>
                <w:lang w:bidi="ar"/>
              </w:rPr>
              <w:t>1</w:t>
            </w:r>
            <w:r>
              <w:rPr>
                <w:rFonts w:hint="eastAsia" w:ascii="宋体" w:hAnsi="宋体" w:eastAsia="宋体" w:cs="宋体"/>
                <w:color w:val="000000"/>
                <w:kern w:val="0"/>
                <w:sz w:val="22"/>
                <w:szCs w:val="22"/>
                <w:lang w:bidi="ar"/>
              </w:rPr>
              <w:t>.</w:t>
            </w:r>
            <w:r>
              <w:rPr>
                <w:rFonts w:ascii="Calibri" w:hAnsi="Calibri" w:eastAsia="宋体" w:cs="Times New Roman"/>
                <w:color w:val="000000"/>
                <w:kern w:val="0"/>
                <w:sz w:val="22"/>
                <w:szCs w:val="22"/>
              </w:rPr>
              <w:t>全年安保无较大安全事故</w:t>
            </w:r>
            <w:r>
              <w:rPr>
                <w:rFonts w:ascii="Calibri" w:hAnsi="Calibri" w:eastAsia="宋体" w:cs="Times New Roman"/>
                <w:kern w:val="0"/>
                <w:sz w:val="22"/>
                <w:szCs w:val="22"/>
              </w:rPr>
              <w:t>；</w:t>
            </w:r>
            <w:r>
              <w:rPr>
                <w:rFonts w:hint="eastAsia" w:ascii="宋体" w:hAnsi="宋体" w:eastAsia="宋体" w:cs="宋体"/>
                <w:kern w:val="0"/>
                <w:sz w:val="22"/>
                <w:szCs w:val="22"/>
              </w:rPr>
              <w:t>2</w:t>
            </w:r>
            <w:r>
              <w:rPr>
                <w:rFonts w:ascii="Calibri" w:hAnsi="Calibri" w:eastAsia="宋体" w:cs="Times New Roman"/>
                <w:kern w:val="0"/>
                <w:sz w:val="22"/>
                <w:szCs w:val="22"/>
              </w:rPr>
              <w:t>.设施设备常年保持较好运行，无重大责任事故；</w:t>
            </w:r>
            <w:r>
              <w:rPr>
                <w:rFonts w:hint="eastAsia" w:ascii="宋体" w:hAnsi="宋体" w:eastAsia="宋体" w:cs="宋体"/>
                <w:kern w:val="0"/>
                <w:sz w:val="22"/>
                <w:szCs w:val="22"/>
              </w:rPr>
              <w:t>3.</w:t>
            </w:r>
            <w:r>
              <w:rPr>
                <w:rFonts w:ascii="Calibri" w:hAnsi="Calibri" w:eastAsia="宋体" w:cs="Times New Roman"/>
                <w:kern w:val="0"/>
                <w:sz w:val="22"/>
                <w:szCs w:val="22"/>
              </w:rPr>
              <w:t>服务部分达到管理服务承诺及质量保证措施；</w:t>
            </w:r>
            <w:r>
              <w:rPr>
                <w:rFonts w:hint="eastAsia" w:ascii="宋体" w:hAnsi="宋体" w:eastAsia="宋体" w:cs="宋体"/>
                <w:kern w:val="0"/>
                <w:sz w:val="22"/>
                <w:szCs w:val="22"/>
              </w:rPr>
              <w:t>4</w:t>
            </w:r>
            <w:r>
              <w:rPr>
                <w:rFonts w:ascii="宋体" w:hAnsi="宋体" w:eastAsia="宋体" w:cs="宋体"/>
                <w:kern w:val="0"/>
                <w:sz w:val="22"/>
                <w:szCs w:val="22"/>
              </w:rPr>
              <w:t>.</w:t>
            </w:r>
            <w:r>
              <w:rPr>
                <w:rFonts w:ascii="Calibri" w:hAnsi="Calibri" w:eastAsia="宋体" w:cs="Times New Roman"/>
                <w:kern w:val="0"/>
                <w:sz w:val="22"/>
                <w:szCs w:val="22"/>
              </w:rPr>
              <w:t>客户满意度达到</w:t>
            </w:r>
            <w:r>
              <w:rPr>
                <w:rFonts w:ascii="宋体" w:hAnsi="宋体" w:eastAsia="宋体" w:cs="宋体"/>
                <w:kern w:val="0"/>
                <w:sz w:val="22"/>
                <w:szCs w:val="22"/>
              </w:rPr>
              <w:t>≥75%</w:t>
            </w:r>
            <w:r>
              <w:rPr>
                <w:rFonts w:ascii="Calibri" w:hAnsi="Calibri" w:eastAsia="宋体" w:cs="Times New Roman"/>
                <w:kern w:val="0"/>
                <w:sz w:val="22"/>
                <w:szCs w:val="22"/>
              </w:rPr>
              <w:t>以上；</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8A4D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及格</w:t>
            </w:r>
          </w:p>
        </w:tc>
      </w:tr>
      <w:tr w14:paraId="724633FC">
        <w:tblPrEx>
          <w:tblCellMar>
            <w:top w:w="0" w:type="dxa"/>
            <w:left w:w="108" w:type="dxa"/>
            <w:bottom w:w="0" w:type="dxa"/>
            <w:right w:w="108" w:type="dxa"/>
          </w:tblCellMar>
        </w:tblPrEx>
        <w:trPr>
          <w:trHeight w:val="23" w:hRule="atLeast"/>
          <w:jc w:val="center"/>
        </w:trPr>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7DBDCC">
            <w:pPr>
              <w:jc w:val="center"/>
              <w:rPr>
                <w:rFonts w:ascii="宋体" w:hAnsi="宋体" w:eastAsia="宋体" w:cs="宋体"/>
                <w:color w:val="000000"/>
                <w:sz w:val="22"/>
                <w:szCs w:val="22"/>
              </w:rPr>
            </w:pP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6A7B2">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70</w:t>
            </w:r>
            <w:r>
              <w:rPr>
                <w:rFonts w:hint="default" w:ascii="宋体" w:hAnsi="宋体" w:eastAsia="宋体" w:cs="宋体"/>
                <w:color w:val="000000"/>
                <w:sz w:val="22"/>
                <w:szCs w:val="22"/>
                <w:u w:val="none"/>
                <w:lang w:bidi="ar"/>
              </w:rPr>
              <w:t>分以下</w:t>
            </w:r>
          </w:p>
        </w:tc>
        <w:tc>
          <w:tcPr>
            <w:tcW w:w="6577" w:type="dxa"/>
            <w:tcBorders>
              <w:top w:val="single" w:color="000000" w:sz="4" w:space="0"/>
              <w:left w:val="single" w:color="000000" w:sz="4" w:space="0"/>
              <w:bottom w:val="single" w:color="000000" w:sz="4" w:space="0"/>
              <w:right w:val="single" w:color="000000" w:sz="4" w:space="0"/>
            </w:tcBorders>
            <w:shd w:val="clear" w:color="auto" w:fill="auto"/>
          </w:tcPr>
          <w:p w14:paraId="2773663C">
            <w:pPr>
              <w:widowControl/>
              <w:jc w:val="left"/>
              <w:textAlignment w:val="top"/>
              <w:rPr>
                <w:rFonts w:ascii="Times New Roman" w:hAnsi="Times New Roman" w:eastAsia="宋体" w:cs="Times New Roman"/>
                <w:sz w:val="22"/>
                <w:szCs w:val="22"/>
              </w:rPr>
            </w:pPr>
            <w:r>
              <w:rPr>
                <w:rFonts w:ascii="Times New Roman" w:hAnsi="Times New Roman" w:eastAsia="宋体" w:cs="Times New Roman"/>
                <w:kern w:val="0"/>
                <w:sz w:val="22"/>
                <w:szCs w:val="22"/>
                <w:lang w:bidi="ar"/>
              </w:rPr>
              <w:t>1</w:t>
            </w:r>
            <w:r>
              <w:rPr>
                <w:rFonts w:hint="default" w:ascii="宋体" w:hAnsi="宋体" w:eastAsia="宋体" w:cs="宋体"/>
                <w:color w:val="auto"/>
                <w:sz w:val="22"/>
                <w:szCs w:val="22"/>
                <w:u w:val="none"/>
                <w:lang w:bidi="ar"/>
              </w:rPr>
              <w:t>.全年安保发生一起以上重大事故； 2.设施设备经常出现故障，出现责任事故；</w:t>
            </w:r>
            <w:r>
              <w:rPr>
                <w:rFonts w:hint="eastAsia" w:ascii="Times New Roman" w:hAnsi="Times New Roman" w:eastAsia="宋体" w:cs="Times New Roman"/>
                <w:color w:val="auto"/>
                <w:sz w:val="22"/>
                <w:szCs w:val="22"/>
                <w:u w:val="none"/>
                <w:lang w:bidi="ar"/>
              </w:rPr>
              <w:t>3.</w:t>
            </w:r>
            <w:r>
              <w:rPr>
                <w:rFonts w:hint="default" w:ascii="宋体" w:hAnsi="宋体" w:eastAsia="宋体" w:cs="宋体"/>
                <w:color w:val="auto"/>
                <w:sz w:val="22"/>
                <w:szCs w:val="22"/>
                <w:u w:val="none"/>
                <w:lang w:bidi="ar"/>
              </w:rPr>
              <w:t>服务未达到管理服务承诺及质量保证措施；</w:t>
            </w:r>
            <w:r>
              <w:rPr>
                <w:rFonts w:hint="eastAsia" w:ascii="Times New Roman" w:hAnsi="Times New Roman" w:eastAsia="宋体" w:cs="Times New Roman"/>
                <w:color w:val="auto"/>
                <w:sz w:val="22"/>
                <w:szCs w:val="22"/>
                <w:u w:val="none"/>
                <w:lang w:bidi="ar"/>
              </w:rPr>
              <w:t>4.</w:t>
            </w:r>
            <w:r>
              <w:rPr>
                <w:rFonts w:hint="default" w:ascii="宋体" w:hAnsi="宋体" w:eastAsia="宋体" w:cs="宋体"/>
                <w:color w:val="auto"/>
                <w:sz w:val="22"/>
                <w:szCs w:val="22"/>
                <w:u w:val="none"/>
                <w:lang w:bidi="ar"/>
              </w:rPr>
              <w:t>客户满意度达到</w:t>
            </w:r>
            <w:r>
              <w:rPr>
                <w:rFonts w:ascii="宋体" w:hAnsi="宋体" w:eastAsia="宋体" w:cs="宋体"/>
                <w:kern w:val="0"/>
                <w:sz w:val="22"/>
                <w:szCs w:val="22"/>
              </w:rPr>
              <w:t>≥</w:t>
            </w:r>
            <w:r>
              <w:rPr>
                <w:rFonts w:hint="default" w:ascii="Times New Roman" w:hAnsi="Times New Roman" w:eastAsia="宋体" w:cs="Times New Roman"/>
                <w:color w:val="auto"/>
                <w:sz w:val="22"/>
                <w:szCs w:val="22"/>
                <w:u w:val="none"/>
                <w:lang w:bidi="ar"/>
              </w:rPr>
              <w:t>70%</w:t>
            </w:r>
            <w:r>
              <w:rPr>
                <w:rFonts w:hint="default" w:ascii="宋体" w:hAnsi="宋体" w:eastAsia="宋体" w:cs="宋体"/>
                <w:color w:val="auto"/>
                <w:sz w:val="22"/>
                <w:szCs w:val="22"/>
                <w:u w:val="none"/>
                <w:lang w:bidi="ar"/>
              </w:rPr>
              <w:t>以下；</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22CB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差</w:t>
            </w:r>
          </w:p>
        </w:tc>
      </w:tr>
    </w:tbl>
    <w:p w14:paraId="478EB80F">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11.3 奖惩措施：</w:t>
      </w:r>
    </w:p>
    <w:p w14:paraId="267D781F">
      <w:pPr>
        <w:tabs>
          <w:tab w:val="left" w:pos="7200"/>
        </w:tabs>
        <w:adjustRightInd w:val="0"/>
        <w:snapToGrid w:val="0"/>
        <w:spacing w:line="300" w:lineRule="auto"/>
        <w:ind w:firstLine="440" w:firstLineChars="200"/>
        <w:rPr>
          <w:rFonts w:ascii="Times New Roman" w:hAnsi="Times New Roman" w:eastAsia="宋体" w:cs="Times New Roman"/>
          <w:bCs/>
          <w:sz w:val="22"/>
          <w:szCs w:val="22"/>
          <w:highlight w:val="yellow"/>
        </w:rPr>
      </w:pPr>
      <w:r>
        <w:rPr>
          <w:rFonts w:hint="eastAsia" w:ascii="Times New Roman" w:hAnsi="Times New Roman" w:eastAsia="宋体" w:cs="Times New Roman"/>
          <w:bCs/>
          <w:sz w:val="22"/>
          <w:szCs w:val="22"/>
        </w:rPr>
        <w:t>11.3.1 每季度考核等级结果是“好”的，支付当季度合同费用的100%。</w:t>
      </w:r>
    </w:p>
    <w:p w14:paraId="34BC9635">
      <w:pPr>
        <w:tabs>
          <w:tab w:val="left" w:pos="7200"/>
        </w:tabs>
        <w:adjustRightInd w:val="0"/>
        <w:snapToGrid w:val="0"/>
        <w:spacing w:line="300" w:lineRule="auto"/>
        <w:ind w:firstLine="440" w:firstLineChars="200"/>
        <w:rPr>
          <w:rFonts w:ascii="Times New Roman" w:hAnsi="Times New Roman" w:eastAsia="宋体" w:cs="Times New Roman"/>
          <w:bCs/>
          <w:sz w:val="22"/>
          <w:szCs w:val="22"/>
          <w:highlight w:val="yellow"/>
        </w:rPr>
      </w:pPr>
      <w:r>
        <w:rPr>
          <w:rFonts w:hint="eastAsia" w:ascii="Times New Roman" w:hAnsi="Times New Roman" w:eastAsia="宋体" w:cs="Times New Roman"/>
          <w:bCs/>
          <w:sz w:val="22"/>
          <w:szCs w:val="22"/>
        </w:rPr>
        <w:t>11.3.2 每季度考核等级结果是“较好”的，支付当季度合同费用的70%。</w:t>
      </w:r>
    </w:p>
    <w:p w14:paraId="65540FBF">
      <w:pPr>
        <w:tabs>
          <w:tab w:val="left" w:pos="7200"/>
        </w:tabs>
        <w:adjustRightInd w:val="0"/>
        <w:snapToGrid w:val="0"/>
        <w:spacing w:line="300" w:lineRule="auto"/>
        <w:ind w:firstLine="440" w:firstLineChars="200"/>
        <w:rPr>
          <w:rFonts w:ascii="Times New Roman" w:hAnsi="Times New Roman" w:eastAsia="宋体" w:cs="Times New Roman"/>
          <w:bCs/>
          <w:sz w:val="22"/>
          <w:szCs w:val="22"/>
          <w:highlight w:val="yellow"/>
        </w:rPr>
      </w:pPr>
      <w:r>
        <w:rPr>
          <w:rFonts w:hint="eastAsia" w:ascii="Times New Roman" w:hAnsi="Times New Roman" w:eastAsia="宋体" w:cs="Times New Roman"/>
          <w:bCs/>
          <w:sz w:val="22"/>
          <w:szCs w:val="22"/>
        </w:rPr>
        <w:t>11.3.3 每季度考核等级结果是“及格”的，支付当季度合同费用的40%</w:t>
      </w:r>
    </w:p>
    <w:p w14:paraId="40BBD736">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11.3.4 每季度考核等级结果是“差”的，自行终止服务合同，由此产生的一切法律后果及所有相关费用由中标人承担。</w:t>
      </w:r>
    </w:p>
    <w:p w14:paraId="63890FD7">
      <w:pPr>
        <w:adjustRightInd w:val="0"/>
        <w:snapToGrid w:val="0"/>
        <w:spacing w:line="300" w:lineRule="auto"/>
        <w:jc w:val="center"/>
        <w:outlineLvl w:val="1"/>
        <w:rPr>
          <w:rFonts w:ascii="Times New Roman" w:hAnsi="Times New Roman" w:eastAsia="黑体" w:cs="Times New Roman"/>
          <w:sz w:val="30"/>
          <w:szCs w:val="30"/>
        </w:rPr>
      </w:pPr>
      <w:bookmarkStart w:id="33" w:name="_Toc460922295"/>
      <w:bookmarkStart w:id="34" w:name="_Toc464465687"/>
      <w:bookmarkStart w:id="35" w:name="_Toc19676"/>
      <w:r>
        <w:rPr>
          <w:rFonts w:ascii="Times New Roman" w:hAnsi="Times New Roman" w:eastAsia="黑体" w:cs="Times New Roman"/>
          <w:b/>
          <w:bCs/>
          <w:sz w:val="30"/>
          <w:szCs w:val="30"/>
        </w:rPr>
        <w:t>四、</w:t>
      </w:r>
      <w:bookmarkEnd w:id="33"/>
      <w:bookmarkEnd w:id="34"/>
      <w:r>
        <w:rPr>
          <w:rFonts w:ascii="Times New Roman" w:hAnsi="Times New Roman" w:eastAsia="黑体" w:cs="Times New Roman"/>
          <w:b/>
          <w:bCs/>
          <w:sz w:val="30"/>
          <w:szCs w:val="30"/>
        </w:rPr>
        <w:t>投标报价须知</w:t>
      </w:r>
      <w:bookmarkEnd w:id="35"/>
    </w:p>
    <w:p w14:paraId="35C8430C">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36" w:name="_Toc10152"/>
      <w:r>
        <w:rPr>
          <w:rFonts w:ascii="Times New Roman" w:hAnsi="Times New Roman" w:eastAsia="宋体" w:cs="Times New Roman"/>
          <w:b/>
          <w:bCs/>
          <w:sz w:val="22"/>
          <w:szCs w:val="22"/>
        </w:rPr>
        <w:t>12 投标报价依据</w:t>
      </w:r>
      <w:bookmarkEnd w:id="36"/>
    </w:p>
    <w:p w14:paraId="17532764">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12.1</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投标报价计算依据包括本项目的招标文件（包括提供的附件）、招标文件答疑或修改的补充文书、工作量清单、项目现场条件等。</w:t>
      </w:r>
    </w:p>
    <w:p w14:paraId="0451132A">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color w:val="000000"/>
          <w:sz w:val="22"/>
          <w:szCs w:val="22"/>
        </w:rPr>
        <w:t>12.2</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招标文件</w:t>
      </w:r>
      <w:r>
        <w:rPr>
          <w:rFonts w:ascii="Times New Roman" w:hAnsi="Times New Roman" w:eastAsia="宋体" w:cs="Times New Roman"/>
          <w:sz w:val="22"/>
          <w:szCs w:val="22"/>
        </w:rPr>
        <w:t>明确的服务范围、服务内容、服务期限、服务质量要求、</w:t>
      </w:r>
      <w:r>
        <w:rPr>
          <w:rFonts w:hint="eastAsia" w:ascii="Times New Roman" w:hAnsi="Times New Roman" w:eastAsia="宋体" w:cs="Times New Roman"/>
          <w:sz w:val="22"/>
          <w:szCs w:val="22"/>
        </w:rPr>
        <w:t>售后服务、</w:t>
      </w:r>
      <w:r>
        <w:rPr>
          <w:rFonts w:ascii="Times New Roman" w:hAnsi="Times New Roman" w:eastAsia="宋体" w:cs="Times New Roman"/>
          <w:sz w:val="22"/>
          <w:szCs w:val="22"/>
        </w:rPr>
        <w:t>管理要求与服务标准及考核要求等。</w:t>
      </w:r>
    </w:p>
    <w:p w14:paraId="1D9835BC">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12.3</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岗位设置一览表说明</w:t>
      </w:r>
    </w:p>
    <w:p w14:paraId="631C6327">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12.3.1</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岗位设置一览表应与投标人须知、合同条件、项目质量标准和要求等文件结合起来理解或解释。</w:t>
      </w:r>
    </w:p>
    <w:p w14:paraId="1EA67C11">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12.3.2</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采购人提供的</w:t>
      </w:r>
      <w:r>
        <w:rPr>
          <w:rFonts w:ascii="Times New Roman" w:hAnsi="Times New Roman" w:eastAsia="宋体" w:cs="Times New Roman"/>
          <w:kern w:val="0"/>
          <w:sz w:val="22"/>
          <w:szCs w:val="22"/>
        </w:rPr>
        <w:t>岗位设置一览表</w:t>
      </w:r>
      <w:r>
        <w:rPr>
          <w:rFonts w:ascii="Times New Roman" w:hAnsi="Times New Roman" w:eastAsia="宋体" w:cs="Times New Roman"/>
          <w:sz w:val="22"/>
          <w:szCs w:val="22"/>
        </w:rPr>
        <w:t>是依照采购需求测算出的</w:t>
      </w:r>
      <w:r>
        <w:rPr>
          <w:rFonts w:ascii="Times New Roman" w:hAnsi="Times New Roman" w:eastAsia="宋体" w:cs="Times New Roman"/>
          <w:kern w:val="0"/>
          <w:sz w:val="22"/>
          <w:szCs w:val="22"/>
        </w:rPr>
        <w:t>各岗位最低配置要求</w:t>
      </w:r>
      <w:r>
        <w:rPr>
          <w:rFonts w:ascii="Times New Roman" w:hAnsi="Times New Roman" w:eastAsia="宋体" w:cs="Times New Roman"/>
          <w:sz w:val="22"/>
          <w:szCs w:val="22"/>
        </w:rPr>
        <w:t>，与最终的实际履约可能存在小的出入，各投标人应自行认真踏勘现场，了解招标需求。投标人如发现</w:t>
      </w:r>
      <w:r>
        <w:rPr>
          <w:rFonts w:ascii="Times New Roman" w:hAnsi="Times New Roman" w:eastAsia="宋体" w:cs="Times New Roman"/>
          <w:kern w:val="0"/>
          <w:sz w:val="22"/>
          <w:szCs w:val="22"/>
        </w:rPr>
        <w:t>该表</w:t>
      </w:r>
      <w:r>
        <w:rPr>
          <w:rFonts w:ascii="Times New Roman" w:hAnsi="Times New Roman" w:eastAsia="宋体" w:cs="Times New Roman"/>
          <w:sz w:val="22"/>
          <w:szCs w:val="22"/>
        </w:rPr>
        <w:t>和实际工作内容不一致时，应立即以书面形式通知采购人核查，除非采购人以答疑文件或补充文件予以更正，否则，投标人不得</w:t>
      </w:r>
      <w:r>
        <w:rPr>
          <w:rFonts w:ascii="Times New Roman" w:hAnsi="Times New Roman" w:eastAsia="宋体" w:cs="Times New Roman"/>
          <w:kern w:val="0"/>
          <w:sz w:val="22"/>
          <w:szCs w:val="22"/>
        </w:rPr>
        <w:t>对岗位设置一览表中的岗位类别和数量进行缩减</w:t>
      </w:r>
      <w:r>
        <w:rPr>
          <w:rFonts w:ascii="Times New Roman" w:hAnsi="Times New Roman" w:eastAsia="宋体" w:cs="Times New Roman"/>
          <w:sz w:val="22"/>
          <w:szCs w:val="22"/>
        </w:rPr>
        <w:t>。</w:t>
      </w:r>
    </w:p>
    <w:p w14:paraId="63FBD42F">
      <w:pPr>
        <w:adjustRightInd w:val="0"/>
        <w:snapToGrid w:val="0"/>
        <w:spacing w:line="300" w:lineRule="auto"/>
        <w:ind w:firstLine="442" w:firstLineChars="200"/>
        <w:jc w:val="left"/>
        <w:outlineLvl w:val="2"/>
        <w:rPr>
          <w:rFonts w:ascii="Times New Roman" w:hAnsi="Times New Roman" w:eastAsia="宋体" w:cs="Times New Roman"/>
          <w:b/>
          <w:sz w:val="22"/>
          <w:szCs w:val="22"/>
        </w:rPr>
      </w:pPr>
      <w:bookmarkStart w:id="37" w:name="_Toc23897"/>
      <w:r>
        <w:rPr>
          <w:rFonts w:ascii="Times New Roman" w:hAnsi="Times New Roman" w:eastAsia="宋体" w:cs="Times New Roman"/>
          <w:b/>
          <w:sz w:val="22"/>
          <w:szCs w:val="22"/>
        </w:rPr>
        <w:t>13</w:t>
      </w:r>
      <w:r>
        <w:rPr>
          <w:rFonts w:hint="eastAsia" w:ascii="Times New Roman" w:hAnsi="Times New Roman" w:eastAsia="宋体" w:cs="Times New Roman"/>
          <w:b/>
          <w:sz w:val="22"/>
          <w:szCs w:val="22"/>
        </w:rPr>
        <w:t xml:space="preserve"> </w:t>
      </w:r>
      <w:r>
        <w:rPr>
          <w:rFonts w:ascii="Times New Roman" w:hAnsi="Times New Roman" w:eastAsia="宋体" w:cs="Times New Roman"/>
          <w:b/>
          <w:sz w:val="22"/>
          <w:szCs w:val="22"/>
        </w:rPr>
        <w:t>投标报价内容</w:t>
      </w:r>
      <w:bookmarkEnd w:id="37"/>
    </w:p>
    <w:p w14:paraId="484A9145">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13.1</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依据本项目的招标范围和内容，中标人提供物业管理服务，其投标报价应包括管理费、人工、</w:t>
      </w:r>
      <w:r>
        <w:rPr>
          <w:rFonts w:hint="eastAsia" w:ascii="宋体" w:hAnsi="宋体" w:eastAsia="宋体" w:cs="Times New Roman"/>
          <w:sz w:val="22"/>
          <w:szCs w:val="22"/>
        </w:rPr>
        <w:t>材料</w:t>
      </w:r>
      <w:r>
        <w:rPr>
          <w:rFonts w:ascii="Times New Roman" w:hAnsi="Times New Roman" w:eastAsia="宋体" w:cs="Times New Roman"/>
          <w:sz w:val="22"/>
          <w:szCs w:val="22"/>
        </w:rPr>
        <w:t>等</w:t>
      </w:r>
      <w:r>
        <w:rPr>
          <w:rFonts w:hint="eastAsia" w:ascii="Times New Roman" w:hAnsi="Times New Roman" w:eastAsia="宋体" w:cs="Times New Roman"/>
          <w:sz w:val="22"/>
          <w:szCs w:val="22"/>
        </w:rPr>
        <w:t>费用</w:t>
      </w:r>
      <w:r>
        <w:rPr>
          <w:rFonts w:ascii="Times New Roman" w:hAnsi="Times New Roman" w:eastAsia="宋体" w:cs="Times New Roman"/>
          <w:sz w:val="22"/>
          <w:szCs w:val="22"/>
        </w:rPr>
        <w:t>。</w:t>
      </w:r>
    </w:p>
    <w:p w14:paraId="0524C169">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13.2</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14:paraId="0D0FC11A">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13.3</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14:paraId="36C6F119">
      <w:pPr>
        <w:adjustRightInd w:val="0"/>
        <w:snapToGrid w:val="0"/>
        <w:spacing w:line="300" w:lineRule="auto"/>
        <w:ind w:firstLine="440" w:firstLineChars="200"/>
        <w:jc w:val="left"/>
        <w:rPr>
          <w:rFonts w:ascii="Times New Roman" w:hAnsi="Times New Roman" w:eastAsia="宋体" w:cs="Times New Roman"/>
          <w:i/>
          <w:sz w:val="22"/>
          <w:szCs w:val="22"/>
        </w:rPr>
      </w:pPr>
      <w:r>
        <w:rPr>
          <w:rFonts w:ascii="Times New Roman" w:hAnsi="Times New Roman" w:eastAsia="宋体" w:cs="Times New Roman"/>
          <w:sz w:val="22"/>
          <w:szCs w:val="22"/>
        </w:rPr>
        <w:t>13.4</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投标人应考虑本项目可能存在的其他任何风险因素，包括政策性调价、人工和材料成本增涨、因</w:t>
      </w:r>
      <w:r>
        <w:rPr>
          <w:rFonts w:ascii="Times New Roman" w:hAnsi="Times New Roman" w:eastAsia="宋体" w:cs="Times New Roman"/>
          <w:kern w:val="0"/>
          <w:sz w:val="22"/>
          <w:szCs w:val="22"/>
        </w:rPr>
        <w:t>设备使用年限增长引起的维修成本增加和效能衰减等。</w:t>
      </w:r>
    </w:p>
    <w:p w14:paraId="2E3BC6AC">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13.5</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投标人按照投标文件格式中所附的表式完整地填写开标一览表及各类投标报价明细表，说明其拟提供服务的内容、数量、价格构成等。</w:t>
      </w:r>
    </w:p>
    <w:p w14:paraId="4D25348D">
      <w:pPr>
        <w:adjustRightInd w:val="0"/>
        <w:snapToGrid w:val="0"/>
        <w:spacing w:line="300" w:lineRule="auto"/>
        <w:ind w:firstLine="440" w:firstLineChars="200"/>
        <w:jc w:val="left"/>
        <w:rPr>
          <w:rFonts w:ascii="Times New Roman" w:hAnsi="Times New Roman" w:eastAsia="宋体" w:cs="Times New Roman"/>
          <w:b/>
          <w:kern w:val="0"/>
          <w:sz w:val="22"/>
          <w:szCs w:val="22"/>
        </w:rPr>
      </w:pPr>
      <w:r>
        <w:rPr>
          <w:rFonts w:ascii="Times New Roman" w:hAnsi="Times New Roman" w:eastAsia="宋体" w:cs="Times New Roman"/>
          <w:sz w:val="22"/>
          <w:szCs w:val="22"/>
        </w:rPr>
        <w:t>投标人只需在《开标一览表》中报出第一年度的投标价格，后几年合同价，按照当年度核定的工作内容，参照实际中标价格确定。</w:t>
      </w:r>
    </w:p>
    <w:p w14:paraId="7CE3766C">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13.6 投标报价组成表</w:t>
      </w:r>
    </w:p>
    <w:tbl>
      <w:tblPr>
        <w:tblStyle w:val="2"/>
        <w:tblW w:w="87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595"/>
        <w:gridCol w:w="4678"/>
        <w:gridCol w:w="1275"/>
        <w:gridCol w:w="785"/>
      </w:tblGrid>
      <w:tr w14:paraId="61D3A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blHeader/>
          <w:jc w:val="center"/>
        </w:trPr>
        <w:tc>
          <w:tcPr>
            <w:tcW w:w="2021" w:type="dxa"/>
            <w:gridSpan w:val="2"/>
            <w:vAlign w:val="center"/>
          </w:tcPr>
          <w:p w14:paraId="502B6074">
            <w:pPr>
              <w:widowControl/>
              <w:jc w:val="center"/>
              <w:textAlignment w:val="center"/>
              <w:rPr>
                <w:rFonts w:ascii="宋体" w:hAnsi="宋体" w:eastAsia="宋体" w:cs="宋体"/>
                <w:b/>
                <w:bCs/>
                <w:color w:val="000000"/>
                <w:kern w:val="0"/>
                <w:sz w:val="22"/>
                <w:szCs w:val="22"/>
                <w:lang w:bidi="ar"/>
              </w:rPr>
            </w:pPr>
            <w:r>
              <w:rPr>
                <w:rFonts w:ascii="宋体" w:hAnsi="宋体" w:eastAsia="宋体" w:cs="宋体"/>
                <w:b/>
                <w:bCs/>
                <w:color w:val="000000"/>
                <w:kern w:val="0"/>
                <w:sz w:val="22"/>
                <w:szCs w:val="22"/>
                <w:lang w:bidi="ar"/>
              </w:rPr>
              <w:t>项目</w:t>
            </w:r>
          </w:p>
        </w:tc>
        <w:tc>
          <w:tcPr>
            <w:tcW w:w="4678" w:type="dxa"/>
            <w:vAlign w:val="center"/>
          </w:tcPr>
          <w:p w14:paraId="1232D9B1">
            <w:pPr>
              <w:widowControl/>
              <w:jc w:val="center"/>
              <w:textAlignment w:val="center"/>
              <w:rPr>
                <w:rFonts w:ascii="宋体" w:hAnsi="宋体" w:eastAsia="宋体" w:cs="宋体"/>
                <w:b/>
                <w:bCs/>
                <w:color w:val="000000"/>
                <w:kern w:val="0"/>
                <w:sz w:val="22"/>
                <w:szCs w:val="22"/>
                <w:lang w:bidi="ar"/>
              </w:rPr>
            </w:pPr>
            <w:r>
              <w:rPr>
                <w:rFonts w:ascii="宋体" w:hAnsi="宋体" w:eastAsia="宋体" w:cs="宋体"/>
                <w:b/>
                <w:bCs/>
                <w:color w:val="000000"/>
                <w:kern w:val="0"/>
                <w:sz w:val="22"/>
                <w:szCs w:val="22"/>
                <w:lang w:bidi="ar"/>
              </w:rPr>
              <w:t>要求</w:t>
            </w:r>
          </w:p>
        </w:tc>
        <w:tc>
          <w:tcPr>
            <w:tcW w:w="1275" w:type="dxa"/>
            <w:vAlign w:val="center"/>
          </w:tcPr>
          <w:p w14:paraId="36552F8B">
            <w:pPr>
              <w:widowControl/>
              <w:jc w:val="center"/>
              <w:textAlignment w:val="center"/>
              <w:rPr>
                <w:rFonts w:ascii="宋体" w:hAnsi="宋体" w:eastAsia="宋体" w:cs="宋体"/>
                <w:b/>
                <w:bCs/>
                <w:color w:val="000000"/>
                <w:kern w:val="0"/>
                <w:sz w:val="22"/>
                <w:szCs w:val="22"/>
                <w:lang w:bidi="ar"/>
              </w:rPr>
            </w:pPr>
            <w:r>
              <w:rPr>
                <w:rFonts w:ascii="宋体" w:hAnsi="宋体" w:eastAsia="宋体" w:cs="宋体"/>
                <w:b/>
                <w:bCs/>
                <w:color w:val="000000"/>
                <w:kern w:val="0"/>
                <w:sz w:val="22"/>
                <w:szCs w:val="22"/>
                <w:lang w:bidi="ar"/>
              </w:rPr>
              <w:t>分项报价</w:t>
            </w:r>
          </w:p>
        </w:tc>
        <w:tc>
          <w:tcPr>
            <w:tcW w:w="785" w:type="dxa"/>
            <w:vAlign w:val="center"/>
          </w:tcPr>
          <w:p w14:paraId="650C1792">
            <w:pPr>
              <w:widowControl/>
              <w:jc w:val="center"/>
              <w:textAlignment w:val="center"/>
              <w:rPr>
                <w:rFonts w:ascii="宋体" w:hAnsi="宋体" w:eastAsia="宋体" w:cs="宋体"/>
                <w:b/>
                <w:bCs/>
                <w:color w:val="000000"/>
                <w:kern w:val="0"/>
                <w:sz w:val="22"/>
                <w:szCs w:val="22"/>
                <w:lang w:bidi="ar"/>
              </w:rPr>
            </w:pPr>
            <w:r>
              <w:rPr>
                <w:rFonts w:hint="eastAsia" w:ascii="宋体" w:hAnsi="宋体" w:eastAsia="宋体" w:cs="宋体"/>
                <w:b/>
                <w:bCs/>
                <w:color w:val="000000"/>
                <w:kern w:val="0"/>
                <w:sz w:val="22"/>
                <w:szCs w:val="22"/>
                <w:lang w:bidi="ar"/>
              </w:rPr>
              <w:t>备注</w:t>
            </w:r>
          </w:p>
        </w:tc>
      </w:tr>
      <w:tr w14:paraId="32AB3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26" w:type="dxa"/>
            <w:vAlign w:val="center"/>
          </w:tcPr>
          <w:p w14:paraId="00E14675">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1</w:t>
            </w:r>
          </w:p>
        </w:tc>
        <w:tc>
          <w:tcPr>
            <w:tcW w:w="1595" w:type="dxa"/>
            <w:vAlign w:val="center"/>
          </w:tcPr>
          <w:p w14:paraId="2EDDD800">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人员费用</w:t>
            </w:r>
          </w:p>
        </w:tc>
        <w:tc>
          <w:tcPr>
            <w:tcW w:w="4678" w:type="dxa"/>
            <w:vAlign w:val="center"/>
          </w:tcPr>
          <w:p w14:paraId="0B43F177">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含工资、社会保险和按规定提取的福利费</w:t>
            </w:r>
          </w:p>
        </w:tc>
        <w:tc>
          <w:tcPr>
            <w:tcW w:w="1275" w:type="dxa"/>
            <w:vAlign w:val="center"/>
          </w:tcPr>
          <w:p w14:paraId="243C2086">
            <w:pPr>
              <w:widowControl/>
              <w:jc w:val="center"/>
              <w:textAlignment w:val="center"/>
              <w:rPr>
                <w:rFonts w:ascii="宋体" w:hAnsi="宋体" w:eastAsia="宋体" w:cs="宋体"/>
                <w:color w:val="000000"/>
                <w:kern w:val="0"/>
                <w:sz w:val="22"/>
                <w:szCs w:val="22"/>
                <w:lang w:bidi="ar"/>
              </w:rPr>
            </w:pPr>
          </w:p>
        </w:tc>
        <w:tc>
          <w:tcPr>
            <w:tcW w:w="785" w:type="dxa"/>
            <w:vAlign w:val="center"/>
          </w:tcPr>
          <w:p w14:paraId="458EFBA2">
            <w:pPr>
              <w:widowControl/>
              <w:jc w:val="center"/>
              <w:textAlignment w:val="center"/>
              <w:rPr>
                <w:rFonts w:ascii="宋体" w:hAnsi="宋体" w:eastAsia="宋体" w:cs="宋体"/>
                <w:color w:val="000000"/>
                <w:kern w:val="0"/>
                <w:sz w:val="22"/>
                <w:szCs w:val="22"/>
                <w:lang w:bidi="ar"/>
              </w:rPr>
            </w:pPr>
          </w:p>
        </w:tc>
      </w:tr>
      <w:tr w14:paraId="408AE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26" w:type="dxa"/>
            <w:vAlign w:val="center"/>
          </w:tcPr>
          <w:p w14:paraId="2EBF2446">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2</w:t>
            </w:r>
          </w:p>
        </w:tc>
        <w:tc>
          <w:tcPr>
            <w:tcW w:w="1595" w:type="dxa"/>
            <w:vAlign w:val="center"/>
          </w:tcPr>
          <w:p w14:paraId="2B304841">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办公费用</w:t>
            </w:r>
          </w:p>
        </w:tc>
        <w:tc>
          <w:tcPr>
            <w:tcW w:w="4678" w:type="dxa"/>
            <w:vAlign w:val="center"/>
          </w:tcPr>
          <w:p w14:paraId="662CC376">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项目服务过程中产生的相关办公费</w:t>
            </w:r>
          </w:p>
        </w:tc>
        <w:tc>
          <w:tcPr>
            <w:tcW w:w="1275" w:type="dxa"/>
            <w:vAlign w:val="center"/>
          </w:tcPr>
          <w:p w14:paraId="63C924BF">
            <w:pPr>
              <w:widowControl/>
              <w:jc w:val="center"/>
              <w:textAlignment w:val="center"/>
              <w:rPr>
                <w:rFonts w:ascii="宋体" w:hAnsi="宋体" w:eastAsia="宋体" w:cs="宋体"/>
                <w:color w:val="000000"/>
                <w:kern w:val="0"/>
                <w:sz w:val="22"/>
                <w:szCs w:val="22"/>
                <w:lang w:bidi="ar"/>
              </w:rPr>
            </w:pPr>
          </w:p>
        </w:tc>
        <w:tc>
          <w:tcPr>
            <w:tcW w:w="785" w:type="dxa"/>
            <w:vAlign w:val="center"/>
          </w:tcPr>
          <w:p w14:paraId="5F5B2AE6">
            <w:pPr>
              <w:widowControl/>
              <w:jc w:val="center"/>
              <w:textAlignment w:val="center"/>
              <w:rPr>
                <w:rFonts w:ascii="宋体" w:hAnsi="宋体" w:eastAsia="宋体" w:cs="宋体"/>
                <w:color w:val="000000"/>
                <w:kern w:val="0"/>
                <w:sz w:val="22"/>
                <w:szCs w:val="22"/>
                <w:lang w:bidi="ar"/>
              </w:rPr>
            </w:pPr>
          </w:p>
        </w:tc>
      </w:tr>
      <w:tr w14:paraId="561D5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26" w:type="dxa"/>
            <w:vAlign w:val="center"/>
          </w:tcPr>
          <w:p w14:paraId="09FE4F65">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3</w:t>
            </w:r>
          </w:p>
        </w:tc>
        <w:tc>
          <w:tcPr>
            <w:tcW w:w="1595" w:type="dxa"/>
            <w:shd w:val="clear" w:color="auto" w:fill="auto"/>
            <w:vAlign w:val="center"/>
          </w:tcPr>
          <w:p w14:paraId="5A6E57C7">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其他</w:t>
            </w:r>
            <w:r>
              <w:rPr>
                <w:rFonts w:hint="eastAsia" w:ascii="宋体" w:hAnsi="宋体" w:eastAsia="宋体" w:cs="宋体"/>
                <w:color w:val="000000"/>
                <w:kern w:val="0"/>
                <w:sz w:val="22"/>
                <w:szCs w:val="22"/>
                <w:lang w:bidi="ar"/>
              </w:rPr>
              <w:t>（如有）</w:t>
            </w:r>
          </w:p>
        </w:tc>
        <w:tc>
          <w:tcPr>
            <w:tcW w:w="4678" w:type="dxa"/>
            <w:shd w:val="clear" w:color="auto" w:fill="auto"/>
            <w:vAlign w:val="center"/>
          </w:tcPr>
          <w:p w14:paraId="4281EF81">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投标人认为本表中未能包括的其他必要费用</w:t>
            </w:r>
          </w:p>
        </w:tc>
        <w:tc>
          <w:tcPr>
            <w:tcW w:w="1275" w:type="dxa"/>
            <w:vAlign w:val="center"/>
          </w:tcPr>
          <w:p w14:paraId="6729847E">
            <w:pPr>
              <w:widowControl/>
              <w:jc w:val="center"/>
              <w:textAlignment w:val="center"/>
              <w:rPr>
                <w:rFonts w:ascii="宋体" w:hAnsi="宋体" w:eastAsia="宋体" w:cs="宋体"/>
                <w:color w:val="000000"/>
                <w:kern w:val="0"/>
                <w:sz w:val="22"/>
                <w:szCs w:val="22"/>
                <w:lang w:bidi="ar"/>
              </w:rPr>
            </w:pPr>
          </w:p>
        </w:tc>
        <w:tc>
          <w:tcPr>
            <w:tcW w:w="785" w:type="dxa"/>
            <w:vAlign w:val="center"/>
          </w:tcPr>
          <w:p w14:paraId="3CE77CEA">
            <w:pPr>
              <w:widowControl/>
              <w:jc w:val="center"/>
              <w:textAlignment w:val="center"/>
              <w:rPr>
                <w:rFonts w:ascii="宋体" w:hAnsi="宋体" w:eastAsia="宋体" w:cs="宋体"/>
                <w:color w:val="000000"/>
                <w:kern w:val="0"/>
                <w:sz w:val="22"/>
                <w:szCs w:val="22"/>
                <w:lang w:bidi="ar"/>
              </w:rPr>
            </w:pPr>
          </w:p>
        </w:tc>
      </w:tr>
      <w:tr w14:paraId="79D01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26" w:type="dxa"/>
            <w:vAlign w:val="center"/>
          </w:tcPr>
          <w:p w14:paraId="57074415">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4</w:t>
            </w:r>
          </w:p>
        </w:tc>
        <w:tc>
          <w:tcPr>
            <w:tcW w:w="1595" w:type="dxa"/>
            <w:shd w:val="clear" w:color="auto" w:fill="auto"/>
            <w:vAlign w:val="center"/>
          </w:tcPr>
          <w:p w14:paraId="2CD1B805">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利润</w:t>
            </w:r>
          </w:p>
        </w:tc>
        <w:tc>
          <w:tcPr>
            <w:tcW w:w="4678" w:type="dxa"/>
            <w:shd w:val="clear" w:color="auto" w:fill="auto"/>
            <w:vAlign w:val="center"/>
          </w:tcPr>
          <w:p w14:paraId="6036884D">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按（1+2+3）的%计取</w:t>
            </w:r>
          </w:p>
        </w:tc>
        <w:tc>
          <w:tcPr>
            <w:tcW w:w="1275" w:type="dxa"/>
            <w:vAlign w:val="center"/>
          </w:tcPr>
          <w:p w14:paraId="071AD2D4">
            <w:pPr>
              <w:widowControl/>
              <w:jc w:val="center"/>
              <w:textAlignment w:val="center"/>
              <w:rPr>
                <w:rFonts w:ascii="宋体" w:hAnsi="宋体" w:eastAsia="宋体" w:cs="宋体"/>
                <w:color w:val="000000"/>
                <w:kern w:val="0"/>
                <w:sz w:val="22"/>
                <w:szCs w:val="22"/>
                <w:lang w:bidi="ar"/>
              </w:rPr>
            </w:pPr>
          </w:p>
        </w:tc>
        <w:tc>
          <w:tcPr>
            <w:tcW w:w="785" w:type="dxa"/>
            <w:vAlign w:val="center"/>
          </w:tcPr>
          <w:p w14:paraId="222DFCC9">
            <w:pPr>
              <w:widowControl/>
              <w:jc w:val="center"/>
              <w:textAlignment w:val="center"/>
              <w:rPr>
                <w:rFonts w:ascii="宋体" w:hAnsi="宋体" w:eastAsia="宋体" w:cs="宋体"/>
                <w:color w:val="000000"/>
                <w:kern w:val="0"/>
                <w:sz w:val="22"/>
                <w:szCs w:val="22"/>
                <w:lang w:bidi="ar"/>
              </w:rPr>
            </w:pPr>
          </w:p>
        </w:tc>
      </w:tr>
      <w:tr w14:paraId="7C02D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26" w:type="dxa"/>
            <w:vAlign w:val="center"/>
          </w:tcPr>
          <w:p w14:paraId="07B25A3D">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5</w:t>
            </w:r>
          </w:p>
        </w:tc>
        <w:tc>
          <w:tcPr>
            <w:tcW w:w="1595" w:type="dxa"/>
            <w:shd w:val="clear" w:color="auto" w:fill="auto"/>
            <w:vAlign w:val="center"/>
          </w:tcPr>
          <w:p w14:paraId="7FCCD40F">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税金</w:t>
            </w:r>
          </w:p>
        </w:tc>
        <w:tc>
          <w:tcPr>
            <w:tcW w:w="4678" w:type="dxa"/>
            <w:shd w:val="clear" w:color="auto" w:fill="auto"/>
            <w:vAlign w:val="center"/>
          </w:tcPr>
          <w:p w14:paraId="616E9E6E">
            <w:pPr>
              <w:widowControl/>
              <w:jc w:val="center"/>
              <w:textAlignment w:val="center"/>
              <w:rPr>
                <w:rFonts w:ascii="宋体" w:hAnsi="宋体" w:eastAsia="宋体" w:cs="宋体"/>
                <w:color w:val="000000"/>
                <w:kern w:val="0"/>
                <w:sz w:val="22"/>
                <w:szCs w:val="22"/>
                <w:lang w:bidi="ar"/>
              </w:rPr>
            </w:pPr>
            <w:r>
              <w:rPr>
                <w:rFonts w:ascii="宋体" w:hAnsi="宋体" w:eastAsia="宋体" w:cs="宋体"/>
                <w:color w:val="000000"/>
                <w:kern w:val="0"/>
                <w:sz w:val="22"/>
                <w:szCs w:val="22"/>
                <w:lang w:bidi="ar"/>
              </w:rPr>
              <w:t>按国家及上海市规定缴纳</w:t>
            </w:r>
          </w:p>
        </w:tc>
        <w:tc>
          <w:tcPr>
            <w:tcW w:w="1275" w:type="dxa"/>
            <w:vAlign w:val="center"/>
          </w:tcPr>
          <w:p w14:paraId="68F47AE3">
            <w:pPr>
              <w:widowControl/>
              <w:jc w:val="center"/>
              <w:textAlignment w:val="center"/>
              <w:rPr>
                <w:rFonts w:ascii="宋体" w:hAnsi="宋体" w:eastAsia="宋体" w:cs="宋体"/>
                <w:color w:val="000000"/>
                <w:kern w:val="0"/>
                <w:sz w:val="22"/>
                <w:szCs w:val="22"/>
                <w:lang w:bidi="ar"/>
              </w:rPr>
            </w:pPr>
          </w:p>
        </w:tc>
        <w:tc>
          <w:tcPr>
            <w:tcW w:w="785" w:type="dxa"/>
            <w:vAlign w:val="center"/>
          </w:tcPr>
          <w:p w14:paraId="46337223">
            <w:pPr>
              <w:widowControl/>
              <w:jc w:val="center"/>
              <w:textAlignment w:val="center"/>
              <w:rPr>
                <w:rFonts w:ascii="宋体" w:hAnsi="宋体" w:eastAsia="宋体" w:cs="宋体"/>
                <w:color w:val="000000"/>
                <w:kern w:val="0"/>
                <w:sz w:val="22"/>
                <w:szCs w:val="22"/>
                <w:lang w:bidi="ar"/>
              </w:rPr>
            </w:pPr>
          </w:p>
        </w:tc>
      </w:tr>
      <w:tr w14:paraId="55145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699" w:type="dxa"/>
            <w:gridSpan w:val="3"/>
            <w:vAlign w:val="center"/>
          </w:tcPr>
          <w:p w14:paraId="511F2971">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投标总价</w:t>
            </w:r>
          </w:p>
        </w:tc>
        <w:tc>
          <w:tcPr>
            <w:tcW w:w="1275" w:type="dxa"/>
            <w:vAlign w:val="center"/>
          </w:tcPr>
          <w:p w14:paraId="5B6A6C8B">
            <w:pPr>
              <w:widowControl/>
              <w:jc w:val="center"/>
              <w:textAlignment w:val="center"/>
              <w:rPr>
                <w:rFonts w:ascii="宋体" w:hAnsi="宋体" w:eastAsia="宋体" w:cs="宋体"/>
                <w:color w:val="000000"/>
                <w:kern w:val="0"/>
                <w:sz w:val="22"/>
                <w:szCs w:val="22"/>
                <w:lang w:bidi="ar"/>
              </w:rPr>
            </w:pPr>
          </w:p>
        </w:tc>
        <w:tc>
          <w:tcPr>
            <w:tcW w:w="785" w:type="dxa"/>
            <w:vAlign w:val="center"/>
          </w:tcPr>
          <w:p w14:paraId="0FB5A790">
            <w:pPr>
              <w:widowControl/>
              <w:jc w:val="center"/>
              <w:textAlignment w:val="center"/>
              <w:rPr>
                <w:rFonts w:ascii="宋体" w:hAnsi="宋体" w:eastAsia="宋体" w:cs="宋体"/>
                <w:color w:val="000000"/>
                <w:kern w:val="0"/>
                <w:sz w:val="22"/>
                <w:szCs w:val="22"/>
                <w:lang w:bidi="ar"/>
              </w:rPr>
            </w:pPr>
          </w:p>
        </w:tc>
      </w:tr>
    </w:tbl>
    <w:p w14:paraId="37045A04">
      <w:pPr>
        <w:tabs>
          <w:tab w:val="left" w:pos="3060"/>
        </w:tabs>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bCs/>
          <w:sz w:val="22"/>
          <w:szCs w:val="22"/>
        </w:rPr>
        <w:t>备注：投标人应按照服务项目的特点和性质，分项说明并计算出本项目范围内各人员费用的组成。成本测算和列项要求完整、成本分析依据充分，人员、材料经费测算合理。</w:t>
      </w:r>
    </w:p>
    <w:p w14:paraId="4370BB73">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38" w:name="_Toc21560"/>
      <w:r>
        <w:rPr>
          <w:rFonts w:ascii="Times New Roman" w:hAnsi="Times New Roman" w:eastAsia="宋体" w:cs="Times New Roman"/>
          <w:b/>
          <w:color w:val="000000"/>
          <w:sz w:val="22"/>
          <w:szCs w:val="22"/>
        </w:rPr>
        <w:t>14</w:t>
      </w:r>
      <w:r>
        <w:rPr>
          <w:rFonts w:hint="eastAsia" w:ascii="Times New Roman" w:hAnsi="Times New Roman" w:eastAsia="宋体" w:cs="Times New Roman"/>
          <w:b/>
          <w:color w:val="000000"/>
          <w:sz w:val="22"/>
          <w:szCs w:val="22"/>
        </w:rPr>
        <w:t xml:space="preserve"> </w:t>
      </w:r>
      <w:r>
        <w:rPr>
          <w:rFonts w:ascii="Times New Roman" w:hAnsi="Times New Roman" w:eastAsia="宋体" w:cs="Times New Roman"/>
          <w:b/>
          <w:color w:val="000000"/>
          <w:sz w:val="22"/>
          <w:szCs w:val="22"/>
        </w:rPr>
        <w:t>投标报价控制性条款</w:t>
      </w:r>
      <w:bookmarkEnd w:id="38"/>
    </w:p>
    <w:p w14:paraId="3B476497">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14.1 投标报价不得超过公布的预算金额</w:t>
      </w:r>
      <w:r>
        <w:rPr>
          <w:rFonts w:hint="eastAsia" w:ascii="Times New Roman" w:hAnsi="Times New Roman" w:eastAsia="宋体" w:cs="Times New Roman"/>
          <w:color w:val="000000"/>
          <w:sz w:val="22"/>
          <w:szCs w:val="22"/>
        </w:rPr>
        <w:t>或最高限价</w:t>
      </w:r>
      <w:r>
        <w:rPr>
          <w:rFonts w:ascii="Times New Roman" w:hAnsi="Times New Roman" w:eastAsia="宋体" w:cs="Times New Roman"/>
          <w:color w:val="000000"/>
          <w:sz w:val="22"/>
          <w:szCs w:val="22"/>
        </w:rPr>
        <w:t>，其中各年度或各分项报价（如有要求）均不得超过对应的预算金额</w:t>
      </w:r>
      <w:r>
        <w:rPr>
          <w:rFonts w:hint="eastAsia" w:ascii="Times New Roman" w:hAnsi="Times New Roman" w:eastAsia="宋体" w:cs="Times New Roman"/>
          <w:color w:val="000000"/>
          <w:sz w:val="22"/>
          <w:szCs w:val="22"/>
        </w:rPr>
        <w:t>或最高限价</w:t>
      </w:r>
      <w:r>
        <w:rPr>
          <w:rFonts w:ascii="Times New Roman" w:hAnsi="Times New Roman" w:eastAsia="宋体" w:cs="Times New Roman"/>
          <w:color w:val="000000"/>
          <w:sz w:val="22"/>
          <w:szCs w:val="22"/>
        </w:rPr>
        <w:t>。</w:t>
      </w:r>
    </w:p>
    <w:p w14:paraId="791C15D5">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14.2 本项目只允许有一个报价，任何有选择的报价将不予接受。</w:t>
      </w:r>
    </w:p>
    <w:p w14:paraId="528184DF">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14.3 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14:paraId="6C7393F7">
      <w:pPr>
        <w:adjustRightInd w:val="0"/>
        <w:snapToGrid w:val="0"/>
        <w:spacing w:line="300" w:lineRule="auto"/>
        <w:ind w:firstLine="442" w:firstLineChars="200"/>
        <w:jc w:val="left"/>
        <w:rPr>
          <w:rFonts w:ascii="Times New Roman" w:hAnsi="Times New Roman" w:eastAsia="宋体" w:cs="Times New Roman"/>
          <w:color w:val="000000"/>
          <w:sz w:val="22"/>
          <w:szCs w:val="22"/>
        </w:rPr>
      </w:pPr>
      <w:r>
        <w:rPr>
          <w:rFonts w:ascii="宋体" w:hAnsi="宋体" w:eastAsia="宋体" w:cs="Times New Roman"/>
          <w:b/>
          <w:bCs/>
          <w:kern w:val="0"/>
          <w:sz w:val="22"/>
          <w:szCs w:val="22"/>
        </w:rPr>
        <w:t>★</w:t>
      </w:r>
      <w:r>
        <w:rPr>
          <w:rFonts w:ascii="Times New Roman" w:hAnsi="Times New Roman" w:eastAsia="宋体" w:cs="Times New Roman"/>
          <w:color w:val="000000"/>
          <w:sz w:val="22"/>
          <w:szCs w:val="22"/>
        </w:rPr>
        <w:t>14.4 经评标委员会审定，投标报价存在下列情形之一的，该投标文件作无效标处理：</w:t>
      </w:r>
    </w:p>
    <w:p w14:paraId="17BD7C49">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14.4.1 对岗位设置一览表中的</w:t>
      </w:r>
      <w:r>
        <w:rPr>
          <w:rFonts w:ascii="Times New Roman" w:hAnsi="Times New Roman" w:eastAsia="宋体" w:cs="Times New Roman"/>
          <w:sz w:val="22"/>
          <w:szCs w:val="22"/>
        </w:rPr>
        <w:t>岗位配置数进行缩减的</w:t>
      </w:r>
      <w:r>
        <w:rPr>
          <w:rFonts w:ascii="Times New Roman" w:hAnsi="Times New Roman" w:eastAsia="宋体" w:cs="Times New Roman"/>
          <w:color w:val="000000"/>
          <w:sz w:val="22"/>
          <w:szCs w:val="22"/>
        </w:rPr>
        <w:t>；</w:t>
      </w:r>
    </w:p>
    <w:p w14:paraId="2C102CA6">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14.4.2 投标报价和技术方案明显不相符的</w:t>
      </w:r>
      <w:r>
        <w:rPr>
          <w:rFonts w:hint="eastAsia" w:ascii="Times New Roman" w:hAnsi="Times New Roman" w:eastAsia="宋体" w:cs="Times New Roman"/>
          <w:color w:val="000000"/>
          <w:sz w:val="22"/>
          <w:szCs w:val="22"/>
        </w:rPr>
        <w:t>。</w:t>
      </w:r>
    </w:p>
    <w:p w14:paraId="014AC059">
      <w:pPr>
        <w:adjustRightInd w:val="0"/>
        <w:snapToGrid w:val="0"/>
        <w:spacing w:line="300" w:lineRule="auto"/>
        <w:ind w:firstLine="440" w:firstLineChars="200"/>
        <w:jc w:val="left"/>
        <w:rPr>
          <w:rFonts w:ascii="Times New Roman" w:hAnsi="Times New Roman" w:eastAsia="宋体" w:cs="Times New Roman"/>
          <w:color w:val="000000"/>
          <w:sz w:val="22"/>
          <w:szCs w:val="22"/>
        </w:rPr>
      </w:pPr>
    </w:p>
    <w:p w14:paraId="20E16182">
      <w:pPr>
        <w:adjustRightInd w:val="0"/>
        <w:snapToGrid w:val="0"/>
        <w:spacing w:line="300" w:lineRule="auto"/>
        <w:ind w:firstLine="442" w:firstLineChars="200"/>
        <w:jc w:val="left"/>
        <w:outlineLvl w:val="1"/>
        <w:rPr>
          <w:rFonts w:ascii="Times New Roman" w:hAnsi="Times New Roman" w:eastAsia="宋体" w:cs="Times New Roman"/>
          <w:b/>
          <w:bCs/>
          <w:color w:val="000000"/>
          <w:sz w:val="22"/>
          <w:szCs w:val="22"/>
        </w:rPr>
      </w:pPr>
      <w:bookmarkStart w:id="39" w:name="_Toc10549"/>
      <w:r>
        <w:rPr>
          <w:rFonts w:hint="eastAsia" w:ascii="Times New Roman" w:hAnsi="Times New Roman" w:eastAsia="宋体" w:cs="Times New Roman"/>
          <w:b/>
          <w:bCs/>
          <w:color w:val="000000"/>
          <w:sz w:val="22"/>
          <w:szCs w:val="22"/>
        </w:rPr>
        <w:t>包件2：上海市浦东新区机场社区卫生服务中心物业管理</w:t>
      </w:r>
      <w:bookmarkEnd w:id="39"/>
    </w:p>
    <w:p w14:paraId="09048155">
      <w:pPr>
        <w:adjustRightInd w:val="0"/>
        <w:snapToGrid w:val="0"/>
        <w:spacing w:line="300" w:lineRule="auto"/>
        <w:jc w:val="center"/>
        <w:outlineLvl w:val="1"/>
        <w:rPr>
          <w:rFonts w:ascii="Times New Roman" w:hAnsi="Times New Roman" w:eastAsia="黑体" w:cs="Times New Roman"/>
          <w:b/>
          <w:bCs/>
          <w:sz w:val="30"/>
          <w:szCs w:val="30"/>
        </w:rPr>
      </w:pPr>
      <w:bookmarkStart w:id="40" w:name="_Toc14621"/>
      <w:r>
        <w:rPr>
          <w:rFonts w:ascii="Times New Roman" w:hAnsi="Times New Roman" w:eastAsia="黑体" w:cs="Times New Roman"/>
          <w:b/>
          <w:bCs/>
          <w:sz w:val="30"/>
          <w:szCs w:val="30"/>
        </w:rPr>
        <w:t>二、项目概况</w:t>
      </w:r>
      <w:bookmarkEnd w:id="40"/>
    </w:p>
    <w:p w14:paraId="0BAC992A">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41" w:name="_Toc27066"/>
      <w:r>
        <w:rPr>
          <w:rFonts w:ascii="Times New Roman" w:hAnsi="Times New Roman" w:eastAsia="宋体" w:cs="Times New Roman"/>
          <w:b/>
          <w:bCs/>
          <w:sz w:val="22"/>
          <w:szCs w:val="22"/>
        </w:rPr>
        <w:t xml:space="preserve">2 </w:t>
      </w:r>
      <w:r>
        <w:rPr>
          <w:rFonts w:hint="eastAsia" w:ascii="Times New Roman" w:hAnsi="Times New Roman" w:eastAsia="宋体" w:cs="Times New Roman"/>
          <w:b/>
          <w:bCs/>
          <w:sz w:val="22"/>
          <w:szCs w:val="22"/>
        </w:rPr>
        <w:t>包</w:t>
      </w:r>
      <w:r>
        <w:rPr>
          <w:rFonts w:ascii="Times New Roman" w:hAnsi="Times New Roman" w:eastAsia="宋体" w:cs="Times New Roman"/>
          <w:b/>
          <w:bCs/>
          <w:sz w:val="22"/>
          <w:szCs w:val="22"/>
        </w:rPr>
        <w:t>名称</w:t>
      </w:r>
      <w:bookmarkEnd w:id="41"/>
    </w:p>
    <w:p w14:paraId="4D94738D">
      <w:pPr>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包</w:t>
      </w:r>
      <w:r>
        <w:rPr>
          <w:rFonts w:ascii="Times New Roman" w:hAnsi="Times New Roman" w:eastAsia="宋体" w:cs="Times New Roman"/>
          <w:bCs/>
          <w:sz w:val="22"/>
          <w:szCs w:val="22"/>
        </w:rPr>
        <w:t>名称：</w:t>
      </w:r>
      <w:r>
        <w:rPr>
          <w:rFonts w:hint="eastAsia" w:ascii="Times New Roman" w:hAnsi="Times New Roman" w:eastAsia="宋体" w:cs="Times New Roman"/>
          <w:bCs/>
          <w:sz w:val="22"/>
          <w:szCs w:val="22"/>
        </w:rPr>
        <w:t>上海市浦东新区机场社区卫生服务中心物业管理</w:t>
      </w:r>
    </w:p>
    <w:p w14:paraId="5B1A1362">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42" w:name="_Toc20503"/>
      <w:r>
        <w:rPr>
          <w:rFonts w:ascii="Times New Roman" w:hAnsi="Times New Roman" w:eastAsia="宋体" w:cs="Times New Roman"/>
          <w:b/>
          <w:bCs/>
          <w:sz w:val="22"/>
          <w:szCs w:val="22"/>
        </w:rPr>
        <w:t>3</w:t>
      </w:r>
      <w:r>
        <w:rPr>
          <w:rFonts w:hint="eastAsia" w:ascii="Times New Roman" w:hAnsi="Times New Roman" w:eastAsia="宋体" w:cs="Times New Roman"/>
          <w:b/>
          <w:bCs/>
          <w:sz w:val="22"/>
          <w:szCs w:val="22"/>
        </w:rPr>
        <w:t xml:space="preserve"> </w:t>
      </w:r>
      <w:r>
        <w:rPr>
          <w:rFonts w:ascii="Times New Roman" w:hAnsi="Times New Roman" w:eastAsia="宋体" w:cs="Times New Roman"/>
          <w:b/>
          <w:bCs/>
          <w:sz w:val="22"/>
          <w:szCs w:val="22"/>
        </w:rPr>
        <w:t>物业基本情况</w:t>
      </w:r>
      <w:bookmarkEnd w:id="42"/>
    </w:p>
    <w:p w14:paraId="126752D1">
      <w:pPr>
        <w:adjustRightInd w:val="0"/>
        <w:snapToGrid w:val="0"/>
        <w:spacing w:line="300" w:lineRule="auto"/>
        <w:ind w:firstLine="440" w:firstLineChars="200"/>
        <w:rPr>
          <w:rFonts w:ascii="Times New Roman" w:hAnsi="Times New Roman" w:eastAsia="宋体" w:cs="Times New Roman"/>
          <w:sz w:val="22"/>
          <w:szCs w:val="22"/>
        </w:rPr>
      </w:pPr>
      <w:r>
        <w:rPr>
          <w:rFonts w:ascii="Times New Roman" w:hAnsi="Times New Roman" w:eastAsia="宋体" w:cs="Times New Roman"/>
          <w:sz w:val="22"/>
          <w:szCs w:val="22"/>
        </w:rPr>
        <w:t>物业类型：</w:t>
      </w:r>
      <w:r>
        <w:rPr>
          <w:rFonts w:hint="eastAsia" w:ascii="Times New Roman" w:hAnsi="Times New Roman" w:eastAsia="宋体" w:cs="Times New Roman"/>
          <w:sz w:val="22"/>
          <w:szCs w:val="22"/>
        </w:rPr>
        <w:t>医院</w:t>
      </w:r>
    </w:p>
    <w:p w14:paraId="015ED009">
      <w:pPr>
        <w:adjustRightInd w:val="0"/>
        <w:snapToGrid w:val="0"/>
        <w:spacing w:line="300" w:lineRule="auto"/>
        <w:ind w:firstLine="440" w:firstLineChars="200"/>
        <w:rPr>
          <w:rFonts w:ascii="Times New Roman" w:hAnsi="Times New Roman" w:eastAsia="宋体" w:cs="Times New Roman"/>
          <w:sz w:val="22"/>
          <w:szCs w:val="22"/>
        </w:rPr>
      </w:pPr>
      <w:r>
        <w:rPr>
          <w:rFonts w:hint="eastAsia" w:ascii="Times New Roman" w:hAnsi="Times New Roman" w:eastAsia="宋体" w:cs="Times New Roman"/>
          <w:sz w:val="22"/>
          <w:szCs w:val="22"/>
        </w:rPr>
        <w:t>详细地址</w:t>
      </w:r>
      <w:r>
        <w:rPr>
          <w:rFonts w:ascii="Times New Roman" w:hAnsi="Times New Roman" w:eastAsia="宋体" w:cs="Times New Roman"/>
          <w:sz w:val="22"/>
          <w:szCs w:val="22"/>
        </w:rPr>
        <w:t>：</w:t>
      </w:r>
      <w:r>
        <w:rPr>
          <w:rFonts w:hint="eastAsia" w:ascii="Times New Roman" w:hAnsi="Times New Roman" w:eastAsia="宋体" w:cs="Times New Roman"/>
          <w:sz w:val="22"/>
          <w:szCs w:val="22"/>
        </w:rPr>
        <w:t>川南奉公路3385号。</w:t>
      </w:r>
    </w:p>
    <w:p w14:paraId="06F2D9F1">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43" w:name="_Toc10456"/>
      <w:r>
        <w:rPr>
          <w:rFonts w:ascii="Times New Roman" w:hAnsi="Times New Roman" w:eastAsia="宋体" w:cs="Times New Roman"/>
          <w:b/>
          <w:color w:val="000000"/>
          <w:sz w:val="22"/>
          <w:szCs w:val="22"/>
        </w:rPr>
        <w:t>4 招标范围与内容</w:t>
      </w:r>
      <w:bookmarkEnd w:id="43"/>
    </w:p>
    <w:p w14:paraId="100E2001">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4.1 项目背景及现状</w:t>
      </w:r>
    </w:p>
    <w:p w14:paraId="7E74BA95">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上海市浦东新区机场社区卫生服务中心为辖区提供预防、保健、医疗、康复、健康教育、计划生育六位一体服务。</w:t>
      </w:r>
    </w:p>
    <w:p w14:paraId="53DB1A33">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4.2 项目招标范围及内容</w:t>
      </w:r>
    </w:p>
    <w:p w14:paraId="182DB540">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上海市浦东新区机场社区卫生服务中心物业管理，主要包括综合管理、保洁服务、维修服务、工勤服务、食堂管理及绿化养护服务等。</w:t>
      </w:r>
    </w:p>
    <w:p w14:paraId="085F0546">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4.3 本项目服务期限：</w:t>
      </w:r>
      <w:r>
        <w:rPr>
          <w:rFonts w:hint="eastAsia" w:ascii="Times New Roman" w:hAnsi="Times New Roman" w:eastAsia="宋体" w:cs="Times New Roman"/>
          <w:sz w:val="22"/>
          <w:szCs w:val="22"/>
        </w:rPr>
        <w:t>本项目一招三年，合同一年一签。第一年服务期满，经采购人考核合格后，双方可以续签合同，服务期限具体起始时间以合同签订日期为准。</w:t>
      </w:r>
    </w:p>
    <w:p w14:paraId="64356605">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44" w:name="_Toc23995"/>
      <w:r>
        <w:rPr>
          <w:rFonts w:ascii="Times New Roman" w:hAnsi="Times New Roman" w:eastAsia="宋体" w:cs="Times New Roman"/>
          <w:b/>
          <w:color w:val="000000"/>
          <w:sz w:val="22"/>
          <w:szCs w:val="22"/>
        </w:rPr>
        <w:t>5 承包方式</w:t>
      </w:r>
      <w:bookmarkEnd w:id="44"/>
    </w:p>
    <w:p w14:paraId="7953741E">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color w:val="000000"/>
          <w:sz w:val="22"/>
          <w:szCs w:val="22"/>
        </w:rPr>
        <w:t>5.1 依照本项目的招标范围和内容，中标人以</w:t>
      </w:r>
      <w:r>
        <w:rPr>
          <w:rFonts w:ascii="Times New Roman" w:hAnsi="Times New Roman" w:eastAsia="宋体" w:cs="Times New Roman"/>
          <w:b/>
          <w:color w:val="FF0000"/>
          <w:kern w:val="0"/>
          <w:sz w:val="22"/>
          <w:szCs w:val="22"/>
          <w:u w:val="single"/>
        </w:rPr>
        <w:t>“清包”</w:t>
      </w:r>
      <w:r>
        <w:rPr>
          <w:rFonts w:ascii="Times New Roman" w:hAnsi="Times New Roman" w:eastAsia="宋体" w:cs="Times New Roman"/>
          <w:color w:val="000000"/>
          <w:sz w:val="22"/>
          <w:szCs w:val="22"/>
        </w:rPr>
        <w:t>方式实施服务管理承包。“清包”的含义指：采购人按双方约定的服</w:t>
      </w:r>
      <w:r>
        <w:rPr>
          <w:rFonts w:ascii="Times New Roman" w:hAnsi="Times New Roman" w:eastAsia="宋体" w:cs="Times New Roman"/>
          <w:sz w:val="22"/>
          <w:szCs w:val="22"/>
        </w:rPr>
        <w:t>务人数，</w:t>
      </w:r>
      <w:r>
        <w:rPr>
          <w:rFonts w:hint="eastAsia" w:ascii="Calibri" w:hAnsi="Calibri" w:eastAsia="宋体" w:cs="Times New Roman"/>
          <w:szCs w:val="22"/>
        </w:rPr>
        <w:t>每季度向中标人支付管理服务费</w:t>
      </w:r>
      <w:r>
        <w:rPr>
          <w:rFonts w:ascii="Times New Roman" w:hAnsi="Times New Roman" w:eastAsia="宋体" w:cs="Times New Roman"/>
          <w:sz w:val="22"/>
          <w:szCs w:val="22"/>
        </w:rPr>
        <w:t>。项目过程中所发生的水电气等能耗，设备添置、维修、保养等费用均由采购人承担。</w:t>
      </w:r>
    </w:p>
    <w:tbl>
      <w:tblPr>
        <w:tblStyle w:val="2"/>
        <w:tblW w:w="9809" w:type="dxa"/>
        <w:jc w:val="center"/>
        <w:tblLayout w:type="autofit"/>
        <w:tblCellMar>
          <w:top w:w="0" w:type="dxa"/>
          <w:left w:w="108" w:type="dxa"/>
          <w:bottom w:w="0" w:type="dxa"/>
          <w:right w:w="108" w:type="dxa"/>
        </w:tblCellMar>
      </w:tblPr>
      <w:tblGrid>
        <w:gridCol w:w="761"/>
        <w:gridCol w:w="2500"/>
        <w:gridCol w:w="960"/>
        <w:gridCol w:w="960"/>
        <w:gridCol w:w="4628"/>
      </w:tblGrid>
      <w:tr w14:paraId="3F5F4B73">
        <w:tblPrEx>
          <w:tblCellMar>
            <w:top w:w="0" w:type="dxa"/>
            <w:left w:w="108" w:type="dxa"/>
            <w:bottom w:w="0" w:type="dxa"/>
            <w:right w:w="108" w:type="dxa"/>
          </w:tblCellMar>
        </w:tblPrEx>
        <w:trPr>
          <w:trHeight w:val="23" w:hRule="atLeast"/>
          <w:tblHeader/>
          <w:jc w:val="center"/>
        </w:trPr>
        <w:tc>
          <w:tcPr>
            <w:tcW w:w="761"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0F70FCF7">
            <w:pPr>
              <w:widowControl/>
              <w:jc w:val="center"/>
              <w:rPr>
                <w:rFonts w:ascii="Times New Roman" w:hAnsi="Times New Roman" w:eastAsia="宋体" w:cs="Times New Roman"/>
                <w:b/>
                <w:color w:val="000000"/>
                <w:kern w:val="0"/>
                <w:sz w:val="22"/>
                <w:szCs w:val="22"/>
              </w:rPr>
            </w:pPr>
            <w:r>
              <w:rPr>
                <w:rFonts w:ascii="Times New Roman" w:hAnsi="Times New Roman" w:eastAsia="宋体" w:cs="Times New Roman"/>
                <w:b/>
                <w:color w:val="000000"/>
                <w:kern w:val="0"/>
                <w:sz w:val="22"/>
                <w:szCs w:val="22"/>
              </w:rPr>
              <w:t>序号</w:t>
            </w:r>
          </w:p>
        </w:tc>
        <w:tc>
          <w:tcPr>
            <w:tcW w:w="250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076CC4D7">
            <w:pPr>
              <w:widowControl/>
              <w:jc w:val="center"/>
              <w:rPr>
                <w:rFonts w:ascii="Times New Roman" w:hAnsi="Times New Roman" w:eastAsia="宋体" w:cs="Times New Roman"/>
                <w:b/>
                <w:color w:val="000000"/>
                <w:kern w:val="0"/>
                <w:sz w:val="22"/>
                <w:szCs w:val="22"/>
              </w:rPr>
            </w:pPr>
            <w:r>
              <w:rPr>
                <w:rFonts w:ascii="Times New Roman" w:hAnsi="Times New Roman" w:eastAsia="宋体" w:cs="Times New Roman"/>
                <w:b/>
                <w:color w:val="000000"/>
                <w:kern w:val="0"/>
                <w:sz w:val="22"/>
                <w:szCs w:val="22"/>
              </w:rPr>
              <w:t>内容</w:t>
            </w:r>
          </w:p>
        </w:tc>
        <w:tc>
          <w:tcPr>
            <w:tcW w:w="1920" w:type="dxa"/>
            <w:gridSpan w:val="2"/>
            <w:tcBorders>
              <w:top w:val="single" w:color="auto" w:sz="4" w:space="0"/>
              <w:left w:val="nil"/>
              <w:bottom w:val="single" w:color="auto" w:sz="4" w:space="0"/>
              <w:right w:val="single" w:color="auto" w:sz="4" w:space="0"/>
            </w:tcBorders>
            <w:shd w:val="clear" w:color="auto" w:fill="auto"/>
            <w:noWrap/>
            <w:vAlign w:val="center"/>
          </w:tcPr>
          <w:p w14:paraId="169A8114">
            <w:pPr>
              <w:widowControl/>
              <w:jc w:val="center"/>
              <w:rPr>
                <w:rFonts w:ascii="Times New Roman" w:hAnsi="Times New Roman" w:eastAsia="宋体" w:cs="Times New Roman"/>
                <w:b/>
                <w:color w:val="000000"/>
                <w:kern w:val="0"/>
                <w:sz w:val="22"/>
                <w:szCs w:val="22"/>
              </w:rPr>
            </w:pPr>
            <w:r>
              <w:rPr>
                <w:rFonts w:ascii="Times New Roman" w:hAnsi="Times New Roman" w:eastAsia="宋体" w:cs="Times New Roman"/>
                <w:b/>
                <w:color w:val="000000"/>
                <w:kern w:val="0"/>
                <w:sz w:val="22"/>
                <w:szCs w:val="22"/>
              </w:rPr>
              <w:t>提供方</w:t>
            </w:r>
          </w:p>
        </w:tc>
        <w:tc>
          <w:tcPr>
            <w:tcW w:w="462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D43F83E">
            <w:pPr>
              <w:widowControl/>
              <w:jc w:val="center"/>
              <w:rPr>
                <w:rFonts w:ascii="Times New Roman" w:hAnsi="Times New Roman" w:eastAsia="宋体" w:cs="Times New Roman"/>
                <w:b/>
                <w:color w:val="000000"/>
                <w:kern w:val="0"/>
                <w:sz w:val="22"/>
                <w:szCs w:val="22"/>
              </w:rPr>
            </w:pPr>
            <w:r>
              <w:rPr>
                <w:rFonts w:ascii="Times New Roman" w:hAnsi="Times New Roman" w:eastAsia="宋体" w:cs="Times New Roman"/>
                <w:b/>
                <w:color w:val="000000"/>
                <w:kern w:val="0"/>
                <w:sz w:val="22"/>
                <w:szCs w:val="22"/>
              </w:rPr>
              <w:t>备注</w:t>
            </w:r>
          </w:p>
        </w:tc>
      </w:tr>
      <w:tr w14:paraId="3D723F8A">
        <w:tblPrEx>
          <w:tblCellMar>
            <w:top w:w="0" w:type="dxa"/>
            <w:left w:w="108" w:type="dxa"/>
            <w:bottom w:w="0" w:type="dxa"/>
            <w:right w:w="108" w:type="dxa"/>
          </w:tblCellMar>
        </w:tblPrEx>
        <w:trPr>
          <w:trHeight w:val="23" w:hRule="atLeast"/>
          <w:tblHeader/>
          <w:jc w:val="center"/>
        </w:trPr>
        <w:tc>
          <w:tcPr>
            <w:tcW w:w="761" w:type="dxa"/>
            <w:vMerge w:val="continue"/>
            <w:tcBorders>
              <w:top w:val="single" w:color="auto" w:sz="4" w:space="0"/>
              <w:left w:val="single" w:color="auto" w:sz="4" w:space="0"/>
              <w:bottom w:val="single" w:color="auto" w:sz="4" w:space="0"/>
              <w:right w:val="single" w:color="auto" w:sz="4" w:space="0"/>
            </w:tcBorders>
            <w:vAlign w:val="center"/>
          </w:tcPr>
          <w:p w14:paraId="25B49B3A">
            <w:pPr>
              <w:widowControl/>
              <w:jc w:val="center"/>
              <w:rPr>
                <w:rFonts w:ascii="Times New Roman" w:hAnsi="Times New Roman" w:eastAsia="宋体" w:cs="Times New Roman"/>
                <w:color w:val="000000"/>
                <w:kern w:val="0"/>
                <w:sz w:val="22"/>
                <w:szCs w:val="22"/>
              </w:rPr>
            </w:pPr>
          </w:p>
        </w:tc>
        <w:tc>
          <w:tcPr>
            <w:tcW w:w="2500" w:type="dxa"/>
            <w:vMerge w:val="continue"/>
            <w:tcBorders>
              <w:top w:val="single" w:color="auto" w:sz="4" w:space="0"/>
              <w:left w:val="single" w:color="auto" w:sz="4" w:space="0"/>
              <w:bottom w:val="single" w:color="auto" w:sz="4" w:space="0"/>
              <w:right w:val="single" w:color="auto" w:sz="4" w:space="0"/>
            </w:tcBorders>
            <w:vAlign w:val="center"/>
          </w:tcPr>
          <w:p w14:paraId="557162EB">
            <w:pPr>
              <w:widowControl/>
              <w:jc w:val="left"/>
              <w:rPr>
                <w:rFonts w:ascii="Times New Roman" w:hAnsi="Times New Roman" w:eastAsia="宋体" w:cs="Times New Roman"/>
                <w:color w:val="000000"/>
                <w:kern w:val="0"/>
                <w:sz w:val="22"/>
                <w:szCs w:val="22"/>
              </w:rPr>
            </w:pPr>
          </w:p>
        </w:tc>
        <w:tc>
          <w:tcPr>
            <w:tcW w:w="960" w:type="dxa"/>
            <w:tcBorders>
              <w:top w:val="nil"/>
              <w:left w:val="nil"/>
              <w:bottom w:val="single" w:color="auto" w:sz="4" w:space="0"/>
              <w:right w:val="single" w:color="auto" w:sz="4" w:space="0"/>
            </w:tcBorders>
            <w:shd w:val="clear" w:color="auto" w:fill="auto"/>
            <w:noWrap/>
            <w:vAlign w:val="center"/>
          </w:tcPr>
          <w:p w14:paraId="5BF995BE">
            <w:pPr>
              <w:widowControl/>
              <w:jc w:val="center"/>
              <w:rPr>
                <w:rFonts w:ascii="Times New Roman" w:hAnsi="Times New Roman" w:eastAsia="宋体" w:cs="Times New Roman"/>
                <w:b/>
                <w:color w:val="000000"/>
                <w:kern w:val="0"/>
                <w:sz w:val="22"/>
                <w:szCs w:val="22"/>
              </w:rPr>
            </w:pPr>
            <w:r>
              <w:rPr>
                <w:rFonts w:ascii="Times New Roman" w:hAnsi="Times New Roman" w:eastAsia="宋体" w:cs="Times New Roman"/>
                <w:b/>
                <w:color w:val="000000"/>
                <w:kern w:val="0"/>
                <w:sz w:val="22"/>
                <w:szCs w:val="22"/>
              </w:rPr>
              <w:t>采购人</w:t>
            </w:r>
          </w:p>
        </w:tc>
        <w:tc>
          <w:tcPr>
            <w:tcW w:w="960" w:type="dxa"/>
            <w:tcBorders>
              <w:top w:val="nil"/>
              <w:left w:val="nil"/>
              <w:bottom w:val="single" w:color="auto" w:sz="4" w:space="0"/>
              <w:right w:val="single" w:color="auto" w:sz="4" w:space="0"/>
            </w:tcBorders>
            <w:shd w:val="clear" w:color="auto" w:fill="auto"/>
            <w:noWrap/>
            <w:vAlign w:val="center"/>
          </w:tcPr>
          <w:p w14:paraId="5AEDBDD5">
            <w:pPr>
              <w:widowControl/>
              <w:jc w:val="center"/>
              <w:rPr>
                <w:rFonts w:ascii="Times New Roman" w:hAnsi="Times New Roman" w:eastAsia="宋体" w:cs="Times New Roman"/>
                <w:b/>
                <w:color w:val="000000"/>
                <w:kern w:val="0"/>
                <w:sz w:val="22"/>
                <w:szCs w:val="22"/>
              </w:rPr>
            </w:pPr>
            <w:r>
              <w:rPr>
                <w:rFonts w:ascii="Times New Roman" w:hAnsi="Times New Roman" w:eastAsia="宋体" w:cs="Times New Roman"/>
                <w:b/>
                <w:color w:val="000000"/>
                <w:kern w:val="0"/>
                <w:sz w:val="22"/>
                <w:szCs w:val="22"/>
              </w:rPr>
              <w:t>供应商</w:t>
            </w:r>
          </w:p>
        </w:tc>
        <w:tc>
          <w:tcPr>
            <w:tcW w:w="4628" w:type="dxa"/>
            <w:vMerge w:val="continue"/>
            <w:tcBorders>
              <w:top w:val="single" w:color="auto" w:sz="4" w:space="0"/>
              <w:left w:val="single" w:color="auto" w:sz="4" w:space="0"/>
              <w:bottom w:val="single" w:color="auto" w:sz="4" w:space="0"/>
              <w:right w:val="single" w:color="auto" w:sz="4" w:space="0"/>
            </w:tcBorders>
            <w:vAlign w:val="center"/>
          </w:tcPr>
          <w:p w14:paraId="0DCD3539">
            <w:pPr>
              <w:widowControl/>
              <w:jc w:val="left"/>
              <w:rPr>
                <w:rFonts w:ascii="Times New Roman" w:hAnsi="Times New Roman" w:eastAsia="宋体" w:cs="Times New Roman"/>
                <w:color w:val="000000"/>
                <w:kern w:val="0"/>
                <w:sz w:val="22"/>
                <w:szCs w:val="22"/>
              </w:rPr>
            </w:pPr>
          </w:p>
        </w:tc>
      </w:tr>
      <w:tr w14:paraId="32A6AD6C">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237397DE">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1</w:t>
            </w:r>
          </w:p>
        </w:tc>
        <w:tc>
          <w:tcPr>
            <w:tcW w:w="2500" w:type="dxa"/>
            <w:tcBorders>
              <w:top w:val="nil"/>
              <w:left w:val="nil"/>
              <w:bottom w:val="single" w:color="auto" w:sz="4" w:space="0"/>
              <w:right w:val="single" w:color="auto" w:sz="4" w:space="0"/>
            </w:tcBorders>
            <w:shd w:val="clear" w:color="auto" w:fill="auto"/>
            <w:noWrap/>
            <w:vAlign w:val="center"/>
          </w:tcPr>
          <w:p w14:paraId="6AFC3C54">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公用水电</w:t>
            </w:r>
          </w:p>
        </w:tc>
        <w:tc>
          <w:tcPr>
            <w:tcW w:w="960" w:type="dxa"/>
            <w:tcBorders>
              <w:top w:val="nil"/>
              <w:left w:val="nil"/>
              <w:bottom w:val="single" w:color="auto" w:sz="4" w:space="0"/>
              <w:right w:val="single" w:color="auto" w:sz="4" w:space="0"/>
            </w:tcBorders>
            <w:shd w:val="clear" w:color="auto" w:fill="auto"/>
            <w:noWrap/>
            <w:vAlign w:val="center"/>
          </w:tcPr>
          <w:p w14:paraId="6D6AF792">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6418AE1B">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510A21D9">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包括空调、清洁卫生、生活等各类用水；服务公司办公等各类用电</w:t>
            </w:r>
          </w:p>
        </w:tc>
      </w:tr>
      <w:tr w14:paraId="3B025628">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4F78FE3F">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2</w:t>
            </w:r>
          </w:p>
        </w:tc>
        <w:tc>
          <w:tcPr>
            <w:tcW w:w="2500" w:type="dxa"/>
            <w:tcBorders>
              <w:top w:val="nil"/>
              <w:left w:val="nil"/>
              <w:bottom w:val="single" w:color="auto" w:sz="4" w:space="0"/>
              <w:right w:val="single" w:color="auto" w:sz="4" w:space="0"/>
            </w:tcBorders>
            <w:shd w:val="clear" w:color="auto" w:fill="auto"/>
            <w:noWrap/>
            <w:vAlign w:val="center"/>
          </w:tcPr>
          <w:p w14:paraId="6B58DC9C">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各类垃圾桶</w:t>
            </w:r>
          </w:p>
        </w:tc>
        <w:tc>
          <w:tcPr>
            <w:tcW w:w="960" w:type="dxa"/>
            <w:tcBorders>
              <w:top w:val="nil"/>
              <w:left w:val="nil"/>
              <w:bottom w:val="single" w:color="auto" w:sz="4" w:space="0"/>
              <w:right w:val="single" w:color="auto" w:sz="4" w:space="0"/>
            </w:tcBorders>
            <w:shd w:val="clear" w:color="auto" w:fill="auto"/>
            <w:noWrap/>
            <w:vAlign w:val="center"/>
          </w:tcPr>
          <w:p w14:paraId="43D47B31">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257F8114">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64B7E28E">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包括生活垃圾、垃圾桶。</w:t>
            </w:r>
          </w:p>
        </w:tc>
      </w:tr>
      <w:tr w14:paraId="788207B4">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448F73F5">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3</w:t>
            </w:r>
          </w:p>
        </w:tc>
        <w:tc>
          <w:tcPr>
            <w:tcW w:w="2500" w:type="dxa"/>
            <w:tcBorders>
              <w:top w:val="nil"/>
              <w:left w:val="nil"/>
              <w:bottom w:val="single" w:color="auto" w:sz="4" w:space="0"/>
              <w:right w:val="single" w:color="auto" w:sz="4" w:space="0"/>
            </w:tcBorders>
            <w:shd w:val="clear" w:color="auto" w:fill="auto"/>
            <w:noWrap/>
            <w:vAlign w:val="center"/>
          </w:tcPr>
          <w:p w14:paraId="38F48C97">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垃圾袋</w:t>
            </w:r>
          </w:p>
        </w:tc>
        <w:tc>
          <w:tcPr>
            <w:tcW w:w="960" w:type="dxa"/>
            <w:tcBorders>
              <w:top w:val="nil"/>
              <w:left w:val="nil"/>
              <w:bottom w:val="single" w:color="auto" w:sz="4" w:space="0"/>
              <w:right w:val="single" w:color="auto" w:sz="4" w:space="0"/>
            </w:tcBorders>
            <w:shd w:val="clear" w:color="auto" w:fill="auto"/>
            <w:noWrap/>
            <w:vAlign w:val="center"/>
          </w:tcPr>
          <w:p w14:paraId="4FEC573A">
            <w:pPr>
              <w:widowControl/>
              <w:jc w:val="center"/>
              <w:rPr>
                <w:rFonts w:ascii="Times New Roman" w:hAnsi="Times New Roman" w:eastAsia="宋体" w:cs="Times New Roman"/>
                <w:color w:val="000000"/>
                <w:kern w:val="0"/>
                <w:sz w:val="22"/>
                <w:szCs w:val="22"/>
              </w:rPr>
            </w:pPr>
          </w:p>
        </w:tc>
        <w:tc>
          <w:tcPr>
            <w:tcW w:w="960" w:type="dxa"/>
            <w:tcBorders>
              <w:top w:val="nil"/>
              <w:left w:val="nil"/>
              <w:bottom w:val="single" w:color="auto" w:sz="4" w:space="0"/>
              <w:right w:val="single" w:color="auto" w:sz="4" w:space="0"/>
            </w:tcBorders>
            <w:shd w:val="clear" w:color="auto" w:fill="auto"/>
            <w:noWrap/>
            <w:vAlign w:val="center"/>
          </w:tcPr>
          <w:p w14:paraId="6B0A66F1">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4628" w:type="dxa"/>
            <w:tcBorders>
              <w:top w:val="nil"/>
              <w:left w:val="nil"/>
              <w:bottom w:val="single" w:color="auto" w:sz="4" w:space="0"/>
              <w:right w:val="single" w:color="auto" w:sz="4" w:space="0"/>
            </w:tcBorders>
            <w:shd w:val="clear" w:color="auto" w:fill="auto"/>
            <w:vAlign w:val="center"/>
          </w:tcPr>
          <w:p w14:paraId="66DCBB2C">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各类垃圾袋</w:t>
            </w:r>
            <w:r>
              <w:rPr>
                <w:rFonts w:ascii="Times New Roman" w:hAnsi="Times New Roman" w:eastAsia="宋体" w:cs="Times New Roman"/>
                <w:color w:val="FF0000"/>
                <w:kern w:val="0"/>
                <w:sz w:val="22"/>
                <w:szCs w:val="22"/>
              </w:rPr>
              <w:t>（不包含医废垃圾袋）</w:t>
            </w:r>
            <w:r>
              <w:rPr>
                <w:rFonts w:ascii="Times New Roman" w:hAnsi="Times New Roman" w:eastAsia="宋体" w:cs="Times New Roman"/>
                <w:kern w:val="0"/>
                <w:sz w:val="22"/>
                <w:szCs w:val="22"/>
              </w:rPr>
              <w:t>。</w:t>
            </w:r>
          </w:p>
        </w:tc>
      </w:tr>
      <w:tr w14:paraId="42436FBE">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41F34AB9">
            <w:pPr>
              <w:widowControl/>
              <w:suppressAutoHyphens/>
              <w:ind w:firstLine="0"/>
              <w:jc w:val="center"/>
              <w:rPr>
                <w:rFonts w:ascii="Times New Roman" w:hAnsi="Times New Roman" w:eastAsia="宋体" w:cs="Times New Roman"/>
                <w:color w:val="000000"/>
                <w:kern w:val="0"/>
                <w:sz w:val="22"/>
                <w:szCs w:val="21"/>
                <w:lang w:val="en-US" w:eastAsia="zh-CN" w:bidi="ar-SA"/>
              </w:rPr>
            </w:pPr>
          </w:p>
        </w:tc>
        <w:tc>
          <w:tcPr>
            <w:tcW w:w="2500" w:type="dxa"/>
            <w:tcBorders>
              <w:top w:val="nil"/>
              <w:left w:val="nil"/>
              <w:bottom w:val="single" w:color="auto" w:sz="4" w:space="0"/>
              <w:right w:val="single" w:color="auto" w:sz="4" w:space="0"/>
            </w:tcBorders>
            <w:shd w:val="clear" w:color="auto" w:fill="auto"/>
            <w:noWrap/>
            <w:vAlign w:val="center"/>
          </w:tcPr>
          <w:p w14:paraId="69602E16">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垃圾袋</w:t>
            </w:r>
          </w:p>
        </w:tc>
        <w:tc>
          <w:tcPr>
            <w:tcW w:w="960" w:type="dxa"/>
            <w:tcBorders>
              <w:top w:val="nil"/>
              <w:left w:val="nil"/>
              <w:bottom w:val="single" w:color="auto" w:sz="4" w:space="0"/>
              <w:right w:val="single" w:color="auto" w:sz="4" w:space="0"/>
            </w:tcBorders>
            <w:shd w:val="clear" w:color="auto" w:fill="auto"/>
            <w:noWrap/>
            <w:vAlign w:val="center"/>
          </w:tcPr>
          <w:p w14:paraId="55984601">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0ACFFC43">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51ADB3AA">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医废垃圾袋</w:t>
            </w:r>
            <w:r>
              <w:rPr>
                <w:rFonts w:hint="eastAsia" w:ascii="Times New Roman" w:hAnsi="Times New Roman" w:eastAsia="宋体" w:cs="Times New Roman"/>
                <w:kern w:val="0"/>
                <w:sz w:val="22"/>
                <w:szCs w:val="22"/>
              </w:rPr>
              <w:t>。</w:t>
            </w:r>
          </w:p>
        </w:tc>
      </w:tr>
      <w:tr w14:paraId="4A148C05">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4F25B33E">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4</w:t>
            </w:r>
          </w:p>
        </w:tc>
        <w:tc>
          <w:tcPr>
            <w:tcW w:w="2500" w:type="dxa"/>
            <w:tcBorders>
              <w:top w:val="nil"/>
              <w:left w:val="nil"/>
              <w:bottom w:val="single" w:color="auto" w:sz="4" w:space="0"/>
              <w:right w:val="single" w:color="auto" w:sz="4" w:space="0"/>
            </w:tcBorders>
            <w:shd w:val="clear" w:color="auto" w:fill="auto"/>
            <w:noWrap/>
            <w:vAlign w:val="center"/>
          </w:tcPr>
          <w:p w14:paraId="678A17A0">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办公用房</w:t>
            </w:r>
          </w:p>
        </w:tc>
        <w:tc>
          <w:tcPr>
            <w:tcW w:w="960" w:type="dxa"/>
            <w:tcBorders>
              <w:top w:val="nil"/>
              <w:left w:val="nil"/>
              <w:bottom w:val="single" w:color="auto" w:sz="4" w:space="0"/>
              <w:right w:val="single" w:color="auto" w:sz="4" w:space="0"/>
            </w:tcBorders>
            <w:shd w:val="clear" w:color="auto" w:fill="auto"/>
            <w:noWrap/>
            <w:vAlign w:val="center"/>
          </w:tcPr>
          <w:p w14:paraId="64785BA1">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53E1CD83">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734E9790">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包括仓库用房。</w:t>
            </w:r>
          </w:p>
        </w:tc>
      </w:tr>
      <w:tr w14:paraId="208DEC4F">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3DD27A35">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5</w:t>
            </w:r>
          </w:p>
        </w:tc>
        <w:tc>
          <w:tcPr>
            <w:tcW w:w="2500" w:type="dxa"/>
            <w:tcBorders>
              <w:top w:val="nil"/>
              <w:left w:val="nil"/>
              <w:bottom w:val="single" w:color="auto" w:sz="4" w:space="0"/>
              <w:right w:val="single" w:color="auto" w:sz="4" w:space="0"/>
            </w:tcBorders>
            <w:shd w:val="clear" w:color="auto" w:fill="auto"/>
            <w:noWrap/>
            <w:vAlign w:val="center"/>
          </w:tcPr>
          <w:p w14:paraId="5DC8B81F">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办公设备耗材和办公家具等</w:t>
            </w:r>
          </w:p>
        </w:tc>
        <w:tc>
          <w:tcPr>
            <w:tcW w:w="960" w:type="dxa"/>
            <w:tcBorders>
              <w:top w:val="nil"/>
              <w:left w:val="nil"/>
              <w:bottom w:val="single" w:color="auto" w:sz="4" w:space="0"/>
              <w:right w:val="single" w:color="auto" w:sz="4" w:space="0"/>
            </w:tcBorders>
            <w:shd w:val="clear" w:color="auto" w:fill="auto"/>
            <w:noWrap/>
            <w:vAlign w:val="center"/>
          </w:tcPr>
          <w:p w14:paraId="27C7460C">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11B1867D">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47563DD2">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包括电脑等办公设备和耗材等办公用品以及员工更衣柜等。</w:t>
            </w:r>
          </w:p>
        </w:tc>
      </w:tr>
      <w:tr w14:paraId="4C9FAB3A">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4A92EFD7">
            <w:pPr>
              <w:widowControl/>
              <w:suppressAutoHyphens/>
              <w:ind w:firstLine="0"/>
              <w:jc w:val="center"/>
              <w:rPr>
                <w:rFonts w:ascii="Times New Roman" w:hAnsi="Times New Roman" w:eastAsia="宋体" w:cs="Times New Roman"/>
                <w:color w:val="000000"/>
                <w:kern w:val="0"/>
                <w:sz w:val="22"/>
                <w:szCs w:val="21"/>
                <w:lang w:val="en-US" w:eastAsia="zh-CN" w:bidi="ar-SA"/>
              </w:rPr>
            </w:pPr>
          </w:p>
        </w:tc>
        <w:tc>
          <w:tcPr>
            <w:tcW w:w="2500" w:type="dxa"/>
            <w:tcBorders>
              <w:top w:val="nil"/>
              <w:left w:val="nil"/>
              <w:bottom w:val="single" w:color="auto" w:sz="4" w:space="0"/>
              <w:right w:val="single" w:color="auto" w:sz="4" w:space="0"/>
            </w:tcBorders>
            <w:shd w:val="clear" w:color="auto" w:fill="auto"/>
            <w:noWrap/>
            <w:vAlign w:val="center"/>
          </w:tcPr>
          <w:p w14:paraId="06996399">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办公用品</w:t>
            </w:r>
          </w:p>
        </w:tc>
        <w:tc>
          <w:tcPr>
            <w:tcW w:w="960" w:type="dxa"/>
            <w:tcBorders>
              <w:top w:val="nil"/>
              <w:left w:val="nil"/>
              <w:bottom w:val="single" w:color="auto" w:sz="4" w:space="0"/>
              <w:right w:val="single" w:color="auto" w:sz="4" w:space="0"/>
            </w:tcBorders>
            <w:shd w:val="clear" w:color="auto" w:fill="auto"/>
            <w:noWrap/>
            <w:vAlign w:val="center"/>
          </w:tcPr>
          <w:p w14:paraId="5CD7EE5B">
            <w:pPr>
              <w:widowControl/>
              <w:jc w:val="center"/>
              <w:rPr>
                <w:rFonts w:ascii="Times New Roman" w:hAnsi="Times New Roman" w:eastAsia="宋体" w:cs="Times New Roman"/>
                <w:color w:val="000000"/>
                <w:kern w:val="0"/>
                <w:sz w:val="22"/>
                <w:szCs w:val="22"/>
              </w:rPr>
            </w:pPr>
          </w:p>
        </w:tc>
        <w:tc>
          <w:tcPr>
            <w:tcW w:w="960" w:type="dxa"/>
            <w:tcBorders>
              <w:top w:val="nil"/>
              <w:left w:val="nil"/>
              <w:bottom w:val="single" w:color="auto" w:sz="4" w:space="0"/>
              <w:right w:val="single" w:color="auto" w:sz="4" w:space="0"/>
            </w:tcBorders>
            <w:shd w:val="clear" w:color="auto" w:fill="auto"/>
            <w:noWrap/>
            <w:vAlign w:val="center"/>
          </w:tcPr>
          <w:p w14:paraId="5B8BF896">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4628" w:type="dxa"/>
            <w:tcBorders>
              <w:top w:val="nil"/>
              <w:left w:val="nil"/>
              <w:bottom w:val="single" w:color="auto" w:sz="4" w:space="0"/>
              <w:right w:val="single" w:color="auto" w:sz="4" w:space="0"/>
            </w:tcBorders>
            <w:shd w:val="clear" w:color="auto" w:fill="auto"/>
            <w:vAlign w:val="center"/>
          </w:tcPr>
          <w:p w14:paraId="126E5415">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包括纸张</w:t>
            </w:r>
            <w:r>
              <w:rPr>
                <w:rFonts w:hint="eastAsia" w:ascii="Times New Roman" w:hAnsi="Times New Roman" w:eastAsia="宋体" w:cs="Times New Roman"/>
                <w:kern w:val="0"/>
                <w:sz w:val="22"/>
                <w:szCs w:val="22"/>
              </w:rPr>
              <w:t>、</w:t>
            </w:r>
            <w:r>
              <w:rPr>
                <w:rFonts w:ascii="Times New Roman" w:hAnsi="Times New Roman" w:eastAsia="宋体" w:cs="Times New Roman"/>
                <w:kern w:val="0"/>
                <w:sz w:val="22"/>
                <w:szCs w:val="22"/>
              </w:rPr>
              <w:t>文具等</w:t>
            </w:r>
            <w:r>
              <w:rPr>
                <w:rFonts w:hint="eastAsia" w:ascii="Times New Roman" w:hAnsi="Times New Roman" w:eastAsia="宋体" w:cs="Times New Roman"/>
                <w:kern w:val="0"/>
                <w:sz w:val="22"/>
                <w:szCs w:val="22"/>
              </w:rPr>
              <w:t>。</w:t>
            </w:r>
          </w:p>
        </w:tc>
      </w:tr>
      <w:tr w14:paraId="7289A76E">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5EA92261">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6</w:t>
            </w:r>
          </w:p>
        </w:tc>
        <w:tc>
          <w:tcPr>
            <w:tcW w:w="2500" w:type="dxa"/>
            <w:tcBorders>
              <w:top w:val="nil"/>
              <w:left w:val="nil"/>
              <w:bottom w:val="single" w:color="auto" w:sz="4" w:space="0"/>
              <w:right w:val="single" w:color="auto" w:sz="4" w:space="0"/>
            </w:tcBorders>
            <w:shd w:val="clear" w:color="auto" w:fill="auto"/>
            <w:noWrap/>
            <w:vAlign w:val="center"/>
          </w:tcPr>
          <w:p w14:paraId="2FF9F293">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人员装备（对讲机）</w:t>
            </w:r>
          </w:p>
        </w:tc>
        <w:tc>
          <w:tcPr>
            <w:tcW w:w="960" w:type="dxa"/>
            <w:tcBorders>
              <w:top w:val="nil"/>
              <w:left w:val="nil"/>
              <w:bottom w:val="single" w:color="auto" w:sz="4" w:space="0"/>
              <w:right w:val="single" w:color="auto" w:sz="4" w:space="0"/>
            </w:tcBorders>
            <w:shd w:val="clear" w:color="auto" w:fill="auto"/>
            <w:noWrap/>
            <w:vAlign w:val="center"/>
          </w:tcPr>
          <w:p w14:paraId="16EBBF9E">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581F7252">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0AE77FAC">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包括对讲机公共频道占用费及维修费用等。</w:t>
            </w:r>
          </w:p>
        </w:tc>
      </w:tr>
      <w:tr w14:paraId="078D4A46">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702B0D76">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7</w:t>
            </w:r>
          </w:p>
        </w:tc>
        <w:tc>
          <w:tcPr>
            <w:tcW w:w="2500" w:type="dxa"/>
            <w:tcBorders>
              <w:top w:val="nil"/>
              <w:left w:val="nil"/>
              <w:bottom w:val="single" w:color="auto" w:sz="4" w:space="0"/>
              <w:right w:val="single" w:color="auto" w:sz="4" w:space="0"/>
            </w:tcBorders>
            <w:shd w:val="clear" w:color="auto" w:fill="auto"/>
            <w:noWrap/>
            <w:vAlign w:val="center"/>
          </w:tcPr>
          <w:p w14:paraId="202675AD">
            <w:pPr>
              <w:widowControl/>
              <w:jc w:val="left"/>
              <w:rPr>
                <w:rFonts w:ascii="Times New Roman" w:hAnsi="Times New Roman" w:eastAsia="宋体" w:cs="Times New Roman"/>
                <w:color w:val="000000"/>
                <w:kern w:val="0"/>
                <w:sz w:val="22"/>
                <w:szCs w:val="22"/>
              </w:rPr>
            </w:pPr>
            <w:r>
              <w:rPr>
                <w:rFonts w:hint="eastAsia" w:ascii="Times New Roman" w:hAnsi="Times New Roman" w:eastAsia="宋体" w:cs="Times New Roman"/>
                <w:kern w:val="0"/>
                <w:sz w:val="22"/>
                <w:szCs w:val="22"/>
              </w:rPr>
              <w:t>专业设备</w:t>
            </w:r>
          </w:p>
        </w:tc>
        <w:tc>
          <w:tcPr>
            <w:tcW w:w="960" w:type="dxa"/>
            <w:tcBorders>
              <w:top w:val="nil"/>
              <w:left w:val="nil"/>
              <w:bottom w:val="single" w:color="auto" w:sz="4" w:space="0"/>
              <w:right w:val="single" w:color="auto" w:sz="4" w:space="0"/>
            </w:tcBorders>
            <w:shd w:val="clear" w:color="auto" w:fill="auto"/>
            <w:noWrap/>
            <w:vAlign w:val="center"/>
          </w:tcPr>
          <w:p w14:paraId="4C2E1F55">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1ACFD775">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5A62AA24">
            <w:pPr>
              <w:widowControl/>
              <w:jc w:val="left"/>
              <w:rPr>
                <w:rFonts w:ascii="Times New Roman" w:hAnsi="Times New Roman" w:eastAsia="宋体" w:cs="Times New Roman"/>
                <w:color w:val="000000"/>
                <w:kern w:val="0"/>
                <w:sz w:val="22"/>
                <w:szCs w:val="22"/>
              </w:rPr>
            </w:pPr>
            <w:r>
              <w:rPr>
                <w:rFonts w:hint="eastAsia" w:ascii="Times New Roman" w:hAnsi="Times New Roman" w:eastAsia="宋体" w:cs="Times New Roman"/>
                <w:kern w:val="0"/>
                <w:sz w:val="22"/>
                <w:szCs w:val="22"/>
              </w:rPr>
              <w:t>包括专用的洗地机、自动洗地吸水机、抛光机、吸水洗尘机、（地坪/地毯吹干机、真空吸尘机、垃圾车、高压水枪、榨水器、不锈钢桶等。）</w:t>
            </w:r>
          </w:p>
        </w:tc>
      </w:tr>
      <w:tr w14:paraId="1B88C411">
        <w:tblPrEx>
          <w:tblCellMar>
            <w:top w:w="0" w:type="dxa"/>
            <w:left w:w="108" w:type="dxa"/>
            <w:bottom w:w="0" w:type="dxa"/>
            <w:right w:w="108" w:type="dxa"/>
          </w:tblCellMar>
        </w:tblPrEx>
        <w:trPr>
          <w:trHeight w:val="23" w:hRule="atLeast"/>
          <w:jc w:val="center"/>
        </w:trPr>
        <w:tc>
          <w:tcPr>
            <w:tcW w:w="761" w:type="dxa"/>
            <w:tcBorders>
              <w:top w:val="nil"/>
              <w:left w:val="single" w:color="auto" w:sz="4" w:space="0"/>
              <w:bottom w:val="single" w:color="auto" w:sz="4" w:space="0"/>
              <w:right w:val="single" w:color="auto" w:sz="4" w:space="0"/>
            </w:tcBorders>
            <w:shd w:val="clear" w:color="auto" w:fill="auto"/>
            <w:noWrap/>
            <w:vAlign w:val="center"/>
          </w:tcPr>
          <w:p w14:paraId="398AF528">
            <w:pPr>
              <w:widowControl/>
              <w:suppressAutoHyphens/>
              <w:ind w:firstLine="0"/>
              <w:jc w:val="center"/>
              <w:rPr>
                <w:rFonts w:ascii="Times New Roman" w:hAnsi="Times New Roman" w:eastAsia="宋体" w:cs="Times New Roman"/>
                <w:color w:val="000000"/>
                <w:kern w:val="0"/>
                <w:sz w:val="22"/>
                <w:szCs w:val="21"/>
                <w:lang w:val="en-US" w:eastAsia="zh-CN" w:bidi="ar-SA"/>
              </w:rPr>
            </w:pPr>
            <w:r>
              <w:rPr>
                <w:rFonts w:hint="eastAsia" w:ascii="Times New Roman" w:hAnsi="Times New Roman" w:eastAsia="宋体" w:cs="Times New Roman"/>
                <w:kern w:val="0"/>
                <w:sz w:val="22"/>
                <w:szCs w:val="21"/>
                <w:lang w:val="en-US" w:eastAsia="zh-CN" w:bidi="ar-SA"/>
              </w:rPr>
              <w:t>8</w:t>
            </w:r>
          </w:p>
        </w:tc>
        <w:tc>
          <w:tcPr>
            <w:tcW w:w="2500" w:type="dxa"/>
            <w:tcBorders>
              <w:top w:val="nil"/>
              <w:left w:val="nil"/>
              <w:bottom w:val="single" w:color="auto" w:sz="4" w:space="0"/>
              <w:right w:val="single" w:color="auto" w:sz="4" w:space="0"/>
            </w:tcBorders>
            <w:shd w:val="clear" w:color="auto" w:fill="auto"/>
            <w:noWrap/>
            <w:vAlign w:val="center"/>
          </w:tcPr>
          <w:p w14:paraId="24500E19">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维修材料</w:t>
            </w:r>
          </w:p>
        </w:tc>
        <w:tc>
          <w:tcPr>
            <w:tcW w:w="960" w:type="dxa"/>
            <w:tcBorders>
              <w:top w:val="nil"/>
              <w:left w:val="nil"/>
              <w:bottom w:val="single" w:color="auto" w:sz="4" w:space="0"/>
              <w:right w:val="single" w:color="auto" w:sz="4" w:space="0"/>
            </w:tcBorders>
            <w:shd w:val="clear" w:color="auto" w:fill="auto"/>
            <w:noWrap/>
            <w:vAlign w:val="center"/>
          </w:tcPr>
          <w:p w14:paraId="22ECF167">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nil"/>
              <w:left w:val="nil"/>
              <w:bottom w:val="single" w:color="auto" w:sz="4" w:space="0"/>
              <w:right w:val="single" w:color="auto" w:sz="4" w:space="0"/>
            </w:tcBorders>
            <w:shd w:val="clear" w:color="auto" w:fill="auto"/>
            <w:noWrap/>
            <w:vAlign w:val="center"/>
          </w:tcPr>
          <w:p w14:paraId="30174EC3">
            <w:pPr>
              <w:widowControl/>
              <w:jc w:val="center"/>
              <w:rPr>
                <w:rFonts w:ascii="Times New Roman" w:hAnsi="Times New Roman" w:eastAsia="宋体" w:cs="Times New Roman"/>
                <w:color w:val="000000"/>
                <w:kern w:val="0"/>
                <w:sz w:val="22"/>
                <w:szCs w:val="22"/>
              </w:rPr>
            </w:pPr>
          </w:p>
        </w:tc>
        <w:tc>
          <w:tcPr>
            <w:tcW w:w="4628" w:type="dxa"/>
            <w:tcBorders>
              <w:top w:val="nil"/>
              <w:left w:val="nil"/>
              <w:bottom w:val="single" w:color="auto" w:sz="4" w:space="0"/>
              <w:right w:val="single" w:color="auto" w:sz="4" w:space="0"/>
            </w:tcBorders>
            <w:shd w:val="clear" w:color="auto" w:fill="auto"/>
            <w:vAlign w:val="center"/>
          </w:tcPr>
          <w:p w14:paraId="6E39DA7D">
            <w:pPr>
              <w:widowControl/>
              <w:jc w:val="left"/>
              <w:rPr>
                <w:rFonts w:ascii="Times New Roman" w:hAnsi="Times New Roman" w:eastAsia="宋体" w:cs="Times New Roman"/>
                <w:color w:val="000000"/>
                <w:kern w:val="0"/>
                <w:sz w:val="22"/>
                <w:szCs w:val="22"/>
              </w:rPr>
            </w:pPr>
            <w:r>
              <w:rPr>
                <w:rFonts w:hint="eastAsia" w:ascii="Times New Roman" w:hAnsi="Times New Roman" w:eastAsia="宋体" w:cs="Times New Roman"/>
                <w:kern w:val="0"/>
                <w:sz w:val="22"/>
                <w:szCs w:val="22"/>
              </w:rPr>
              <w:t>各类设施设备维修所需的材料，包含维修工具。</w:t>
            </w:r>
          </w:p>
        </w:tc>
      </w:tr>
      <w:tr w14:paraId="67D10BFF">
        <w:tblPrEx>
          <w:tblCellMar>
            <w:top w:w="0" w:type="dxa"/>
            <w:left w:w="108" w:type="dxa"/>
            <w:bottom w:w="0" w:type="dxa"/>
            <w:right w:w="108" w:type="dxa"/>
          </w:tblCellMar>
        </w:tblPrEx>
        <w:trPr>
          <w:trHeight w:val="23" w:hRule="atLeast"/>
          <w:jc w:val="center"/>
        </w:trPr>
        <w:tc>
          <w:tcPr>
            <w:tcW w:w="7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5291B5">
            <w:pPr>
              <w:widowControl/>
              <w:jc w:val="center"/>
              <w:rPr>
                <w:rFonts w:ascii="Calibri" w:hAnsi="Calibri" w:eastAsia="宋体" w:cs="Times New Roman"/>
                <w:color w:val="000000"/>
                <w:kern w:val="0"/>
                <w:sz w:val="22"/>
                <w:szCs w:val="22"/>
              </w:rPr>
            </w:pPr>
            <w:r>
              <w:rPr>
                <w:rFonts w:ascii="Times New Roman" w:hAnsi="Times New Roman" w:eastAsia="宋体" w:cs="Times New Roman"/>
                <w:kern w:val="0"/>
                <w:sz w:val="22"/>
                <w:szCs w:val="22"/>
              </w:rPr>
              <w:t>9</w:t>
            </w:r>
          </w:p>
        </w:tc>
        <w:tc>
          <w:tcPr>
            <w:tcW w:w="2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4F5C3D">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保洁清洁剂及耗材等</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096D8B">
            <w:pPr>
              <w:widowControl/>
              <w:jc w:val="center"/>
              <w:rPr>
                <w:rFonts w:ascii="Times New Roman" w:hAnsi="Times New Roman" w:eastAsia="宋体" w:cs="Times New Roman"/>
                <w:color w:val="000000"/>
                <w:kern w:val="0"/>
                <w:sz w:val="22"/>
                <w:szCs w:val="22"/>
              </w:rPr>
            </w:pP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895596">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4628" w:type="dxa"/>
            <w:tcBorders>
              <w:top w:val="single" w:color="auto" w:sz="4" w:space="0"/>
              <w:left w:val="single" w:color="auto" w:sz="4" w:space="0"/>
              <w:bottom w:val="single" w:color="auto" w:sz="4" w:space="0"/>
              <w:right w:val="single" w:color="auto" w:sz="4" w:space="0"/>
            </w:tcBorders>
            <w:shd w:val="clear" w:color="auto" w:fill="auto"/>
            <w:vAlign w:val="center"/>
          </w:tcPr>
          <w:p w14:paraId="63C3BB98">
            <w:pPr>
              <w:widowControl/>
              <w:jc w:val="left"/>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包括环境保洁所需的清洁、洗涤药剂，垃圾袋、各类清洁剂、抹布等（耗材品质需可靠有保证）。</w:t>
            </w:r>
          </w:p>
        </w:tc>
      </w:tr>
      <w:tr w14:paraId="0AE6BB83">
        <w:tblPrEx>
          <w:tblCellMar>
            <w:top w:w="0" w:type="dxa"/>
            <w:left w:w="108" w:type="dxa"/>
            <w:bottom w:w="0" w:type="dxa"/>
            <w:right w:w="108" w:type="dxa"/>
          </w:tblCellMar>
        </w:tblPrEx>
        <w:trPr>
          <w:trHeight w:val="23" w:hRule="atLeast"/>
          <w:jc w:val="center"/>
        </w:trPr>
        <w:tc>
          <w:tcPr>
            <w:tcW w:w="7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4B3524">
            <w:pPr>
              <w:widowControl/>
              <w:jc w:val="center"/>
              <w:rPr>
                <w:rFonts w:ascii="Calibri" w:hAnsi="Calibri" w:eastAsia="宋体" w:cs="Times New Roman"/>
                <w:color w:val="000000"/>
                <w:kern w:val="0"/>
                <w:sz w:val="22"/>
                <w:szCs w:val="22"/>
              </w:rPr>
            </w:pPr>
            <w:r>
              <w:rPr>
                <w:rFonts w:ascii="Times New Roman" w:hAnsi="Times New Roman" w:eastAsia="宋体" w:cs="Times New Roman"/>
                <w:kern w:val="0"/>
                <w:sz w:val="22"/>
                <w:szCs w:val="22"/>
              </w:rPr>
              <w:t>10</w:t>
            </w:r>
          </w:p>
        </w:tc>
        <w:tc>
          <w:tcPr>
            <w:tcW w:w="2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9F782B">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保洁设备及工具等</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E6A39C">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FE92BD">
            <w:pPr>
              <w:widowControl/>
              <w:jc w:val="center"/>
              <w:rPr>
                <w:rFonts w:ascii="Times New Roman" w:hAnsi="Times New Roman" w:eastAsia="宋体" w:cs="Times New Roman"/>
                <w:color w:val="000000"/>
                <w:kern w:val="0"/>
                <w:sz w:val="22"/>
                <w:szCs w:val="22"/>
              </w:rPr>
            </w:pPr>
          </w:p>
        </w:tc>
        <w:tc>
          <w:tcPr>
            <w:tcW w:w="4628" w:type="dxa"/>
            <w:tcBorders>
              <w:top w:val="single" w:color="auto" w:sz="4" w:space="0"/>
              <w:left w:val="single" w:color="auto" w:sz="4" w:space="0"/>
              <w:bottom w:val="single" w:color="auto" w:sz="4" w:space="0"/>
              <w:right w:val="single" w:color="auto" w:sz="4" w:space="0"/>
            </w:tcBorders>
            <w:shd w:val="clear" w:color="auto" w:fill="auto"/>
            <w:vAlign w:val="center"/>
          </w:tcPr>
          <w:p w14:paraId="6C285AFD">
            <w:pPr>
              <w:widowControl/>
              <w:jc w:val="left"/>
              <w:rPr>
                <w:rFonts w:ascii="Times New Roman" w:hAnsi="Times New Roman" w:eastAsia="宋体" w:cs="Times New Roman"/>
                <w:color w:val="FF0000"/>
                <w:kern w:val="0"/>
                <w:sz w:val="22"/>
                <w:szCs w:val="22"/>
              </w:rPr>
            </w:pPr>
            <w:r>
              <w:rPr>
                <w:rFonts w:ascii="Times New Roman" w:hAnsi="Times New Roman" w:eastAsia="宋体" w:cs="Times New Roman"/>
                <w:kern w:val="0"/>
                <w:sz w:val="22"/>
                <w:szCs w:val="22"/>
              </w:rPr>
              <w:t>保洁车、各类清洁机械（或工具）、各类警示牌等。</w:t>
            </w:r>
          </w:p>
        </w:tc>
      </w:tr>
      <w:tr w14:paraId="227E12B5">
        <w:tblPrEx>
          <w:tblCellMar>
            <w:top w:w="0" w:type="dxa"/>
            <w:left w:w="108" w:type="dxa"/>
            <w:bottom w:w="0" w:type="dxa"/>
            <w:right w:w="108" w:type="dxa"/>
          </w:tblCellMar>
        </w:tblPrEx>
        <w:trPr>
          <w:trHeight w:val="23" w:hRule="atLeast"/>
          <w:jc w:val="center"/>
        </w:trPr>
        <w:tc>
          <w:tcPr>
            <w:tcW w:w="7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164197">
            <w:pPr>
              <w:widowControl/>
              <w:jc w:val="center"/>
              <w:rPr>
                <w:rFonts w:ascii="Times New Roman" w:hAnsi="Times New Roman" w:eastAsia="宋体" w:cs="Times New Roman"/>
                <w:color w:val="000000"/>
                <w:kern w:val="0"/>
                <w:sz w:val="22"/>
                <w:szCs w:val="22"/>
              </w:rPr>
            </w:pPr>
            <w:r>
              <w:rPr>
                <w:rFonts w:hint="eastAsia" w:ascii="Times New Roman" w:hAnsi="Times New Roman" w:eastAsia="宋体" w:cs="Times New Roman"/>
                <w:kern w:val="0"/>
                <w:sz w:val="22"/>
                <w:szCs w:val="22"/>
              </w:rPr>
              <w:t>11</w:t>
            </w:r>
          </w:p>
        </w:tc>
        <w:tc>
          <w:tcPr>
            <w:tcW w:w="2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3735BE">
            <w:pPr>
              <w:widowControl/>
              <w:jc w:val="left"/>
              <w:rPr>
                <w:rFonts w:ascii="Times New Roman" w:hAnsi="Times New Roman" w:eastAsia="宋体" w:cs="Times New Roman"/>
                <w:color w:val="FF0000"/>
                <w:kern w:val="0"/>
                <w:sz w:val="22"/>
                <w:szCs w:val="22"/>
              </w:rPr>
            </w:pPr>
            <w:r>
              <w:rPr>
                <w:rFonts w:hint="eastAsia" w:ascii="Times New Roman" w:hAnsi="Times New Roman" w:eastAsia="宋体" w:cs="Times New Roman"/>
                <w:kern w:val="0"/>
                <w:sz w:val="22"/>
                <w:szCs w:val="22"/>
              </w:rPr>
              <w:t>食堂</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266AD1">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6A1721">
            <w:pPr>
              <w:widowControl/>
              <w:jc w:val="center"/>
              <w:rPr>
                <w:rFonts w:ascii="Times New Roman" w:hAnsi="Times New Roman" w:eastAsia="宋体" w:cs="Times New Roman"/>
                <w:color w:val="000000"/>
                <w:kern w:val="0"/>
                <w:sz w:val="22"/>
                <w:szCs w:val="22"/>
              </w:rPr>
            </w:pPr>
          </w:p>
        </w:tc>
        <w:tc>
          <w:tcPr>
            <w:tcW w:w="4628" w:type="dxa"/>
            <w:tcBorders>
              <w:top w:val="single" w:color="auto" w:sz="4" w:space="0"/>
              <w:left w:val="single" w:color="auto" w:sz="4" w:space="0"/>
              <w:bottom w:val="single" w:color="auto" w:sz="4" w:space="0"/>
              <w:right w:val="single" w:color="auto" w:sz="4" w:space="0"/>
            </w:tcBorders>
            <w:shd w:val="clear" w:color="auto" w:fill="auto"/>
            <w:vAlign w:val="center"/>
          </w:tcPr>
          <w:p w14:paraId="3676FE9E">
            <w:pPr>
              <w:widowControl/>
              <w:jc w:val="left"/>
              <w:rPr>
                <w:rFonts w:ascii="Times New Roman" w:hAnsi="Times New Roman" w:eastAsia="宋体" w:cs="Times New Roman"/>
                <w:color w:val="FF0000"/>
                <w:kern w:val="0"/>
                <w:sz w:val="22"/>
                <w:szCs w:val="22"/>
              </w:rPr>
            </w:pPr>
            <w:r>
              <w:rPr>
                <w:rFonts w:hint="eastAsia" w:ascii="宋体" w:hAnsi="宋体" w:eastAsia="宋体" w:cs="宋体"/>
                <w:kern w:val="0"/>
                <w:sz w:val="22"/>
                <w:szCs w:val="22"/>
              </w:rPr>
              <w:t>食材、调料等</w:t>
            </w:r>
          </w:p>
        </w:tc>
      </w:tr>
      <w:tr w14:paraId="594B4B8A">
        <w:tblPrEx>
          <w:tblCellMar>
            <w:top w:w="0" w:type="dxa"/>
            <w:left w:w="108" w:type="dxa"/>
            <w:bottom w:w="0" w:type="dxa"/>
            <w:right w:w="108" w:type="dxa"/>
          </w:tblCellMar>
        </w:tblPrEx>
        <w:trPr>
          <w:trHeight w:val="23" w:hRule="atLeast"/>
          <w:jc w:val="center"/>
        </w:trPr>
        <w:tc>
          <w:tcPr>
            <w:tcW w:w="7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6DAA7D">
            <w:pPr>
              <w:widowControl/>
              <w:jc w:val="center"/>
              <w:rPr>
                <w:rFonts w:ascii="Times New Roman" w:hAnsi="Times New Roman" w:eastAsia="宋体" w:cs="Times New Roman"/>
                <w:color w:val="000000"/>
                <w:kern w:val="0"/>
                <w:sz w:val="22"/>
                <w:szCs w:val="22"/>
              </w:rPr>
            </w:pPr>
            <w:r>
              <w:rPr>
                <w:rFonts w:hint="eastAsia" w:ascii="Times New Roman" w:hAnsi="Times New Roman" w:eastAsia="宋体" w:cs="Times New Roman"/>
                <w:kern w:val="0"/>
                <w:sz w:val="22"/>
                <w:szCs w:val="22"/>
              </w:rPr>
              <w:t>12</w:t>
            </w:r>
          </w:p>
        </w:tc>
        <w:tc>
          <w:tcPr>
            <w:tcW w:w="2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3D7CD5">
            <w:pPr>
              <w:widowControl/>
              <w:jc w:val="left"/>
              <w:rPr>
                <w:rFonts w:ascii="Times New Roman" w:hAnsi="Times New Roman" w:eastAsia="宋体" w:cs="Times New Roman"/>
                <w:color w:val="FF0000"/>
                <w:kern w:val="0"/>
                <w:sz w:val="22"/>
                <w:szCs w:val="22"/>
              </w:rPr>
            </w:pPr>
            <w:r>
              <w:rPr>
                <w:rFonts w:hint="eastAsia" w:ascii="Times New Roman" w:hAnsi="Times New Roman" w:eastAsia="宋体" w:cs="Times New Roman"/>
                <w:kern w:val="0"/>
                <w:sz w:val="22"/>
                <w:szCs w:val="22"/>
              </w:rPr>
              <w:t>燃气</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873F15">
            <w:pPr>
              <w:widowControl/>
              <w:jc w:val="center"/>
              <w:rPr>
                <w:rFonts w:ascii="Times New Roman" w:hAnsi="Times New Roman" w:eastAsia="宋体" w:cs="Times New Roman"/>
                <w:color w:val="000000"/>
                <w:kern w:val="0"/>
                <w:sz w:val="22"/>
                <w:szCs w:val="22"/>
              </w:rPr>
            </w:pPr>
            <w:r>
              <w:rPr>
                <w:rFonts w:ascii="Times New Roman" w:hAnsi="Times New Roman" w:eastAsia="宋体" w:cs="Times New Roman"/>
                <w:kern w:val="0"/>
                <w:sz w:val="22"/>
                <w:szCs w:val="22"/>
              </w:rPr>
              <w:t>√</w:t>
            </w:r>
          </w:p>
        </w:tc>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93C32F">
            <w:pPr>
              <w:widowControl/>
              <w:jc w:val="center"/>
              <w:rPr>
                <w:rFonts w:ascii="Times New Roman" w:hAnsi="Times New Roman" w:eastAsia="宋体" w:cs="Times New Roman"/>
                <w:color w:val="000000"/>
                <w:kern w:val="0"/>
                <w:sz w:val="22"/>
                <w:szCs w:val="22"/>
              </w:rPr>
            </w:pPr>
          </w:p>
        </w:tc>
        <w:tc>
          <w:tcPr>
            <w:tcW w:w="4628" w:type="dxa"/>
            <w:tcBorders>
              <w:top w:val="single" w:color="auto" w:sz="4" w:space="0"/>
              <w:left w:val="single" w:color="auto" w:sz="4" w:space="0"/>
              <w:bottom w:val="single" w:color="auto" w:sz="4" w:space="0"/>
              <w:right w:val="single" w:color="auto" w:sz="4" w:space="0"/>
            </w:tcBorders>
            <w:shd w:val="clear" w:color="auto" w:fill="auto"/>
            <w:vAlign w:val="center"/>
          </w:tcPr>
          <w:p w14:paraId="2B43A699">
            <w:pPr>
              <w:widowControl/>
              <w:jc w:val="left"/>
              <w:rPr>
                <w:rFonts w:ascii="Times New Roman" w:hAnsi="Times New Roman" w:eastAsia="宋体" w:cs="Times New Roman"/>
                <w:color w:val="FF0000"/>
                <w:kern w:val="0"/>
                <w:sz w:val="22"/>
                <w:szCs w:val="22"/>
              </w:rPr>
            </w:pPr>
            <w:r>
              <w:rPr>
                <w:rFonts w:hint="eastAsia" w:ascii="宋体" w:hAnsi="宋体" w:eastAsia="宋体" w:cs="宋体"/>
                <w:kern w:val="0"/>
                <w:sz w:val="22"/>
                <w:szCs w:val="22"/>
              </w:rPr>
              <w:t>食堂燃气</w:t>
            </w:r>
          </w:p>
        </w:tc>
      </w:tr>
    </w:tbl>
    <w:p w14:paraId="0908E8D3">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5.2</w:t>
      </w:r>
      <w:r>
        <w:rPr>
          <w:rFonts w:ascii="Times New Roman" w:hAnsi="Times New Roman" w:eastAsia="宋体" w:cs="Times New Roman"/>
          <w:color w:val="0000FA"/>
          <w:sz w:val="22"/>
          <w:szCs w:val="22"/>
        </w:rPr>
        <w:t>本项目不允许分包</w:t>
      </w:r>
      <w:r>
        <w:rPr>
          <w:rFonts w:ascii="Times New Roman" w:hAnsi="Times New Roman" w:eastAsia="宋体" w:cs="Times New Roman"/>
          <w:sz w:val="22"/>
          <w:szCs w:val="22"/>
        </w:rPr>
        <w:t>。</w:t>
      </w:r>
    </w:p>
    <w:p w14:paraId="62FAA4BB">
      <w:pPr>
        <w:adjustRightInd w:val="0"/>
        <w:snapToGrid w:val="0"/>
        <w:spacing w:line="300" w:lineRule="auto"/>
        <w:ind w:firstLine="442" w:firstLineChars="200"/>
        <w:jc w:val="left"/>
        <w:outlineLvl w:val="2"/>
        <w:rPr>
          <w:rFonts w:ascii="Times New Roman" w:hAnsi="Times New Roman" w:eastAsia="宋体" w:cs="Times New Roman"/>
          <w:b/>
          <w:color w:val="000000"/>
          <w:sz w:val="22"/>
          <w:szCs w:val="22"/>
        </w:rPr>
      </w:pPr>
      <w:bookmarkStart w:id="45" w:name="_Toc6546"/>
      <w:r>
        <w:rPr>
          <w:rFonts w:ascii="Times New Roman" w:hAnsi="Times New Roman" w:eastAsia="宋体" w:cs="Times New Roman"/>
          <w:b/>
          <w:color w:val="000000"/>
          <w:sz w:val="22"/>
          <w:szCs w:val="22"/>
        </w:rPr>
        <w:t>6 合同的签订</w:t>
      </w:r>
      <w:bookmarkEnd w:id="45"/>
    </w:p>
    <w:p w14:paraId="3FA92D92">
      <w:pPr>
        <w:snapToGrid w:val="0"/>
        <w:spacing w:line="300" w:lineRule="auto"/>
        <w:ind w:firstLine="440" w:firstLineChars="200"/>
        <w:rPr>
          <w:rFonts w:ascii="Times New Roman" w:hAnsi="Times New Roman" w:eastAsia="宋体" w:cs="Times New Roman"/>
          <w:sz w:val="22"/>
          <w:szCs w:val="22"/>
        </w:rPr>
      </w:pPr>
      <w:r>
        <w:rPr>
          <w:rFonts w:ascii="Times New Roman" w:hAnsi="Times New Roman" w:eastAsia="宋体" w:cs="Times New Roman"/>
          <w:sz w:val="22"/>
          <w:szCs w:val="22"/>
        </w:rPr>
        <w:t>6.1 本项目合同的标的、价格、质量及验收标准、考核管理、履约期限等主要条款应当与招标文件和中标人投标文件的内容一致，并互相补充和解释。</w:t>
      </w:r>
    </w:p>
    <w:p w14:paraId="1F0DB568">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6.2 合同履约过程中，如遇不可抗力或政策性调价（以招标文件和合同约定为准），经双方商定可以调整合同金额（调整原则以招标文件约定为准），并签订补充协议。</w:t>
      </w:r>
    </w:p>
    <w:p w14:paraId="5627ADCA">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bCs/>
          <w:sz w:val="22"/>
          <w:szCs w:val="22"/>
        </w:rPr>
        <w:t>6.3</w:t>
      </w:r>
      <w:r>
        <w:rPr>
          <w:rFonts w:hint="eastAsia" w:ascii="Times New Roman" w:hAnsi="Times New Roman" w:eastAsia="宋体" w:cs="Times New Roman"/>
          <w:bCs/>
          <w:sz w:val="22"/>
          <w:szCs w:val="22"/>
        </w:rPr>
        <w:t xml:space="preserve"> </w:t>
      </w:r>
      <w:r>
        <w:rPr>
          <w:rFonts w:ascii="Times New Roman" w:hAnsi="Times New Roman" w:eastAsia="宋体" w:cs="Times New Roman"/>
          <w:bCs/>
          <w:sz w:val="22"/>
          <w:szCs w:val="22"/>
        </w:rPr>
        <w:t>本项目资金由新区财政预算逐年安排，中标后</w:t>
      </w:r>
      <w:r>
        <w:rPr>
          <w:rFonts w:hint="eastAsia" w:ascii="Times New Roman" w:hAnsi="Times New Roman" w:eastAsia="宋体" w:cs="Times New Roman"/>
          <w:bCs/>
          <w:sz w:val="22"/>
          <w:szCs w:val="22"/>
        </w:rPr>
        <w:t>3</w:t>
      </w:r>
      <w:r>
        <w:rPr>
          <w:rFonts w:ascii="Times New Roman" w:hAnsi="Times New Roman" w:eastAsia="宋体" w:cs="Times New Roman"/>
          <w:bCs/>
          <w:sz w:val="22"/>
          <w:szCs w:val="22"/>
        </w:rPr>
        <w:t>年有效，在承包期限内，项目经费合同需逐年签订。采购人每年度对中标人的工作进行考核，考核通过的，双方续签下一年度合同。如中标人年度考核未通过，双方不再续签下一年度合同。</w:t>
      </w:r>
    </w:p>
    <w:p w14:paraId="46DF87F5">
      <w:pPr>
        <w:adjustRightInd w:val="0"/>
        <w:snapToGrid w:val="0"/>
        <w:spacing w:line="300" w:lineRule="auto"/>
        <w:ind w:firstLine="442" w:firstLineChars="200"/>
        <w:jc w:val="left"/>
        <w:outlineLvl w:val="2"/>
        <w:rPr>
          <w:rFonts w:ascii="Times New Roman" w:hAnsi="Times New Roman" w:eastAsia="宋体" w:cs="Times New Roman"/>
          <w:sz w:val="22"/>
          <w:szCs w:val="22"/>
        </w:rPr>
      </w:pPr>
      <w:bookmarkStart w:id="46" w:name="_Toc20156"/>
      <w:r>
        <w:rPr>
          <w:rFonts w:ascii="Times New Roman" w:hAnsi="Times New Roman" w:eastAsia="宋体" w:cs="Times New Roman"/>
          <w:b/>
          <w:color w:val="000000"/>
          <w:sz w:val="22"/>
          <w:szCs w:val="22"/>
        </w:rPr>
        <w:t>7 结算原则和支付方式</w:t>
      </w:r>
      <w:bookmarkEnd w:id="46"/>
    </w:p>
    <w:p w14:paraId="5A9B52B5">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7.1 结算原则</w:t>
      </w:r>
    </w:p>
    <w:p w14:paraId="5E8567A3">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7.1.1</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根据考核管理要求，依照考核结果按实结算。</w:t>
      </w:r>
    </w:p>
    <w:p w14:paraId="2022A4A3">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7.1.2</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第一年度的合同价不变，采购人不会因政策性调价、人工成本、材料、设备使用年限增长引起的维修成本增加和效能衰减等因素（不可抗力除外）的变动而进行调整。自第二年度起，中标服务单价不变（不可抗力和政策性调价除外），当年度的实际合同价以经核定的实际服务内容确定。</w:t>
      </w:r>
    </w:p>
    <w:p w14:paraId="6CBBF5F9">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7.1.3 合同履约期间，如发生设备中修、大修和应急维修的，则费用按实结算。</w:t>
      </w:r>
    </w:p>
    <w:p w14:paraId="0D5FCC1B">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7.2 支付方式</w:t>
      </w:r>
    </w:p>
    <w:p w14:paraId="5041420F">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7.2.1 本项目合同金额采用</w:t>
      </w:r>
      <w:r>
        <w:rPr>
          <w:rFonts w:ascii="Times New Roman" w:hAnsi="Times New Roman" w:eastAsia="宋体" w:cs="Times New Roman"/>
          <w:color w:val="000000"/>
          <w:sz w:val="22"/>
          <w:szCs w:val="22"/>
          <w:u w:val="single"/>
        </w:rPr>
        <w:t>分期付款</w:t>
      </w:r>
      <w:r>
        <w:rPr>
          <w:rFonts w:ascii="Times New Roman" w:hAnsi="Times New Roman" w:eastAsia="宋体" w:cs="Times New Roman"/>
          <w:color w:val="000000"/>
          <w:sz w:val="22"/>
          <w:szCs w:val="22"/>
        </w:rPr>
        <w:t>方式，在采购人和中标人合同签订，且财政资金到位后，</w:t>
      </w:r>
      <w:r>
        <w:rPr>
          <w:rFonts w:hint="eastAsia" w:ascii="Times New Roman" w:hAnsi="Times New Roman" w:eastAsia="宋体" w:cs="Times New Roman"/>
          <w:color w:val="000000"/>
          <w:sz w:val="22"/>
          <w:szCs w:val="22"/>
        </w:rPr>
        <w:t>每季度末，采购人根据当季度考核结果支付相应的合同款项。</w:t>
      </w:r>
    </w:p>
    <w:p w14:paraId="45CF04EF">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7.3 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rFonts w:ascii="Times New Roman" w:hAnsi="Times New Roman" w:eastAsia="宋体" w:cs="Times New Roman"/>
          <w:sz w:val="22"/>
          <w:szCs w:val="22"/>
        </w:rPr>
        <w:t>1</w:t>
      </w:r>
      <w:r>
        <w:rPr>
          <w:rFonts w:hint="eastAsia" w:ascii="Times New Roman" w:hAnsi="Times New Roman" w:eastAsia="宋体" w:cs="Times New Roman"/>
          <w:sz w:val="22"/>
          <w:szCs w:val="22"/>
        </w:rPr>
        <w:t>年期贷款市场报价利率。</w:t>
      </w:r>
    </w:p>
    <w:p w14:paraId="2335069B">
      <w:pPr>
        <w:adjustRightInd w:val="0"/>
        <w:snapToGrid w:val="0"/>
        <w:spacing w:line="300" w:lineRule="auto"/>
        <w:jc w:val="center"/>
        <w:outlineLvl w:val="1"/>
        <w:rPr>
          <w:rFonts w:ascii="Times New Roman" w:hAnsi="Times New Roman" w:eastAsia="黑体" w:cs="Times New Roman"/>
          <w:b/>
          <w:bCs/>
          <w:sz w:val="30"/>
          <w:szCs w:val="30"/>
        </w:rPr>
      </w:pPr>
      <w:bookmarkStart w:id="47" w:name="_Toc19615"/>
      <w:r>
        <w:rPr>
          <w:rFonts w:ascii="Times New Roman" w:hAnsi="Times New Roman" w:eastAsia="黑体" w:cs="Times New Roman"/>
          <w:b/>
          <w:bCs/>
          <w:sz w:val="30"/>
          <w:szCs w:val="30"/>
        </w:rPr>
        <w:t>三、技术质量要求</w:t>
      </w:r>
      <w:bookmarkEnd w:id="47"/>
    </w:p>
    <w:p w14:paraId="2DE56FF8">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48" w:name="_Toc13440"/>
      <w:r>
        <w:rPr>
          <w:rFonts w:ascii="Times New Roman" w:hAnsi="Times New Roman" w:eastAsia="宋体" w:cs="Times New Roman"/>
          <w:b/>
          <w:bCs/>
          <w:sz w:val="22"/>
          <w:szCs w:val="22"/>
        </w:rPr>
        <w:t>8 适用技术规范和规范性文件</w:t>
      </w:r>
      <w:bookmarkEnd w:id="48"/>
    </w:p>
    <w:p w14:paraId="0601BC91">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 国家和市政府颁发的有关物业管理的法律、法规、标准和规范性文件。包括但不限于：</w:t>
      </w:r>
    </w:p>
    <w:p w14:paraId="78EE798C">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8.1.1 《物业管理条例》中华人民共和国国务院令第379号；</w:t>
      </w:r>
    </w:p>
    <w:p w14:paraId="457A9225">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8.1.2 《物业服务定价成本监审办法（试行）》发改价格（2007）2285号；</w:t>
      </w:r>
    </w:p>
    <w:p w14:paraId="21A2BB05">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8.1.3 《建设部关于修订全国物业管理示范住宅小区（大厦、工业区）标准及有关考核验收工作的通知》（建住房物[2000]008号）；</w:t>
      </w:r>
    </w:p>
    <w:p w14:paraId="0CBAF3A2">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8.1.4 《上海市食品安全条例》(上海市人民代表大会公告第18号)</w:t>
      </w:r>
    </w:p>
    <w:p w14:paraId="713090F7">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8.1.5 《上海市物业管理行业规范》（沪房地资物[2001]0035号）。</w:t>
      </w:r>
    </w:p>
    <w:p w14:paraId="7CC3B71D">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8.2 预算单位（使用单位）的现场实际情况；</w:t>
      </w:r>
    </w:p>
    <w:p w14:paraId="4D4036DB">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8.3 本项目招标文件、实施单位投标文件和双方确认的其他相关文件等。</w:t>
      </w:r>
    </w:p>
    <w:p w14:paraId="06524F8A">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sz w:val="22"/>
          <w:szCs w:val="22"/>
        </w:rPr>
        <w:t>各投标人应充分注意，凡涉及国家或行业管理部门颁发的相关规范、规程和标准，无论其是否在本招标文件中列明，中标人应无条件执行。标准、规范等不一致的，以要求高者为准。</w:t>
      </w:r>
    </w:p>
    <w:p w14:paraId="2F350BF4">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49" w:name="_Toc27445"/>
      <w:r>
        <w:rPr>
          <w:rFonts w:ascii="Times New Roman" w:hAnsi="Times New Roman" w:eastAsia="宋体" w:cs="Times New Roman"/>
          <w:b/>
          <w:bCs/>
          <w:sz w:val="22"/>
          <w:szCs w:val="22"/>
        </w:rPr>
        <w:t>9 招标内容与质量要求</w:t>
      </w:r>
      <w:bookmarkEnd w:id="49"/>
    </w:p>
    <w:p w14:paraId="2023DB04">
      <w:pPr>
        <w:adjustRightInd w:val="0"/>
        <w:snapToGrid w:val="0"/>
        <w:spacing w:line="300" w:lineRule="auto"/>
        <w:ind w:firstLine="442" w:firstLineChars="200"/>
        <w:jc w:val="left"/>
        <w:outlineLvl w:val="3"/>
        <w:rPr>
          <w:rFonts w:ascii="Times New Roman" w:hAnsi="Times New Roman" w:eastAsia="宋体" w:cs="Times New Roman"/>
          <w:b/>
          <w:color w:val="FF0000"/>
          <w:kern w:val="0"/>
          <w:sz w:val="22"/>
          <w:szCs w:val="22"/>
          <w:u w:val="single"/>
        </w:rPr>
      </w:pPr>
      <w:r>
        <w:rPr>
          <w:rFonts w:ascii="Times New Roman" w:hAnsi="Times New Roman" w:eastAsia="宋体" w:cs="Times New Roman"/>
          <w:b/>
          <w:sz w:val="22"/>
          <w:szCs w:val="22"/>
        </w:rPr>
        <w:t xml:space="preserve">9.1 </w:t>
      </w:r>
      <w:r>
        <w:rPr>
          <w:rFonts w:ascii="Times New Roman" w:hAnsi="Times New Roman" w:eastAsia="宋体" w:cs="Times New Roman"/>
          <w:b/>
          <w:kern w:val="0"/>
          <w:sz w:val="22"/>
          <w:szCs w:val="22"/>
        </w:rPr>
        <w:t>岗位设置一览表</w:t>
      </w:r>
    </w:p>
    <w:p w14:paraId="280AD252">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本项目共配置岗位</w:t>
      </w:r>
      <w:r>
        <w:rPr>
          <w:rFonts w:hint="eastAsia" w:ascii="Times New Roman" w:hAnsi="Times New Roman" w:eastAsia="宋体" w:cs="Times New Roman"/>
          <w:color w:val="000000"/>
          <w:sz w:val="22"/>
          <w:szCs w:val="22"/>
          <w:u w:val="single"/>
        </w:rPr>
        <w:t>21</w:t>
      </w:r>
      <w:r>
        <w:rPr>
          <w:rFonts w:hint="eastAsia" w:ascii="Times New Roman" w:hAnsi="Times New Roman" w:eastAsia="宋体" w:cs="Times New Roman"/>
          <w:color w:val="000000"/>
          <w:sz w:val="22"/>
          <w:szCs w:val="22"/>
        </w:rPr>
        <w:t>个（最低配置数），在投标文件中提供项目经理的拟配人选及其简介，其他员工由投标人在实际服务过程中提供符合采购人要求的人员，采购人有权对员工的工作进行检查、监督、考核，对不职称的员工提出批评、教育，屡教不改者，采购人有权随时提出更换。对聘用人员要求：有工作经验，作风正派，有较强的责任心和服务意识。</w:t>
      </w:r>
    </w:p>
    <w:p w14:paraId="77FFE7BA">
      <w:pPr>
        <w:adjustRightInd w:val="0"/>
        <w:snapToGrid w:val="0"/>
        <w:spacing w:line="300" w:lineRule="auto"/>
        <w:ind w:firstLine="440" w:firstLineChars="200"/>
        <w:jc w:val="left"/>
        <w:rPr>
          <w:rFonts w:ascii="Times New Roman" w:hAnsi="Times New Roman" w:eastAsia="宋体" w:cs="Times New Roman"/>
          <w:sz w:val="22"/>
          <w:szCs w:val="22"/>
        </w:rPr>
      </w:pPr>
      <w:r>
        <w:rPr>
          <w:rFonts w:hint="eastAsia" w:ascii="Times New Roman" w:hAnsi="Times New Roman" w:eastAsia="宋体" w:cs="Times New Roman"/>
          <w:bCs/>
          <w:sz w:val="22"/>
          <w:szCs w:val="22"/>
        </w:rPr>
        <w:t>岗位配置如下：</w:t>
      </w:r>
    </w:p>
    <w:tbl>
      <w:tblPr>
        <w:tblStyle w:val="2"/>
        <w:tblW w:w="9917" w:type="dxa"/>
        <w:jc w:val="center"/>
        <w:tblLayout w:type="fixed"/>
        <w:tblCellMar>
          <w:top w:w="0" w:type="dxa"/>
          <w:left w:w="108" w:type="dxa"/>
          <w:bottom w:w="0" w:type="dxa"/>
          <w:right w:w="108" w:type="dxa"/>
        </w:tblCellMar>
      </w:tblPr>
      <w:tblGrid>
        <w:gridCol w:w="576"/>
        <w:gridCol w:w="1777"/>
        <w:gridCol w:w="1257"/>
        <w:gridCol w:w="3809"/>
        <w:gridCol w:w="2498"/>
      </w:tblGrid>
      <w:tr w14:paraId="57F490E2">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F0BDE">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序号</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0627D">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岗位</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1C346">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最低岗位配置数</w:t>
            </w:r>
          </w:p>
        </w:tc>
        <w:tc>
          <w:tcPr>
            <w:tcW w:w="3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A7210">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工作内容</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A4485">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工作时间</w:t>
            </w:r>
          </w:p>
        </w:tc>
      </w:tr>
      <w:tr w14:paraId="74B07363">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21B0C">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2E32A">
            <w:pPr>
              <w:widowControl/>
              <w:jc w:val="center"/>
              <w:rPr>
                <w:rFonts w:ascii="宋体" w:hAnsi="宋体" w:eastAsia="宋体" w:cs="宋体"/>
                <w:color w:val="000000"/>
                <w:sz w:val="22"/>
                <w:szCs w:val="22"/>
              </w:rPr>
            </w:pPr>
            <w:r>
              <w:rPr>
                <w:rFonts w:hint="eastAsia" w:ascii="宋体" w:hAnsi="宋体" w:eastAsia="宋体" w:cs="Times New Roman"/>
                <w:sz w:val="22"/>
                <w:szCs w:val="22"/>
              </w:rPr>
              <w:t>项目经理</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7F6EB">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901FA">
            <w:pPr>
              <w:widowControl/>
              <w:jc w:val="center"/>
              <w:rPr>
                <w:rFonts w:ascii="宋体" w:hAnsi="宋体" w:eastAsia="宋体" w:cs="宋体"/>
                <w:color w:val="000000"/>
                <w:sz w:val="22"/>
                <w:szCs w:val="22"/>
              </w:rPr>
            </w:pPr>
            <w:r>
              <w:rPr>
                <w:rFonts w:hint="eastAsia" w:ascii="宋体" w:hAnsi="宋体" w:eastAsia="宋体" w:cs="宋体"/>
                <w:color w:val="000000"/>
                <w:sz w:val="22"/>
                <w:szCs w:val="22"/>
              </w:rPr>
              <w:t>负责全院物业所有事务性工作、积极配合医院的各项工作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6245F">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573FBD6C">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3C13C">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2</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E69DE">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保洁组长</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773CE">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7DB81">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负责全院保洁工作的检查、督促及整改等工作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5CD56">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6B6E1314">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1AD6A">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3</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44E15">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BF2F3">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11EA1">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负责1F门诊输液室、抢救室、打针室、全科1、2、3、4、5、6、7诊室、厕所保洁等工作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853E1">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8小时制，每周5.5天</w:t>
            </w:r>
          </w:p>
        </w:tc>
      </w:tr>
      <w:tr w14:paraId="3362B4EA">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53906">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4</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B1A7B">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B5BDC">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43A80">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负责1F门诊配药室、慢病中心、体检中心、化验室的标本运送，全科8、9、10诊室、手术室保洁等工作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77968">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8小时制，每周5.5天</w:t>
            </w:r>
          </w:p>
        </w:tc>
      </w:tr>
      <w:tr w14:paraId="06F43933">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8CA5D">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5</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EA893">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E1B02">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E837A">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负责2F妇科门诊、防保科、儿保、母婴学校保洁等工作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806EF">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5C168052">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23485">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6</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D1D6B">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4E5D7">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2</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7E2ED">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负责3F-4F病房、左右1-4层楼梯保洁等工作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28127">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0C919AC2">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35423">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7</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2437C">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E8B22">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CA228">
            <w:pPr>
              <w:widowControl/>
              <w:jc w:val="center"/>
              <w:rPr>
                <w:rFonts w:ascii="宋体" w:hAnsi="宋体" w:eastAsia="宋体" w:cs="宋体"/>
                <w:color w:val="000000"/>
                <w:sz w:val="22"/>
                <w:szCs w:val="22"/>
              </w:rPr>
            </w:pPr>
            <w:r>
              <w:rPr>
                <w:rFonts w:hint="eastAsia" w:ascii="宋体" w:hAnsi="宋体" w:eastAsia="宋体" w:cs="Times New Roman"/>
                <w:sz w:val="22"/>
                <w:szCs w:val="22"/>
              </w:rPr>
              <w:t>负责1F挂号室、药库、门诊CT室、放射科、口腔科B超室、厕所保洁等工作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F7316">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63780608">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FE873">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8</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3E55D">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7405C">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B2DC9">
            <w:pPr>
              <w:widowControl/>
              <w:jc w:val="center"/>
              <w:rPr>
                <w:rFonts w:ascii="宋体" w:hAnsi="宋体" w:eastAsia="宋体" w:cs="宋体"/>
                <w:color w:val="000000"/>
                <w:sz w:val="22"/>
                <w:szCs w:val="22"/>
              </w:rPr>
            </w:pPr>
            <w:r>
              <w:rPr>
                <w:rFonts w:hint="eastAsia" w:ascii="宋体" w:hAnsi="宋体" w:eastAsia="宋体" w:cs="Times New Roman"/>
                <w:sz w:val="22"/>
                <w:szCs w:val="22"/>
              </w:rPr>
              <w:t>负责2F中医科1、2、、3、4、5、针灸科、康复科、厕所、医生办公室、3F理疗室、4F多功能厅、左右楼梯保洁等工作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303AF">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8小时制，每周5.5天</w:t>
            </w:r>
          </w:p>
        </w:tc>
      </w:tr>
      <w:tr w14:paraId="71C6B4F2">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0210A">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9</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2E9F0">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29DEA">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002A8">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负责1F仓库、药库、2F、3F行政楼办公室保洁等工作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C6F7E">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0A51A814">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78C10">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10</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494ED">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r>
              <w:rPr>
                <w:rFonts w:hint="eastAsia" w:ascii="宋体" w:hAnsi="宋体" w:eastAsia="宋体" w:cs="Times New Roman"/>
                <w:sz w:val="22"/>
                <w:szCs w:val="22"/>
              </w:rPr>
              <w:br w:type="textWrapping"/>
            </w:r>
            <w:r>
              <w:rPr>
                <w:rFonts w:hint="eastAsia" w:ascii="宋体" w:hAnsi="宋体" w:eastAsia="宋体" w:cs="Times New Roman"/>
                <w:sz w:val="22"/>
                <w:szCs w:val="22"/>
              </w:rPr>
              <w:t>（收医废+被服）</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41EC2">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83217">
            <w:pPr>
              <w:widowControl/>
              <w:jc w:val="center"/>
              <w:rPr>
                <w:rFonts w:ascii="宋体" w:hAnsi="宋体" w:eastAsia="宋体" w:cs="宋体"/>
                <w:color w:val="000000"/>
                <w:sz w:val="22"/>
                <w:szCs w:val="22"/>
              </w:rPr>
            </w:pPr>
            <w:r>
              <w:rPr>
                <w:rFonts w:hint="eastAsia" w:ascii="宋体" w:hAnsi="宋体" w:eastAsia="宋体" w:cs="Times New Roman"/>
                <w:sz w:val="22"/>
                <w:szCs w:val="22"/>
              </w:rPr>
              <w:t>负责供应室、发热门诊、肠道科保洁等工作含收集医废及被服工作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71C8B">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5B8C2B8F">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2C4AF">
            <w:pPr>
              <w:widowControl/>
              <w:suppressAutoHyphens w:val="0"/>
              <w:ind w:firstLine="0"/>
              <w:jc w:val="center"/>
              <w:rPr>
                <w:rFonts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8AD0D">
            <w:pPr>
              <w:widowControl/>
              <w:jc w:val="center"/>
              <w:rPr>
                <w:rFonts w:ascii="宋体" w:hAnsi="宋体" w:eastAsia="宋体" w:cs="宋体"/>
                <w:color w:val="000000"/>
                <w:sz w:val="22"/>
                <w:szCs w:val="22"/>
              </w:rPr>
            </w:pPr>
            <w:r>
              <w:rPr>
                <w:rFonts w:hint="eastAsia" w:ascii="宋体" w:hAnsi="宋体" w:eastAsia="宋体" w:cs="Times New Roman"/>
                <w:sz w:val="22"/>
                <w:szCs w:val="22"/>
              </w:rPr>
              <w:t>保洁</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53714">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FCF68">
            <w:pPr>
              <w:widowControl/>
              <w:jc w:val="center"/>
              <w:rPr>
                <w:rFonts w:ascii="宋体" w:hAnsi="宋体" w:eastAsia="宋体" w:cs="宋体"/>
                <w:color w:val="000000"/>
                <w:sz w:val="22"/>
                <w:szCs w:val="22"/>
              </w:rPr>
            </w:pPr>
            <w:r>
              <w:rPr>
                <w:rFonts w:hint="eastAsia" w:ascii="宋体" w:hAnsi="宋体" w:eastAsia="宋体" w:cs="Times New Roman"/>
                <w:sz w:val="22"/>
                <w:szCs w:val="22"/>
              </w:rPr>
              <w:t>负责楼顶外环境保洁如屋顶、明暗沟保洁等工作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6FF33">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08100B56">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FAF3B">
            <w:pPr>
              <w:widowControl/>
              <w:suppressAutoHyphens w:val="0"/>
              <w:ind w:firstLine="0"/>
              <w:jc w:val="center"/>
              <w:rPr>
                <w:rFonts w:hint="default"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12</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F85EE">
            <w:pPr>
              <w:widowControl/>
              <w:jc w:val="center"/>
              <w:rPr>
                <w:rFonts w:hint="eastAsia" w:ascii="宋体" w:hAnsi="宋体" w:eastAsia="宋体" w:cs="Times New Roman"/>
                <w:sz w:val="22"/>
                <w:szCs w:val="22"/>
              </w:rPr>
            </w:pPr>
            <w:r>
              <w:rPr>
                <w:rFonts w:hint="eastAsia" w:ascii="宋体" w:hAnsi="宋体" w:eastAsia="宋体" w:cs="Times New Roman"/>
                <w:sz w:val="22"/>
                <w:szCs w:val="22"/>
              </w:rPr>
              <w:t>保洁/绿化</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0AC4C">
            <w:pPr>
              <w:widowControl/>
              <w:jc w:val="center"/>
              <w:rPr>
                <w:rFonts w:hint="eastAsia" w:ascii="宋体" w:hAnsi="宋体" w:eastAsia="宋体" w:cs="Times New Roman"/>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27ED6">
            <w:pPr>
              <w:widowControl/>
              <w:jc w:val="center"/>
              <w:rPr>
                <w:rFonts w:hint="eastAsia" w:ascii="宋体" w:hAnsi="宋体" w:eastAsia="宋体" w:cs="Times New Roman"/>
                <w:sz w:val="22"/>
                <w:szCs w:val="22"/>
              </w:rPr>
            </w:pPr>
            <w:r>
              <w:rPr>
                <w:rFonts w:hint="eastAsia" w:ascii="宋体" w:hAnsi="宋体" w:eastAsia="宋体" w:cs="Times New Roman"/>
                <w:sz w:val="22"/>
                <w:szCs w:val="22"/>
              </w:rPr>
              <w:t>负责1F外环境保洁兼室外绿化养护等工作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60EFC">
            <w:pPr>
              <w:widowControl/>
              <w:jc w:val="center"/>
              <w:rPr>
                <w:rFonts w:hint="eastAsia" w:ascii="宋体" w:hAnsi="宋体" w:eastAsia="宋体" w:cs="Times New Roman"/>
                <w:sz w:val="22"/>
                <w:szCs w:val="22"/>
              </w:rPr>
            </w:pPr>
            <w:r>
              <w:rPr>
                <w:rFonts w:hint="eastAsia" w:ascii="宋体" w:hAnsi="宋体" w:eastAsia="宋体" w:cs="Times New Roman"/>
                <w:sz w:val="22"/>
                <w:szCs w:val="22"/>
              </w:rPr>
              <w:t>8小时制，每周5天</w:t>
            </w:r>
          </w:p>
        </w:tc>
      </w:tr>
      <w:tr w14:paraId="6E4BCAF3">
        <w:tblPrEx>
          <w:tblCellMar>
            <w:top w:w="0" w:type="dxa"/>
            <w:left w:w="108" w:type="dxa"/>
            <w:bottom w:w="0" w:type="dxa"/>
            <w:right w:w="108" w:type="dxa"/>
          </w:tblCellMar>
        </w:tblPrEx>
        <w:trPr>
          <w:trHeight w:val="56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FEC45">
            <w:pPr>
              <w:widowControl/>
              <w:suppressAutoHyphens w:val="0"/>
              <w:ind w:firstLine="0"/>
              <w:jc w:val="center"/>
              <w:rPr>
                <w:rFonts w:hint="eastAsia"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13</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9B1A1">
            <w:pPr>
              <w:widowControl/>
              <w:jc w:val="center"/>
              <w:rPr>
                <w:rFonts w:ascii="宋体" w:hAnsi="宋体" w:eastAsia="宋体" w:cs="宋体"/>
                <w:color w:val="000000"/>
                <w:sz w:val="22"/>
                <w:szCs w:val="22"/>
              </w:rPr>
            </w:pPr>
            <w:r>
              <w:rPr>
                <w:rFonts w:hint="eastAsia" w:ascii="宋体" w:hAnsi="宋体" w:eastAsia="宋体" w:cs="Times New Roman"/>
                <w:sz w:val="22"/>
                <w:szCs w:val="22"/>
              </w:rPr>
              <w:t>安全员</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D5D8D">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EF01">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负责院内如消防安全检查、组织演练、培训等工作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74B8A">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32F1C02C">
        <w:tblPrEx>
          <w:tblCellMar>
            <w:top w:w="0" w:type="dxa"/>
            <w:left w:w="108" w:type="dxa"/>
            <w:bottom w:w="0" w:type="dxa"/>
            <w:right w:w="108" w:type="dxa"/>
          </w:tblCellMar>
        </w:tblPrEx>
        <w:trPr>
          <w:trHeight w:val="23"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D7B64">
            <w:pPr>
              <w:widowControl/>
              <w:suppressAutoHyphens w:val="0"/>
              <w:ind w:firstLine="0"/>
              <w:jc w:val="center"/>
              <w:rPr>
                <w:rFonts w:hint="eastAsia"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14</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660E8">
            <w:pPr>
              <w:widowControl/>
              <w:jc w:val="center"/>
              <w:rPr>
                <w:rFonts w:ascii="宋体" w:hAnsi="宋体" w:eastAsia="宋体" w:cs="宋体"/>
                <w:color w:val="000000"/>
                <w:sz w:val="22"/>
                <w:szCs w:val="22"/>
              </w:rPr>
            </w:pPr>
            <w:r>
              <w:rPr>
                <w:rFonts w:hint="eastAsia" w:ascii="宋体" w:hAnsi="宋体" w:eastAsia="宋体" w:cs="Times New Roman"/>
                <w:sz w:val="22"/>
                <w:szCs w:val="22"/>
              </w:rPr>
              <w:t>工勤人员</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82F37">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BD683">
            <w:pPr>
              <w:widowControl/>
              <w:jc w:val="center"/>
              <w:rPr>
                <w:rFonts w:ascii="宋体" w:hAnsi="宋体" w:eastAsia="宋体" w:cs="宋体"/>
                <w:color w:val="000000"/>
                <w:sz w:val="22"/>
                <w:szCs w:val="22"/>
              </w:rPr>
            </w:pPr>
            <w:r>
              <w:rPr>
                <w:rFonts w:hint="eastAsia" w:ascii="宋体" w:hAnsi="宋体" w:eastAsia="宋体" w:cs="Times New Roman"/>
                <w:color w:val="000000"/>
                <w:sz w:val="22"/>
                <w:szCs w:val="22"/>
              </w:rPr>
              <w:t>听从采购人安排</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F355A">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1F11CB6C">
        <w:tblPrEx>
          <w:tblCellMar>
            <w:top w:w="0" w:type="dxa"/>
            <w:left w:w="108" w:type="dxa"/>
            <w:bottom w:w="0" w:type="dxa"/>
            <w:right w:w="108" w:type="dxa"/>
          </w:tblCellMar>
        </w:tblPrEx>
        <w:trPr>
          <w:trHeight w:val="23"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5D8D9">
            <w:pPr>
              <w:widowControl/>
              <w:suppressAutoHyphens w:val="0"/>
              <w:ind w:firstLine="0"/>
              <w:jc w:val="center"/>
              <w:rPr>
                <w:rFonts w:hint="eastAsia"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15</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C281D">
            <w:pPr>
              <w:widowControl/>
              <w:jc w:val="center"/>
              <w:rPr>
                <w:rFonts w:ascii="宋体" w:hAnsi="宋体" w:eastAsia="宋体" w:cs="宋体"/>
                <w:color w:val="000000"/>
                <w:sz w:val="22"/>
                <w:szCs w:val="22"/>
              </w:rPr>
            </w:pPr>
            <w:r>
              <w:rPr>
                <w:rFonts w:hint="eastAsia" w:ascii="宋体" w:hAnsi="宋体" w:eastAsia="宋体" w:cs="Times New Roman"/>
                <w:sz w:val="22"/>
                <w:szCs w:val="22"/>
              </w:rPr>
              <w:t>后勤人员</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ECC1F">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1</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75FBC">
            <w:pPr>
              <w:widowControl/>
              <w:jc w:val="center"/>
              <w:rPr>
                <w:rFonts w:ascii="Times New Roman" w:hAnsi="Times New Roman" w:eastAsia="宋体" w:cs="Times New Roman"/>
                <w:color w:val="000000"/>
                <w:sz w:val="22"/>
                <w:szCs w:val="22"/>
              </w:rPr>
            </w:pPr>
            <w:r>
              <w:rPr>
                <w:rFonts w:hint="eastAsia" w:ascii="宋体" w:hAnsi="宋体" w:eastAsia="宋体" w:cs="Times New Roman"/>
                <w:color w:val="000000"/>
                <w:sz w:val="22"/>
                <w:szCs w:val="22"/>
              </w:rPr>
              <w:t>听从采购人安排</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91D0F">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46EFAD47">
        <w:tblPrEx>
          <w:tblCellMar>
            <w:top w:w="0" w:type="dxa"/>
            <w:left w:w="108" w:type="dxa"/>
            <w:bottom w:w="0" w:type="dxa"/>
            <w:right w:w="108" w:type="dxa"/>
          </w:tblCellMar>
        </w:tblPrEx>
        <w:trPr>
          <w:trHeight w:val="23"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EA5DA">
            <w:pPr>
              <w:widowControl/>
              <w:suppressAutoHyphens w:val="0"/>
              <w:ind w:firstLine="0"/>
              <w:jc w:val="center"/>
              <w:rPr>
                <w:rFonts w:hint="eastAsia"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16</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DD1CA">
            <w:pPr>
              <w:widowControl/>
              <w:jc w:val="center"/>
              <w:rPr>
                <w:rFonts w:ascii="宋体" w:hAnsi="宋体" w:eastAsia="宋体" w:cs="宋体"/>
                <w:color w:val="000000"/>
                <w:sz w:val="22"/>
                <w:szCs w:val="22"/>
              </w:rPr>
            </w:pPr>
            <w:r>
              <w:rPr>
                <w:rFonts w:hint="eastAsia" w:ascii="宋体" w:hAnsi="宋体" w:eastAsia="宋体" w:cs="Times New Roman"/>
                <w:sz w:val="22"/>
                <w:szCs w:val="22"/>
              </w:rPr>
              <w:t>厨师</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E5B71">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2</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31C08">
            <w:pPr>
              <w:widowControl/>
              <w:jc w:val="center"/>
              <w:rPr>
                <w:rFonts w:ascii="Times New Roman" w:hAnsi="Times New Roman" w:eastAsia="宋体" w:cs="Times New Roman"/>
                <w:color w:val="000000"/>
                <w:sz w:val="22"/>
                <w:szCs w:val="22"/>
              </w:rPr>
            </w:pPr>
            <w:r>
              <w:rPr>
                <w:rFonts w:hint="eastAsia" w:ascii="宋体" w:hAnsi="宋体" w:eastAsia="宋体" w:cs="Times New Roman"/>
                <w:color w:val="000000"/>
                <w:sz w:val="22"/>
                <w:szCs w:val="22"/>
              </w:rPr>
              <w:t>负责全院午餐供应、食品采购及台账记录等工作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45666">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68B83194">
        <w:tblPrEx>
          <w:tblCellMar>
            <w:top w:w="0" w:type="dxa"/>
            <w:left w:w="108" w:type="dxa"/>
            <w:bottom w:w="0" w:type="dxa"/>
            <w:right w:w="108" w:type="dxa"/>
          </w:tblCellMar>
        </w:tblPrEx>
        <w:trPr>
          <w:trHeight w:val="23"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1DE84">
            <w:pPr>
              <w:widowControl/>
              <w:suppressAutoHyphens w:val="0"/>
              <w:ind w:firstLine="0"/>
              <w:jc w:val="center"/>
              <w:rPr>
                <w:rFonts w:hint="eastAsia" w:ascii="Times New Roman" w:hAnsi="Times New Roman" w:eastAsia="宋体" w:cs="Times New Roman"/>
                <w:color w:val="000000"/>
                <w:kern w:val="1"/>
                <w:sz w:val="22"/>
                <w:szCs w:val="22"/>
                <w:lang w:val="en-US" w:eastAsia="zh-CN" w:bidi="ar-SA"/>
              </w:rPr>
            </w:pPr>
            <w:r>
              <w:rPr>
                <w:rFonts w:hint="eastAsia" w:ascii="Times New Roman" w:hAnsi="Times New Roman" w:eastAsia="宋体" w:cs="Times New Roman"/>
                <w:color w:val="000000"/>
                <w:kern w:val="1"/>
                <w:sz w:val="22"/>
                <w:szCs w:val="22"/>
                <w:lang w:val="en-US" w:eastAsia="zh-CN" w:bidi="ar-SA"/>
              </w:rPr>
              <w:t>17</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922FB">
            <w:pPr>
              <w:widowControl/>
              <w:jc w:val="center"/>
              <w:rPr>
                <w:rFonts w:ascii="宋体" w:hAnsi="宋体" w:eastAsia="宋体" w:cs="宋体"/>
                <w:color w:val="000000"/>
                <w:sz w:val="22"/>
                <w:szCs w:val="22"/>
              </w:rPr>
            </w:pPr>
            <w:r>
              <w:rPr>
                <w:rFonts w:hint="eastAsia" w:ascii="宋体" w:hAnsi="宋体" w:eastAsia="宋体" w:cs="Times New Roman"/>
                <w:sz w:val="22"/>
                <w:szCs w:val="22"/>
              </w:rPr>
              <w:t>厨工</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60B2C">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3</w:t>
            </w:r>
          </w:p>
        </w:tc>
        <w:tc>
          <w:tcPr>
            <w:tcW w:w="38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56355">
            <w:pPr>
              <w:widowControl/>
              <w:jc w:val="center"/>
              <w:rPr>
                <w:rFonts w:ascii="宋体" w:hAnsi="宋体" w:eastAsia="宋体" w:cs="宋体"/>
                <w:color w:val="000000"/>
                <w:sz w:val="22"/>
                <w:szCs w:val="22"/>
              </w:rPr>
            </w:pPr>
            <w:r>
              <w:rPr>
                <w:rFonts w:hint="eastAsia" w:ascii="宋体" w:hAnsi="宋体" w:eastAsia="宋体" w:cs="Times New Roman"/>
                <w:color w:val="000000"/>
                <w:sz w:val="22"/>
                <w:szCs w:val="22"/>
              </w:rPr>
              <w:t>负责切配、食堂环境清洁等工作</w:t>
            </w:r>
          </w:p>
        </w:tc>
        <w:tc>
          <w:tcPr>
            <w:tcW w:w="2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412B4">
            <w:pPr>
              <w:widowControl/>
              <w:jc w:val="center"/>
              <w:rPr>
                <w:rFonts w:ascii="Times New Roman" w:hAnsi="Times New Roman" w:eastAsia="宋体" w:cs="Times New Roman"/>
                <w:color w:val="000000"/>
                <w:sz w:val="22"/>
                <w:szCs w:val="22"/>
              </w:rPr>
            </w:pPr>
            <w:r>
              <w:rPr>
                <w:rFonts w:hint="eastAsia" w:ascii="宋体" w:hAnsi="宋体" w:eastAsia="宋体" w:cs="Times New Roman"/>
                <w:sz w:val="22"/>
                <w:szCs w:val="22"/>
              </w:rPr>
              <w:t>8小时制，每周5天</w:t>
            </w:r>
          </w:p>
        </w:tc>
      </w:tr>
      <w:tr w14:paraId="3D32D051">
        <w:tblPrEx>
          <w:tblCellMar>
            <w:top w:w="0" w:type="dxa"/>
            <w:left w:w="108" w:type="dxa"/>
            <w:bottom w:w="0" w:type="dxa"/>
            <w:right w:w="108" w:type="dxa"/>
          </w:tblCellMar>
        </w:tblPrEx>
        <w:trPr>
          <w:trHeight w:val="23" w:hRule="atLeast"/>
          <w:jc w:val="center"/>
        </w:trPr>
        <w:tc>
          <w:tcPr>
            <w:tcW w:w="235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91E1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合计</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E6D01">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2</w:t>
            </w:r>
            <w:r>
              <w:rPr>
                <w:rFonts w:hint="eastAsia" w:ascii="Times New Roman" w:hAnsi="Times New Roman" w:eastAsia="宋体" w:cs="Times New Roman"/>
                <w:color w:val="000000"/>
                <w:kern w:val="0"/>
                <w:sz w:val="22"/>
                <w:szCs w:val="22"/>
                <w:lang w:bidi="ar"/>
              </w:rPr>
              <w:t>1</w:t>
            </w:r>
          </w:p>
        </w:tc>
        <w:tc>
          <w:tcPr>
            <w:tcW w:w="630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9080D">
            <w:pPr>
              <w:rPr>
                <w:rFonts w:ascii="宋体" w:hAnsi="宋体" w:eastAsia="宋体" w:cs="宋体"/>
                <w:color w:val="000000"/>
                <w:sz w:val="22"/>
                <w:szCs w:val="22"/>
              </w:rPr>
            </w:pPr>
          </w:p>
        </w:tc>
      </w:tr>
    </w:tbl>
    <w:p w14:paraId="20925AC8">
      <w:pPr>
        <w:tabs>
          <w:tab w:val="left" w:pos="7200"/>
        </w:tabs>
        <w:adjustRightInd w:val="0"/>
        <w:snapToGrid w:val="0"/>
        <w:spacing w:line="300" w:lineRule="auto"/>
        <w:rPr>
          <w:rFonts w:ascii="Times New Roman" w:hAnsi="Times New Roman" w:eastAsia="宋体" w:cs="Times New Roman"/>
          <w:b/>
          <w:color w:val="0000FF"/>
          <w:sz w:val="22"/>
          <w:szCs w:val="22"/>
        </w:rPr>
      </w:pPr>
      <w:r>
        <w:rPr>
          <w:rFonts w:hint="eastAsia" w:ascii="Times New Roman" w:hAnsi="Times New Roman" w:eastAsia="宋体" w:cs="Times New Roman"/>
          <w:b/>
          <w:color w:val="0000FF"/>
          <w:sz w:val="22"/>
          <w:szCs w:val="22"/>
        </w:rPr>
        <w:t>说明：1、投标人的各岗位配置标准不得低于表内岗位配置数要求。</w:t>
      </w:r>
    </w:p>
    <w:p w14:paraId="1B3BCBB6">
      <w:pPr>
        <w:tabs>
          <w:tab w:val="left" w:pos="7200"/>
        </w:tabs>
        <w:adjustRightInd w:val="0"/>
        <w:snapToGrid w:val="0"/>
        <w:spacing w:line="300" w:lineRule="auto"/>
        <w:ind w:firstLine="663" w:firstLineChars="300"/>
        <w:rPr>
          <w:rFonts w:ascii="Times New Roman" w:hAnsi="Times New Roman" w:eastAsia="宋体" w:cs="Times New Roman"/>
          <w:bCs/>
          <w:sz w:val="22"/>
          <w:szCs w:val="22"/>
        </w:rPr>
      </w:pPr>
      <w:r>
        <w:rPr>
          <w:rFonts w:hint="eastAsia" w:ascii="Times New Roman" w:hAnsi="Times New Roman" w:eastAsia="宋体" w:cs="Times New Roman"/>
          <w:b/>
          <w:color w:val="0000FF"/>
          <w:sz w:val="22"/>
          <w:szCs w:val="22"/>
        </w:rPr>
        <w:t>2、项目经理应为投标人本单位正式员工，投标人在投标文件中提供截止投标日前6个月内任一月份的在职证明材料。</w:t>
      </w:r>
    </w:p>
    <w:p w14:paraId="1AD5093A">
      <w:pPr>
        <w:tabs>
          <w:tab w:val="left" w:pos="7200"/>
        </w:tabs>
        <w:adjustRightInd w:val="0"/>
        <w:snapToGrid w:val="0"/>
        <w:spacing w:line="300" w:lineRule="auto"/>
        <w:ind w:firstLine="442" w:firstLineChars="200"/>
        <w:outlineLvl w:val="3"/>
        <w:rPr>
          <w:rFonts w:ascii="Times New Roman" w:hAnsi="Times New Roman" w:eastAsia="宋体" w:cs="Times New Roman"/>
          <w:b/>
          <w:sz w:val="22"/>
          <w:szCs w:val="22"/>
        </w:rPr>
      </w:pPr>
      <w:r>
        <w:rPr>
          <w:rFonts w:hint="eastAsia" w:ascii="Times New Roman" w:hAnsi="Times New Roman" w:eastAsia="宋体" w:cs="Times New Roman"/>
          <w:b/>
          <w:sz w:val="22"/>
          <w:szCs w:val="22"/>
        </w:rPr>
        <w:t>9.2 组织架构、管理制度及管理团队要求</w:t>
      </w:r>
    </w:p>
    <w:p w14:paraId="6C32CE83">
      <w:pPr>
        <w:tabs>
          <w:tab w:val="left" w:pos="7200"/>
        </w:tabs>
        <w:adjustRightInd w:val="0"/>
        <w:snapToGrid w:val="0"/>
        <w:spacing w:line="300" w:lineRule="auto"/>
        <w:ind w:firstLine="442" w:firstLineChars="200"/>
        <w:rPr>
          <w:rFonts w:ascii="Times New Roman" w:hAnsi="Times New Roman" w:eastAsia="宋体" w:cs="Times New Roman"/>
          <w:b/>
          <w:sz w:val="22"/>
          <w:szCs w:val="22"/>
        </w:rPr>
      </w:pPr>
      <w:r>
        <w:rPr>
          <w:rFonts w:hint="eastAsia" w:ascii="Times New Roman" w:hAnsi="Times New Roman" w:eastAsia="宋体" w:cs="Times New Roman"/>
          <w:b/>
          <w:sz w:val="22"/>
          <w:szCs w:val="22"/>
        </w:rPr>
        <w:t>9.2.1 组织架构</w:t>
      </w:r>
    </w:p>
    <w:p w14:paraId="6ADA8CA0">
      <w:pPr>
        <w:tabs>
          <w:tab w:val="left" w:pos="7200"/>
        </w:tabs>
        <w:adjustRightInd w:val="0"/>
        <w:snapToGrid w:val="0"/>
        <w:spacing w:line="300" w:lineRule="auto"/>
        <w:jc w:val="center"/>
        <w:rPr>
          <w:rFonts w:ascii="Times New Roman" w:hAnsi="Times New Roman" w:eastAsia="宋体" w:cs="Times New Roman"/>
          <w:bCs/>
          <w:sz w:val="22"/>
          <w:szCs w:val="22"/>
        </w:rPr>
      </w:pPr>
      <w:r>
        <w:rPr>
          <w:rFonts w:hint="eastAsia" w:ascii="宋体" w:hAnsi="宋体" w:eastAsia="宋体" w:cs="Times New Roman"/>
          <w:sz w:val="22"/>
          <w:szCs w:val="22"/>
        </w:rPr>
        <w:drawing>
          <wp:inline distT="0" distB="0" distL="0" distR="0">
            <wp:extent cx="4822190" cy="1422400"/>
            <wp:effectExtent l="38100" t="0" r="73660" b="0"/>
            <wp:docPr id="5" name="图示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 r:lo="rId5" r:qs="rId6" r:cs="rId7"/>
              </a:graphicData>
            </a:graphic>
          </wp:inline>
        </w:drawing>
      </w:r>
    </w:p>
    <w:p w14:paraId="6866DA21">
      <w:pPr>
        <w:tabs>
          <w:tab w:val="left" w:pos="7200"/>
        </w:tabs>
        <w:adjustRightInd w:val="0"/>
        <w:snapToGrid w:val="0"/>
        <w:spacing w:line="300" w:lineRule="auto"/>
        <w:ind w:firstLine="442" w:firstLineChars="200"/>
        <w:outlineLvl w:val="3"/>
        <w:rPr>
          <w:rFonts w:ascii="Times New Roman" w:hAnsi="Times New Roman" w:eastAsia="宋体" w:cs="Times New Roman"/>
          <w:b/>
          <w:sz w:val="22"/>
          <w:szCs w:val="22"/>
        </w:rPr>
      </w:pPr>
      <w:r>
        <w:rPr>
          <w:rFonts w:ascii="Times New Roman" w:hAnsi="Times New Roman" w:eastAsia="宋体" w:cs="Times New Roman"/>
          <w:b/>
          <w:sz w:val="22"/>
          <w:szCs w:val="22"/>
        </w:rPr>
        <w:t>9.3</w:t>
      </w:r>
      <w:r>
        <w:rPr>
          <w:rFonts w:hint="eastAsia" w:ascii="Times New Roman" w:hAnsi="Times New Roman" w:eastAsia="宋体" w:cs="Times New Roman"/>
          <w:b/>
          <w:sz w:val="22"/>
          <w:szCs w:val="22"/>
        </w:rPr>
        <w:t xml:space="preserve"> </w:t>
      </w:r>
      <w:r>
        <w:rPr>
          <w:rFonts w:ascii="Times New Roman" w:hAnsi="Times New Roman" w:eastAsia="宋体" w:cs="Times New Roman"/>
          <w:b/>
          <w:sz w:val="22"/>
          <w:szCs w:val="22"/>
        </w:rPr>
        <w:t>各岗位具体服务要求</w:t>
      </w:r>
    </w:p>
    <w:p w14:paraId="790B423B">
      <w:pPr>
        <w:tabs>
          <w:tab w:val="left" w:pos="7200"/>
        </w:tabs>
        <w:adjustRightInd w:val="0"/>
        <w:snapToGrid w:val="0"/>
        <w:spacing w:line="300" w:lineRule="auto"/>
        <w:ind w:firstLine="442" w:firstLineChars="200"/>
        <w:outlineLvl w:val="4"/>
        <w:rPr>
          <w:rFonts w:ascii="Times New Roman" w:hAnsi="Times New Roman" w:eastAsia="宋体" w:cs="Times New Roman"/>
          <w:b/>
          <w:bCs/>
          <w:sz w:val="22"/>
          <w:szCs w:val="22"/>
        </w:rPr>
      </w:pPr>
      <w:r>
        <w:rPr>
          <w:rFonts w:hint="eastAsia" w:ascii="Times New Roman" w:hAnsi="Times New Roman" w:eastAsia="宋体" w:cs="Times New Roman"/>
          <w:b/>
          <w:bCs/>
          <w:sz w:val="22"/>
          <w:szCs w:val="22"/>
        </w:rPr>
        <w:t>9</w:t>
      </w:r>
      <w:r>
        <w:rPr>
          <w:rFonts w:ascii="Times New Roman" w:hAnsi="Times New Roman" w:eastAsia="宋体" w:cs="Times New Roman"/>
          <w:b/>
          <w:bCs/>
          <w:sz w:val="22"/>
          <w:szCs w:val="22"/>
        </w:rPr>
        <w:t>.</w:t>
      </w:r>
      <w:r>
        <w:rPr>
          <w:rFonts w:hint="eastAsia" w:ascii="Times New Roman" w:hAnsi="Times New Roman" w:eastAsia="宋体" w:cs="Times New Roman"/>
          <w:b/>
          <w:bCs/>
          <w:sz w:val="22"/>
          <w:szCs w:val="22"/>
        </w:rPr>
        <w:t>3</w:t>
      </w:r>
      <w:r>
        <w:rPr>
          <w:rFonts w:ascii="Times New Roman" w:hAnsi="Times New Roman" w:eastAsia="宋体" w:cs="Times New Roman"/>
          <w:b/>
          <w:bCs/>
          <w:sz w:val="22"/>
          <w:szCs w:val="22"/>
        </w:rPr>
        <w:t>.1</w:t>
      </w:r>
      <w:r>
        <w:rPr>
          <w:rFonts w:hint="eastAsia" w:ascii="Times New Roman" w:hAnsi="Times New Roman" w:eastAsia="宋体" w:cs="Times New Roman"/>
          <w:b/>
          <w:bCs/>
          <w:sz w:val="22"/>
          <w:szCs w:val="22"/>
        </w:rPr>
        <w:t xml:space="preserve"> 项目经理</w:t>
      </w:r>
    </w:p>
    <w:p w14:paraId="225FDEAB">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ascii="Times New Roman" w:hAnsi="Times New Roman" w:eastAsia="宋体" w:cs="Times New Roman"/>
          <w:bCs/>
          <w:sz w:val="22"/>
          <w:szCs w:val="22"/>
        </w:rPr>
        <w:t>（1）工作职责：全面负责物业的综合管理工作。</w:t>
      </w:r>
    </w:p>
    <w:p w14:paraId="794D3060">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ascii="Times New Roman" w:hAnsi="Times New Roman" w:eastAsia="宋体" w:cs="Times New Roman"/>
          <w:bCs/>
          <w:sz w:val="22"/>
          <w:szCs w:val="22"/>
        </w:rPr>
        <w:t>（2）总体要求：熟悉行业标准及相关法律法规，具有良好的综合素质，擅长沟通和协调，有较强的组织管理能力。</w:t>
      </w:r>
    </w:p>
    <w:p w14:paraId="125C2681">
      <w:pPr>
        <w:tabs>
          <w:tab w:val="left" w:pos="7200"/>
        </w:tabs>
        <w:adjustRightInd w:val="0"/>
        <w:snapToGrid w:val="0"/>
        <w:spacing w:line="300" w:lineRule="auto"/>
        <w:ind w:firstLine="440" w:firstLineChars="200"/>
        <w:rPr>
          <w:rFonts w:ascii="Times New Roman" w:hAnsi="Times New Roman" w:eastAsia="宋体" w:cs="Times New Roman"/>
          <w:b/>
          <w:color w:val="FF0000"/>
          <w:sz w:val="22"/>
          <w:szCs w:val="22"/>
          <w:u w:val="wavyHeavy"/>
        </w:rPr>
      </w:pPr>
      <w:r>
        <w:rPr>
          <w:rFonts w:ascii="Times New Roman" w:hAnsi="Times New Roman" w:eastAsia="宋体" w:cs="Times New Roman"/>
          <w:bCs/>
          <w:sz w:val="22"/>
          <w:szCs w:val="22"/>
        </w:rPr>
        <w:t>（3）工作时间要求：详见岗位配置表。</w:t>
      </w:r>
    </w:p>
    <w:p w14:paraId="2C9B5589">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ascii="Times New Roman" w:hAnsi="Times New Roman" w:eastAsia="宋体" w:cs="Times New Roman"/>
          <w:bCs/>
          <w:sz w:val="22"/>
          <w:szCs w:val="22"/>
        </w:rPr>
        <w:t>（4）人员自身要求：熟悉医院物业管理服务专业知识及相关的法律法规，具有良好的综合素质，擅长沟通和协调，有较强的组织管理能力，有较强的文字功底。</w:t>
      </w:r>
    </w:p>
    <w:p w14:paraId="1CC59742">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ascii="Times New Roman" w:hAnsi="Times New Roman" w:eastAsia="宋体" w:cs="Times New Roman"/>
          <w:bCs/>
          <w:sz w:val="22"/>
          <w:szCs w:val="22"/>
        </w:rPr>
        <w:t>（5）其它要求：有责任心、事业心强，吃苦耐劳，爱岗敬业，廉洁自律。</w:t>
      </w:r>
    </w:p>
    <w:p w14:paraId="206EE5F2">
      <w:pPr>
        <w:tabs>
          <w:tab w:val="left" w:pos="7200"/>
        </w:tabs>
        <w:adjustRightInd w:val="0"/>
        <w:snapToGrid w:val="0"/>
        <w:spacing w:line="300" w:lineRule="auto"/>
        <w:ind w:firstLine="442" w:firstLineChars="200"/>
        <w:outlineLvl w:val="4"/>
        <w:rPr>
          <w:rFonts w:ascii="Times New Roman" w:hAnsi="Times New Roman" w:eastAsia="宋体" w:cs="Times New Roman"/>
          <w:b/>
          <w:bCs/>
          <w:sz w:val="22"/>
          <w:szCs w:val="22"/>
        </w:rPr>
      </w:pPr>
      <w:r>
        <w:rPr>
          <w:rFonts w:hint="eastAsia" w:ascii="Times New Roman" w:hAnsi="Times New Roman" w:eastAsia="宋体" w:cs="Times New Roman"/>
          <w:b/>
          <w:bCs/>
          <w:sz w:val="22"/>
          <w:szCs w:val="22"/>
        </w:rPr>
        <w:t>9</w:t>
      </w:r>
      <w:r>
        <w:rPr>
          <w:rFonts w:ascii="Times New Roman" w:hAnsi="Times New Roman" w:eastAsia="宋体" w:cs="Times New Roman"/>
          <w:b/>
          <w:bCs/>
          <w:sz w:val="22"/>
          <w:szCs w:val="22"/>
        </w:rPr>
        <w:t>.</w:t>
      </w:r>
      <w:r>
        <w:rPr>
          <w:rFonts w:hint="eastAsia" w:ascii="Times New Roman" w:hAnsi="Times New Roman" w:eastAsia="宋体" w:cs="Times New Roman"/>
          <w:b/>
          <w:bCs/>
          <w:sz w:val="22"/>
          <w:szCs w:val="22"/>
        </w:rPr>
        <w:t>3</w:t>
      </w:r>
      <w:r>
        <w:rPr>
          <w:rFonts w:ascii="Times New Roman" w:hAnsi="Times New Roman" w:eastAsia="宋体" w:cs="Times New Roman"/>
          <w:b/>
          <w:bCs/>
          <w:sz w:val="22"/>
          <w:szCs w:val="22"/>
        </w:rPr>
        <w:t>.2</w:t>
      </w:r>
      <w:r>
        <w:rPr>
          <w:rFonts w:hint="eastAsia" w:ascii="Times New Roman" w:hAnsi="Times New Roman" w:eastAsia="宋体" w:cs="Times New Roman"/>
          <w:b/>
          <w:bCs/>
          <w:sz w:val="22"/>
          <w:szCs w:val="22"/>
        </w:rPr>
        <w:t xml:space="preserve"> 保洁员</w:t>
      </w:r>
    </w:p>
    <w:p w14:paraId="19F27CD7">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9.3</w:t>
      </w:r>
      <w:r>
        <w:rPr>
          <w:rFonts w:ascii="Times New Roman" w:hAnsi="Times New Roman" w:eastAsia="宋体" w:cs="Times New Roman"/>
          <w:bCs/>
          <w:sz w:val="22"/>
          <w:szCs w:val="22"/>
        </w:rPr>
        <w:t>.2.1</w:t>
      </w:r>
      <w:r>
        <w:rPr>
          <w:rFonts w:hint="eastAsia" w:ascii="Times New Roman" w:hAnsi="Times New Roman" w:eastAsia="宋体" w:cs="Times New Roman"/>
          <w:bCs/>
          <w:sz w:val="22"/>
          <w:szCs w:val="22"/>
        </w:rPr>
        <w:t xml:space="preserve"> 总体要求</w:t>
      </w:r>
    </w:p>
    <w:p w14:paraId="3614499D">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（1）有相关工作经验，经过公司组织的相关专业岗位培训，成绩优良。</w:t>
      </w:r>
    </w:p>
    <w:p w14:paraId="0D330D03">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（2）身体健康、作风正派、有较强的工作责任和服务意识。</w:t>
      </w:r>
    </w:p>
    <w:p w14:paraId="31200315">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9.3</w:t>
      </w:r>
      <w:r>
        <w:rPr>
          <w:rFonts w:ascii="Times New Roman" w:hAnsi="Times New Roman" w:eastAsia="宋体" w:cs="Times New Roman"/>
          <w:bCs/>
          <w:sz w:val="22"/>
          <w:szCs w:val="22"/>
        </w:rPr>
        <w:t>.2.2</w:t>
      </w:r>
      <w:r>
        <w:rPr>
          <w:rFonts w:hint="eastAsia" w:ascii="Times New Roman" w:hAnsi="Times New Roman" w:eastAsia="宋体" w:cs="Times New Roman"/>
          <w:bCs/>
          <w:sz w:val="22"/>
          <w:szCs w:val="22"/>
        </w:rPr>
        <w:t xml:space="preserve"> 工作职责</w:t>
      </w:r>
    </w:p>
    <w:p w14:paraId="4CDC933E">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（1）在上级的指导下开展工作，自觉遵守公司及医院的各项规章制度。</w:t>
      </w:r>
    </w:p>
    <w:p w14:paraId="78333202">
      <w:pPr>
        <w:tabs>
          <w:tab w:val="left" w:pos="7200"/>
        </w:tabs>
        <w:adjustRightInd w:val="0"/>
        <w:snapToGrid w:val="0"/>
        <w:spacing w:line="300" w:lineRule="auto"/>
        <w:ind w:firstLine="440" w:firstLineChars="200"/>
        <w:rPr>
          <w:rFonts w:hint="eastAsia" w:ascii="Times New Roman" w:hAnsi="Times New Roman" w:eastAsia="宋体" w:cs="Times New Roman"/>
          <w:bCs/>
          <w:sz w:val="22"/>
          <w:szCs w:val="22"/>
        </w:rPr>
      </w:pPr>
      <w:r>
        <w:rPr>
          <w:rFonts w:hint="eastAsia" w:ascii="Times New Roman" w:hAnsi="Times New Roman" w:eastAsia="宋体" w:cs="Times New Roman"/>
          <w:bCs/>
          <w:sz w:val="22"/>
          <w:szCs w:val="22"/>
        </w:rPr>
        <w:t>（2）服从分工，按规定标准和操作规程，保质保量地完成本区域的保洁服务工作。</w:t>
      </w:r>
    </w:p>
    <w:p w14:paraId="7CFEC7A2">
      <w:pPr>
        <w:tabs>
          <w:tab w:val="left" w:pos="7200"/>
        </w:tabs>
        <w:adjustRightInd w:val="0"/>
        <w:snapToGrid w:val="0"/>
        <w:spacing w:line="300" w:lineRule="auto"/>
        <w:ind w:firstLine="440" w:firstLineChars="200"/>
        <w:rPr>
          <w:rFonts w:hint="eastAsia" w:ascii="Times New Roman" w:hAnsi="Times New Roman" w:eastAsia="宋体" w:cs="Times New Roman"/>
          <w:bCs/>
          <w:sz w:val="22"/>
          <w:szCs w:val="22"/>
        </w:rPr>
      </w:pPr>
      <w:r>
        <w:rPr>
          <w:rFonts w:hint="eastAsia" w:ascii="Times New Roman" w:hAnsi="Times New Roman" w:eastAsia="宋体" w:cs="Times New Roman"/>
          <w:bCs/>
          <w:sz w:val="22"/>
          <w:szCs w:val="22"/>
        </w:rPr>
        <w:t>（3）部分保洁岗位需兼带医疗废弃物收集以及病房被服收发等工作。</w:t>
      </w:r>
    </w:p>
    <w:p w14:paraId="18B65217">
      <w:pPr>
        <w:tabs>
          <w:tab w:val="left" w:pos="7200"/>
        </w:tabs>
        <w:adjustRightInd w:val="0"/>
        <w:snapToGrid w:val="0"/>
        <w:spacing w:line="300" w:lineRule="auto"/>
        <w:ind w:firstLine="440" w:firstLineChars="200"/>
        <w:rPr>
          <w:rFonts w:hint="eastAsia" w:ascii="Times New Roman" w:hAnsi="Times New Roman" w:eastAsia="宋体" w:cs="Times New Roman"/>
          <w:bCs/>
          <w:sz w:val="22"/>
          <w:szCs w:val="22"/>
        </w:rPr>
      </w:pPr>
      <w:r>
        <w:rPr>
          <w:rFonts w:hint="eastAsia" w:ascii="Times New Roman" w:hAnsi="Times New Roman" w:eastAsia="宋体" w:cs="Times New Roman"/>
          <w:bCs/>
          <w:sz w:val="22"/>
          <w:szCs w:val="22"/>
        </w:rPr>
        <w:t>（</w:t>
      </w:r>
      <w:r>
        <w:rPr>
          <w:rFonts w:hint="eastAsia" w:ascii="Times New Roman" w:hAnsi="Times New Roman" w:eastAsia="宋体" w:cs="Times New Roman"/>
          <w:bCs/>
          <w:sz w:val="22"/>
          <w:szCs w:val="22"/>
          <w:lang w:val="en-US" w:eastAsia="zh-CN"/>
        </w:rPr>
        <w:t>4</w:t>
      </w:r>
      <w:r>
        <w:rPr>
          <w:rFonts w:hint="eastAsia" w:ascii="Times New Roman" w:hAnsi="Times New Roman" w:eastAsia="宋体" w:cs="Times New Roman"/>
          <w:bCs/>
          <w:sz w:val="22"/>
          <w:szCs w:val="22"/>
        </w:rPr>
        <w:t>）妥善保管保洁材料、工具，节约资源，爱护工具。</w:t>
      </w:r>
    </w:p>
    <w:p w14:paraId="20E31764">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w:t>
      </w:r>
      <w:r>
        <w:rPr>
          <w:rFonts w:hint="eastAsia" w:ascii="Times New Roman" w:hAnsi="Times New Roman" w:eastAsia="宋体" w:cs="Times New Roman"/>
          <w:bCs/>
          <w:sz w:val="22"/>
          <w:szCs w:val="22"/>
          <w:lang w:val="en-US" w:eastAsia="zh-CN"/>
        </w:rPr>
        <w:t>5</w:t>
      </w:r>
      <w:r>
        <w:rPr>
          <w:rFonts w:hint="eastAsia" w:ascii="Times New Roman" w:hAnsi="Times New Roman" w:eastAsia="宋体" w:cs="Times New Roman"/>
          <w:bCs/>
          <w:sz w:val="22"/>
          <w:szCs w:val="22"/>
        </w:rPr>
        <w:t>）完成上级交办的其他任务。</w:t>
      </w:r>
    </w:p>
    <w:p w14:paraId="56A79AA6">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9.3</w:t>
      </w:r>
      <w:r>
        <w:rPr>
          <w:rFonts w:ascii="Times New Roman" w:hAnsi="Times New Roman" w:eastAsia="宋体" w:cs="Times New Roman"/>
          <w:bCs/>
          <w:sz w:val="22"/>
          <w:szCs w:val="22"/>
        </w:rPr>
        <w:t>.2.3</w:t>
      </w:r>
      <w:r>
        <w:rPr>
          <w:rFonts w:hint="eastAsia" w:ascii="Times New Roman" w:hAnsi="Times New Roman" w:eastAsia="宋体" w:cs="Times New Roman"/>
          <w:bCs/>
          <w:sz w:val="22"/>
          <w:szCs w:val="22"/>
        </w:rPr>
        <w:t xml:space="preserve"> 工作时间要求：详见岗位配置表。</w:t>
      </w:r>
    </w:p>
    <w:p w14:paraId="53F69899">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9.3</w:t>
      </w:r>
      <w:r>
        <w:rPr>
          <w:rFonts w:ascii="Times New Roman" w:hAnsi="Times New Roman" w:eastAsia="宋体" w:cs="Times New Roman"/>
          <w:bCs/>
          <w:sz w:val="22"/>
          <w:szCs w:val="22"/>
        </w:rPr>
        <w:t>.2.4</w:t>
      </w:r>
      <w:r>
        <w:rPr>
          <w:rFonts w:hint="eastAsia" w:ascii="Times New Roman" w:hAnsi="Times New Roman" w:eastAsia="宋体" w:cs="Times New Roman"/>
          <w:bCs/>
          <w:sz w:val="22"/>
          <w:szCs w:val="22"/>
        </w:rPr>
        <w:t xml:space="preserve"> 各工作点具体工作要求</w:t>
      </w:r>
    </w:p>
    <w:p w14:paraId="4C9D95F9">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bookmarkStart w:id="50" w:name="_Hlk89177141"/>
      <w:r>
        <w:rPr>
          <w:rFonts w:hint="eastAsia" w:ascii="Times New Roman" w:hAnsi="Times New Roman" w:eastAsia="宋体" w:cs="Times New Roman"/>
          <w:bCs/>
          <w:sz w:val="22"/>
          <w:szCs w:val="22"/>
        </w:rPr>
        <w:t>公共环境保洁：大门、岗亭、广场、地面、绿化带、大厅、走廊、门窗、柱面、墙壁、楼梯、各种招牌、指示牌、消防箱、开关表面、各种扶手、宣传栏、卫生间、楼顶、棚顶、飘台</w:t>
      </w:r>
      <w:bookmarkEnd w:id="50"/>
      <w:r>
        <w:rPr>
          <w:rFonts w:hint="eastAsia" w:ascii="Times New Roman" w:hAnsi="Times New Roman" w:eastAsia="宋体" w:cs="Times New Roman"/>
          <w:bCs/>
          <w:sz w:val="22"/>
          <w:szCs w:val="22"/>
        </w:rPr>
        <w:t>。</w:t>
      </w:r>
    </w:p>
    <w:p w14:paraId="6B138588">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临床科室保洁：</w:t>
      </w:r>
      <w:bookmarkStart w:id="51" w:name="_Hlk89177156"/>
      <w:r>
        <w:rPr>
          <w:rFonts w:hint="eastAsia" w:ascii="Times New Roman" w:hAnsi="Times New Roman" w:eastAsia="宋体" w:cs="Times New Roman"/>
          <w:bCs/>
          <w:sz w:val="22"/>
          <w:szCs w:val="22"/>
        </w:rPr>
        <w:t>各临床科室、办公室、治疗室及补液柜架、护士站桌椅、病房病床、床头柜、输液架、空调风口、卫生间</w:t>
      </w:r>
      <w:bookmarkEnd w:id="51"/>
      <w:r>
        <w:rPr>
          <w:rFonts w:hint="eastAsia" w:ascii="Times New Roman" w:hAnsi="Times New Roman" w:eastAsia="宋体" w:cs="Times New Roman"/>
          <w:bCs/>
          <w:sz w:val="22"/>
          <w:szCs w:val="22"/>
        </w:rPr>
        <w:t>。</w:t>
      </w:r>
    </w:p>
    <w:p w14:paraId="2B60A707">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非临床科室、办公区保洁：</w:t>
      </w:r>
      <w:bookmarkStart w:id="52" w:name="_Hlk89177165"/>
      <w:r>
        <w:rPr>
          <w:rFonts w:hint="eastAsia" w:ascii="Times New Roman" w:hAnsi="Times New Roman" w:eastAsia="宋体" w:cs="Times New Roman"/>
          <w:bCs/>
          <w:sz w:val="22"/>
          <w:szCs w:val="22"/>
        </w:rPr>
        <w:t>诊疗室、值班室、候诊室、办公室、会议室、茶水间、清洁间、各类桌椅柜架、空调风口、卫生间</w:t>
      </w:r>
      <w:bookmarkEnd w:id="52"/>
      <w:r>
        <w:rPr>
          <w:rFonts w:hint="eastAsia" w:ascii="Times New Roman" w:hAnsi="Times New Roman" w:eastAsia="宋体" w:cs="Times New Roman"/>
          <w:bCs/>
          <w:sz w:val="22"/>
          <w:szCs w:val="22"/>
        </w:rPr>
        <w:t>。</w:t>
      </w:r>
    </w:p>
    <w:p w14:paraId="6B196FC3">
      <w:pPr>
        <w:tabs>
          <w:tab w:val="left" w:pos="7200"/>
        </w:tabs>
        <w:adjustRightInd w:val="0"/>
        <w:snapToGrid w:val="0"/>
        <w:spacing w:line="300" w:lineRule="auto"/>
        <w:ind w:firstLine="440" w:firstLineChars="200"/>
        <w:rPr>
          <w:rFonts w:ascii="Times New Roman" w:hAnsi="Times New Roman" w:eastAsia="宋体" w:cs="Times New Roman"/>
          <w:bCs/>
          <w:sz w:val="22"/>
          <w:szCs w:val="22"/>
        </w:rPr>
      </w:pPr>
      <w:r>
        <w:rPr>
          <w:rFonts w:hint="eastAsia" w:ascii="Times New Roman" w:hAnsi="Times New Roman" w:eastAsia="宋体" w:cs="Times New Roman"/>
          <w:bCs/>
          <w:sz w:val="22"/>
          <w:szCs w:val="22"/>
        </w:rPr>
        <w:t>垃圾管理：</w:t>
      </w:r>
      <w:bookmarkStart w:id="53" w:name="_Hlk89177176"/>
      <w:r>
        <w:rPr>
          <w:rFonts w:hint="eastAsia" w:ascii="Times New Roman" w:hAnsi="Times New Roman" w:eastAsia="宋体" w:cs="Times New Roman"/>
          <w:bCs/>
          <w:sz w:val="22"/>
          <w:szCs w:val="22"/>
        </w:rPr>
        <w:t>做好医院生活垃圾分类及医疗废弃物收集、转运至暂存点，垃圾中转房保洁。生活垃圾、医疗废弃物处置以及费用由医院负责</w:t>
      </w:r>
      <w:bookmarkEnd w:id="53"/>
      <w:r>
        <w:rPr>
          <w:rFonts w:hint="eastAsia" w:ascii="Times New Roman" w:hAnsi="Times New Roman" w:eastAsia="宋体" w:cs="Times New Roman"/>
          <w:bCs/>
          <w:sz w:val="22"/>
          <w:szCs w:val="22"/>
        </w:rPr>
        <w:t>。</w:t>
      </w:r>
    </w:p>
    <w:p w14:paraId="0BBD71F6">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服务标准：</w:t>
      </w:r>
    </w:p>
    <w:p w14:paraId="1D87FC09">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严格执行医院消毒隔离相关规定，严格区分清洁区、半污染区和污染区，保洁工具按区域摆放，保洁员做好个人防护。</w:t>
      </w:r>
    </w:p>
    <w:p w14:paraId="4231250C">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外环境地面干净无杂物、无积水，无明显污迹、油渍；明沟、窨井内无杂物、无异味；各种标识、标牌表面干净无积尘、无水印；路灯表面干净无污渍；绿化带内无杂物。</w:t>
      </w:r>
    </w:p>
    <w:p w14:paraId="0EFC784A">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大厅、公共通道、楼内各科室、办公室地面干净、无污渍、有光泽，保持地面材质的原貌；门框、窗框、窗台表面光亮、无灰尘、无污渍；门窗玻璃干净无尘，透光性好，无明显印迹；各种金属件表面干净、无污渍、有金属光泽；门把手干净、无印迹、定时消毒；天花板、灯具、中央空调风口干净、无污渍、无蛛网。</w:t>
      </w:r>
    </w:p>
    <w:p w14:paraId="7291F954">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楼梯及楼梯间踏步表面干净无污渍，扶手栏杆表面干净无灰尘，防火门及闭门器表面干净无污渍，墙面、天花板无积尘、蛛网。</w:t>
      </w:r>
    </w:p>
    <w:p w14:paraId="223F0E58">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卫生间地面干净，无污渍、无积水，墙面、隔断无污渍，镜子、台盆无污渍、水渍，便器表面干净、无污渍、有光泽，天花板、灯具、风口干净、无污渍、无蛛网，卫生间无明显异味。</w:t>
      </w:r>
    </w:p>
    <w:p w14:paraId="421A32E6">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茶水间及清洁间地面干净、无杂物、无积水，地垫摆放干净整齐，台面无水渍、污物，墙面干净无污渍，天花板干净无蛛网，各种物品表面干净，清洁工具摆放整齐有序，室内无明显异味。</w:t>
      </w:r>
    </w:p>
    <w:p w14:paraId="5FDCB18F">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消防栓、消防箱、报警器、监控探头、门警器、插座、开关等各类公共设施表面干净、无灰尘、无污渍。</w:t>
      </w:r>
    </w:p>
    <w:p w14:paraId="7012AB92">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垃圾箱、果皮箱按指定位置摆放，桶身表面干</w:t>
      </w:r>
      <w:r>
        <w:rPr>
          <w:rFonts w:ascii="Times New Roman" w:hAnsi="Times New Roman" w:eastAsia="宋体" w:cs="Times New Roman"/>
          <w:bCs/>
          <w:sz w:val="22"/>
          <w:szCs w:val="22"/>
        </w:rPr>
        <w:t>净无污渍，桶内垃圾不应超过2/3，内</w:t>
      </w:r>
      <w:r>
        <w:rPr>
          <w:rFonts w:hint="eastAsia" w:ascii="宋体" w:hAnsi="宋体" w:eastAsia="宋体" w:cs="Times New Roman"/>
          <w:bCs/>
          <w:sz w:val="22"/>
          <w:szCs w:val="22"/>
        </w:rPr>
        <w:t>胆定时清洁消毒，烟灰缸内烟头及时清理。垃圾中转房地面无散落垃圾、无污水外溢、房内无明显异味、垃圾袋装并摆放整齐，垃圾房定时清洁消毒。</w:t>
      </w:r>
    </w:p>
    <w:p w14:paraId="42DB461D">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专项保洁：玻璃清洗每半年一次、地面清洗打蜡每半年一次。专项保洁所需人工、物耗等由投标人负责。费用包含在预算内。</w:t>
      </w:r>
    </w:p>
    <w:p w14:paraId="4974AD57">
      <w:pPr>
        <w:spacing w:line="360" w:lineRule="auto"/>
        <w:rPr>
          <w:rFonts w:ascii="宋体" w:hAnsi="宋体" w:eastAsia="宋体" w:cs="Times New Roman"/>
          <w:b/>
          <w:sz w:val="22"/>
          <w:szCs w:val="22"/>
        </w:rPr>
      </w:pPr>
      <w:r>
        <w:rPr>
          <w:rFonts w:hint="eastAsia" w:ascii="宋体" w:hAnsi="宋体" w:eastAsia="宋体" w:cs="Times New Roman"/>
          <w:b/>
          <w:sz w:val="22"/>
          <w:szCs w:val="22"/>
        </w:rPr>
        <w:t>【出入口、大厅的保洁】</w:t>
      </w:r>
    </w:p>
    <w:tbl>
      <w:tblPr>
        <w:tblStyle w:val="2"/>
        <w:tblW w:w="88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47"/>
        <w:gridCol w:w="1786"/>
        <w:gridCol w:w="4054"/>
      </w:tblGrid>
      <w:tr w14:paraId="7261C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F216761">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85B159D">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81D4FB3">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52C38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9CBA5B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楼级、地台</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5861F83">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每日保洁2次</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74BDF8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无灰尘、无污渍、无垃圾</w:t>
            </w:r>
          </w:p>
        </w:tc>
      </w:tr>
      <w:tr w14:paraId="6B9DE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892A60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大厅柱面、墙面、地坪</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4E0BD9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随时保洁</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D5F9A0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地砖及大理石等无脚印、无污渍、无痰迹、无拉圾、面光亮有倒影</w:t>
            </w:r>
          </w:p>
        </w:tc>
      </w:tr>
      <w:tr w14:paraId="3D5EC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8E2F7E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走廊</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03F98F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随时保洁</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630FF4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地砖及大理石等无脚印、无污渍、无痰迹、无拉圾、面光亮有倒影</w:t>
            </w:r>
          </w:p>
        </w:tc>
      </w:tr>
      <w:tr w14:paraId="304F5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84AFA5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玻璃门、窗</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3E811B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62A4F5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光亮干净、无灰尘、无印渍</w:t>
            </w:r>
          </w:p>
        </w:tc>
      </w:tr>
      <w:tr w14:paraId="6FDED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0C6A91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护士站</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D82845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790550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无灰尘、无污渍、无杂物</w:t>
            </w:r>
          </w:p>
        </w:tc>
      </w:tr>
      <w:tr w14:paraId="7BB32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4EA1977">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挂号收费、取药处</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CAC152E">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随时保洁</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5C7CCF3">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无灰尘、无污渍、无杂物</w:t>
            </w:r>
          </w:p>
        </w:tc>
      </w:tr>
      <w:tr w14:paraId="657F4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0AFB92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标识、标牌</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B8B3961">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096D772">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字迹清楚、面光亮保洁</w:t>
            </w:r>
          </w:p>
        </w:tc>
      </w:tr>
      <w:tr w14:paraId="7952B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FF83B8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花盆、盆景</w:t>
            </w:r>
          </w:p>
        </w:tc>
        <w:tc>
          <w:tcPr>
            <w:tcW w:w="1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B5F31C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A4A58D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盆体表面光亮保洁，盆内无烟蒂、杂物</w:t>
            </w:r>
          </w:p>
        </w:tc>
      </w:tr>
    </w:tbl>
    <w:p w14:paraId="52856B86">
      <w:pPr>
        <w:spacing w:line="360" w:lineRule="auto"/>
        <w:rPr>
          <w:rFonts w:ascii="宋体" w:hAnsi="宋体" w:eastAsia="宋体" w:cs="Times New Roman"/>
          <w:b/>
          <w:sz w:val="22"/>
          <w:szCs w:val="22"/>
        </w:rPr>
      </w:pPr>
      <w:r>
        <w:rPr>
          <w:rFonts w:hint="eastAsia" w:ascii="宋体" w:hAnsi="宋体" w:eastAsia="宋体" w:cs="Times New Roman"/>
          <w:b/>
          <w:sz w:val="22"/>
          <w:szCs w:val="22"/>
        </w:rPr>
        <w:t>【诊室、办公室、会议室、休息室、接待室的保洁】</w:t>
      </w:r>
    </w:p>
    <w:tbl>
      <w:tblPr>
        <w:tblStyle w:val="2"/>
        <w:tblW w:w="88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18"/>
        <w:gridCol w:w="1800"/>
        <w:gridCol w:w="4039"/>
      </w:tblGrid>
      <w:tr w14:paraId="7247F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8D4E380">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B530FA1">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1F876C7">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515FF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76907CB">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门、窗台、扶手、桌椅</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69C8A60">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每天保洁1次</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083AFDB">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无灰尘、无污迹、无杂物</w:t>
            </w:r>
          </w:p>
        </w:tc>
      </w:tr>
      <w:tr w14:paraId="092D0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4F246E9">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玻璃窗</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B2D8626">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每周保洁1次</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5439309">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光亮干净、无灰尘、无印渍</w:t>
            </w:r>
          </w:p>
        </w:tc>
      </w:tr>
      <w:tr w14:paraId="4E8A8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A5B2B2A">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墙面、墙角、踢脚线</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67E6A36">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每天保洁1次</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7833496">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无灰尘、无污迹</w:t>
            </w:r>
          </w:p>
        </w:tc>
      </w:tr>
      <w:tr w14:paraId="2A1B5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D7D72C5">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地面、地毯</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AC59D98">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每天保洁2次</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433E315">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无灰尘、无污迹、无杂物</w:t>
            </w:r>
          </w:p>
        </w:tc>
      </w:tr>
      <w:tr w14:paraId="1DFCE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88ABB39">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室内空间</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B9456E1">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每天开窗通风</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67BB83C">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空气流通、清新</w:t>
            </w:r>
          </w:p>
        </w:tc>
      </w:tr>
      <w:tr w14:paraId="0D86A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F1A5AB0">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天花板、排风口</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AE15E98">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每周保洁1次</w:t>
            </w:r>
          </w:p>
        </w:tc>
        <w:tc>
          <w:tcPr>
            <w:tcW w:w="4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A0EAB43">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无灰尘、蜘蛛网</w:t>
            </w:r>
          </w:p>
        </w:tc>
      </w:tr>
    </w:tbl>
    <w:p w14:paraId="33C588F0">
      <w:pPr>
        <w:spacing w:line="360" w:lineRule="auto"/>
        <w:rPr>
          <w:rFonts w:ascii="宋体" w:hAnsi="宋体" w:eastAsia="宋体" w:cs="Times New Roman"/>
          <w:b/>
          <w:sz w:val="22"/>
          <w:szCs w:val="22"/>
        </w:rPr>
      </w:pPr>
      <w:r>
        <w:rPr>
          <w:rFonts w:hint="eastAsia" w:ascii="宋体" w:hAnsi="宋体" w:eastAsia="宋体" w:cs="Times New Roman"/>
          <w:b/>
          <w:sz w:val="22"/>
          <w:szCs w:val="22"/>
        </w:rPr>
        <w:t>【病房、病房辅助用房的保洁】</w:t>
      </w:r>
    </w:p>
    <w:tbl>
      <w:tblPr>
        <w:tblStyle w:val="2"/>
        <w:tblW w:w="8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30"/>
        <w:gridCol w:w="1800"/>
        <w:gridCol w:w="4051"/>
      </w:tblGrid>
      <w:tr w14:paraId="341F6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4A0B82D">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0807A22">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0DA7DAE">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4D7E5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04DEC1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病房门、墙面、台面、病床（不包括被褥）、床头柜、椅子、沙发、灯座及室内卫生间等附属设施</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8300E6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w:t>
            </w:r>
            <w:r>
              <w:rPr>
                <w:rFonts w:hint="eastAsia" w:ascii="宋体" w:hAnsi="宋体" w:eastAsia="宋体" w:cs="宋体"/>
                <w:color w:val="000000"/>
                <w:kern w:val="0"/>
                <w:sz w:val="22"/>
                <w:szCs w:val="22"/>
              </w:rPr>
              <w:t>≥</w:t>
            </w:r>
            <w:r>
              <w:rPr>
                <w:rFonts w:ascii="Times New Roman" w:hAnsi="Times New Roman" w:eastAsia="宋体" w:cs="Times New Roman"/>
                <w:color w:val="000000"/>
                <w:kern w:val="0"/>
                <w:sz w:val="22"/>
                <w:szCs w:val="22"/>
              </w:rPr>
              <w:t>1次</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6F7D5D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光亮、整洁、无灰尘、无损坏</w:t>
            </w:r>
          </w:p>
        </w:tc>
      </w:tr>
      <w:tr w14:paraId="2145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AE9D87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玻璃窗</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4CF73AE">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715040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光亮干净、无灰尘、无印渍</w:t>
            </w:r>
          </w:p>
        </w:tc>
      </w:tr>
      <w:tr w14:paraId="10BB9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F70A422">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病房辅助用房</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BA7025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A17A25E">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无灰尘、无污渍、无杂物</w:t>
            </w:r>
          </w:p>
        </w:tc>
      </w:tr>
      <w:tr w14:paraId="5EF4D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88FE4A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病房走道</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6D42F3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随时保洁</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D6E899E">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无脚印、无污渍、无痰迹、无垃圾</w:t>
            </w:r>
          </w:p>
        </w:tc>
      </w:tr>
      <w:tr w14:paraId="0C9BA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430B418">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护士站</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6982D7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E3AB7A1">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无灰尘、无污渍、无杂物</w:t>
            </w:r>
          </w:p>
        </w:tc>
      </w:tr>
      <w:tr w14:paraId="24E83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3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AB38CCE">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标识、标牌</w:t>
            </w:r>
          </w:p>
        </w:tc>
        <w:tc>
          <w:tcPr>
            <w:tcW w:w="18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50BA01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759ECD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字迹清楚、面光亮保洁</w:t>
            </w:r>
          </w:p>
        </w:tc>
      </w:tr>
    </w:tbl>
    <w:p w14:paraId="4CBD90A3">
      <w:pPr>
        <w:spacing w:line="360" w:lineRule="auto"/>
        <w:rPr>
          <w:rFonts w:ascii="宋体" w:hAnsi="宋体" w:eastAsia="宋体" w:cs="Times New Roman"/>
          <w:b/>
          <w:sz w:val="22"/>
          <w:szCs w:val="22"/>
        </w:rPr>
      </w:pPr>
      <w:r>
        <w:rPr>
          <w:rFonts w:hint="eastAsia" w:ascii="宋体" w:hAnsi="宋体" w:eastAsia="宋体" w:cs="Times New Roman"/>
          <w:b/>
          <w:sz w:val="22"/>
          <w:szCs w:val="22"/>
        </w:rPr>
        <w:t>【公共区域、监控探头、消防设施的保洁】</w:t>
      </w:r>
    </w:p>
    <w:tbl>
      <w:tblPr>
        <w:tblStyle w:val="2"/>
        <w:tblW w:w="89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41"/>
        <w:gridCol w:w="1819"/>
        <w:gridCol w:w="4053"/>
      </w:tblGrid>
      <w:tr w14:paraId="14EB9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DDD77B3">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708B0BF">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4A82F0D">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2EB32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B31F78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室外场地、道路</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83BD34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随时保洁</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FE0D30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无污渍、痰迹、果壳、树枝叶、垃圾等</w:t>
            </w:r>
          </w:p>
        </w:tc>
      </w:tr>
      <w:tr w14:paraId="53BDC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8CFEC6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走廊、过道</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3212B7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随时保洁</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5E6A18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无积灰、无污渍、水迹、脚印</w:t>
            </w:r>
          </w:p>
        </w:tc>
      </w:tr>
      <w:tr w14:paraId="606E2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E40D7A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玻璃窗</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1703B6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8205C3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光亮干净、无灰尘、无印渍</w:t>
            </w:r>
          </w:p>
        </w:tc>
      </w:tr>
      <w:tr w14:paraId="2DDE1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B48FD8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门、栏杆、扶手</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6A8BB7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92075D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无积灰、无污渍</w:t>
            </w:r>
          </w:p>
        </w:tc>
      </w:tr>
      <w:tr w14:paraId="1BA6E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8F37DF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室外标识</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2E098B1">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每日保洁1次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AF40D3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字迹清楚、面光亮保洁</w:t>
            </w:r>
          </w:p>
        </w:tc>
      </w:tr>
      <w:tr w14:paraId="76106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5"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1AC42E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垃圾箱、不锈钢痰盂</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FE3455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每天清洗1次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C5272C3">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表面清洁光亮、箱内弃物及时清倒，</w:t>
            </w:r>
          </w:p>
          <w:p w14:paraId="1D20CD8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盂口无痰迹，烟蒂不超过6个</w:t>
            </w:r>
          </w:p>
        </w:tc>
      </w:tr>
      <w:tr w14:paraId="4087B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7B7503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大花盆、盆景</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A8F657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78B229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盆体表面光亮保洁，盆内无烟蒂、杂物</w:t>
            </w:r>
          </w:p>
        </w:tc>
      </w:tr>
      <w:tr w14:paraId="2FF9C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520BBE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天花板、排风口</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9A6509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每周保洁1次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06FE85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无灰尘、蜘蛛网</w:t>
            </w:r>
          </w:p>
        </w:tc>
      </w:tr>
      <w:tr w14:paraId="2A932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D933CC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照明灯及附属设备</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AE586D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每周保洁1次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AC769E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无灰尘、无污迹</w:t>
            </w:r>
          </w:p>
        </w:tc>
      </w:tr>
      <w:tr w14:paraId="41A99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660C012">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录像监控探头</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DF3CAA1">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9456E1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外壳无灰尘、污渍、水迹</w:t>
            </w:r>
          </w:p>
        </w:tc>
      </w:tr>
      <w:tr w14:paraId="4252F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9" w:hRule="atLeast"/>
          <w:jc w:val="center"/>
        </w:trPr>
        <w:tc>
          <w:tcPr>
            <w:tcW w:w="30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98ADFBE">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消防栓、消防箱、报警器、门警器、插座、开关等</w:t>
            </w:r>
          </w:p>
        </w:tc>
        <w:tc>
          <w:tcPr>
            <w:tcW w:w="181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D6308AF">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每天保洁1次</w:t>
            </w:r>
          </w:p>
        </w:tc>
        <w:tc>
          <w:tcPr>
            <w:tcW w:w="405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4A6498F">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外表无灰尘、污渍，箱内无积灰</w:t>
            </w:r>
          </w:p>
        </w:tc>
      </w:tr>
    </w:tbl>
    <w:p w14:paraId="794247C5">
      <w:pPr>
        <w:spacing w:line="360" w:lineRule="auto"/>
        <w:rPr>
          <w:rFonts w:ascii="宋体" w:hAnsi="宋体" w:eastAsia="宋体" w:cs="Times New Roman"/>
          <w:b/>
          <w:sz w:val="22"/>
          <w:szCs w:val="22"/>
        </w:rPr>
      </w:pPr>
      <w:r>
        <w:rPr>
          <w:rFonts w:hint="eastAsia" w:ascii="宋体" w:hAnsi="宋体" w:eastAsia="宋体" w:cs="Times New Roman"/>
          <w:b/>
          <w:sz w:val="22"/>
          <w:szCs w:val="22"/>
        </w:rPr>
        <w:t>【卫生间的保洁】</w:t>
      </w:r>
    </w:p>
    <w:tbl>
      <w:tblPr>
        <w:tblStyle w:val="2"/>
        <w:tblW w:w="89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78"/>
        <w:gridCol w:w="1815"/>
        <w:gridCol w:w="4048"/>
      </w:tblGrid>
      <w:tr w14:paraId="53393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E631A6B">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81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719B4D3">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CB1CBED">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2E8EC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664E3E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门、窗台、墙面</w:t>
            </w:r>
          </w:p>
        </w:tc>
        <w:tc>
          <w:tcPr>
            <w:tcW w:w="181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4B2C4C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每天保洁1次</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A510CC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干净、整洁、明亮、无灰尘、无污迹</w:t>
            </w:r>
          </w:p>
        </w:tc>
      </w:tr>
      <w:tr w14:paraId="62CC1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4EE031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玻璃窗</w:t>
            </w:r>
          </w:p>
        </w:tc>
        <w:tc>
          <w:tcPr>
            <w:tcW w:w="181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E3278C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A506C23">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光亮干净、无灰尘、无印渍</w:t>
            </w:r>
          </w:p>
        </w:tc>
      </w:tr>
      <w:tr w14:paraId="470BD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97D4F68">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室内地面、空间</w:t>
            </w:r>
          </w:p>
        </w:tc>
        <w:tc>
          <w:tcPr>
            <w:tcW w:w="1815" w:type="dxa"/>
            <w:tcBorders>
              <w:top w:val="single" w:color="auto" w:sz="4" w:space="0"/>
              <w:left w:val="single" w:color="auto" w:sz="4" w:space="0"/>
              <w:bottom w:val="single" w:color="auto" w:sz="4" w:space="0"/>
              <w:right w:val="single" w:color="auto" w:sz="4" w:space="0"/>
            </w:tcBorders>
            <w:vAlign w:val="center"/>
          </w:tcPr>
          <w:p w14:paraId="09589DEC">
            <w:pPr>
              <w:widowControl/>
              <w:spacing w:line="240" w:lineRule="exact"/>
              <w:ind w:left="113" w:leftChars="54"/>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每天湿拖2次，</w:t>
            </w:r>
          </w:p>
          <w:p w14:paraId="1AC06F22">
            <w:pPr>
              <w:widowControl/>
              <w:spacing w:line="240" w:lineRule="exact"/>
              <w:ind w:left="113" w:leftChars="54"/>
              <w:rPr>
                <w:rFonts w:ascii="Times New Roman" w:hAnsi="Times New Roman" w:eastAsia="宋体" w:cs="Times New Roman"/>
                <w:kern w:val="0"/>
                <w:sz w:val="22"/>
                <w:szCs w:val="22"/>
              </w:rPr>
            </w:pPr>
            <w:r>
              <w:rPr>
                <w:rFonts w:ascii="Times New Roman" w:hAnsi="Times New Roman" w:eastAsia="宋体" w:cs="Times New Roman"/>
                <w:kern w:val="0"/>
                <w:sz w:val="22"/>
                <w:szCs w:val="22"/>
              </w:rPr>
              <w:t>巡回保洁</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E5FF5C3">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干燥、无异味、无脚印、水渍、头发等杂物</w:t>
            </w:r>
          </w:p>
        </w:tc>
      </w:tr>
      <w:tr w14:paraId="751C9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01F7AB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所有隔屏板</w:t>
            </w:r>
          </w:p>
        </w:tc>
        <w:tc>
          <w:tcPr>
            <w:tcW w:w="1815" w:type="dxa"/>
            <w:tcBorders>
              <w:top w:val="single" w:color="auto" w:sz="4" w:space="0"/>
              <w:left w:val="single" w:color="auto" w:sz="4" w:space="0"/>
              <w:bottom w:val="single" w:color="auto" w:sz="4" w:space="0"/>
              <w:right w:val="single" w:color="auto" w:sz="4" w:space="0"/>
            </w:tcBorders>
            <w:vAlign w:val="center"/>
          </w:tcPr>
          <w:p w14:paraId="0F79B220">
            <w:pPr>
              <w:widowControl/>
              <w:spacing w:line="240" w:lineRule="exact"/>
              <w:ind w:left="128" w:leftChars="61"/>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每天保洁1次</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BBA6F1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无灰尘、无污迹、水迹</w:t>
            </w:r>
          </w:p>
        </w:tc>
      </w:tr>
      <w:tr w14:paraId="0F2DE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2B3BC1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各类便器、马桶、水斗、台面、台盆、镜面、水龙头</w:t>
            </w:r>
          </w:p>
        </w:tc>
        <w:tc>
          <w:tcPr>
            <w:tcW w:w="181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1DF4CC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每2小时保洁1次</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4AE4D1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清洁、干净、无污迹、无污垢、无异味、污水管及下水道畅通</w:t>
            </w:r>
          </w:p>
        </w:tc>
      </w:tr>
      <w:tr w14:paraId="3A301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A1BFDD2">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手纸篓</w:t>
            </w:r>
          </w:p>
        </w:tc>
        <w:tc>
          <w:tcPr>
            <w:tcW w:w="181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44E6711">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7A7988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清理、刷洗干净</w:t>
            </w:r>
          </w:p>
        </w:tc>
      </w:tr>
      <w:tr w14:paraId="42E11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1321060">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天花、出风口、灯具、墙角</w:t>
            </w:r>
          </w:p>
        </w:tc>
        <w:tc>
          <w:tcPr>
            <w:tcW w:w="181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C259432">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每周保洁1次</w:t>
            </w:r>
          </w:p>
        </w:tc>
        <w:tc>
          <w:tcPr>
            <w:tcW w:w="404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38FB901">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无灰尘、蜘蛛网</w:t>
            </w:r>
          </w:p>
        </w:tc>
      </w:tr>
    </w:tbl>
    <w:p w14:paraId="196AB8C0">
      <w:pPr>
        <w:spacing w:line="360" w:lineRule="auto"/>
        <w:rPr>
          <w:rFonts w:ascii="宋体" w:hAnsi="宋体" w:eastAsia="宋体" w:cs="Times New Roman"/>
          <w:b/>
          <w:sz w:val="22"/>
          <w:szCs w:val="22"/>
        </w:rPr>
      </w:pPr>
      <w:r>
        <w:rPr>
          <w:rFonts w:hint="eastAsia" w:ascii="宋体" w:hAnsi="宋体" w:eastAsia="宋体" w:cs="Times New Roman"/>
          <w:b/>
          <w:sz w:val="22"/>
          <w:szCs w:val="22"/>
        </w:rPr>
        <w:t>【配膳间、茶水间的保洁】</w:t>
      </w:r>
    </w:p>
    <w:tbl>
      <w:tblPr>
        <w:tblStyle w:val="2"/>
        <w:tblW w:w="88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90"/>
        <w:gridCol w:w="1772"/>
        <w:gridCol w:w="4018"/>
      </w:tblGrid>
      <w:tr w14:paraId="3C8C9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54079BF">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817C19C">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9C7E71A">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1A255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5BA4C0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门、柜、墙面</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2A060C2">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每天保洁1次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13EF7D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无灰尘、无污迹</w:t>
            </w:r>
          </w:p>
        </w:tc>
      </w:tr>
      <w:tr w14:paraId="06CCB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D84315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玻璃窗</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AF785C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13836E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光亮干净、无灰尘、无印渍</w:t>
            </w:r>
          </w:p>
        </w:tc>
      </w:tr>
      <w:tr w14:paraId="41D6C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524FF7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室内地面、空间</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B4AFE0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每天湿拖2次，</w:t>
            </w:r>
          </w:p>
          <w:p w14:paraId="708FB96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kern w:val="0"/>
                <w:sz w:val="22"/>
                <w:szCs w:val="22"/>
              </w:rPr>
              <w:t>巡回保洁</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FB0857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干燥、无异味、无脚印、水渍、头发等杂物</w:t>
            </w:r>
          </w:p>
        </w:tc>
      </w:tr>
      <w:tr w14:paraId="71E14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503A077">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开水箱外壳</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1A58D7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CBC9498">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无灰尘、污迹</w:t>
            </w:r>
          </w:p>
        </w:tc>
      </w:tr>
      <w:tr w14:paraId="5354E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86A10A8">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打水台面、槽内</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ABB1C8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E1AA670">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无积水、无杂物</w:t>
            </w:r>
          </w:p>
        </w:tc>
      </w:tr>
      <w:tr w14:paraId="0172A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F90F11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垃圾桶</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8929EF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37C857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清理、刷洗干净</w:t>
            </w:r>
          </w:p>
        </w:tc>
      </w:tr>
      <w:tr w14:paraId="4430C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6917BBD">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溢水口、下水道入口</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6CA8FD1">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每天保洁1次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0E535C3">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无积水、无污迹</w:t>
            </w:r>
          </w:p>
        </w:tc>
      </w:tr>
      <w:tr w14:paraId="0AF55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9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C561A68">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天花、出风口、灯具、墙角</w:t>
            </w:r>
          </w:p>
        </w:tc>
        <w:tc>
          <w:tcPr>
            <w:tcW w:w="177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C678339">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每周保洁1次</w:t>
            </w:r>
          </w:p>
        </w:tc>
        <w:tc>
          <w:tcPr>
            <w:tcW w:w="40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4657C00">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无灰尘、蜘蛛网</w:t>
            </w:r>
          </w:p>
        </w:tc>
      </w:tr>
    </w:tbl>
    <w:p w14:paraId="58F37F44">
      <w:pPr>
        <w:spacing w:line="360" w:lineRule="auto"/>
        <w:rPr>
          <w:rFonts w:ascii="宋体" w:hAnsi="宋体" w:eastAsia="宋体" w:cs="Times New Roman"/>
          <w:b/>
          <w:sz w:val="22"/>
          <w:szCs w:val="22"/>
        </w:rPr>
      </w:pPr>
      <w:r>
        <w:rPr>
          <w:rFonts w:hint="eastAsia" w:ascii="宋体" w:hAnsi="宋体" w:eastAsia="宋体" w:cs="Times New Roman"/>
          <w:b/>
          <w:sz w:val="22"/>
          <w:szCs w:val="22"/>
        </w:rPr>
        <w:t>【楼梯间、消防通道的保洁】</w:t>
      </w:r>
    </w:p>
    <w:tbl>
      <w:tblPr>
        <w:tblStyle w:val="2"/>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89"/>
        <w:gridCol w:w="1744"/>
        <w:gridCol w:w="4033"/>
      </w:tblGrid>
      <w:tr w14:paraId="43BEC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E25D6BE">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74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BFC5D07">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22FDCF9">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564AD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32A10D4">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楼梯台阶、扶手、栏杆、踢脚线、横档</w:t>
            </w:r>
          </w:p>
        </w:tc>
        <w:tc>
          <w:tcPr>
            <w:tcW w:w="1744" w:type="dxa"/>
            <w:tcBorders>
              <w:top w:val="single" w:color="auto" w:sz="4" w:space="0"/>
              <w:left w:val="single" w:color="auto" w:sz="4" w:space="0"/>
              <w:bottom w:val="single" w:color="auto" w:sz="4" w:space="0"/>
              <w:right w:val="single" w:color="auto" w:sz="4" w:space="0"/>
            </w:tcBorders>
            <w:vAlign w:val="center"/>
          </w:tcPr>
          <w:p w14:paraId="50AA8B01">
            <w:pPr>
              <w:widowControl/>
              <w:spacing w:line="240" w:lineRule="exact"/>
              <w:ind w:left="145" w:leftChars="69"/>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每天保洁1次</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69E103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无灰尘、无泥土、无杂物</w:t>
            </w:r>
          </w:p>
        </w:tc>
      </w:tr>
      <w:tr w14:paraId="25A54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58C6ADD">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通道门、门玻璃、门框</w:t>
            </w:r>
          </w:p>
        </w:tc>
        <w:tc>
          <w:tcPr>
            <w:tcW w:w="1744" w:type="dxa"/>
            <w:tcBorders>
              <w:top w:val="single" w:color="auto" w:sz="4" w:space="0"/>
              <w:left w:val="single" w:color="auto" w:sz="4" w:space="0"/>
              <w:bottom w:val="single" w:color="auto" w:sz="4" w:space="0"/>
              <w:right w:val="single" w:color="auto" w:sz="4" w:space="0"/>
            </w:tcBorders>
            <w:vAlign w:val="center"/>
          </w:tcPr>
          <w:p w14:paraId="2550BD06">
            <w:pPr>
              <w:widowControl/>
              <w:spacing w:line="240" w:lineRule="exact"/>
              <w:ind w:left="145" w:leftChars="69"/>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每天保洁1次</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712D671">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无灰尘、污迹</w:t>
            </w:r>
          </w:p>
        </w:tc>
      </w:tr>
      <w:tr w14:paraId="1A7F3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933F1A2">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花卉盆景</w:t>
            </w:r>
          </w:p>
        </w:tc>
        <w:tc>
          <w:tcPr>
            <w:tcW w:w="1744" w:type="dxa"/>
            <w:tcBorders>
              <w:top w:val="single" w:color="auto" w:sz="4" w:space="0"/>
              <w:left w:val="single" w:color="auto" w:sz="4" w:space="0"/>
              <w:bottom w:val="single" w:color="auto" w:sz="4" w:space="0"/>
              <w:right w:val="single" w:color="auto" w:sz="4" w:space="0"/>
            </w:tcBorders>
            <w:vAlign w:val="center"/>
          </w:tcPr>
          <w:p w14:paraId="5E9D8ACA">
            <w:pPr>
              <w:widowControl/>
              <w:spacing w:line="240" w:lineRule="exact"/>
              <w:ind w:left="145" w:leftChars="69"/>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每天保洁1次</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0AC4418">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盆体表面光亮保洁、盆内无烟蒂</w:t>
            </w:r>
          </w:p>
        </w:tc>
      </w:tr>
      <w:tr w14:paraId="7EF0D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B7DB800">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室内空间</w:t>
            </w:r>
          </w:p>
        </w:tc>
        <w:tc>
          <w:tcPr>
            <w:tcW w:w="1744" w:type="dxa"/>
            <w:tcBorders>
              <w:top w:val="single" w:color="auto" w:sz="4" w:space="0"/>
              <w:left w:val="single" w:color="auto" w:sz="4" w:space="0"/>
              <w:bottom w:val="single" w:color="auto" w:sz="4" w:space="0"/>
              <w:right w:val="single" w:color="auto" w:sz="4" w:space="0"/>
            </w:tcBorders>
            <w:vAlign w:val="center"/>
          </w:tcPr>
          <w:p w14:paraId="152428DF">
            <w:pPr>
              <w:widowControl/>
              <w:spacing w:line="240" w:lineRule="exact"/>
              <w:ind w:left="145" w:leftChars="69"/>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每天开窗通风</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D4A6AE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空气流通、清新</w:t>
            </w:r>
          </w:p>
        </w:tc>
      </w:tr>
      <w:tr w14:paraId="7E00C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BA60D05">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照明及附属设备</w:t>
            </w:r>
          </w:p>
        </w:tc>
        <w:tc>
          <w:tcPr>
            <w:tcW w:w="1744" w:type="dxa"/>
            <w:tcBorders>
              <w:top w:val="single" w:color="auto" w:sz="4" w:space="0"/>
              <w:left w:val="single" w:color="auto" w:sz="4" w:space="0"/>
              <w:bottom w:val="single" w:color="auto" w:sz="4" w:space="0"/>
              <w:right w:val="single" w:color="auto" w:sz="4" w:space="0"/>
            </w:tcBorders>
            <w:vAlign w:val="center"/>
          </w:tcPr>
          <w:p w14:paraId="6603946D">
            <w:pPr>
              <w:widowControl/>
              <w:spacing w:line="240" w:lineRule="exact"/>
              <w:ind w:left="145" w:leftChars="69"/>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每周保洁1次</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D2EAFBE">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无灰尘、污迹</w:t>
            </w:r>
          </w:p>
        </w:tc>
      </w:tr>
      <w:tr w14:paraId="1CA51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30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B8F0176">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墙面、天花板</w:t>
            </w:r>
          </w:p>
        </w:tc>
        <w:tc>
          <w:tcPr>
            <w:tcW w:w="1744" w:type="dxa"/>
            <w:tcBorders>
              <w:top w:val="single" w:color="auto" w:sz="4" w:space="0"/>
              <w:left w:val="single" w:color="auto" w:sz="4" w:space="0"/>
              <w:bottom w:val="single" w:color="auto" w:sz="4" w:space="0"/>
              <w:right w:val="single" w:color="auto" w:sz="4" w:space="0"/>
            </w:tcBorders>
            <w:vAlign w:val="center"/>
          </w:tcPr>
          <w:p w14:paraId="187B81B9">
            <w:pPr>
              <w:widowControl/>
              <w:spacing w:line="240" w:lineRule="exact"/>
              <w:ind w:left="145" w:leftChars="69"/>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每周保洁1次</w:t>
            </w:r>
          </w:p>
        </w:tc>
        <w:tc>
          <w:tcPr>
            <w:tcW w:w="403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3E851EA">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无积灰、污迹、蜘蛛网</w:t>
            </w:r>
          </w:p>
        </w:tc>
      </w:tr>
    </w:tbl>
    <w:p w14:paraId="4E52AE55">
      <w:pPr>
        <w:spacing w:line="360" w:lineRule="auto"/>
        <w:rPr>
          <w:rFonts w:ascii="宋体" w:hAnsi="宋体" w:eastAsia="宋体" w:cs="Times New Roman"/>
          <w:b/>
          <w:sz w:val="22"/>
          <w:szCs w:val="22"/>
        </w:rPr>
      </w:pPr>
      <w:r>
        <w:rPr>
          <w:rFonts w:hint="eastAsia" w:ascii="宋体" w:hAnsi="宋体" w:eastAsia="宋体" w:cs="Times New Roman"/>
          <w:b/>
          <w:sz w:val="22"/>
          <w:szCs w:val="22"/>
        </w:rPr>
        <w:t>【外环境的保洁】</w:t>
      </w:r>
    </w:p>
    <w:tbl>
      <w:tblPr>
        <w:tblStyle w:val="2"/>
        <w:tblW w:w="88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155"/>
        <w:gridCol w:w="1705"/>
        <w:gridCol w:w="4032"/>
      </w:tblGrid>
      <w:tr w14:paraId="22B36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932E833">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7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6B24D13">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CF309BA">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31C1C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70CC27D">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清扫地面垃圾、树叶等</w:t>
            </w:r>
          </w:p>
        </w:tc>
        <w:tc>
          <w:tcPr>
            <w:tcW w:w="17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7186B22">
            <w:pPr>
              <w:widowControl/>
              <w:spacing w:line="240" w:lineRule="exact"/>
              <w:jc w:val="center"/>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随时保洁</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FC6B1B5">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无瓜果皮壳、纸屑等杂物、无积水</w:t>
            </w:r>
          </w:p>
          <w:p w14:paraId="31D927A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无烟蒂、无污渍</w:t>
            </w:r>
          </w:p>
        </w:tc>
      </w:tr>
      <w:tr w14:paraId="44B9C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73D69C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标志、指示牌</w:t>
            </w:r>
          </w:p>
        </w:tc>
        <w:tc>
          <w:tcPr>
            <w:tcW w:w="1705" w:type="dxa"/>
            <w:tcBorders>
              <w:top w:val="single" w:color="auto" w:sz="4" w:space="0"/>
              <w:left w:val="single" w:color="auto" w:sz="4" w:space="0"/>
              <w:bottom w:val="single" w:color="auto" w:sz="4" w:space="0"/>
              <w:right w:val="single" w:color="auto" w:sz="4" w:space="0"/>
            </w:tcBorders>
            <w:vAlign w:val="center"/>
          </w:tcPr>
          <w:p w14:paraId="096E2200">
            <w:pPr>
              <w:widowControl/>
              <w:spacing w:line="240" w:lineRule="exact"/>
              <w:jc w:val="center"/>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随时保洁</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4BEC80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干净、无积灰、无污迹、无乱张贴</w:t>
            </w:r>
          </w:p>
        </w:tc>
      </w:tr>
      <w:tr w14:paraId="0D5B3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28029E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绿化带、花坛</w:t>
            </w:r>
          </w:p>
        </w:tc>
        <w:tc>
          <w:tcPr>
            <w:tcW w:w="1705" w:type="dxa"/>
            <w:tcBorders>
              <w:top w:val="single" w:color="auto" w:sz="4" w:space="0"/>
              <w:left w:val="single" w:color="auto" w:sz="4" w:space="0"/>
              <w:bottom w:val="single" w:color="auto" w:sz="4" w:space="0"/>
              <w:right w:val="single" w:color="auto" w:sz="4" w:space="0"/>
            </w:tcBorders>
            <w:vAlign w:val="center"/>
          </w:tcPr>
          <w:p w14:paraId="70DC4116">
            <w:pPr>
              <w:widowControl/>
              <w:spacing w:line="240" w:lineRule="exact"/>
              <w:jc w:val="center"/>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随时保洁</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31AA65A">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无枯叶、无杂物、无杂草</w:t>
            </w:r>
          </w:p>
        </w:tc>
      </w:tr>
      <w:tr w14:paraId="37FF7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4CADA39">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路灯等照明设施</w:t>
            </w:r>
          </w:p>
        </w:tc>
        <w:tc>
          <w:tcPr>
            <w:tcW w:w="17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EE81C99">
            <w:pPr>
              <w:widowControl/>
              <w:spacing w:line="240" w:lineRule="exact"/>
              <w:jc w:val="center"/>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每月保洁1次</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3D7776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无灰尘、无污迹、透光度好</w:t>
            </w:r>
          </w:p>
        </w:tc>
      </w:tr>
      <w:tr w14:paraId="2101C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2FB0817">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连廊、自行车停放处雨棚清洗</w:t>
            </w:r>
          </w:p>
        </w:tc>
        <w:tc>
          <w:tcPr>
            <w:tcW w:w="17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4104F71">
            <w:pPr>
              <w:widowControl/>
              <w:spacing w:line="240" w:lineRule="exact"/>
              <w:jc w:val="center"/>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每月保洁1次</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B80501E">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无杂物、无污渍</w:t>
            </w:r>
          </w:p>
        </w:tc>
      </w:tr>
      <w:tr w14:paraId="08528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15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EDB731C">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明沟、窨井</w:t>
            </w:r>
          </w:p>
        </w:tc>
        <w:tc>
          <w:tcPr>
            <w:tcW w:w="17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E767E34">
            <w:pPr>
              <w:widowControl/>
              <w:spacing w:line="240" w:lineRule="exact"/>
              <w:jc w:val="center"/>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每周保洁1次</w:t>
            </w:r>
          </w:p>
        </w:tc>
        <w:tc>
          <w:tcPr>
            <w:tcW w:w="403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A61096B">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无积水、异味、杂草、杂物</w:t>
            </w:r>
          </w:p>
        </w:tc>
      </w:tr>
    </w:tbl>
    <w:p w14:paraId="143A22A4">
      <w:pPr>
        <w:spacing w:line="360" w:lineRule="auto"/>
        <w:rPr>
          <w:rFonts w:ascii="宋体" w:hAnsi="宋体" w:eastAsia="宋体" w:cs="Times New Roman"/>
          <w:b/>
          <w:sz w:val="22"/>
          <w:szCs w:val="22"/>
        </w:rPr>
      </w:pPr>
      <w:r>
        <w:rPr>
          <w:rFonts w:hint="eastAsia" w:ascii="宋体" w:hAnsi="宋体" w:eastAsia="宋体" w:cs="Times New Roman"/>
          <w:b/>
          <w:sz w:val="22"/>
          <w:szCs w:val="22"/>
        </w:rPr>
        <w:t>【垃圾房】</w:t>
      </w:r>
    </w:p>
    <w:tbl>
      <w:tblPr>
        <w:tblStyle w:val="2"/>
        <w:tblW w:w="88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80"/>
        <w:gridCol w:w="1725"/>
        <w:gridCol w:w="4042"/>
      </w:tblGrid>
      <w:tr w14:paraId="7ACD3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9F800E3">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项目内容</w:t>
            </w:r>
          </w:p>
        </w:tc>
        <w:tc>
          <w:tcPr>
            <w:tcW w:w="172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7E0A0B6">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保洁时间</w:t>
            </w:r>
          </w:p>
        </w:tc>
        <w:tc>
          <w:tcPr>
            <w:tcW w:w="40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DF9E83D">
            <w:pPr>
              <w:widowControl/>
              <w:spacing w:line="240" w:lineRule="exact"/>
              <w:jc w:val="center"/>
              <w:rPr>
                <w:rFonts w:ascii="Times New Roman" w:hAnsi="Times New Roman" w:eastAsia="宋体" w:cs="Times New Roman"/>
                <w:b/>
                <w:kern w:val="0"/>
                <w:sz w:val="22"/>
                <w:szCs w:val="22"/>
              </w:rPr>
            </w:pPr>
            <w:r>
              <w:rPr>
                <w:rFonts w:ascii="Times New Roman" w:hAnsi="Times New Roman" w:eastAsia="宋体" w:cs="Times New Roman"/>
                <w:b/>
                <w:color w:val="000000"/>
                <w:kern w:val="0"/>
                <w:sz w:val="22"/>
                <w:szCs w:val="22"/>
              </w:rPr>
              <w:t>保洁质量检查标准</w:t>
            </w:r>
          </w:p>
        </w:tc>
      </w:tr>
      <w:tr w14:paraId="6CE71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0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C76F826">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地面、墙面</w:t>
            </w:r>
          </w:p>
        </w:tc>
        <w:tc>
          <w:tcPr>
            <w:tcW w:w="1725" w:type="dxa"/>
            <w:tcBorders>
              <w:top w:val="single" w:color="auto" w:sz="4" w:space="0"/>
              <w:left w:val="single" w:color="auto" w:sz="4" w:space="0"/>
              <w:bottom w:val="single" w:color="auto" w:sz="4" w:space="0"/>
              <w:right w:val="single" w:color="auto" w:sz="4" w:space="0"/>
            </w:tcBorders>
            <w:vAlign w:val="center"/>
          </w:tcPr>
          <w:p w14:paraId="77C9FD32">
            <w:pPr>
              <w:widowControl/>
              <w:spacing w:line="240" w:lineRule="exact"/>
              <w:ind w:left="134" w:leftChars="64"/>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77C157F">
            <w:pPr>
              <w:widowControl/>
              <w:spacing w:line="240" w:lineRule="exact"/>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干净、干燥、无异味、无污迹、无粘附物、无散落垃圾、无污水外溢</w:t>
            </w:r>
          </w:p>
        </w:tc>
      </w:tr>
      <w:tr w14:paraId="75996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0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01B1172">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天花板、灯具、排风口</w:t>
            </w:r>
          </w:p>
        </w:tc>
        <w:tc>
          <w:tcPr>
            <w:tcW w:w="1725" w:type="dxa"/>
            <w:tcBorders>
              <w:top w:val="single" w:color="auto" w:sz="4" w:space="0"/>
              <w:left w:val="single" w:color="auto" w:sz="4" w:space="0"/>
              <w:bottom w:val="single" w:color="auto" w:sz="4" w:space="0"/>
              <w:right w:val="single" w:color="auto" w:sz="4" w:space="0"/>
            </w:tcBorders>
            <w:vAlign w:val="center"/>
          </w:tcPr>
          <w:p w14:paraId="56065420">
            <w:pPr>
              <w:widowControl/>
              <w:spacing w:line="240" w:lineRule="exact"/>
              <w:ind w:left="134" w:leftChars="64"/>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每月用高尘扫保洁1次</w:t>
            </w:r>
          </w:p>
        </w:tc>
        <w:tc>
          <w:tcPr>
            <w:tcW w:w="40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365D920">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无蛛网积灰</w:t>
            </w:r>
          </w:p>
        </w:tc>
      </w:tr>
      <w:tr w14:paraId="16A9D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0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5DCFEC6">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垃圾桶、垃圾箱、果皮箱</w:t>
            </w:r>
          </w:p>
        </w:tc>
        <w:tc>
          <w:tcPr>
            <w:tcW w:w="1725" w:type="dxa"/>
            <w:tcBorders>
              <w:top w:val="single" w:color="auto" w:sz="4" w:space="0"/>
              <w:left w:val="single" w:color="auto" w:sz="4" w:space="0"/>
              <w:bottom w:val="single" w:color="auto" w:sz="4" w:space="0"/>
              <w:right w:val="single" w:color="auto" w:sz="4" w:space="0"/>
            </w:tcBorders>
            <w:vAlign w:val="center"/>
          </w:tcPr>
          <w:p w14:paraId="42845597">
            <w:pPr>
              <w:widowControl/>
              <w:spacing w:line="240" w:lineRule="exact"/>
              <w:ind w:left="134" w:leftChars="64"/>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1018B0C">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表面无污迹；桶内垃圾不超过2/3；冲洗空桶内壁、无异味</w:t>
            </w:r>
          </w:p>
        </w:tc>
      </w:tr>
      <w:tr w14:paraId="4DC81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0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0C0646C">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垃圾袋</w:t>
            </w:r>
          </w:p>
        </w:tc>
        <w:tc>
          <w:tcPr>
            <w:tcW w:w="1725" w:type="dxa"/>
            <w:tcBorders>
              <w:top w:val="single" w:color="auto" w:sz="4" w:space="0"/>
              <w:left w:val="single" w:color="auto" w:sz="4" w:space="0"/>
              <w:bottom w:val="single" w:color="auto" w:sz="4" w:space="0"/>
              <w:right w:val="single" w:color="auto" w:sz="4" w:space="0"/>
            </w:tcBorders>
            <w:vAlign w:val="center"/>
          </w:tcPr>
          <w:p w14:paraId="1343EEF4">
            <w:pPr>
              <w:widowControl/>
              <w:spacing w:line="240" w:lineRule="exact"/>
              <w:ind w:left="134" w:leftChars="64"/>
              <w:rPr>
                <w:rFonts w:ascii="Times New Roman" w:hAnsi="Times New Roman" w:eastAsia="宋体" w:cs="Times New Roman"/>
                <w:kern w:val="0"/>
                <w:sz w:val="22"/>
                <w:szCs w:val="22"/>
              </w:rPr>
            </w:pPr>
            <w:r>
              <w:rPr>
                <w:rFonts w:ascii="Times New Roman" w:hAnsi="Times New Roman" w:eastAsia="宋体" w:cs="Times New Roman"/>
                <w:color w:val="000000"/>
                <w:kern w:val="0"/>
                <w:sz w:val="22"/>
                <w:szCs w:val="22"/>
              </w:rPr>
              <w:t>每天保洁2次</w:t>
            </w:r>
          </w:p>
        </w:tc>
        <w:tc>
          <w:tcPr>
            <w:tcW w:w="40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C53EDB7">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垃圾袋装化，桶内垃圾不满溢，盖好垃圾桶盖</w:t>
            </w:r>
          </w:p>
        </w:tc>
      </w:tr>
      <w:tr w14:paraId="032B5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30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DF82CAA">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垃圾房内部及周围5米内消毒</w:t>
            </w:r>
          </w:p>
        </w:tc>
        <w:tc>
          <w:tcPr>
            <w:tcW w:w="1725" w:type="dxa"/>
            <w:tcBorders>
              <w:top w:val="single" w:color="auto" w:sz="4" w:space="0"/>
              <w:left w:val="single" w:color="auto" w:sz="4" w:space="0"/>
              <w:bottom w:val="single" w:color="auto" w:sz="4" w:space="0"/>
              <w:right w:val="single" w:color="auto" w:sz="4" w:space="0"/>
            </w:tcBorders>
            <w:vAlign w:val="center"/>
          </w:tcPr>
          <w:p w14:paraId="0947505F">
            <w:pPr>
              <w:widowControl/>
              <w:spacing w:line="240" w:lineRule="exact"/>
              <w:ind w:left="134" w:leftChars="64"/>
              <w:rPr>
                <w:rFonts w:ascii="Times New Roman" w:hAnsi="Times New Roman" w:eastAsia="宋体" w:cs="Times New Roman"/>
                <w:kern w:val="0"/>
                <w:sz w:val="22"/>
                <w:szCs w:val="22"/>
              </w:rPr>
            </w:pPr>
            <w:r>
              <w:rPr>
                <w:rFonts w:ascii="Times New Roman" w:hAnsi="Times New Roman" w:eastAsia="宋体" w:cs="Times New Roman"/>
                <w:kern w:val="0"/>
                <w:sz w:val="22"/>
                <w:szCs w:val="22"/>
              </w:rPr>
              <w:t>每周保洁1次</w:t>
            </w:r>
          </w:p>
        </w:tc>
        <w:tc>
          <w:tcPr>
            <w:tcW w:w="40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42B6D7A">
            <w:pPr>
              <w:widowControl/>
              <w:spacing w:line="240" w:lineRule="exact"/>
              <w:rPr>
                <w:rFonts w:ascii="Times New Roman" w:hAnsi="Times New Roman" w:eastAsia="宋体" w:cs="Times New Roman"/>
                <w:color w:val="000000"/>
                <w:kern w:val="0"/>
                <w:sz w:val="22"/>
                <w:szCs w:val="22"/>
              </w:rPr>
            </w:pPr>
            <w:r>
              <w:rPr>
                <w:rFonts w:ascii="Times New Roman" w:hAnsi="Times New Roman" w:eastAsia="宋体" w:cs="Times New Roman"/>
                <w:color w:val="000000"/>
                <w:kern w:val="0"/>
                <w:sz w:val="22"/>
                <w:szCs w:val="22"/>
              </w:rPr>
              <w:t>消毒彻底、无遗漏；无积水、垃圾、污物、异味</w:t>
            </w:r>
          </w:p>
        </w:tc>
      </w:tr>
    </w:tbl>
    <w:p w14:paraId="31425376">
      <w:pPr>
        <w:adjustRightInd w:val="0"/>
        <w:snapToGrid w:val="0"/>
        <w:spacing w:line="300" w:lineRule="auto"/>
        <w:ind w:firstLine="442" w:firstLineChars="200"/>
        <w:jc w:val="left"/>
        <w:outlineLvl w:val="4"/>
        <w:rPr>
          <w:rFonts w:ascii="Times New Roman" w:hAnsi="Times New Roman" w:eastAsia="宋体" w:cs="Times New Roman"/>
          <w:color w:val="000000"/>
          <w:sz w:val="22"/>
          <w:szCs w:val="22"/>
        </w:rPr>
      </w:pPr>
      <w:r>
        <w:rPr>
          <w:rFonts w:hint="eastAsia" w:ascii="Times New Roman" w:hAnsi="Times New Roman" w:eastAsia="宋体" w:cs="Times New Roman"/>
          <w:b/>
          <w:bCs/>
          <w:sz w:val="22"/>
          <w:szCs w:val="22"/>
        </w:rPr>
        <w:t xml:space="preserve">9.3.3 </w:t>
      </w:r>
      <w:r>
        <w:rPr>
          <w:rFonts w:hint="eastAsia" w:ascii="宋体" w:hAnsi="宋体" w:eastAsia="宋体" w:cs="Times New Roman"/>
          <w:b/>
          <w:bCs/>
          <w:sz w:val="22"/>
          <w:szCs w:val="22"/>
        </w:rPr>
        <w:t>安全员</w:t>
      </w:r>
    </w:p>
    <w:p w14:paraId="6EA125CE">
      <w:pPr>
        <w:tabs>
          <w:tab w:val="left" w:pos="7200"/>
        </w:tabs>
        <w:adjustRightInd w:val="0"/>
        <w:snapToGrid w:val="0"/>
        <w:spacing w:line="300" w:lineRule="auto"/>
        <w:ind w:firstLine="440" w:firstLineChars="200"/>
        <w:rPr>
          <w:rFonts w:ascii="宋体" w:hAnsi="宋体" w:eastAsia="宋体" w:cs="Times New Roman"/>
          <w:bCs/>
          <w:sz w:val="22"/>
          <w:szCs w:val="22"/>
        </w:rPr>
      </w:pPr>
      <w:bookmarkStart w:id="54" w:name="_Hlk189725492"/>
      <w:r>
        <w:rPr>
          <w:rFonts w:ascii="宋体" w:hAnsi="宋体" w:eastAsia="宋体" w:cs="Times New Roman"/>
          <w:bCs/>
          <w:sz w:val="22"/>
          <w:szCs w:val="22"/>
        </w:rPr>
        <w:t>(1)</w:t>
      </w:r>
      <w:r>
        <w:rPr>
          <w:rFonts w:hint="eastAsia" w:ascii="宋体" w:hAnsi="宋体" w:eastAsia="宋体" w:cs="Times New Roman"/>
          <w:bCs/>
          <w:sz w:val="22"/>
          <w:szCs w:val="22"/>
        </w:rPr>
        <w:t>工作职责：医院物业安全员的岗位职责与普通安全员有所不同，主要围绕医院的特殊环境和需求展开，具体如下：</w:t>
      </w:r>
    </w:p>
    <w:p w14:paraId="23881312">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安全秩序维护</w:t>
      </w:r>
    </w:p>
    <w:p w14:paraId="6EA95EDC">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负责医院门诊、病房、停车场等区域的安全巡逻，定时巡查并做好记录，及时发现和处理各类安全隐患与异常情况。</w:t>
      </w:r>
    </w:p>
    <w:p w14:paraId="4445D27E">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配合医院处理医疗纠纷及突发事件，维护现场秩序，确保医护人员和患者的人身安全与医院的正常医疗秩序。</w:t>
      </w:r>
    </w:p>
    <w:p w14:paraId="0698052B">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消防安全管理</w:t>
      </w:r>
    </w:p>
    <w:p w14:paraId="318E2ABD">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定期检查医院内消防设施和器材，如灭火器、消火栓、喷淋系统等，确保其完好有效，做好检查记录并及时报告问题。</w:t>
      </w:r>
    </w:p>
    <w:p w14:paraId="1A45F9B8">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熟悉医院的消防通道和安全出口，保持通道畅通无阻，严禁在通道内堆放杂物。</w:t>
      </w:r>
    </w:p>
    <w:p w14:paraId="769B1B79">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组织或参与医院的消防安全培训和演练，提高医院员工和患者的消防安全意识与应急逃生能力。</w:t>
      </w:r>
    </w:p>
    <w:p w14:paraId="1E13F475">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医疗协助与服务</w:t>
      </w:r>
    </w:p>
    <w:p w14:paraId="7B5CA56C">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协助医护人员搬运医疗设备、药品等物资，确保物资运输过程中的安全。</w:t>
      </w:r>
    </w:p>
    <w:p w14:paraId="15DFFCA3">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在患者需要时，提供必要的帮助和引导，如协助行动不便的患者就医、寻找科室等。</w:t>
      </w:r>
    </w:p>
    <w:p w14:paraId="76331150">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对医院内的危险区域或设备设置警示标识，提醒患者和医护人员注意安全，防止意外事故发生。</w:t>
      </w:r>
    </w:p>
    <w:p w14:paraId="1FDF3FB9">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环境卫生与设施维护</w:t>
      </w:r>
    </w:p>
    <w:p w14:paraId="5273646A">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检查医院公共区域的环境卫生，及时清理垃圾和杂物，保持环境整洁，避免因环境问题引发安全事故。</w:t>
      </w:r>
    </w:p>
    <w:p w14:paraId="537D949E">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 对医院的公共设施进行日常巡查，如门窗、水电设施等，发现损坏或故障及时报告并协助维修，确保设施正常运行。</w:t>
      </w:r>
    </w:p>
    <w:p w14:paraId="394EB6D8">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(2)总体要求：有耐心，有责任心，及时完成本职工作以及听从上级安排的其他工作。</w:t>
      </w:r>
    </w:p>
    <w:p w14:paraId="561AF8D0">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(3)工作时间要求：见岗位配置表。</w:t>
      </w:r>
    </w:p>
    <w:bookmarkEnd w:id="54"/>
    <w:p w14:paraId="1EE75B54">
      <w:pPr>
        <w:tabs>
          <w:tab w:val="left" w:pos="7200"/>
        </w:tabs>
        <w:adjustRightInd w:val="0"/>
        <w:snapToGrid w:val="0"/>
        <w:spacing w:line="300" w:lineRule="auto"/>
        <w:ind w:firstLine="442" w:firstLineChars="200"/>
        <w:outlineLvl w:val="4"/>
        <w:rPr>
          <w:rFonts w:ascii="宋体" w:hAnsi="宋体" w:eastAsia="宋体" w:cs="Times New Roman"/>
          <w:bCs/>
          <w:sz w:val="22"/>
          <w:szCs w:val="22"/>
        </w:rPr>
      </w:pPr>
      <w:r>
        <w:rPr>
          <w:rFonts w:hint="eastAsia" w:ascii="宋体" w:hAnsi="宋体" w:eastAsia="宋体" w:cs="Times New Roman"/>
          <w:b/>
          <w:sz w:val="22"/>
          <w:szCs w:val="22"/>
        </w:rPr>
        <w:t xml:space="preserve">9.3.4 </w:t>
      </w:r>
      <w:r>
        <w:rPr>
          <w:rFonts w:hint="eastAsia" w:ascii="宋体" w:hAnsi="宋体" w:eastAsia="宋体" w:cs="Times New Roman"/>
          <w:b/>
          <w:bCs/>
          <w:sz w:val="22"/>
          <w:szCs w:val="22"/>
        </w:rPr>
        <w:t>工勤人员/后勤人员</w:t>
      </w:r>
    </w:p>
    <w:p w14:paraId="126E4983">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（1）工作职责：</w:t>
      </w:r>
    </w:p>
    <w:p w14:paraId="729F83E9">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①按采购人要求，及时完成所布置的任务。</w:t>
      </w:r>
    </w:p>
    <w:p w14:paraId="1CCADCA8">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②主动做好重大或突发事件的配合工作。</w:t>
      </w:r>
    </w:p>
    <w:p w14:paraId="3FDD3F2D">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③临时性工作要在规定时间内完成并及时与采购人汇报完成进度。</w:t>
      </w:r>
    </w:p>
    <w:p w14:paraId="40026C6E">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（2）总体要求：有耐心，有责任心完成本职工作。</w:t>
      </w:r>
    </w:p>
    <w:p w14:paraId="0A9523DF">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（3）工作时间要求：详见岗位配置表。</w:t>
      </w:r>
    </w:p>
    <w:p w14:paraId="23ADDADD">
      <w:pPr>
        <w:tabs>
          <w:tab w:val="left" w:pos="7200"/>
        </w:tabs>
        <w:adjustRightInd w:val="0"/>
        <w:snapToGrid w:val="0"/>
        <w:spacing w:line="300" w:lineRule="auto"/>
        <w:ind w:firstLine="442" w:firstLineChars="200"/>
        <w:outlineLvl w:val="4"/>
        <w:rPr>
          <w:rFonts w:ascii="宋体" w:hAnsi="宋体" w:eastAsia="宋体" w:cs="Times New Roman"/>
          <w:b/>
          <w:sz w:val="22"/>
          <w:szCs w:val="22"/>
        </w:rPr>
      </w:pPr>
      <w:r>
        <w:rPr>
          <w:rFonts w:hint="eastAsia" w:ascii="宋体" w:hAnsi="宋体" w:eastAsia="宋体" w:cs="Times New Roman"/>
          <w:b/>
          <w:sz w:val="22"/>
          <w:szCs w:val="22"/>
        </w:rPr>
        <w:t>9.3.5 厨师</w:t>
      </w:r>
    </w:p>
    <w:p w14:paraId="6D75571E">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(1)工作职责：负责医院食堂包括食品采购、台账记录、午餐供应等。</w:t>
      </w:r>
    </w:p>
    <w:p w14:paraId="576241FA">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(2)总体要求：</w:t>
      </w:r>
    </w:p>
    <w:p w14:paraId="29F3BB49">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①有耐心，有责任心完成本职工作。</w:t>
      </w:r>
    </w:p>
    <w:p w14:paraId="75711A75">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②做好餐饮留样工作：食品按品种分别盛放于清洗消毒后密闭专用容器内，在冷藏条件下存放48小时以上，每个品种留样不少于100g。</w:t>
      </w:r>
    </w:p>
    <w:p w14:paraId="45AC9E9C">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(3)工作时间要求：详见岗位配置表。</w:t>
      </w:r>
    </w:p>
    <w:p w14:paraId="6C35B2AD">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(4)人员自身要求：提供健康证。</w:t>
      </w:r>
    </w:p>
    <w:p w14:paraId="28ABA6AF">
      <w:pPr>
        <w:tabs>
          <w:tab w:val="left" w:pos="7200"/>
        </w:tabs>
        <w:adjustRightInd w:val="0"/>
        <w:snapToGrid w:val="0"/>
        <w:spacing w:line="300" w:lineRule="auto"/>
        <w:ind w:firstLine="442" w:firstLineChars="200"/>
        <w:outlineLvl w:val="4"/>
        <w:rPr>
          <w:rFonts w:ascii="宋体" w:hAnsi="宋体" w:eastAsia="宋体" w:cs="Times New Roman"/>
          <w:b/>
          <w:sz w:val="22"/>
          <w:szCs w:val="22"/>
        </w:rPr>
      </w:pPr>
      <w:r>
        <w:rPr>
          <w:rFonts w:hint="eastAsia" w:ascii="宋体" w:hAnsi="宋体" w:eastAsia="宋体" w:cs="Times New Roman"/>
          <w:b/>
          <w:sz w:val="22"/>
          <w:szCs w:val="22"/>
        </w:rPr>
        <w:t>9.3.6 厨工</w:t>
      </w:r>
    </w:p>
    <w:p w14:paraId="2261B4C2">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(1)工作职责：负责配合厨师工作，做好厨房切配工作及环境清扫工作。</w:t>
      </w:r>
    </w:p>
    <w:p w14:paraId="74F5907E">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(2)总体要求：有耐心，有责任心完成本职工作。</w:t>
      </w:r>
    </w:p>
    <w:p w14:paraId="259571B2">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(3)工作时间要求：详见岗位配置表。</w:t>
      </w:r>
    </w:p>
    <w:p w14:paraId="23858B4B">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hint="eastAsia" w:ascii="宋体" w:hAnsi="宋体" w:eastAsia="宋体" w:cs="Times New Roman"/>
          <w:bCs/>
          <w:sz w:val="22"/>
          <w:szCs w:val="22"/>
        </w:rPr>
        <w:t>(4)人员自身要求：提供健康证。</w:t>
      </w:r>
    </w:p>
    <w:p w14:paraId="6187C8E9">
      <w:pPr>
        <w:tabs>
          <w:tab w:val="left" w:pos="7200"/>
        </w:tabs>
        <w:adjustRightInd w:val="0"/>
        <w:snapToGrid w:val="0"/>
        <w:spacing w:line="300" w:lineRule="auto"/>
        <w:ind w:firstLine="442" w:firstLineChars="200"/>
        <w:outlineLvl w:val="4"/>
        <w:rPr>
          <w:rFonts w:ascii="宋体" w:hAnsi="宋体" w:eastAsia="宋体" w:cs="Times New Roman"/>
          <w:b/>
          <w:sz w:val="22"/>
          <w:szCs w:val="22"/>
        </w:rPr>
      </w:pPr>
      <w:r>
        <w:rPr>
          <w:rFonts w:hint="eastAsia" w:ascii="宋体" w:hAnsi="宋体" w:eastAsia="宋体" w:cs="Times New Roman"/>
          <w:b/>
          <w:sz w:val="22"/>
          <w:szCs w:val="22"/>
        </w:rPr>
        <w:t>9.3.7绿化工</w:t>
      </w:r>
    </w:p>
    <w:p w14:paraId="571CEEFA">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ascii="宋体" w:hAnsi="宋体" w:eastAsia="宋体" w:cs="Times New Roman"/>
          <w:bCs/>
          <w:sz w:val="22"/>
          <w:szCs w:val="22"/>
        </w:rPr>
        <w:t>(1)工作职责：负责全院室外绿化养护。</w:t>
      </w:r>
    </w:p>
    <w:p w14:paraId="4A499AAD">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ascii="宋体" w:hAnsi="宋体" w:eastAsia="宋体" w:cs="Times New Roman"/>
          <w:bCs/>
          <w:sz w:val="22"/>
          <w:szCs w:val="22"/>
        </w:rPr>
        <w:t>1)定期浇水。</w:t>
      </w:r>
    </w:p>
    <w:p w14:paraId="459B2402">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ascii="宋体" w:hAnsi="宋体" w:eastAsia="宋体" w:cs="Times New Roman"/>
          <w:bCs/>
          <w:sz w:val="22"/>
          <w:szCs w:val="22"/>
        </w:rPr>
        <w:t>2)定期除草除虫害。</w:t>
      </w:r>
    </w:p>
    <w:p w14:paraId="5200BCA2">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ascii="宋体" w:hAnsi="宋体" w:eastAsia="宋体" w:cs="Times New Roman"/>
          <w:bCs/>
          <w:sz w:val="22"/>
          <w:szCs w:val="22"/>
        </w:rPr>
        <w:t>3)保证树木绿植健康、青绿，落叶及时清理。</w:t>
      </w:r>
    </w:p>
    <w:p w14:paraId="4DA8EAC1">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ascii="宋体" w:hAnsi="宋体" w:eastAsia="宋体" w:cs="Times New Roman"/>
          <w:bCs/>
          <w:sz w:val="22"/>
          <w:szCs w:val="22"/>
        </w:rPr>
        <w:t>(2)总体要求：有耐心，有责任心完成本职工作。</w:t>
      </w:r>
    </w:p>
    <w:p w14:paraId="01EF43C0">
      <w:pPr>
        <w:tabs>
          <w:tab w:val="left" w:pos="7200"/>
        </w:tabs>
        <w:adjustRightInd w:val="0"/>
        <w:snapToGrid w:val="0"/>
        <w:spacing w:line="300" w:lineRule="auto"/>
        <w:ind w:firstLine="440" w:firstLineChars="200"/>
        <w:rPr>
          <w:rFonts w:ascii="宋体" w:hAnsi="宋体" w:eastAsia="宋体" w:cs="Times New Roman"/>
          <w:bCs/>
          <w:sz w:val="22"/>
          <w:szCs w:val="22"/>
        </w:rPr>
      </w:pPr>
      <w:r>
        <w:rPr>
          <w:rFonts w:ascii="宋体" w:hAnsi="宋体" w:eastAsia="宋体" w:cs="Times New Roman"/>
          <w:bCs/>
          <w:sz w:val="22"/>
          <w:szCs w:val="22"/>
        </w:rPr>
        <w:t>(3)工作时间要求：见岗位配置表。</w:t>
      </w:r>
    </w:p>
    <w:p w14:paraId="35C35CCF">
      <w:pPr>
        <w:tabs>
          <w:tab w:val="left" w:pos="7200"/>
        </w:tabs>
        <w:adjustRightInd w:val="0"/>
        <w:snapToGrid w:val="0"/>
        <w:spacing w:line="300" w:lineRule="auto"/>
        <w:ind w:firstLine="442" w:firstLineChars="200"/>
        <w:outlineLvl w:val="4"/>
        <w:rPr>
          <w:rFonts w:ascii="宋体" w:hAnsi="宋体" w:eastAsia="宋体" w:cs="Times New Roman"/>
          <w:b/>
          <w:sz w:val="22"/>
          <w:szCs w:val="22"/>
        </w:rPr>
      </w:pPr>
      <w:r>
        <w:rPr>
          <w:rFonts w:hint="eastAsia" w:ascii="宋体" w:hAnsi="宋体" w:eastAsia="宋体" w:cs="Times New Roman"/>
          <w:b/>
          <w:sz w:val="22"/>
          <w:szCs w:val="22"/>
        </w:rPr>
        <w:t>9.3.8 绿化服务</w:t>
      </w:r>
    </w:p>
    <w:p w14:paraId="0D083A22">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由投标人安排人员对采购人室外绿化进行养护。</w:t>
      </w:r>
      <w:r>
        <w:rPr>
          <w:rFonts w:hint="eastAsia" w:ascii="Times New Roman" w:hAnsi="Times New Roman" w:eastAsia="宋体" w:cs="Times New Roman"/>
          <w:color w:val="000000"/>
          <w:sz w:val="22"/>
          <w:szCs w:val="22"/>
          <w:lang w:eastAsia="zh-CN"/>
        </w:rPr>
        <w:t>室外绿化养护面积为7929平方米。</w:t>
      </w:r>
      <w:r>
        <w:rPr>
          <w:rFonts w:hint="eastAsia" w:ascii="Times New Roman" w:hAnsi="Times New Roman" w:eastAsia="宋体" w:cs="Times New Roman"/>
          <w:color w:val="000000"/>
          <w:sz w:val="22"/>
          <w:szCs w:val="22"/>
        </w:rPr>
        <w:t>包括除草、修剪、清理落叶等工作，保持绿化区域的整洁和美观。确保植物的健康，定期进行修剪、施肥、浇水和病虫害防治等养护工作。</w:t>
      </w:r>
    </w:p>
    <w:p w14:paraId="0472ED15">
      <w:pPr>
        <w:tabs>
          <w:tab w:val="left" w:pos="7200"/>
        </w:tabs>
        <w:adjustRightInd w:val="0"/>
        <w:snapToGrid w:val="0"/>
        <w:spacing w:line="300" w:lineRule="auto"/>
        <w:ind w:firstLine="442" w:firstLineChars="200"/>
        <w:outlineLvl w:val="3"/>
        <w:rPr>
          <w:rFonts w:ascii="Times New Roman" w:hAnsi="Times New Roman" w:eastAsia="宋体" w:cs="Times New Roman"/>
          <w:b/>
          <w:bCs/>
          <w:color w:val="000000"/>
          <w:sz w:val="22"/>
          <w:szCs w:val="22"/>
        </w:rPr>
      </w:pPr>
      <w:r>
        <w:rPr>
          <w:rFonts w:hint="eastAsia" w:ascii="Times New Roman" w:hAnsi="Times New Roman" w:eastAsia="宋体" w:cs="Times New Roman"/>
          <w:b/>
          <w:bCs/>
          <w:color w:val="000000"/>
          <w:sz w:val="22"/>
          <w:szCs w:val="22"/>
        </w:rPr>
        <w:t>9.4 相关保洁设备、工具、耗材、清洁剂等</w:t>
      </w:r>
    </w:p>
    <w:p w14:paraId="56C269A6">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（1）保洁设备、工具包括但不限于：</w:t>
      </w:r>
    </w:p>
    <w:p w14:paraId="56F750C2">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保洁车、各类清洁机械（或工具）、各类警示牌等，根据现场需要合理配置。</w:t>
      </w:r>
    </w:p>
    <w:p w14:paraId="31DB8B80">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（2）保洁材料消耗品、清洁剂：</w:t>
      </w:r>
    </w:p>
    <w:p w14:paraId="4F24AFAB">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采购人提供：医疗废物垃圾袋、消毒片、洗手液、大盘纸等。</w:t>
      </w:r>
    </w:p>
    <w:p w14:paraId="356D7F1A">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供应商提供包括但不限于：垃圾袋、各类清洁剂、抹布等。</w:t>
      </w:r>
    </w:p>
    <w:p w14:paraId="430A157C">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（3）以上设备工具、消耗品等，投标方须根据现场实际情况合理配置并相应调整。</w:t>
      </w:r>
    </w:p>
    <w:p w14:paraId="68CADBAF">
      <w:pPr>
        <w:tabs>
          <w:tab w:val="left" w:pos="7200"/>
        </w:tabs>
        <w:adjustRightInd w:val="0"/>
        <w:snapToGrid w:val="0"/>
        <w:spacing w:line="300" w:lineRule="auto"/>
        <w:ind w:firstLine="442" w:firstLineChars="200"/>
        <w:outlineLvl w:val="2"/>
        <w:rPr>
          <w:rFonts w:ascii="Times New Roman" w:hAnsi="Times New Roman" w:eastAsia="宋体" w:cs="Times New Roman"/>
          <w:color w:val="000000"/>
          <w:sz w:val="22"/>
          <w:szCs w:val="22"/>
        </w:rPr>
      </w:pPr>
      <w:bookmarkStart w:id="55" w:name="_Toc828"/>
      <w:r>
        <w:rPr>
          <w:rFonts w:hint="eastAsia" w:ascii="Times New Roman" w:hAnsi="Times New Roman" w:eastAsia="宋体" w:cs="Times New Roman"/>
          <w:b/>
          <w:bCs/>
          <w:color w:val="000000"/>
          <w:sz w:val="22"/>
          <w:szCs w:val="22"/>
        </w:rPr>
        <w:t>10 安全文明作业要求和应急处置要求</w:t>
      </w:r>
      <w:bookmarkEnd w:id="55"/>
    </w:p>
    <w:p w14:paraId="5DC47A29">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14:paraId="51E71547">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（2）中标人在项目实施期间，必须遵守国家与上海市各项有关安全作业规章、规范与制度，建立动用明火申请批准制度，安全用电等制度，确保杜绝各类事故的发生。</w:t>
      </w:r>
    </w:p>
    <w:p w14:paraId="3BB8CCE3">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（3）中标人在提供物业服务时，如岗位涉及维护修理等工作，其负责人应具有专业证书，服务人员必须持证上岗。中标人对其提供服务的人员的人身安全负责，对采购方、第三方的人身安全和财产安全负责。</w:t>
      </w:r>
    </w:p>
    <w:p w14:paraId="63044712">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（4）中标人在提供物业服务时必须保护好服务区域内的环境和原有建筑、装饰与设施，保证环境和原有建筑、装饰与设施完好。</w:t>
      </w:r>
    </w:p>
    <w:p w14:paraId="1E64DC9E">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（5）各投标人在投标文件中要结合本项目的特点和采购人上述的具体要求制定相应的安全文明施工措施。</w:t>
      </w:r>
    </w:p>
    <w:p w14:paraId="1F6B79A4">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（6）建立突发事件应急处置方案，定期开展防灾防火应急疏散演练，并做好相应记录。</w:t>
      </w:r>
    </w:p>
    <w:p w14:paraId="535A7889">
      <w:pPr>
        <w:tabs>
          <w:tab w:val="left" w:pos="7200"/>
        </w:tabs>
        <w:adjustRightInd w:val="0"/>
        <w:snapToGrid w:val="0"/>
        <w:spacing w:line="300" w:lineRule="auto"/>
        <w:ind w:firstLine="442" w:firstLineChars="200"/>
        <w:outlineLvl w:val="2"/>
        <w:rPr>
          <w:rFonts w:ascii="Times New Roman" w:hAnsi="Times New Roman" w:eastAsia="宋体" w:cs="Times New Roman"/>
          <w:b/>
          <w:bCs/>
          <w:color w:val="000000"/>
          <w:sz w:val="22"/>
          <w:szCs w:val="22"/>
        </w:rPr>
      </w:pPr>
      <w:bookmarkStart w:id="56" w:name="_Toc12577"/>
      <w:r>
        <w:rPr>
          <w:rFonts w:hint="eastAsia" w:ascii="Times New Roman" w:hAnsi="Times New Roman" w:eastAsia="宋体" w:cs="Times New Roman"/>
          <w:b/>
          <w:bCs/>
          <w:color w:val="000000"/>
          <w:sz w:val="22"/>
          <w:szCs w:val="22"/>
        </w:rPr>
        <w:t>11 考核管理办法和要求</w:t>
      </w:r>
      <w:bookmarkEnd w:id="56"/>
    </w:p>
    <w:p w14:paraId="1538E64D">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11.1 考核形式：采购人相关部门每季度对中标人执勤人员的出勤在位情况、仪态仪表、组织及岗位纪律等，进行巡视检查，如发现问题，记录发生事件，进行奖、扣分。考核采用百分制扣分方法，采购人相关部门根据实际需要有权在服务期限内对中标人的工作进行测评和考核，测评和考核内容及标准（详见附表），测评和考核成绩作为支付合同价款的依据。</w:t>
      </w:r>
    </w:p>
    <w:p w14:paraId="09212567">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11.2 考核标准：依据考核结果，按得分高低分为好、较好、及格、差四个等级。</w:t>
      </w:r>
    </w:p>
    <w:tbl>
      <w:tblPr>
        <w:tblStyle w:val="2"/>
        <w:tblW w:w="10125" w:type="dxa"/>
        <w:jc w:val="center"/>
        <w:tblLayout w:type="fixed"/>
        <w:tblCellMar>
          <w:top w:w="0" w:type="dxa"/>
          <w:left w:w="108" w:type="dxa"/>
          <w:bottom w:w="0" w:type="dxa"/>
          <w:right w:w="108" w:type="dxa"/>
        </w:tblCellMar>
      </w:tblPr>
      <w:tblGrid>
        <w:gridCol w:w="1200"/>
        <w:gridCol w:w="1446"/>
        <w:gridCol w:w="6654"/>
        <w:gridCol w:w="825"/>
      </w:tblGrid>
      <w:tr w14:paraId="76652EF5">
        <w:tblPrEx>
          <w:tblCellMar>
            <w:top w:w="0" w:type="dxa"/>
            <w:left w:w="108" w:type="dxa"/>
            <w:bottom w:w="0" w:type="dxa"/>
            <w:right w:w="108" w:type="dxa"/>
          </w:tblCellMar>
        </w:tblPrEx>
        <w:trPr>
          <w:trHeight w:val="369" w:hRule="atLeast"/>
          <w:jc w:val="center"/>
        </w:trPr>
        <w:tc>
          <w:tcPr>
            <w:tcW w:w="1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F581F">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考核单位</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58D49">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考核分</w:t>
            </w:r>
          </w:p>
        </w:tc>
        <w:tc>
          <w:tcPr>
            <w:tcW w:w="66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302C">
            <w:pPr>
              <w:widowControl/>
              <w:ind w:firstLine="442" w:firstLineChars="200"/>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评分依据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291CE">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等级</w:t>
            </w:r>
          </w:p>
        </w:tc>
      </w:tr>
      <w:tr w14:paraId="02E960B4">
        <w:tblPrEx>
          <w:tblCellMar>
            <w:top w:w="0" w:type="dxa"/>
            <w:left w:w="108" w:type="dxa"/>
            <w:bottom w:w="0" w:type="dxa"/>
            <w:right w:w="108" w:type="dxa"/>
          </w:tblCellMar>
        </w:tblPrEx>
        <w:trPr>
          <w:trHeight w:val="532" w:hRule="atLeast"/>
          <w:jc w:val="center"/>
        </w:trPr>
        <w:tc>
          <w:tcPr>
            <w:tcW w:w="12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E829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采购人</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1ADF9">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90</w:t>
            </w:r>
            <w:r>
              <w:rPr>
                <w:rFonts w:hint="eastAsia" w:ascii="宋体" w:hAnsi="宋体" w:eastAsia="宋体" w:cs="宋体"/>
                <w:color w:val="000000"/>
                <w:kern w:val="0"/>
                <w:sz w:val="22"/>
                <w:szCs w:val="22"/>
                <w:lang w:bidi="ar"/>
              </w:rPr>
              <w:t>分以上</w:t>
            </w:r>
          </w:p>
        </w:tc>
        <w:tc>
          <w:tcPr>
            <w:tcW w:w="6654" w:type="dxa"/>
            <w:tcBorders>
              <w:top w:val="single" w:color="000000" w:sz="4" w:space="0"/>
              <w:left w:val="single" w:color="000000" w:sz="4" w:space="0"/>
              <w:bottom w:val="single" w:color="000000" w:sz="4" w:space="0"/>
              <w:right w:val="single" w:color="000000" w:sz="4" w:space="0"/>
            </w:tcBorders>
            <w:shd w:val="clear" w:color="auto" w:fill="auto"/>
            <w:noWrap/>
          </w:tcPr>
          <w:p w14:paraId="7C4EC2EF">
            <w:pPr>
              <w:widowControl/>
              <w:textAlignment w:val="top"/>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1.</w:t>
            </w:r>
            <w:r>
              <w:rPr>
                <w:rFonts w:hint="eastAsia" w:ascii="宋体" w:hAnsi="宋体" w:eastAsia="宋体" w:cs="宋体"/>
                <w:color w:val="000000"/>
                <w:kern w:val="0"/>
                <w:sz w:val="22"/>
                <w:szCs w:val="22"/>
                <w:lang w:bidi="ar"/>
              </w:rPr>
              <w:t>环境卫生按照规定要求定时定点定人，各规定场所时刻保持清洁干净；</w:t>
            </w:r>
            <w:r>
              <w:rPr>
                <w:rFonts w:ascii="Times New Roman" w:hAnsi="Times New Roman" w:eastAsia="宋体" w:cs="Times New Roman"/>
                <w:color w:val="000000"/>
                <w:kern w:val="0"/>
                <w:sz w:val="22"/>
                <w:szCs w:val="22"/>
                <w:lang w:bidi="ar"/>
              </w:rPr>
              <w:t>2.</w:t>
            </w:r>
            <w:r>
              <w:rPr>
                <w:rFonts w:hint="eastAsia" w:ascii="宋体" w:hAnsi="宋体" w:eastAsia="宋体" w:cs="宋体"/>
                <w:color w:val="000000"/>
                <w:kern w:val="0"/>
                <w:sz w:val="22"/>
                <w:szCs w:val="22"/>
                <w:lang w:bidi="ar"/>
              </w:rPr>
              <w:t>设施设备常年保持良好运行，无责任事故；</w:t>
            </w:r>
            <w:r>
              <w:rPr>
                <w:rFonts w:ascii="Times New Roman" w:hAnsi="Times New Roman" w:eastAsia="宋体" w:cs="Times New Roman"/>
                <w:color w:val="000000"/>
                <w:kern w:val="0"/>
                <w:sz w:val="22"/>
                <w:szCs w:val="22"/>
                <w:lang w:bidi="ar"/>
              </w:rPr>
              <w:t>3.</w:t>
            </w:r>
            <w:r>
              <w:rPr>
                <w:rFonts w:hint="eastAsia" w:ascii="宋体" w:hAnsi="宋体" w:eastAsia="宋体" w:cs="宋体"/>
                <w:color w:val="000000"/>
                <w:kern w:val="0"/>
                <w:sz w:val="22"/>
                <w:szCs w:val="22"/>
                <w:lang w:bidi="ar"/>
              </w:rPr>
              <w:t>服务达到管理服务承诺及质量保证措施；</w:t>
            </w:r>
            <w:r>
              <w:rPr>
                <w:rFonts w:ascii="Times New Roman" w:hAnsi="Times New Roman" w:eastAsia="宋体" w:cs="Times New Roman"/>
                <w:color w:val="000000"/>
                <w:kern w:val="0"/>
                <w:sz w:val="22"/>
                <w:szCs w:val="22"/>
                <w:lang w:bidi="ar"/>
              </w:rPr>
              <w:t>4.</w:t>
            </w:r>
            <w:r>
              <w:rPr>
                <w:rFonts w:hint="eastAsia" w:ascii="宋体" w:hAnsi="宋体" w:eastAsia="宋体" w:cs="宋体"/>
                <w:color w:val="000000"/>
                <w:kern w:val="0"/>
                <w:sz w:val="22"/>
                <w:szCs w:val="22"/>
                <w:lang w:bidi="ar"/>
              </w:rPr>
              <w:t>食堂在食品安全、服务质量、卫生管理等方面超过标准水平；5</w:t>
            </w:r>
            <w:r>
              <w:rPr>
                <w:rFonts w:ascii="Times New Roman" w:hAnsi="Times New Roman" w:eastAsia="宋体" w:cs="Times New Roman"/>
                <w:color w:val="000000"/>
                <w:kern w:val="0"/>
                <w:sz w:val="22"/>
                <w:szCs w:val="22"/>
                <w:lang w:bidi="ar"/>
              </w:rPr>
              <w:t>.</w:t>
            </w:r>
            <w:r>
              <w:rPr>
                <w:rFonts w:hint="eastAsia" w:ascii="宋体" w:hAnsi="宋体" w:eastAsia="宋体" w:cs="宋体"/>
                <w:color w:val="000000"/>
                <w:kern w:val="0"/>
                <w:sz w:val="22"/>
                <w:szCs w:val="22"/>
                <w:lang w:bidi="ar"/>
              </w:rPr>
              <w:t>客户满意度达到</w:t>
            </w:r>
            <w:r>
              <w:rPr>
                <w:rFonts w:ascii="Times New Roman" w:hAnsi="Times New Roman" w:eastAsia="宋体" w:cs="Times New Roman"/>
                <w:color w:val="000000"/>
                <w:kern w:val="0"/>
                <w:sz w:val="22"/>
                <w:szCs w:val="22"/>
                <w:lang w:bidi="ar"/>
              </w:rPr>
              <w:t xml:space="preserve">≥90% </w:t>
            </w:r>
            <w:r>
              <w:rPr>
                <w:rFonts w:hint="eastAsia" w:ascii="宋体" w:hAnsi="宋体" w:eastAsia="宋体" w:cs="宋体"/>
                <w:color w:val="000000"/>
                <w:kern w:val="0"/>
                <w:sz w:val="22"/>
                <w:szCs w:val="22"/>
                <w:lang w:bidi="ar"/>
              </w:rPr>
              <w:t>以上。</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7301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好</w:t>
            </w:r>
          </w:p>
        </w:tc>
      </w:tr>
      <w:tr w14:paraId="7DD78ED7">
        <w:tblPrEx>
          <w:tblCellMar>
            <w:top w:w="0" w:type="dxa"/>
            <w:left w:w="108" w:type="dxa"/>
            <w:bottom w:w="0" w:type="dxa"/>
            <w:right w:w="108" w:type="dxa"/>
          </w:tblCellMar>
        </w:tblPrEx>
        <w:trPr>
          <w:trHeight w:val="90" w:hRule="atLeast"/>
          <w:jc w:val="center"/>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7D7AD">
            <w:pPr>
              <w:jc w:val="center"/>
              <w:rPr>
                <w:rFonts w:ascii="宋体" w:hAnsi="宋体" w:eastAsia="宋体" w:cs="宋体"/>
                <w:color w:val="000000"/>
                <w:sz w:val="22"/>
                <w:szCs w:val="22"/>
              </w:rPr>
            </w:pP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C4982">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80</w:t>
            </w:r>
            <w:r>
              <w:rPr>
                <w:rFonts w:hint="eastAsia" w:ascii="宋体" w:hAnsi="宋体" w:eastAsia="宋体" w:cs="宋体"/>
                <w:color w:val="000000"/>
                <w:kern w:val="0"/>
                <w:sz w:val="22"/>
                <w:szCs w:val="22"/>
                <w:lang w:bidi="ar"/>
              </w:rPr>
              <w:t>分～</w:t>
            </w:r>
            <w:r>
              <w:rPr>
                <w:rFonts w:ascii="Times New Roman" w:hAnsi="Times New Roman" w:eastAsia="宋体" w:cs="Times New Roman"/>
                <w:color w:val="000000"/>
                <w:kern w:val="0"/>
                <w:sz w:val="22"/>
                <w:szCs w:val="22"/>
                <w:lang w:bidi="ar"/>
              </w:rPr>
              <w:t>89</w:t>
            </w:r>
            <w:r>
              <w:rPr>
                <w:rFonts w:hint="eastAsia" w:ascii="宋体" w:hAnsi="宋体" w:eastAsia="宋体" w:cs="宋体"/>
                <w:color w:val="000000"/>
                <w:kern w:val="0"/>
                <w:sz w:val="22"/>
                <w:szCs w:val="22"/>
                <w:lang w:bidi="ar"/>
              </w:rPr>
              <w:t>分</w:t>
            </w:r>
          </w:p>
        </w:tc>
        <w:tc>
          <w:tcPr>
            <w:tcW w:w="6654" w:type="dxa"/>
            <w:tcBorders>
              <w:top w:val="single" w:color="000000" w:sz="4" w:space="0"/>
              <w:left w:val="single" w:color="000000" w:sz="4" w:space="0"/>
              <w:bottom w:val="single" w:color="000000" w:sz="4" w:space="0"/>
              <w:right w:val="single" w:color="000000" w:sz="4" w:space="0"/>
            </w:tcBorders>
            <w:shd w:val="clear" w:color="auto" w:fill="auto"/>
            <w:noWrap/>
          </w:tcPr>
          <w:p w14:paraId="34726DFB">
            <w:pPr>
              <w:widowControl/>
              <w:textAlignment w:val="top"/>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1.</w:t>
            </w:r>
            <w:r>
              <w:rPr>
                <w:rFonts w:hint="eastAsia" w:ascii="宋体" w:hAnsi="宋体" w:eastAsia="宋体" w:cs="宋体"/>
                <w:color w:val="000000"/>
                <w:kern w:val="0"/>
                <w:sz w:val="22"/>
                <w:szCs w:val="22"/>
                <w:lang w:bidi="ar"/>
              </w:rPr>
              <w:t>环境卫生按照规定要求定时定点定人，各规定场所保持清洁干净；</w:t>
            </w:r>
            <w:r>
              <w:rPr>
                <w:rFonts w:ascii="Times New Roman" w:hAnsi="Times New Roman" w:eastAsia="宋体" w:cs="Times New Roman"/>
                <w:color w:val="000000"/>
                <w:kern w:val="0"/>
                <w:sz w:val="22"/>
                <w:szCs w:val="22"/>
                <w:lang w:bidi="ar"/>
              </w:rPr>
              <w:t>2.</w:t>
            </w:r>
            <w:r>
              <w:rPr>
                <w:rFonts w:hint="eastAsia" w:ascii="宋体" w:hAnsi="宋体" w:eastAsia="宋体" w:cs="宋体"/>
                <w:color w:val="000000"/>
                <w:kern w:val="0"/>
                <w:sz w:val="22"/>
                <w:szCs w:val="22"/>
                <w:lang w:bidi="ar"/>
              </w:rPr>
              <w:t>设施设备常年保持良好运行，无大的责任事故；</w:t>
            </w:r>
            <w:r>
              <w:rPr>
                <w:rFonts w:ascii="Times New Roman" w:hAnsi="Times New Roman" w:eastAsia="宋体" w:cs="Times New Roman"/>
                <w:color w:val="000000"/>
                <w:kern w:val="0"/>
                <w:sz w:val="22"/>
                <w:szCs w:val="22"/>
                <w:lang w:bidi="ar"/>
              </w:rPr>
              <w:t>3.</w:t>
            </w:r>
            <w:r>
              <w:rPr>
                <w:rFonts w:hint="eastAsia" w:ascii="宋体" w:hAnsi="宋体" w:eastAsia="宋体" w:cs="宋体"/>
                <w:color w:val="000000"/>
                <w:kern w:val="0"/>
                <w:sz w:val="22"/>
                <w:szCs w:val="22"/>
                <w:lang w:bidi="ar"/>
              </w:rPr>
              <w:t>服务基本达到管理服务承诺及质量保证措施；</w:t>
            </w:r>
            <w:r>
              <w:rPr>
                <w:rFonts w:ascii="Times New Roman" w:hAnsi="Times New Roman" w:eastAsia="宋体" w:cs="Times New Roman"/>
                <w:color w:val="000000"/>
                <w:kern w:val="0"/>
                <w:sz w:val="22"/>
                <w:szCs w:val="22"/>
                <w:lang w:bidi="ar"/>
              </w:rPr>
              <w:t>4.</w:t>
            </w:r>
            <w:r>
              <w:rPr>
                <w:rFonts w:hint="eastAsia" w:ascii="宋体" w:hAnsi="宋体" w:eastAsia="宋体" w:cs="宋体"/>
                <w:color w:val="000000"/>
                <w:kern w:val="0"/>
                <w:sz w:val="22"/>
                <w:szCs w:val="22"/>
                <w:lang w:bidi="ar"/>
              </w:rPr>
              <w:t>食堂在食品安全、服务质量、卫生管理等方面超过标准水平；</w:t>
            </w:r>
            <w:r>
              <w:rPr>
                <w:rFonts w:hint="eastAsia" w:ascii="Times New Roman" w:hAnsi="Times New Roman" w:eastAsia="宋体" w:cs="Times New Roman"/>
                <w:color w:val="000000"/>
                <w:kern w:val="0"/>
                <w:sz w:val="22"/>
                <w:szCs w:val="22"/>
                <w:lang w:bidi="ar"/>
              </w:rPr>
              <w:t>5</w:t>
            </w:r>
            <w:r>
              <w:rPr>
                <w:rFonts w:ascii="Times New Roman" w:hAnsi="Times New Roman" w:eastAsia="宋体" w:cs="Times New Roman"/>
                <w:color w:val="000000"/>
                <w:kern w:val="0"/>
                <w:sz w:val="22"/>
                <w:szCs w:val="22"/>
                <w:lang w:bidi="ar"/>
              </w:rPr>
              <w:t>.</w:t>
            </w:r>
            <w:r>
              <w:rPr>
                <w:rFonts w:hint="eastAsia" w:ascii="宋体" w:hAnsi="宋体" w:eastAsia="宋体" w:cs="宋体"/>
                <w:color w:val="000000"/>
                <w:kern w:val="0"/>
                <w:sz w:val="22"/>
                <w:szCs w:val="22"/>
                <w:lang w:bidi="ar"/>
              </w:rPr>
              <w:t>客户满意度达到</w:t>
            </w:r>
            <w:r>
              <w:rPr>
                <w:rFonts w:ascii="Times New Roman" w:hAnsi="Times New Roman" w:eastAsia="宋体" w:cs="Times New Roman"/>
                <w:color w:val="000000"/>
                <w:kern w:val="0"/>
                <w:sz w:val="22"/>
                <w:szCs w:val="22"/>
                <w:lang w:bidi="ar"/>
              </w:rPr>
              <w:t xml:space="preserve">≥85% </w:t>
            </w:r>
            <w:r>
              <w:rPr>
                <w:rFonts w:hint="eastAsia" w:ascii="宋体" w:hAnsi="宋体" w:eastAsia="宋体" w:cs="宋体"/>
                <w:color w:val="000000"/>
                <w:kern w:val="0"/>
                <w:sz w:val="22"/>
                <w:szCs w:val="22"/>
                <w:lang w:bidi="ar"/>
              </w:rPr>
              <w:t>以上。</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A398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较好</w:t>
            </w:r>
          </w:p>
        </w:tc>
      </w:tr>
      <w:tr w14:paraId="72D03D9F">
        <w:tblPrEx>
          <w:tblCellMar>
            <w:top w:w="0" w:type="dxa"/>
            <w:left w:w="108" w:type="dxa"/>
            <w:bottom w:w="0" w:type="dxa"/>
            <w:right w:w="108" w:type="dxa"/>
          </w:tblCellMar>
        </w:tblPrEx>
        <w:trPr>
          <w:trHeight w:val="90" w:hRule="atLeast"/>
          <w:jc w:val="center"/>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9F3D8">
            <w:pPr>
              <w:jc w:val="center"/>
              <w:rPr>
                <w:rFonts w:ascii="宋体" w:hAnsi="宋体" w:eastAsia="宋体" w:cs="宋体"/>
                <w:color w:val="000000"/>
                <w:sz w:val="22"/>
                <w:szCs w:val="22"/>
              </w:rPr>
            </w:pP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7E7C7">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70</w:t>
            </w:r>
            <w:r>
              <w:rPr>
                <w:rFonts w:hint="eastAsia" w:ascii="宋体" w:hAnsi="宋体" w:eastAsia="宋体" w:cs="宋体"/>
                <w:color w:val="000000"/>
                <w:kern w:val="0"/>
                <w:sz w:val="22"/>
                <w:szCs w:val="22"/>
                <w:lang w:bidi="ar"/>
              </w:rPr>
              <w:t>分～</w:t>
            </w:r>
            <w:r>
              <w:rPr>
                <w:rFonts w:ascii="Times New Roman" w:hAnsi="Times New Roman" w:eastAsia="宋体" w:cs="Times New Roman"/>
                <w:color w:val="000000"/>
                <w:kern w:val="0"/>
                <w:sz w:val="22"/>
                <w:szCs w:val="22"/>
                <w:lang w:bidi="ar"/>
              </w:rPr>
              <w:t>79</w:t>
            </w:r>
            <w:r>
              <w:rPr>
                <w:rFonts w:hint="eastAsia" w:ascii="宋体" w:hAnsi="宋体" w:eastAsia="宋体" w:cs="宋体"/>
                <w:color w:val="000000"/>
                <w:kern w:val="0"/>
                <w:sz w:val="22"/>
                <w:szCs w:val="22"/>
                <w:lang w:bidi="ar"/>
              </w:rPr>
              <w:t>分</w:t>
            </w:r>
          </w:p>
        </w:tc>
        <w:tc>
          <w:tcPr>
            <w:tcW w:w="6654" w:type="dxa"/>
            <w:tcBorders>
              <w:top w:val="single" w:color="000000" w:sz="4" w:space="0"/>
              <w:left w:val="single" w:color="000000" w:sz="4" w:space="0"/>
              <w:bottom w:val="single" w:color="000000" w:sz="4" w:space="0"/>
              <w:right w:val="single" w:color="000000" w:sz="4" w:space="0"/>
            </w:tcBorders>
            <w:shd w:val="clear" w:color="auto" w:fill="auto"/>
            <w:noWrap/>
          </w:tcPr>
          <w:p w14:paraId="309AD9B3">
            <w:pPr>
              <w:widowControl/>
              <w:textAlignment w:val="top"/>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1.</w:t>
            </w:r>
            <w:r>
              <w:rPr>
                <w:rFonts w:hint="eastAsia" w:ascii="宋体" w:hAnsi="宋体" w:eastAsia="宋体" w:cs="宋体"/>
                <w:color w:val="000000"/>
                <w:kern w:val="0"/>
                <w:sz w:val="22"/>
                <w:szCs w:val="22"/>
                <w:lang w:bidi="ar"/>
              </w:rPr>
              <w:t>环境卫生按照规定要求定时定点清扫，各规定场所基本清洁干净；</w:t>
            </w:r>
            <w:r>
              <w:rPr>
                <w:rFonts w:ascii="Times New Roman" w:hAnsi="Times New Roman" w:eastAsia="宋体" w:cs="Times New Roman"/>
                <w:color w:val="000000"/>
                <w:kern w:val="0"/>
                <w:sz w:val="22"/>
                <w:szCs w:val="22"/>
                <w:lang w:bidi="ar"/>
              </w:rPr>
              <w:t>2.</w:t>
            </w:r>
            <w:r>
              <w:rPr>
                <w:rFonts w:hint="eastAsia" w:ascii="宋体" w:hAnsi="宋体" w:eastAsia="宋体" w:cs="宋体"/>
                <w:color w:val="000000"/>
                <w:kern w:val="0"/>
                <w:sz w:val="22"/>
                <w:szCs w:val="22"/>
                <w:lang w:bidi="ar"/>
              </w:rPr>
              <w:t>设施设备常年保持较好运行，无重大责任事故；</w:t>
            </w:r>
            <w:r>
              <w:rPr>
                <w:rFonts w:ascii="Times New Roman" w:hAnsi="Times New Roman" w:eastAsia="宋体" w:cs="Times New Roman"/>
                <w:color w:val="000000"/>
                <w:kern w:val="0"/>
                <w:sz w:val="22"/>
                <w:szCs w:val="22"/>
                <w:lang w:bidi="ar"/>
              </w:rPr>
              <w:t>3.</w:t>
            </w:r>
            <w:r>
              <w:rPr>
                <w:rFonts w:hint="eastAsia" w:ascii="宋体" w:hAnsi="宋体" w:eastAsia="宋体" w:cs="宋体"/>
                <w:color w:val="000000"/>
                <w:kern w:val="0"/>
                <w:sz w:val="22"/>
                <w:szCs w:val="22"/>
                <w:lang w:bidi="ar"/>
              </w:rPr>
              <w:t>服务部分达到管理服务承诺及质量保证措施；</w:t>
            </w:r>
            <w:r>
              <w:rPr>
                <w:rFonts w:ascii="Times New Roman" w:hAnsi="Times New Roman" w:eastAsia="宋体" w:cs="Times New Roman"/>
                <w:color w:val="000000"/>
                <w:kern w:val="0"/>
                <w:sz w:val="22"/>
                <w:szCs w:val="22"/>
                <w:lang w:bidi="ar"/>
              </w:rPr>
              <w:t>4.</w:t>
            </w:r>
            <w:r>
              <w:rPr>
                <w:rFonts w:hint="eastAsia" w:ascii="宋体" w:hAnsi="宋体" w:eastAsia="宋体" w:cs="宋体"/>
                <w:color w:val="000000"/>
                <w:kern w:val="0"/>
                <w:sz w:val="22"/>
                <w:szCs w:val="22"/>
                <w:lang w:bidi="ar"/>
              </w:rPr>
              <w:t>食堂在食品安全、服务质量、卫生管理等方面超过标准水平；</w:t>
            </w:r>
            <w:r>
              <w:rPr>
                <w:rFonts w:hint="eastAsia" w:ascii="Times New Roman" w:hAnsi="Times New Roman" w:eastAsia="宋体" w:cs="Times New Roman"/>
                <w:color w:val="000000"/>
                <w:kern w:val="0"/>
                <w:sz w:val="22"/>
                <w:szCs w:val="22"/>
                <w:lang w:bidi="ar"/>
              </w:rPr>
              <w:t>5</w:t>
            </w:r>
            <w:r>
              <w:rPr>
                <w:rFonts w:ascii="Times New Roman" w:hAnsi="Times New Roman" w:eastAsia="宋体" w:cs="Times New Roman"/>
                <w:color w:val="000000"/>
                <w:kern w:val="0"/>
                <w:sz w:val="22"/>
                <w:szCs w:val="22"/>
                <w:lang w:bidi="ar"/>
              </w:rPr>
              <w:t>.</w:t>
            </w:r>
            <w:r>
              <w:rPr>
                <w:rFonts w:hint="eastAsia" w:ascii="宋体" w:hAnsi="宋体" w:eastAsia="宋体" w:cs="宋体"/>
                <w:color w:val="000000"/>
                <w:kern w:val="0"/>
                <w:sz w:val="22"/>
                <w:szCs w:val="22"/>
                <w:lang w:bidi="ar"/>
              </w:rPr>
              <w:t>客户满意度达到</w:t>
            </w:r>
            <w:r>
              <w:rPr>
                <w:rFonts w:ascii="Times New Roman" w:hAnsi="Times New Roman" w:eastAsia="宋体" w:cs="Times New Roman"/>
                <w:color w:val="000000"/>
                <w:kern w:val="0"/>
                <w:sz w:val="22"/>
                <w:szCs w:val="22"/>
                <w:lang w:bidi="ar"/>
              </w:rPr>
              <w:t xml:space="preserve">≥75% </w:t>
            </w:r>
            <w:r>
              <w:rPr>
                <w:rFonts w:hint="eastAsia" w:ascii="宋体" w:hAnsi="宋体" w:eastAsia="宋体" w:cs="宋体"/>
                <w:color w:val="000000"/>
                <w:kern w:val="0"/>
                <w:sz w:val="22"/>
                <w:szCs w:val="22"/>
                <w:lang w:bidi="ar"/>
              </w:rPr>
              <w:t>以上。</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5F9B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及格</w:t>
            </w:r>
          </w:p>
        </w:tc>
      </w:tr>
      <w:tr w14:paraId="543C29A5">
        <w:tblPrEx>
          <w:tblCellMar>
            <w:top w:w="0" w:type="dxa"/>
            <w:left w:w="108" w:type="dxa"/>
            <w:bottom w:w="0" w:type="dxa"/>
            <w:right w:w="108" w:type="dxa"/>
          </w:tblCellMar>
        </w:tblPrEx>
        <w:trPr>
          <w:trHeight w:val="680" w:hRule="atLeast"/>
          <w:jc w:val="center"/>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F5186">
            <w:pPr>
              <w:jc w:val="center"/>
              <w:rPr>
                <w:rFonts w:ascii="宋体" w:hAnsi="宋体" w:eastAsia="宋体" w:cs="宋体"/>
                <w:color w:val="000000"/>
                <w:sz w:val="22"/>
                <w:szCs w:val="22"/>
              </w:rPr>
            </w:pP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70EE7">
            <w:pPr>
              <w:widowControl/>
              <w:jc w:val="center"/>
              <w:textAlignment w:val="center"/>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70</w:t>
            </w:r>
            <w:r>
              <w:rPr>
                <w:rFonts w:hint="eastAsia" w:ascii="宋体" w:hAnsi="宋体" w:eastAsia="宋体" w:cs="宋体"/>
                <w:color w:val="000000"/>
                <w:kern w:val="0"/>
                <w:sz w:val="22"/>
                <w:szCs w:val="22"/>
                <w:lang w:bidi="ar"/>
              </w:rPr>
              <w:t>分以下</w:t>
            </w:r>
          </w:p>
        </w:tc>
        <w:tc>
          <w:tcPr>
            <w:tcW w:w="6654" w:type="dxa"/>
            <w:tcBorders>
              <w:top w:val="single" w:color="000000" w:sz="4" w:space="0"/>
              <w:left w:val="single" w:color="000000" w:sz="4" w:space="0"/>
              <w:bottom w:val="single" w:color="000000" w:sz="4" w:space="0"/>
              <w:right w:val="single" w:color="000000" w:sz="4" w:space="0"/>
            </w:tcBorders>
            <w:shd w:val="clear" w:color="auto" w:fill="auto"/>
            <w:noWrap/>
          </w:tcPr>
          <w:p w14:paraId="284AD3D3">
            <w:pPr>
              <w:widowControl/>
              <w:textAlignment w:val="top"/>
              <w:rPr>
                <w:rFonts w:ascii="Times New Roman" w:hAnsi="Times New Roman" w:eastAsia="宋体" w:cs="Times New Roman"/>
                <w:color w:val="000000"/>
                <w:sz w:val="22"/>
                <w:szCs w:val="22"/>
              </w:rPr>
            </w:pPr>
            <w:r>
              <w:rPr>
                <w:rFonts w:ascii="Times New Roman" w:hAnsi="Times New Roman" w:eastAsia="宋体" w:cs="Times New Roman"/>
                <w:color w:val="000000"/>
                <w:kern w:val="0"/>
                <w:sz w:val="22"/>
                <w:szCs w:val="22"/>
                <w:lang w:bidi="ar"/>
              </w:rPr>
              <w:t>1.</w:t>
            </w:r>
            <w:r>
              <w:rPr>
                <w:rFonts w:hint="eastAsia" w:ascii="宋体" w:hAnsi="宋体" w:eastAsia="宋体" w:cs="宋体"/>
                <w:color w:val="000000"/>
                <w:kern w:val="0"/>
                <w:sz w:val="22"/>
                <w:szCs w:val="22"/>
                <w:lang w:bidi="ar"/>
              </w:rPr>
              <w:t>环境卫生未按照规定要求定时定点清扫，各规定场所经常有卫生死角；</w:t>
            </w:r>
            <w:r>
              <w:rPr>
                <w:rFonts w:ascii="Times New Roman" w:hAnsi="Times New Roman" w:eastAsia="宋体" w:cs="Times New Roman"/>
                <w:color w:val="000000"/>
                <w:kern w:val="0"/>
                <w:sz w:val="22"/>
                <w:szCs w:val="22"/>
                <w:lang w:bidi="ar"/>
              </w:rPr>
              <w:t>2.</w:t>
            </w:r>
            <w:r>
              <w:rPr>
                <w:rFonts w:hint="eastAsia" w:ascii="宋体" w:hAnsi="宋体" w:eastAsia="宋体" w:cs="宋体"/>
                <w:color w:val="000000"/>
                <w:kern w:val="0"/>
                <w:sz w:val="22"/>
                <w:szCs w:val="22"/>
                <w:lang w:bidi="ar"/>
              </w:rPr>
              <w:t>设施设备经常出现故障，出现责任事故；</w:t>
            </w:r>
            <w:r>
              <w:rPr>
                <w:rFonts w:ascii="Times New Roman" w:hAnsi="Times New Roman" w:eastAsia="宋体" w:cs="Times New Roman"/>
                <w:color w:val="000000"/>
                <w:kern w:val="0"/>
                <w:sz w:val="22"/>
                <w:szCs w:val="22"/>
                <w:lang w:bidi="ar"/>
              </w:rPr>
              <w:t>3.</w:t>
            </w:r>
            <w:r>
              <w:rPr>
                <w:rFonts w:hint="eastAsia" w:ascii="宋体" w:hAnsi="宋体" w:eastAsia="宋体" w:cs="宋体"/>
                <w:color w:val="000000"/>
                <w:kern w:val="0"/>
                <w:sz w:val="22"/>
                <w:szCs w:val="22"/>
                <w:lang w:bidi="ar"/>
              </w:rPr>
              <w:t>服务未达到管理服务承诺及质量保证措施；</w:t>
            </w:r>
            <w:r>
              <w:rPr>
                <w:rFonts w:ascii="Times New Roman" w:hAnsi="Times New Roman" w:eastAsia="宋体" w:cs="Times New Roman"/>
                <w:color w:val="000000"/>
                <w:kern w:val="0"/>
                <w:sz w:val="22"/>
                <w:szCs w:val="22"/>
                <w:lang w:bidi="ar"/>
              </w:rPr>
              <w:t>4.</w:t>
            </w:r>
            <w:r>
              <w:rPr>
                <w:rFonts w:hint="eastAsia" w:ascii="宋体" w:hAnsi="宋体" w:eastAsia="宋体" w:cs="宋体"/>
                <w:color w:val="000000"/>
                <w:kern w:val="0"/>
                <w:sz w:val="22"/>
                <w:szCs w:val="22"/>
                <w:lang w:bidi="ar"/>
              </w:rPr>
              <w:t>食堂在食品安全、服务质量、卫生管理等方面被行政处罚；</w:t>
            </w:r>
            <w:r>
              <w:rPr>
                <w:rFonts w:hint="eastAsia" w:ascii="Times New Roman" w:hAnsi="Times New Roman" w:eastAsia="宋体" w:cs="Times New Roman"/>
                <w:color w:val="000000"/>
                <w:kern w:val="0"/>
                <w:sz w:val="22"/>
                <w:szCs w:val="22"/>
                <w:lang w:bidi="ar"/>
              </w:rPr>
              <w:t>5</w:t>
            </w:r>
            <w:r>
              <w:rPr>
                <w:rFonts w:ascii="Times New Roman" w:hAnsi="Times New Roman" w:eastAsia="宋体" w:cs="Times New Roman"/>
                <w:color w:val="000000"/>
                <w:kern w:val="0"/>
                <w:sz w:val="22"/>
                <w:szCs w:val="22"/>
                <w:lang w:bidi="ar"/>
              </w:rPr>
              <w:t>.</w:t>
            </w:r>
            <w:r>
              <w:rPr>
                <w:rFonts w:hint="eastAsia" w:ascii="宋体" w:hAnsi="宋体" w:eastAsia="宋体" w:cs="宋体"/>
                <w:color w:val="000000"/>
                <w:kern w:val="0"/>
                <w:sz w:val="22"/>
                <w:szCs w:val="22"/>
                <w:lang w:bidi="ar"/>
              </w:rPr>
              <w:t>客户满意度达到</w:t>
            </w:r>
            <w:r>
              <w:rPr>
                <w:rFonts w:ascii="Times New Roman" w:hAnsi="Times New Roman" w:eastAsia="宋体" w:cs="Times New Roman"/>
                <w:color w:val="000000"/>
                <w:kern w:val="0"/>
                <w:sz w:val="22"/>
                <w:szCs w:val="22"/>
                <w:lang w:bidi="ar"/>
              </w:rPr>
              <w:t xml:space="preserve">≥70% </w:t>
            </w:r>
            <w:r>
              <w:rPr>
                <w:rFonts w:hint="eastAsia" w:ascii="宋体" w:hAnsi="宋体" w:eastAsia="宋体" w:cs="宋体"/>
                <w:color w:val="000000"/>
                <w:kern w:val="0"/>
                <w:sz w:val="22"/>
                <w:szCs w:val="22"/>
                <w:lang w:bidi="ar"/>
              </w:rPr>
              <w:t>以下。</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CFE9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差</w:t>
            </w:r>
          </w:p>
        </w:tc>
      </w:tr>
    </w:tbl>
    <w:p w14:paraId="7365F98D">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11.3 奖惩措施：</w:t>
      </w:r>
    </w:p>
    <w:p w14:paraId="4499EE03">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11.3.1 每季度考核等级结果是“好”的，支付当季度合同费用的100%。</w:t>
      </w:r>
    </w:p>
    <w:p w14:paraId="1FBF17EB">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highlight w:val="yellow"/>
        </w:rPr>
      </w:pPr>
      <w:r>
        <w:rPr>
          <w:rFonts w:hint="eastAsia" w:ascii="Times New Roman" w:hAnsi="Times New Roman" w:eastAsia="宋体" w:cs="Times New Roman"/>
          <w:color w:val="000000"/>
          <w:sz w:val="22"/>
          <w:szCs w:val="22"/>
        </w:rPr>
        <w:t>11.3.2 每季度考核等级结果是“较好”的，支付当季度合同费用的70%。</w:t>
      </w:r>
    </w:p>
    <w:p w14:paraId="00134F60">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highlight w:val="yellow"/>
        </w:rPr>
      </w:pPr>
      <w:r>
        <w:rPr>
          <w:rFonts w:hint="eastAsia" w:ascii="Times New Roman" w:hAnsi="Times New Roman" w:eastAsia="宋体" w:cs="Times New Roman"/>
          <w:color w:val="000000"/>
          <w:sz w:val="22"/>
          <w:szCs w:val="22"/>
        </w:rPr>
        <w:t>11.3.3 每季度考核等级结果是“及格”的，支付考核当季度合同费用的40%</w:t>
      </w:r>
    </w:p>
    <w:p w14:paraId="1A8847E1">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11.3.4 每季度考核等级结果是“差”的，自行终止服务合同，由此产生的一切法律后果及所有相关费用由中标人承担。</w:t>
      </w:r>
    </w:p>
    <w:p w14:paraId="7CE3F7D3">
      <w:pPr>
        <w:adjustRightInd w:val="0"/>
        <w:snapToGrid w:val="0"/>
        <w:spacing w:line="300" w:lineRule="auto"/>
        <w:jc w:val="center"/>
        <w:outlineLvl w:val="1"/>
        <w:rPr>
          <w:rFonts w:ascii="Times New Roman" w:hAnsi="Times New Roman" w:eastAsia="黑体" w:cs="Times New Roman"/>
          <w:b/>
          <w:bCs/>
          <w:sz w:val="30"/>
          <w:szCs w:val="30"/>
        </w:rPr>
      </w:pPr>
      <w:bookmarkStart w:id="57" w:name="_Toc1592"/>
      <w:r>
        <w:rPr>
          <w:rFonts w:ascii="Times New Roman" w:hAnsi="Times New Roman" w:eastAsia="黑体" w:cs="Times New Roman"/>
          <w:b/>
          <w:bCs/>
          <w:sz w:val="30"/>
          <w:szCs w:val="30"/>
        </w:rPr>
        <w:t>四、投标报价须知</w:t>
      </w:r>
      <w:bookmarkEnd w:id="57"/>
    </w:p>
    <w:p w14:paraId="346C28DB">
      <w:pPr>
        <w:adjustRightInd w:val="0"/>
        <w:snapToGrid w:val="0"/>
        <w:spacing w:line="300" w:lineRule="auto"/>
        <w:ind w:firstLine="442" w:firstLineChars="200"/>
        <w:outlineLvl w:val="2"/>
        <w:rPr>
          <w:rFonts w:ascii="Times New Roman" w:hAnsi="Times New Roman" w:eastAsia="宋体" w:cs="Times New Roman"/>
          <w:b/>
          <w:bCs/>
          <w:sz w:val="22"/>
          <w:szCs w:val="22"/>
        </w:rPr>
      </w:pPr>
      <w:bookmarkStart w:id="58" w:name="_Toc26766"/>
      <w:r>
        <w:rPr>
          <w:rFonts w:ascii="Times New Roman" w:hAnsi="Times New Roman" w:eastAsia="宋体" w:cs="Times New Roman"/>
          <w:b/>
          <w:bCs/>
          <w:sz w:val="22"/>
          <w:szCs w:val="22"/>
        </w:rPr>
        <w:t>12 投标报价依据</w:t>
      </w:r>
      <w:bookmarkEnd w:id="58"/>
    </w:p>
    <w:p w14:paraId="6FBA7D3F">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12.1</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投标报价计算依据包括本项目的招标文件（包括提供的附件）、招标文件答疑或修改的补充文书、工作量清单、项目现场条件等。</w:t>
      </w:r>
    </w:p>
    <w:p w14:paraId="188CEC30">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12.2</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招标文件明确的服务范围、服务内容、服务期限、服务质量要求、</w:t>
      </w:r>
      <w:r>
        <w:rPr>
          <w:rFonts w:hint="eastAsia" w:ascii="Times New Roman" w:hAnsi="Times New Roman" w:eastAsia="宋体" w:cs="Times New Roman"/>
          <w:color w:val="000000"/>
          <w:sz w:val="22"/>
          <w:szCs w:val="22"/>
        </w:rPr>
        <w:t>售后服务、</w:t>
      </w:r>
      <w:r>
        <w:rPr>
          <w:rFonts w:ascii="Times New Roman" w:hAnsi="Times New Roman" w:eastAsia="宋体" w:cs="Times New Roman"/>
          <w:color w:val="000000"/>
          <w:sz w:val="22"/>
          <w:szCs w:val="22"/>
        </w:rPr>
        <w:t>管理要求与服务标准及考核要求等。</w:t>
      </w:r>
    </w:p>
    <w:p w14:paraId="14466712">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12.3</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岗位设置一览表说明</w:t>
      </w:r>
    </w:p>
    <w:p w14:paraId="2550D819">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color w:val="000000"/>
          <w:sz w:val="22"/>
          <w:szCs w:val="22"/>
        </w:rPr>
        <w:t>12.3.1</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岗位</w:t>
      </w:r>
      <w:r>
        <w:rPr>
          <w:rFonts w:ascii="Times New Roman" w:hAnsi="Times New Roman" w:eastAsia="宋体" w:cs="Times New Roman"/>
          <w:sz w:val="22"/>
          <w:szCs w:val="22"/>
        </w:rPr>
        <w:t>设置一览表应与投标人须知、合同条件、项目质量标准和要求等文件结合起来理解或解释。</w:t>
      </w:r>
    </w:p>
    <w:p w14:paraId="3CBD4B70">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12.3.2</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采购人提供的</w:t>
      </w:r>
      <w:r>
        <w:rPr>
          <w:rFonts w:ascii="Times New Roman" w:hAnsi="Times New Roman" w:eastAsia="宋体" w:cs="Times New Roman"/>
          <w:bCs/>
          <w:kern w:val="0"/>
          <w:sz w:val="22"/>
          <w:szCs w:val="22"/>
        </w:rPr>
        <w:t>岗位设置一览表</w:t>
      </w:r>
      <w:r>
        <w:rPr>
          <w:rFonts w:ascii="Times New Roman" w:hAnsi="Times New Roman" w:eastAsia="宋体" w:cs="Times New Roman"/>
          <w:sz w:val="22"/>
          <w:szCs w:val="22"/>
        </w:rPr>
        <w:t>是依照采购需求测算出的</w:t>
      </w:r>
      <w:r>
        <w:rPr>
          <w:rFonts w:ascii="Times New Roman" w:hAnsi="Times New Roman" w:eastAsia="宋体" w:cs="Times New Roman"/>
          <w:bCs/>
          <w:kern w:val="0"/>
          <w:sz w:val="22"/>
          <w:szCs w:val="22"/>
        </w:rPr>
        <w:t>各岗位最低配置要求</w:t>
      </w:r>
      <w:r>
        <w:rPr>
          <w:rFonts w:ascii="Times New Roman" w:hAnsi="Times New Roman" w:eastAsia="宋体" w:cs="Times New Roman"/>
          <w:sz w:val="22"/>
          <w:szCs w:val="22"/>
        </w:rPr>
        <w:t>，与最终的实际履约可能存在小的出入，各投标人应自行认真踏勘现场，了解招标需求。投标人如发现</w:t>
      </w:r>
      <w:r>
        <w:rPr>
          <w:rFonts w:ascii="Times New Roman" w:hAnsi="Times New Roman" w:eastAsia="宋体" w:cs="Times New Roman"/>
          <w:bCs/>
          <w:kern w:val="0"/>
          <w:sz w:val="22"/>
          <w:szCs w:val="22"/>
        </w:rPr>
        <w:t>该表</w:t>
      </w:r>
      <w:r>
        <w:rPr>
          <w:rFonts w:ascii="Times New Roman" w:hAnsi="Times New Roman" w:eastAsia="宋体" w:cs="Times New Roman"/>
          <w:sz w:val="22"/>
          <w:szCs w:val="22"/>
        </w:rPr>
        <w:t>和实际工作内容不一致时，应立即以书面形式通知采购人核查，除非采购人以答疑文件或补充文件予以更正，否则，投标人不得</w:t>
      </w:r>
      <w:r>
        <w:rPr>
          <w:rFonts w:ascii="Times New Roman" w:hAnsi="Times New Roman" w:eastAsia="宋体" w:cs="Times New Roman"/>
          <w:bCs/>
          <w:kern w:val="0"/>
          <w:sz w:val="22"/>
          <w:szCs w:val="22"/>
        </w:rPr>
        <w:t>对岗位设置一览表中的岗位类别和数量进行缩减</w:t>
      </w:r>
      <w:r>
        <w:rPr>
          <w:rFonts w:ascii="Times New Roman" w:hAnsi="Times New Roman" w:eastAsia="宋体" w:cs="Times New Roman"/>
          <w:sz w:val="22"/>
          <w:szCs w:val="22"/>
        </w:rPr>
        <w:t>。</w:t>
      </w:r>
    </w:p>
    <w:p w14:paraId="3B25F7B4">
      <w:pPr>
        <w:adjustRightInd w:val="0"/>
        <w:snapToGrid w:val="0"/>
        <w:spacing w:line="300" w:lineRule="auto"/>
        <w:ind w:firstLine="442" w:firstLineChars="200"/>
        <w:jc w:val="left"/>
        <w:outlineLvl w:val="2"/>
        <w:rPr>
          <w:rFonts w:ascii="Times New Roman" w:hAnsi="Times New Roman" w:eastAsia="宋体" w:cs="Times New Roman"/>
          <w:b/>
          <w:sz w:val="22"/>
          <w:szCs w:val="22"/>
        </w:rPr>
      </w:pPr>
      <w:bookmarkStart w:id="59" w:name="_Toc25321"/>
      <w:r>
        <w:rPr>
          <w:rFonts w:ascii="Times New Roman" w:hAnsi="Times New Roman" w:eastAsia="宋体" w:cs="Times New Roman"/>
          <w:b/>
          <w:sz w:val="22"/>
          <w:szCs w:val="22"/>
        </w:rPr>
        <w:t>13</w:t>
      </w:r>
      <w:r>
        <w:rPr>
          <w:rFonts w:hint="eastAsia" w:ascii="Times New Roman" w:hAnsi="Times New Roman" w:eastAsia="宋体" w:cs="Times New Roman"/>
          <w:b/>
          <w:sz w:val="22"/>
          <w:szCs w:val="22"/>
        </w:rPr>
        <w:t xml:space="preserve"> </w:t>
      </w:r>
      <w:r>
        <w:rPr>
          <w:rFonts w:ascii="Times New Roman" w:hAnsi="Times New Roman" w:eastAsia="宋体" w:cs="Times New Roman"/>
          <w:b/>
          <w:sz w:val="22"/>
          <w:szCs w:val="22"/>
        </w:rPr>
        <w:t>投标报价内容</w:t>
      </w:r>
      <w:bookmarkEnd w:id="59"/>
    </w:p>
    <w:p w14:paraId="186A7EE4">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13.1</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依据本项目的招标范围和内容，中标人提供物业管理服务，其投标报价应包括管理费、人工、</w:t>
      </w:r>
      <w:r>
        <w:rPr>
          <w:rFonts w:hint="eastAsia" w:ascii="宋体" w:hAnsi="宋体" w:eastAsia="宋体" w:cs="Times New Roman"/>
          <w:sz w:val="22"/>
          <w:szCs w:val="22"/>
        </w:rPr>
        <w:t>材料</w:t>
      </w:r>
      <w:r>
        <w:rPr>
          <w:rFonts w:ascii="Times New Roman" w:hAnsi="Times New Roman" w:eastAsia="宋体" w:cs="Times New Roman"/>
          <w:sz w:val="22"/>
          <w:szCs w:val="22"/>
        </w:rPr>
        <w:t>等</w:t>
      </w:r>
      <w:r>
        <w:rPr>
          <w:rFonts w:hint="eastAsia" w:ascii="Times New Roman" w:hAnsi="Times New Roman" w:eastAsia="宋体" w:cs="Times New Roman"/>
          <w:sz w:val="22"/>
          <w:szCs w:val="22"/>
        </w:rPr>
        <w:t>费用</w:t>
      </w:r>
      <w:r>
        <w:rPr>
          <w:rFonts w:ascii="Times New Roman" w:hAnsi="Times New Roman" w:eastAsia="宋体" w:cs="Times New Roman"/>
          <w:sz w:val="22"/>
          <w:szCs w:val="22"/>
        </w:rPr>
        <w:t>。</w:t>
      </w:r>
    </w:p>
    <w:p w14:paraId="2765ACD7">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13.2</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14:paraId="694EDEA6">
      <w:pPr>
        <w:adjustRightInd w:val="0"/>
        <w:snapToGrid w:val="0"/>
        <w:spacing w:line="300" w:lineRule="auto"/>
        <w:ind w:firstLine="440" w:firstLineChars="200"/>
        <w:jc w:val="left"/>
        <w:rPr>
          <w:rFonts w:ascii="Times New Roman" w:hAnsi="Times New Roman" w:eastAsia="宋体" w:cs="Times New Roman"/>
          <w:sz w:val="22"/>
          <w:szCs w:val="22"/>
        </w:rPr>
      </w:pPr>
      <w:r>
        <w:rPr>
          <w:rFonts w:ascii="Times New Roman" w:hAnsi="Times New Roman" w:eastAsia="宋体" w:cs="Times New Roman"/>
          <w:sz w:val="22"/>
          <w:szCs w:val="22"/>
        </w:rPr>
        <w:t>13.3</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14:paraId="5981064C">
      <w:pPr>
        <w:adjustRightInd w:val="0"/>
        <w:snapToGrid w:val="0"/>
        <w:spacing w:line="300" w:lineRule="auto"/>
        <w:ind w:firstLine="440" w:firstLineChars="200"/>
        <w:jc w:val="left"/>
        <w:rPr>
          <w:rFonts w:ascii="Times New Roman" w:hAnsi="Times New Roman" w:eastAsia="宋体" w:cs="Times New Roman"/>
          <w:i/>
          <w:sz w:val="22"/>
          <w:szCs w:val="22"/>
        </w:rPr>
      </w:pPr>
      <w:r>
        <w:rPr>
          <w:rFonts w:ascii="Times New Roman" w:hAnsi="Times New Roman" w:eastAsia="宋体" w:cs="Times New Roman"/>
          <w:sz w:val="22"/>
          <w:szCs w:val="22"/>
        </w:rPr>
        <w:t>13.4</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投标人应考虑本项目可能存在的其他任何风险因素，包括政策性调价、人工和材料成本增涨、因</w:t>
      </w:r>
      <w:r>
        <w:rPr>
          <w:rFonts w:ascii="Times New Roman" w:hAnsi="Times New Roman" w:eastAsia="宋体" w:cs="Times New Roman"/>
          <w:kern w:val="0"/>
          <w:sz w:val="22"/>
          <w:szCs w:val="22"/>
        </w:rPr>
        <w:t>设备使用年限增长引起的维修成本增加和效能衰减等。</w:t>
      </w:r>
    </w:p>
    <w:p w14:paraId="6915C5ED">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ascii="Times New Roman" w:hAnsi="Times New Roman" w:eastAsia="宋体" w:cs="Times New Roman"/>
          <w:color w:val="000000"/>
          <w:sz w:val="22"/>
          <w:szCs w:val="22"/>
        </w:rPr>
        <w:t>13.5</w:t>
      </w:r>
      <w:r>
        <w:rPr>
          <w:rFonts w:hint="eastAsia" w:ascii="Times New Roman" w:hAnsi="Times New Roman" w:eastAsia="宋体" w:cs="Times New Roman"/>
          <w:color w:val="000000"/>
          <w:sz w:val="22"/>
          <w:szCs w:val="22"/>
        </w:rPr>
        <w:t xml:space="preserve"> </w:t>
      </w:r>
      <w:r>
        <w:rPr>
          <w:rFonts w:ascii="Times New Roman" w:hAnsi="Times New Roman" w:eastAsia="宋体" w:cs="Times New Roman"/>
          <w:color w:val="000000"/>
          <w:sz w:val="22"/>
          <w:szCs w:val="22"/>
        </w:rPr>
        <w:t>投标人按照投标文件格式中所附的表式完整地填写开标一览表及各类投标报价明细表，说明其拟提供服务的内容、数量、价格构成等。</w:t>
      </w:r>
    </w:p>
    <w:p w14:paraId="7C917DC9">
      <w:pPr>
        <w:adjustRightInd w:val="0"/>
        <w:snapToGrid w:val="0"/>
        <w:spacing w:line="300" w:lineRule="auto"/>
        <w:ind w:firstLine="440" w:firstLineChars="200"/>
        <w:jc w:val="left"/>
        <w:rPr>
          <w:rFonts w:ascii="Times New Roman" w:hAnsi="Times New Roman" w:eastAsia="宋体" w:cs="Times New Roman"/>
          <w:bCs/>
          <w:sz w:val="22"/>
          <w:szCs w:val="22"/>
        </w:rPr>
      </w:pPr>
      <w:r>
        <w:rPr>
          <w:rFonts w:ascii="Times New Roman" w:hAnsi="Times New Roman" w:eastAsia="宋体" w:cs="Times New Roman"/>
          <w:sz w:val="22"/>
          <w:szCs w:val="22"/>
        </w:rPr>
        <w:t>投标人只需在《开标一览表》中报出第一年度的投标价格，</w:t>
      </w:r>
      <w:r>
        <w:rPr>
          <w:rFonts w:ascii="Times New Roman" w:hAnsi="Times New Roman" w:eastAsia="宋体" w:cs="Times New Roman"/>
          <w:bCs/>
          <w:kern w:val="0"/>
          <w:sz w:val="22"/>
          <w:szCs w:val="22"/>
        </w:rPr>
        <w:t>后几年合同价，按照当年度核定的工作内容，参照实际中标价格确定。</w:t>
      </w:r>
    </w:p>
    <w:p w14:paraId="4157CA9E">
      <w:pPr>
        <w:adjustRightInd w:val="0"/>
        <w:snapToGrid w:val="0"/>
        <w:spacing w:line="300" w:lineRule="auto"/>
        <w:ind w:firstLine="440" w:firstLineChars="200"/>
        <w:jc w:val="left"/>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13.6 投标报价组成表</w:t>
      </w:r>
    </w:p>
    <w:tbl>
      <w:tblPr>
        <w:tblStyle w:val="2"/>
        <w:tblW w:w="89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595"/>
        <w:gridCol w:w="4998"/>
        <w:gridCol w:w="1225"/>
        <w:gridCol w:w="750"/>
      </w:tblGrid>
      <w:tr w14:paraId="7B6C6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2021" w:type="dxa"/>
            <w:gridSpan w:val="2"/>
            <w:vAlign w:val="center"/>
          </w:tcPr>
          <w:p w14:paraId="2DCC22EB">
            <w:pPr>
              <w:widowControl/>
              <w:jc w:val="center"/>
              <w:textAlignment w:val="center"/>
              <w:rPr>
                <w:rFonts w:ascii="Times New Roman" w:hAnsi="Times New Roman" w:eastAsia="宋体" w:cs="Times New Roman"/>
                <w:b/>
                <w:bCs/>
                <w:color w:val="000000"/>
                <w:kern w:val="0"/>
                <w:sz w:val="22"/>
                <w:szCs w:val="22"/>
                <w:lang w:bidi="ar"/>
              </w:rPr>
            </w:pPr>
            <w:r>
              <w:rPr>
                <w:rFonts w:ascii="Times New Roman" w:hAnsi="Times New Roman" w:eastAsia="宋体" w:cs="Times New Roman"/>
                <w:b/>
                <w:bCs/>
                <w:color w:val="000000"/>
                <w:kern w:val="0"/>
                <w:sz w:val="22"/>
                <w:szCs w:val="22"/>
                <w:lang w:bidi="ar"/>
              </w:rPr>
              <w:t>项目</w:t>
            </w:r>
          </w:p>
        </w:tc>
        <w:tc>
          <w:tcPr>
            <w:tcW w:w="4998" w:type="dxa"/>
            <w:vAlign w:val="center"/>
          </w:tcPr>
          <w:p w14:paraId="7BE90143">
            <w:pPr>
              <w:widowControl/>
              <w:jc w:val="center"/>
              <w:textAlignment w:val="center"/>
              <w:rPr>
                <w:rFonts w:ascii="Times New Roman" w:hAnsi="Times New Roman" w:eastAsia="宋体" w:cs="Times New Roman"/>
                <w:b/>
                <w:bCs/>
                <w:color w:val="000000"/>
                <w:kern w:val="0"/>
                <w:sz w:val="22"/>
                <w:szCs w:val="22"/>
                <w:lang w:bidi="ar"/>
              </w:rPr>
            </w:pPr>
            <w:r>
              <w:rPr>
                <w:rFonts w:ascii="Times New Roman" w:hAnsi="Times New Roman" w:eastAsia="宋体" w:cs="Times New Roman"/>
                <w:b/>
                <w:bCs/>
                <w:color w:val="000000"/>
                <w:kern w:val="0"/>
                <w:sz w:val="22"/>
                <w:szCs w:val="22"/>
                <w:lang w:bidi="ar"/>
              </w:rPr>
              <w:t>要求</w:t>
            </w:r>
          </w:p>
        </w:tc>
        <w:tc>
          <w:tcPr>
            <w:tcW w:w="1225" w:type="dxa"/>
            <w:vAlign w:val="center"/>
          </w:tcPr>
          <w:p w14:paraId="47C0F50A">
            <w:pPr>
              <w:widowControl/>
              <w:jc w:val="center"/>
              <w:textAlignment w:val="center"/>
              <w:rPr>
                <w:rFonts w:ascii="Times New Roman" w:hAnsi="Times New Roman" w:eastAsia="宋体" w:cs="Times New Roman"/>
                <w:b/>
                <w:bCs/>
                <w:color w:val="000000"/>
                <w:kern w:val="0"/>
                <w:sz w:val="22"/>
                <w:szCs w:val="22"/>
                <w:lang w:bidi="ar"/>
              </w:rPr>
            </w:pPr>
            <w:r>
              <w:rPr>
                <w:rFonts w:ascii="Times New Roman" w:hAnsi="Times New Roman" w:eastAsia="宋体" w:cs="Times New Roman"/>
                <w:b/>
                <w:bCs/>
                <w:color w:val="000000"/>
                <w:kern w:val="0"/>
                <w:sz w:val="22"/>
                <w:szCs w:val="22"/>
                <w:lang w:bidi="ar"/>
              </w:rPr>
              <w:t>分项报价</w:t>
            </w:r>
          </w:p>
        </w:tc>
        <w:tc>
          <w:tcPr>
            <w:tcW w:w="750" w:type="dxa"/>
            <w:vAlign w:val="center"/>
          </w:tcPr>
          <w:p w14:paraId="7D4E980E">
            <w:pPr>
              <w:widowControl/>
              <w:jc w:val="center"/>
              <w:textAlignment w:val="center"/>
              <w:rPr>
                <w:rFonts w:ascii="Times New Roman" w:hAnsi="Times New Roman" w:eastAsia="宋体" w:cs="Times New Roman"/>
                <w:b/>
                <w:bCs/>
                <w:color w:val="000000"/>
                <w:kern w:val="0"/>
                <w:sz w:val="22"/>
                <w:szCs w:val="22"/>
                <w:lang w:bidi="ar"/>
              </w:rPr>
            </w:pPr>
            <w:r>
              <w:rPr>
                <w:rFonts w:hint="eastAsia" w:ascii="Times New Roman" w:hAnsi="Times New Roman" w:eastAsia="宋体" w:cs="Times New Roman"/>
                <w:b/>
                <w:bCs/>
                <w:color w:val="000000"/>
                <w:kern w:val="0"/>
                <w:sz w:val="22"/>
                <w:szCs w:val="22"/>
                <w:lang w:bidi="ar"/>
              </w:rPr>
              <w:t>备注</w:t>
            </w:r>
          </w:p>
        </w:tc>
      </w:tr>
      <w:tr w14:paraId="045EF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4EDC2968">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1</w:t>
            </w:r>
          </w:p>
        </w:tc>
        <w:tc>
          <w:tcPr>
            <w:tcW w:w="1595" w:type="dxa"/>
            <w:vAlign w:val="center"/>
          </w:tcPr>
          <w:p w14:paraId="7EC5BC75">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人员费用</w:t>
            </w:r>
          </w:p>
        </w:tc>
        <w:tc>
          <w:tcPr>
            <w:tcW w:w="4998" w:type="dxa"/>
            <w:vAlign w:val="center"/>
          </w:tcPr>
          <w:p w14:paraId="5FC32994">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含工资、社会保险和按规定提取的福利费</w:t>
            </w:r>
          </w:p>
        </w:tc>
        <w:tc>
          <w:tcPr>
            <w:tcW w:w="1225" w:type="dxa"/>
            <w:vAlign w:val="center"/>
          </w:tcPr>
          <w:p w14:paraId="50828746">
            <w:pPr>
              <w:widowControl/>
              <w:jc w:val="center"/>
              <w:textAlignment w:val="center"/>
              <w:rPr>
                <w:rFonts w:ascii="Times New Roman" w:hAnsi="Times New Roman" w:eastAsia="宋体" w:cs="Times New Roman"/>
                <w:color w:val="000000"/>
                <w:kern w:val="0"/>
                <w:sz w:val="22"/>
                <w:szCs w:val="22"/>
                <w:lang w:bidi="ar"/>
              </w:rPr>
            </w:pPr>
          </w:p>
        </w:tc>
        <w:tc>
          <w:tcPr>
            <w:tcW w:w="750" w:type="dxa"/>
            <w:vAlign w:val="center"/>
          </w:tcPr>
          <w:p w14:paraId="35A04794">
            <w:pPr>
              <w:widowControl/>
              <w:jc w:val="center"/>
              <w:textAlignment w:val="center"/>
              <w:rPr>
                <w:rFonts w:ascii="Times New Roman" w:hAnsi="Times New Roman" w:eastAsia="宋体" w:cs="Times New Roman"/>
                <w:color w:val="000000"/>
                <w:kern w:val="0"/>
                <w:sz w:val="22"/>
                <w:szCs w:val="22"/>
                <w:lang w:bidi="ar"/>
              </w:rPr>
            </w:pPr>
          </w:p>
        </w:tc>
      </w:tr>
      <w:tr w14:paraId="6B971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0C5EBA17">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2</w:t>
            </w:r>
          </w:p>
        </w:tc>
        <w:tc>
          <w:tcPr>
            <w:tcW w:w="1595" w:type="dxa"/>
            <w:vAlign w:val="center"/>
          </w:tcPr>
          <w:p w14:paraId="701B57A4">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办公费用</w:t>
            </w:r>
          </w:p>
        </w:tc>
        <w:tc>
          <w:tcPr>
            <w:tcW w:w="4998" w:type="dxa"/>
            <w:vAlign w:val="center"/>
          </w:tcPr>
          <w:p w14:paraId="6D174317">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包括办公设备等费用</w:t>
            </w:r>
          </w:p>
        </w:tc>
        <w:tc>
          <w:tcPr>
            <w:tcW w:w="1225" w:type="dxa"/>
            <w:vAlign w:val="center"/>
          </w:tcPr>
          <w:p w14:paraId="2A6EB630">
            <w:pPr>
              <w:widowControl/>
              <w:jc w:val="center"/>
              <w:textAlignment w:val="center"/>
              <w:rPr>
                <w:rFonts w:ascii="Times New Roman" w:hAnsi="Times New Roman" w:eastAsia="宋体" w:cs="Times New Roman"/>
                <w:color w:val="000000"/>
                <w:kern w:val="0"/>
                <w:sz w:val="22"/>
                <w:szCs w:val="22"/>
                <w:lang w:bidi="ar"/>
              </w:rPr>
            </w:pPr>
          </w:p>
        </w:tc>
        <w:tc>
          <w:tcPr>
            <w:tcW w:w="750" w:type="dxa"/>
            <w:vAlign w:val="center"/>
          </w:tcPr>
          <w:p w14:paraId="6B208DDE">
            <w:pPr>
              <w:widowControl/>
              <w:jc w:val="center"/>
              <w:textAlignment w:val="center"/>
              <w:rPr>
                <w:rFonts w:ascii="Times New Roman" w:hAnsi="Times New Roman" w:eastAsia="宋体" w:cs="Times New Roman"/>
                <w:color w:val="000000"/>
                <w:kern w:val="0"/>
                <w:sz w:val="22"/>
                <w:szCs w:val="22"/>
                <w:lang w:bidi="ar"/>
              </w:rPr>
            </w:pPr>
          </w:p>
        </w:tc>
      </w:tr>
      <w:tr w14:paraId="7B5AA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6D1D096A">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3</w:t>
            </w:r>
          </w:p>
        </w:tc>
        <w:tc>
          <w:tcPr>
            <w:tcW w:w="1595" w:type="dxa"/>
            <w:shd w:val="clear" w:color="auto" w:fill="auto"/>
            <w:vAlign w:val="center"/>
          </w:tcPr>
          <w:p w14:paraId="1EF18186">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材料费</w:t>
            </w:r>
          </w:p>
        </w:tc>
        <w:tc>
          <w:tcPr>
            <w:tcW w:w="4998" w:type="dxa"/>
            <w:shd w:val="clear" w:color="auto" w:fill="auto"/>
            <w:vAlign w:val="center"/>
          </w:tcPr>
          <w:p w14:paraId="3A5DB5F0">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包括保洁清洁剂、耗材、设备及工具等费用</w:t>
            </w:r>
          </w:p>
        </w:tc>
        <w:tc>
          <w:tcPr>
            <w:tcW w:w="1225" w:type="dxa"/>
            <w:vAlign w:val="center"/>
          </w:tcPr>
          <w:p w14:paraId="675AD548">
            <w:pPr>
              <w:widowControl/>
              <w:jc w:val="center"/>
              <w:textAlignment w:val="center"/>
              <w:rPr>
                <w:rFonts w:ascii="Times New Roman" w:hAnsi="Times New Roman" w:eastAsia="宋体" w:cs="Times New Roman"/>
                <w:color w:val="000000"/>
                <w:kern w:val="0"/>
                <w:sz w:val="22"/>
                <w:szCs w:val="22"/>
                <w:lang w:bidi="ar"/>
              </w:rPr>
            </w:pPr>
          </w:p>
        </w:tc>
        <w:tc>
          <w:tcPr>
            <w:tcW w:w="750" w:type="dxa"/>
            <w:vAlign w:val="center"/>
          </w:tcPr>
          <w:p w14:paraId="12A086C8">
            <w:pPr>
              <w:widowControl/>
              <w:jc w:val="center"/>
              <w:textAlignment w:val="center"/>
              <w:rPr>
                <w:rFonts w:ascii="Times New Roman" w:hAnsi="Times New Roman" w:eastAsia="宋体" w:cs="Times New Roman"/>
                <w:color w:val="000000"/>
                <w:kern w:val="0"/>
                <w:sz w:val="22"/>
                <w:szCs w:val="22"/>
                <w:lang w:bidi="ar"/>
              </w:rPr>
            </w:pPr>
          </w:p>
        </w:tc>
      </w:tr>
      <w:tr w14:paraId="754CF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466AE180">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4</w:t>
            </w:r>
          </w:p>
        </w:tc>
        <w:tc>
          <w:tcPr>
            <w:tcW w:w="1595" w:type="dxa"/>
            <w:shd w:val="clear" w:color="auto" w:fill="auto"/>
            <w:vAlign w:val="center"/>
          </w:tcPr>
          <w:p w14:paraId="69426B25">
            <w:pPr>
              <w:widowControl/>
              <w:jc w:val="center"/>
              <w:textAlignment w:val="center"/>
              <w:rPr>
                <w:rFonts w:hint="eastAsia" w:ascii="宋体" w:hAnsi="宋体" w:eastAsia="宋体" w:cs="宋体"/>
                <w:color w:val="000000"/>
                <w:kern w:val="0"/>
                <w:sz w:val="22"/>
                <w:szCs w:val="22"/>
                <w:highlight w:val="yellow"/>
                <w:lang w:bidi="ar"/>
              </w:rPr>
            </w:pPr>
            <w:r>
              <w:rPr>
                <w:rFonts w:hint="eastAsia" w:ascii="宋体" w:hAnsi="宋体" w:eastAsia="宋体" w:cs="宋体"/>
                <w:color w:val="000000"/>
                <w:kern w:val="0"/>
                <w:sz w:val="22"/>
                <w:szCs w:val="22"/>
                <w:lang w:bidi="ar"/>
              </w:rPr>
              <w:t>专项清洁</w:t>
            </w:r>
          </w:p>
        </w:tc>
        <w:tc>
          <w:tcPr>
            <w:tcW w:w="4998" w:type="dxa"/>
            <w:shd w:val="clear" w:color="auto" w:fill="auto"/>
            <w:vAlign w:val="center"/>
          </w:tcPr>
          <w:p w14:paraId="10985139">
            <w:pPr>
              <w:widowControl/>
              <w:jc w:val="center"/>
              <w:textAlignment w:val="center"/>
              <w:rPr>
                <w:rFonts w:hint="eastAsia" w:ascii="宋体" w:hAnsi="宋体" w:eastAsia="宋体" w:cs="宋体"/>
                <w:color w:val="000000"/>
                <w:kern w:val="0"/>
                <w:sz w:val="22"/>
                <w:szCs w:val="22"/>
                <w:highlight w:val="yellow"/>
                <w:lang w:bidi="ar"/>
              </w:rPr>
            </w:pPr>
            <w:r>
              <w:rPr>
                <w:rFonts w:hint="eastAsia" w:ascii="宋体" w:hAnsi="宋体" w:eastAsia="宋体" w:cs="宋体"/>
                <w:color w:val="000000"/>
                <w:kern w:val="0"/>
                <w:sz w:val="22"/>
                <w:szCs w:val="22"/>
                <w:lang w:bidi="ar"/>
              </w:rPr>
              <w:t>包括室内外高空清洗、室内专项清洗（如地面打蜡等）费用</w:t>
            </w:r>
          </w:p>
        </w:tc>
        <w:tc>
          <w:tcPr>
            <w:tcW w:w="1225" w:type="dxa"/>
            <w:vAlign w:val="center"/>
          </w:tcPr>
          <w:p w14:paraId="35F46F12">
            <w:pPr>
              <w:widowControl/>
              <w:jc w:val="center"/>
              <w:textAlignment w:val="center"/>
              <w:rPr>
                <w:rFonts w:ascii="Times New Roman" w:hAnsi="Times New Roman" w:eastAsia="宋体" w:cs="Times New Roman"/>
                <w:color w:val="000000"/>
                <w:kern w:val="0"/>
                <w:sz w:val="22"/>
                <w:szCs w:val="22"/>
                <w:lang w:bidi="ar"/>
              </w:rPr>
            </w:pPr>
          </w:p>
        </w:tc>
        <w:tc>
          <w:tcPr>
            <w:tcW w:w="750" w:type="dxa"/>
            <w:vAlign w:val="center"/>
          </w:tcPr>
          <w:p w14:paraId="43B44A76">
            <w:pPr>
              <w:widowControl/>
              <w:jc w:val="center"/>
              <w:textAlignment w:val="center"/>
              <w:rPr>
                <w:rFonts w:ascii="Times New Roman" w:hAnsi="Times New Roman" w:eastAsia="宋体" w:cs="Times New Roman"/>
                <w:color w:val="000000"/>
                <w:kern w:val="0"/>
                <w:sz w:val="22"/>
                <w:szCs w:val="22"/>
                <w:lang w:bidi="ar"/>
              </w:rPr>
            </w:pPr>
          </w:p>
        </w:tc>
      </w:tr>
      <w:tr w14:paraId="36887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1FF98B8F">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5</w:t>
            </w:r>
          </w:p>
        </w:tc>
        <w:tc>
          <w:tcPr>
            <w:tcW w:w="1595" w:type="dxa"/>
            <w:shd w:val="clear" w:color="auto" w:fill="auto"/>
            <w:vAlign w:val="center"/>
          </w:tcPr>
          <w:p w14:paraId="640E9A62">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绿化费</w:t>
            </w:r>
          </w:p>
        </w:tc>
        <w:tc>
          <w:tcPr>
            <w:tcW w:w="4998" w:type="dxa"/>
            <w:shd w:val="clear" w:color="auto" w:fill="auto"/>
            <w:vAlign w:val="center"/>
          </w:tcPr>
          <w:p w14:paraId="1B3C743F">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包括但不限于室外绿化养护等费用</w:t>
            </w:r>
          </w:p>
        </w:tc>
        <w:tc>
          <w:tcPr>
            <w:tcW w:w="1225" w:type="dxa"/>
            <w:vAlign w:val="center"/>
          </w:tcPr>
          <w:p w14:paraId="1B7569BF">
            <w:pPr>
              <w:widowControl/>
              <w:jc w:val="center"/>
              <w:textAlignment w:val="center"/>
              <w:rPr>
                <w:rFonts w:ascii="Times New Roman" w:hAnsi="Times New Roman" w:eastAsia="宋体" w:cs="Times New Roman"/>
                <w:color w:val="000000"/>
                <w:kern w:val="0"/>
                <w:sz w:val="22"/>
                <w:szCs w:val="22"/>
                <w:lang w:bidi="ar"/>
              </w:rPr>
            </w:pPr>
          </w:p>
        </w:tc>
        <w:tc>
          <w:tcPr>
            <w:tcW w:w="750" w:type="dxa"/>
            <w:vAlign w:val="center"/>
          </w:tcPr>
          <w:p w14:paraId="74B535C0">
            <w:pPr>
              <w:widowControl/>
              <w:jc w:val="center"/>
              <w:textAlignment w:val="center"/>
              <w:rPr>
                <w:rFonts w:ascii="Times New Roman" w:hAnsi="Times New Roman" w:eastAsia="宋体" w:cs="Times New Roman"/>
                <w:color w:val="000000"/>
                <w:kern w:val="0"/>
                <w:sz w:val="22"/>
                <w:szCs w:val="22"/>
                <w:lang w:bidi="ar"/>
              </w:rPr>
            </w:pPr>
          </w:p>
        </w:tc>
      </w:tr>
      <w:tr w14:paraId="33338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3D6C1E5F">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6</w:t>
            </w:r>
          </w:p>
        </w:tc>
        <w:tc>
          <w:tcPr>
            <w:tcW w:w="1595" w:type="dxa"/>
            <w:shd w:val="clear" w:color="auto" w:fill="auto"/>
            <w:vAlign w:val="center"/>
          </w:tcPr>
          <w:p w14:paraId="5BA3DF82">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其他（如有）</w:t>
            </w:r>
          </w:p>
        </w:tc>
        <w:tc>
          <w:tcPr>
            <w:tcW w:w="4998" w:type="dxa"/>
            <w:shd w:val="clear" w:color="auto" w:fill="auto"/>
            <w:vAlign w:val="center"/>
          </w:tcPr>
          <w:p w14:paraId="700749B5">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投标人认为本表中未能包括的其他必要费用</w:t>
            </w:r>
          </w:p>
        </w:tc>
        <w:tc>
          <w:tcPr>
            <w:tcW w:w="1225" w:type="dxa"/>
            <w:vAlign w:val="center"/>
          </w:tcPr>
          <w:p w14:paraId="3D53E06D">
            <w:pPr>
              <w:widowControl/>
              <w:jc w:val="center"/>
              <w:textAlignment w:val="center"/>
              <w:rPr>
                <w:rFonts w:hint="eastAsia" w:ascii="宋体" w:hAnsi="宋体" w:eastAsia="宋体" w:cs="宋体"/>
                <w:color w:val="000000"/>
                <w:kern w:val="0"/>
                <w:sz w:val="22"/>
                <w:szCs w:val="22"/>
                <w:lang w:bidi="ar"/>
              </w:rPr>
            </w:pPr>
          </w:p>
        </w:tc>
        <w:tc>
          <w:tcPr>
            <w:tcW w:w="750" w:type="dxa"/>
            <w:vAlign w:val="center"/>
          </w:tcPr>
          <w:p w14:paraId="7C6D6A6C">
            <w:pPr>
              <w:widowControl/>
              <w:jc w:val="center"/>
              <w:textAlignment w:val="center"/>
              <w:rPr>
                <w:rFonts w:ascii="Times New Roman" w:hAnsi="Times New Roman" w:eastAsia="宋体" w:cs="Times New Roman"/>
                <w:color w:val="000000"/>
                <w:kern w:val="0"/>
                <w:sz w:val="22"/>
                <w:szCs w:val="22"/>
                <w:lang w:bidi="ar"/>
              </w:rPr>
            </w:pPr>
          </w:p>
        </w:tc>
      </w:tr>
      <w:tr w14:paraId="0C0A8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55717467">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7</w:t>
            </w:r>
          </w:p>
        </w:tc>
        <w:tc>
          <w:tcPr>
            <w:tcW w:w="1595" w:type="dxa"/>
            <w:shd w:val="clear" w:color="auto" w:fill="auto"/>
            <w:vAlign w:val="center"/>
          </w:tcPr>
          <w:p w14:paraId="148E74F2">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利润</w:t>
            </w:r>
          </w:p>
        </w:tc>
        <w:tc>
          <w:tcPr>
            <w:tcW w:w="4998" w:type="dxa"/>
            <w:shd w:val="clear" w:color="auto" w:fill="auto"/>
            <w:vAlign w:val="center"/>
          </w:tcPr>
          <w:p w14:paraId="172A08A2">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按（1+2+3+4+5+6）的%计取</w:t>
            </w:r>
          </w:p>
        </w:tc>
        <w:tc>
          <w:tcPr>
            <w:tcW w:w="1225" w:type="dxa"/>
            <w:vAlign w:val="center"/>
          </w:tcPr>
          <w:p w14:paraId="47DC6A2B">
            <w:pPr>
              <w:widowControl/>
              <w:jc w:val="center"/>
              <w:textAlignment w:val="center"/>
              <w:rPr>
                <w:rFonts w:hint="eastAsia" w:ascii="宋体" w:hAnsi="宋体" w:eastAsia="宋体" w:cs="宋体"/>
                <w:color w:val="000000"/>
                <w:kern w:val="0"/>
                <w:sz w:val="22"/>
                <w:szCs w:val="22"/>
                <w:lang w:bidi="ar"/>
              </w:rPr>
            </w:pPr>
          </w:p>
        </w:tc>
        <w:tc>
          <w:tcPr>
            <w:tcW w:w="750" w:type="dxa"/>
            <w:vAlign w:val="center"/>
          </w:tcPr>
          <w:p w14:paraId="5C3B2DE9">
            <w:pPr>
              <w:widowControl/>
              <w:jc w:val="center"/>
              <w:textAlignment w:val="center"/>
              <w:rPr>
                <w:rFonts w:ascii="Times New Roman" w:hAnsi="Times New Roman" w:eastAsia="宋体" w:cs="Times New Roman"/>
                <w:color w:val="000000"/>
                <w:kern w:val="0"/>
                <w:sz w:val="22"/>
                <w:szCs w:val="22"/>
                <w:lang w:bidi="ar"/>
              </w:rPr>
            </w:pPr>
          </w:p>
        </w:tc>
      </w:tr>
      <w:tr w14:paraId="375B8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6" w:type="dxa"/>
            <w:vAlign w:val="center"/>
          </w:tcPr>
          <w:p w14:paraId="4601014D">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8</w:t>
            </w:r>
          </w:p>
        </w:tc>
        <w:tc>
          <w:tcPr>
            <w:tcW w:w="1595" w:type="dxa"/>
            <w:shd w:val="clear" w:color="auto" w:fill="auto"/>
            <w:vAlign w:val="center"/>
          </w:tcPr>
          <w:p w14:paraId="346F4F80">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税金</w:t>
            </w:r>
          </w:p>
        </w:tc>
        <w:tc>
          <w:tcPr>
            <w:tcW w:w="4998" w:type="dxa"/>
            <w:shd w:val="clear" w:color="auto" w:fill="auto"/>
            <w:vAlign w:val="center"/>
          </w:tcPr>
          <w:p w14:paraId="3C746C06">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按国家及上海市规定缴纳</w:t>
            </w:r>
          </w:p>
        </w:tc>
        <w:tc>
          <w:tcPr>
            <w:tcW w:w="1225" w:type="dxa"/>
            <w:vAlign w:val="center"/>
          </w:tcPr>
          <w:p w14:paraId="1A7D02E0">
            <w:pPr>
              <w:widowControl/>
              <w:jc w:val="center"/>
              <w:textAlignment w:val="center"/>
              <w:rPr>
                <w:rFonts w:hint="eastAsia" w:ascii="宋体" w:hAnsi="宋体" w:eastAsia="宋体" w:cs="宋体"/>
                <w:color w:val="000000"/>
                <w:kern w:val="0"/>
                <w:sz w:val="22"/>
                <w:szCs w:val="22"/>
                <w:lang w:bidi="ar"/>
              </w:rPr>
            </w:pPr>
          </w:p>
        </w:tc>
        <w:tc>
          <w:tcPr>
            <w:tcW w:w="750" w:type="dxa"/>
            <w:vAlign w:val="center"/>
          </w:tcPr>
          <w:p w14:paraId="1720CD57">
            <w:pPr>
              <w:widowControl/>
              <w:jc w:val="center"/>
              <w:textAlignment w:val="center"/>
              <w:rPr>
                <w:rFonts w:ascii="Times New Roman" w:hAnsi="Times New Roman" w:eastAsia="宋体" w:cs="Times New Roman"/>
                <w:color w:val="000000"/>
                <w:kern w:val="0"/>
                <w:sz w:val="22"/>
                <w:szCs w:val="22"/>
                <w:lang w:bidi="ar"/>
              </w:rPr>
            </w:pPr>
          </w:p>
        </w:tc>
      </w:tr>
      <w:tr w14:paraId="4A931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019" w:type="dxa"/>
            <w:gridSpan w:val="3"/>
            <w:vAlign w:val="center"/>
          </w:tcPr>
          <w:p w14:paraId="06EFAA54">
            <w:pPr>
              <w:widowControl/>
              <w:jc w:val="center"/>
              <w:textAlignment w:val="center"/>
              <w:rPr>
                <w:rFonts w:hint="eastAsia"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投标总价</w:t>
            </w:r>
          </w:p>
        </w:tc>
        <w:tc>
          <w:tcPr>
            <w:tcW w:w="1225" w:type="dxa"/>
            <w:vAlign w:val="center"/>
          </w:tcPr>
          <w:p w14:paraId="5A059EFE">
            <w:pPr>
              <w:widowControl/>
              <w:jc w:val="center"/>
              <w:textAlignment w:val="center"/>
              <w:rPr>
                <w:rFonts w:hint="eastAsia" w:ascii="宋体" w:hAnsi="宋体" w:eastAsia="宋体" w:cs="宋体"/>
                <w:color w:val="000000"/>
                <w:kern w:val="0"/>
                <w:sz w:val="22"/>
                <w:szCs w:val="22"/>
                <w:lang w:bidi="ar"/>
              </w:rPr>
            </w:pPr>
          </w:p>
        </w:tc>
        <w:tc>
          <w:tcPr>
            <w:tcW w:w="750" w:type="dxa"/>
            <w:vAlign w:val="center"/>
          </w:tcPr>
          <w:p w14:paraId="1CE0421C">
            <w:pPr>
              <w:widowControl/>
              <w:jc w:val="center"/>
              <w:textAlignment w:val="center"/>
              <w:rPr>
                <w:rFonts w:ascii="Times New Roman" w:hAnsi="Times New Roman" w:eastAsia="宋体" w:cs="Times New Roman"/>
                <w:color w:val="000000"/>
                <w:kern w:val="0"/>
                <w:sz w:val="22"/>
                <w:szCs w:val="22"/>
                <w:lang w:bidi="ar"/>
              </w:rPr>
            </w:pPr>
          </w:p>
        </w:tc>
      </w:tr>
    </w:tbl>
    <w:p w14:paraId="18708386">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备注：投标人应按照服务项目的特点和性质，分项说明并计算出本项目范围内各人员费用的组成。成本测算和列项要求完整、成本分析依据充分，人员、材料经费测算合理</w:t>
      </w:r>
    </w:p>
    <w:p w14:paraId="21DBA85C">
      <w:pPr>
        <w:tabs>
          <w:tab w:val="left" w:pos="7200"/>
        </w:tabs>
        <w:adjustRightInd w:val="0"/>
        <w:snapToGrid w:val="0"/>
        <w:spacing w:line="300" w:lineRule="auto"/>
        <w:ind w:firstLine="442" w:firstLineChars="200"/>
        <w:outlineLvl w:val="2"/>
        <w:rPr>
          <w:rFonts w:ascii="Times New Roman" w:hAnsi="Times New Roman" w:eastAsia="宋体" w:cs="Times New Roman"/>
          <w:b/>
          <w:bCs/>
          <w:color w:val="000000"/>
          <w:sz w:val="22"/>
          <w:szCs w:val="22"/>
        </w:rPr>
      </w:pPr>
      <w:bookmarkStart w:id="60" w:name="_Toc32052"/>
      <w:r>
        <w:rPr>
          <w:rFonts w:hint="eastAsia" w:ascii="Times New Roman" w:hAnsi="Times New Roman" w:eastAsia="宋体" w:cs="Times New Roman"/>
          <w:b/>
          <w:bCs/>
          <w:color w:val="000000"/>
          <w:sz w:val="22"/>
          <w:szCs w:val="22"/>
        </w:rPr>
        <w:t>14 投标报价控制性条款</w:t>
      </w:r>
      <w:bookmarkEnd w:id="60"/>
    </w:p>
    <w:p w14:paraId="59F48739">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14.1 投标报价不得超过公布的预算金额或最高限价，其中各年度或各分项报价（如有要求）均不得超过对应的预算金额或最高限价。</w:t>
      </w:r>
    </w:p>
    <w:p w14:paraId="4115F883">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14.2 本项目只允许有一个报价，任何有选择的报价将不予接受。</w:t>
      </w:r>
    </w:p>
    <w:p w14:paraId="79CFF565">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14.3 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14:paraId="7244EB95">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★14.4 经评标委员会审定，投标报价存在下列情形之一的，该投标文件作无效标处理：</w:t>
      </w:r>
    </w:p>
    <w:p w14:paraId="549BE37C">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14.4.1 对岗位设置一览表中的岗位配置数进行缩减的；</w:t>
      </w:r>
    </w:p>
    <w:p w14:paraId="131D5E2D">
      <w:pPr>
        <w:tabs>
          <w:tab w:val="left" w:pos="7200"/>
        </w:tabs>
        <w:adjustRightInd w:val="0"/>
        <w:snapToGrid w:val="0"/>
        <w:spacing w:line="300" w:lineRule="auto"/>
        <w:ind w:firstLine="440" w:firstLineChars="200"/>
        <w:rPr>
          <w:rFonts w:ascii="Times New Roman" w:hAnsi="Times New Roman" w:eastAsia="宋体" w:cs="Times New Roman"/>
          <w:color w:val="000000"/>
          <w:sz w:val="22"/>
          <w:szCs w:val="22"/>
        </w:rPr>
      </w:pPr>
      <w:r>
        <w:rPr>
          <w:rFonts w:hint="eastAsia" w:ascii="Times New Roman" w:hAnsi="Times New Roman" w:eastAsia="宋体" w:cs="Times New Roman"/>
          <w:color w:val="000000"/>
          <w:sz w:val="22"/>
          <w:szCs w:val="22"/>
        </w:rPr>
        <w:t>14.4.2 投标报价和技术方案明显不相符的；</w:t>
      </w:r>
    </w:p>
    <w:p w14:paraId="42D744CE">
      <w:pPr>
        <w:adjustRightInd w:val="0"/>
        <w:snapToGrid w:val="0"/>
        <w:spacing w:line="300" w:lineRule="auto"/>
        <w:jc w:val="center"/>
        <w:outlineLvl w:val="1"/>
        <w:rPr>
          <w:rFonts w:ascii="Times New Roman" w:hAnsi="Times New Roman" w:eastAsia="黑体" w:cs="Times New Roman"/>
          <w:sz w:val="30"/>
          <w:szCs w:val="30"/>
        </w:rPr>
      </w:pPr>
      <w:bookmarkStart w:id="61" w:name="_Toc2548"/>
      <w:bookmarkStart w:id="62" w:name="_Toc481849902"/>
      <w:bookmarkStart w:id="63" w:name="_Toc486604818"/>
      <w:r>
        <w:rPr>
          <w:rFonts w:ascii="Times New Roman" w:hAnsi="Times New Roman" w:eastAsia="黑体" w:cs="Times New Roman"/>
          <w:b/>
          <w:bCs/>
          <w:sz w:val="30"/>
          <w:szCs w:val="30"/>
        </w:rPr>
        <w:t>五、政府采购政策</w:t>
      </w:r>
      <w:bookmarkEnd w:id="61"/>
    </w:p>
    <w:p w14:paraId="0DFF29F2">
      <w:pPr>
        <w:adjustRightInd w:val="0"/>
        <w:snapToGrid w:val="0"/>
        <w:spacing w:line="300" w:lineRule="auto"/>
        <w:ind w:firstLine="442" w:firstLineChars="200"/>
        <w:rPr>
          <w:rFonts w:ascii="Times New Roman" w:hAnsi="Times New Roman" w:eastAsia="宋体" w:cs="Times New Roman"/>
          <w:b/>
          <w:color w:val="FF0000"/>
          <w:sz w:val="22"/>
          <w:szCs w:val="22"/>
          <w:u w:val="wavyHeavy"/>
        </w:rPr>
      </w:pPr>
    </w:p>
    <w:bookmarkEnd w:id="62"/>
    <w:bookmarkEnd w:id="63"/>
    <w:p w14:paraId="6E7785BC">
      <w:pPr>
        <w:adjustRightInd w:val="0"/>
        <w:snapToGrid w:val="0"/>
        <w:spacing w:line="300" w:lineRule="auto"/>
        <w:ind w:firstLine="442" w:firstLineChars="200"/>
        <w:outlineLvl w:val="2"/>
        <w:rPr>
          <w:rFonts w:ascii="Times New Roman" w:hAnsi="Times New Roman" w:eastAsia="宋体" w:cs="Times New Roman"/>
          <w:b/>
          <w:sz w:val="22"/>
          <w:szCs w:val="22"/>
        </w:rPr>
      </w:pPr>
      <w:bookmarkStart w:id="64" w:name="_Toc10687"/>
      <w:bookmarkStart w:id="65" w:name="_Toc486604821"/>
      <w:bookmarkStart w:id="66" w:name="_Toc481849905"/>
      <w:r>
        <w:rPr>
          <w:rFonts w:ascii="Times New Roman" w:hAnsi="Times New Roman" w:eastAsia="宋体" w:cs="Times New Roman"/>
          <w:b/>
          <w:sz w:val="22"/>
          <w:szCs w:val="22"/>
        </w:rPr>
        <w:t>15</w:t>
      </w:r>
      <w:r>
        <w:rPr>
          <w:rFonts w:hint="eastAsia" w:ascii="Times New Roman" w:hAnsi="Times New Roman" w:eastAsia="宋体" w:cs="Times New Roman"/>
          <w:b/>
          <w:sz w:val="22"/>
          <w:szCs w:val="22"/>
        </w:rPr>
        <w:t xml:space="preserve"> </w:t>
      </w:r>
      <w:r>
        <w:rPr>
          <w:rFonts w:ascii="Times New Roman" w:hAnsi="宋体" w:eastAsia="宋体" w:cs="Times New Roman"/>
          <w:b/>
          <w:sz w:val="22"/>
          <w:szCs w:val="22"/>
        </w:rPr>
        <w:t>促进中小企业发展</w:t>
      </w:r>
      <w:bookmarkEnd w:id="64"/>
    </w:p>
    <w:p w14:paraId="6E5363C2">
      <w:pPr>
        <w:tabs>
          <w:tab w:val="left" w:pos="3060"/>
        </w:tabs>
        <w:adjustRightInd w:val="0"/>
        <w:snapToGrid w:val="0"/>
        <w:spacing w:line="300" w:lineRule="auto"/>
        <w:ind w:firstLine="442" w:firstLineChars="200"/>
        <w:rPr>
          <w:rFonts w:ascii="Times New Roman" w:hAnsi="Times New Roman" w:eastAsia="宋体" w:cs="Times New Roman"/>
          <w:sz w:val="22"/>
          <w:szCs w:val="22"/>
        </w:rPr>
      </w:pPr>
      <w:r>
        <w:rPr>
          <w:rFonts w:ascii="宋体" w:hAnsi="宋体" w:eastAsia="宋体" w:cs="Times New Roman"/>
          <w:b/>
          <w:bCs/>
          <w:kern w:val="0"/>
          <w:sz w:val="22"/>
          <w:szCs w:val="22"/>
        </w:rPr>
        <w:t>★</w:t>
      </w:r>
      <w:r>
        <w:rPr>
          <w:rFonts w:ascii="Times New Roman" w:hAnsi="Times New Roman" w:eastAsia="宋体" w:cs="Times New Roman"/>
          <w:sz w:val="22"/>
          <w:szCs w:val="22"/>
        </w:rPr>
        <w:t>15</w:t>
      </w:r>
      <w:r>
        <w:rPr>
          <w:rFonts w:ascii="Times New Roman" w:hAnsi="Times New Roman" w:eastAsia="宋体" w:cs="Times New Roman"/>
          <w:bCs/>
          <w:sz w:val="22"/>
          <w:szCs w:val="22"/>
        </w:rPr>
        <w:t>.1</w:t>
      </w:r>
      <w:r>
        <w:rPr>
          <w:rFonts w:hint="eastAsia" w:ascii="Times New Roman" w:hAnsi="Times New Roman" w:eastAsia="宋体" w:cs="Times New Roman"/>
          <w:bCs/>
          <w:sz w:val="22"/>
          <w:szCs w:val="22"/>
        </w:rPr>
        <w:t xml:space="preserve"> </w:t>
      </w:r>
      <w:r>
        <w:rPr>
          <w:rFonts w:ascii="Times New Roman" w:hAnsi="宋体" w:eastAsia="宋体" w:cs="Times New Roman"/>
          <w:sz w:val="22"/>
          <w:szCs w:val="22"/>
        </w:rPr>
        <w:t>中小企业（含中型、小型、微型企业，下同）的划定按照《中小企业划型标准规定》（工信部联企业【</w:t>
      </w:r>
      <w:r>
        <w:rPr>
          <w:rFonts w:ascii="Times New Roman" w:hAnsi="Times New Roman" w:eastAsia="宋体" w:cs="Times New Roman"/>
          <w:sz w:val="22"/>
          <w:szCs w:val="22"/>
        </w:rPr>
        <w:t>2011</w:t>
      </w:r>
      <w:r>
        <w:rPr>
          <w:rFonts w:ascii="Times New Roman" w:hAnsi="宋体" w:eastAsia="宋体" w:cs="Times New Roman"/>
          <w:sz w:val="22"/>
          <w:szCs w:val="22"/>
        </w:rPr>
        <w:t>】</w:t>
      </w:r>
      <w:r>
        <w:rPr>
          <w:rFonts w:ascii="Times New Roman" w:hAnsi="Times New Roman" w:eastAsia="宋体" w:cs="Times New Roman"/>
          <w:sz w:val="22"/>
          <w:szCs w:val="22"/>
        </w:rPr>
        <w:t>300</w:t>
      </w:r>
      <w:r>
        <w:rPr>
          <w:rFonts w:ascii="Times New Roman" w:hAnsi="宋体" w:eastAsia="宋体" w:cs="Times New Roman"/>
          <w:sz w:val="22"/>
          <w:szCs w:val="22"/>
        </w:rPr>
        <w:t>号）执行，参加投标的中小企业应当提供《中小企业声明函》（具体格式见</w:t>
      </w:r>
      <w:r>
        <w:rPr>
          <w:rFonts w:ascii="Times New Roman" w:hAnsi="Times New Roman" w:eastAsia="宋体" w:cs="Times New Roman"/>
          <w:sz w:val="22"/>
          <w:szCs w:val="22"/>
        </w:rPr>
        <w:t>“</w:t>
      </w:r>
      <w:r>
        <w:rPr>
          <w:rFonts w:ascii="Times New Roman" w:hAnsi="宋体" w:eastAsia="宋体" w:cs="Times New Roman"/>
          <w:sz w:val="22"/>
          <w:szCs w:val="22"/>
        </w:rPr>
        <w:t>投标文件格式</w:t>
      </w:r>
      <w:r>
        <w:rPr>
          <w:rFonts w:ascii="Times New Roman" w:hAnsi="Times New Roman" w:eastAsia="宋体" w:cs="Times New Roman"/>
          <w:sz w:val="22"/>
          <w:szCs w:val="22"/>
        </w:rPr>
        <w:t>”</w:t>
      </w:r>
      <w:r>
        <w:rPr>
          <w:rFonts w:ascii="Times New Roman" w:hAnsi="宋体" w:eastAsia="宋体" w:cs="Times New Roman"/>
          <w:sz w:val="22"/>
          <w:szCs w:val="22"/>
        </w:rPr>
        <w:t>），反之，视作非中、小微企业，不具备参与投标资格。如项目允许联合体参与竞争的，则联合体中各方均应为中小企业，并按本款要求提供《中小企业声明函》。</w:t>
      </w:r>
    </w:p>
    <w:p w14:paraId="48A03DD7">
      <w:pPr>
        <w:adjustRightInd w:val="0"/>
        <w:snapToGrid w:val="0"/>
        <w:spacing w:line="300" w:lineRule="auto"/>
        <w:ind w:firstLine="442" w:firstLineChars="200"/>
        <w:rPr>
          <w:rFonts w:ascii="Times New Roman" w:hAnsi="Times New Roman" w:eastAsia="宋体" w:cs="Times New Roman"/>
          <w:sz w:val="22"/>
          <w:szCs w:val="22"/>
        </w:rPr>
      </w:pPr>
      <w:r>
        <w:rPr>
          <w:rFonts w:ascii="宋体" w:hAnsi="宋体" w:eastAsia="宋体" w:cs="Times New Roman"/>
          <w:b/>
          <w:bCs/>
          <w:kern w:val="0"/>
          <w:sz w:val="22"/>
          <w:szCs w:val="22"/>
        </w:rPr>
        <w:t>★</w:t>
      </w:r>
      <w:r>
        <w:rPr>
          <w:rFonts w:ascii="Times New Roman" w:hAnsi="Times New Roman" w:eastAsia="宋体" w:cs="Times New Roman"/>
          <w:sz w:val="22"/>
          <w:szCs w:val="22"/>
        </w:rPr>
        <w:t xml:space="preserve">15.2 </w:t>
      </w:r>
      <w:r>
        <w:rPr>
          <w:rFonts w:ascii="Times New Roman" w:hAnsi="宋体" w:eastAsia="宋体" w:cs="Times New Roman"/>
          <w:sz w:val="22"/>
          <w:szCs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Pr>
          <w:rFonts w:hint="eastAsia" w:ascii="Times New Roman" w:hAnsi="宋体" w:eastAsia="宋体" w:cs="Times New Roman"/>
          <w:sz w:val="22"/>
          <w:szCs w:val="22"/>
        </w:rPr>
        <w:t>管理</w:t>
      </w:r>
      <w:r>
        <w:rPr>
          <w:rFonts w:ascii="Times New Roman" w:hAnsi="宋体" w:eastAsia="宋体" w:cs="Times New Roman"/>
          <w:sz w:val="22"/>
          <w:szCs w:val="22"/>
        </w:rPr>
        <w:t>办法》。</w:t>
      </w:r>
    </w:p>
    <w:p w14:paraId="47AE3D9D">
      <w:pPr>
        <w:adjustRightInd w:val="0"/>
        <w:snapToGrid w:val="0"/>
        <w:spacing w:line="300" w:lineRule="auto"/>
        <w:ind w:firstLine="442" w:firstLineChars="200"/>
        <w:rPr>
          <w:rFonts w:ascii="Times New Roman" w:hAnsi="Times New Roman" w:eastAsia="宋体" w:cs="Times New Roman"/>
          <w:sz w:val="22"/>
          <w:szCs w:val="22"/>
        </w:rPr>
      </w:pPr>
      <w:r>
        <w:rPr>
          <w:rFonts w:ascii="宋体" w:hAnsi="宋体" w:eastAsia="宋体" w:cs="Times New Roman"/>
          <w:b/>
          <w:bCs/>
          <w:kern w:val="0"/>
          <w:sz w:val="22"/>
          <w:szCs w:val="22"/>
        </w:rPr>
        <w:t>★</w:t>
      </w:r>
      <w:r>
        <w:rPr>
          <w:rFonts w:ascii="Times New Roman" w:hAnsi="Times New Roman" w:eastAsia="宋体" w:cs="Times New Roman"/>
          <w:sz w:val="22"/>
          <w:szCs w:val="22"/>
        </w:rPr>
        <w:t xml:space="preserve">15.3 </w:t>
      </w:r>
      <w:r>
        <w:rPr>
          <w:rFonts w:ascii="Times New Roman" w:hAnsi="宋体" w:eastAsia="宋体" w:cs="Times New Roman"/>
          <w:sz w:val="22"/>
          <w:szCs w:val="22"/>
        </w:rPr>
        <w:t>如项目允许联合体参与竞争的，组成联合体的中型企业和其他自然人、法人或者其他组织，与小型、微型企业之间不得存在投资关系。</w:t>
      </w:r>
    </w:p>
    <w:p w14:paraId="60FE021E">
      <w:pPr>
        <w:adjustRightInd w:val="0"/>
        <w:snapToGrid w:val="0"/>
        <w:spacing w:line="300" w:lineRule="auto"/>
        <w:ind w:firstLine="442" w:firstLineChars="200"/>
        <w:rPr>
          <w:rFonts w:ascii="Times New Roman" w:hAnsi="Times New Roman" w:eastAsia="宋体" w:cs="Times New Roman"/>
          <w:sz w:val="22"/>
          <w:szCs w:val="22"/>
        </w:rPr>
      </w:pPr>
      <w:r>
        <w:rPr>
          <w:rFonts w:ascii="宋体" w:hAnsi="宋体" w:eastAsia="宋体" w:cs="Times New Roman"/>
          <w:b/>
          <w:bCs/>
          <w:kern w:val="0"/>
          <w:sz w:val="22"/>
          <w:szCs w:val="22"/>
        </w:rPr>
        <w:t>★</w:t>
      </w:r>
      <w:r>
        <w:rPr>
          <w:rFonts w:ascii="Times New Roman" w:hAnsi="Times New Roman" w:eastAsia="宋体" w:cs="Times New Roman"/>
          <w:sz w:val="22"/>
          <w:szCs w:val="22"/>
        </w:rPr>
        <w:t>15.4</w:t>
      </w:r>
      <w:r>
        <w:rPr>
          <w:rFonts w:hint="eastAsia" w:ascii="Times New Roman" w:hAnsi="Times New Roman" w:eastAsia="宋体" w:cs="Times New Roman"/>
          <w:sz w:val="22"/>
          <w:szCs w:val="22"/>
        </w:rPr>
        <w:t xml:space="preserve"> </w:t>
      </w:r>
      <w:r>
        <w:rPr>
          <w:rFonts w:ascii="Times New Roman" w:hAnsi="宋体" w:eastAsia="宋体" w:cs="Times New Roman"/>
          <w:sz w:val="22"/>
          <w:szCs w:val="22"/>
        </w:rPr>
        <w:t>供应商如提供虚假材料以谋取成交的，按照《政府采购法》有关条款处理，并记入供应商诚信档案。</w:t>
      </w:r>
    </w:p>
    <w:bookmarkEnd w:id="65"/>
    <w:bookmarkEnd w:id="66"/>
    <w:p w14:paraId="1C51F4F3">
      <w:pPr>
        <w:adjustRightInd w:val="0"/>
        <w:snapToGrid w:val="0"/>
        <w:spacing w:line="300" w:lineRule="auto"/>
        <w:ind w:firstLine="442" w:firstLineChars="200"/>
        <w:outlineLvl w:val="2"/>
        <w:rPr>
          <w:rFonts w:ascii="Times New Roman" w:hAnsi="Times New Roman" w:eastAsia="宋体" w:cs="Times New Roman"/>
          <w:b/>
          <w:sz w:val="22"/>
          <w:szCs w:val="22"/>
        </w:rPr>
      </w:pPr>
      <w:bookmarkStart w:id="67" w:name="_Toc11627"/>
      <w:r>
        <w:rPr>
          <w:rFonts w:ascii="Times New Roman" w:hAnsi="Times New Roman" w:eastAsia="宋体" w:cs="Times New Roman"/>
          <w:b/>
          <w:sz w:val="22"/>
          <w:szCs w:val="22"/>
        </w:rPr>
        <w:t>16 促进残疾人就业</w:t>
      </w:r>
      <w:r>
        <w:rPr>
          <w:rFonts w:hint="eastAsia" w:ascii="Calibri" w:hAnsi="Calibri" w:eastAsia="宋体" w:cs="Times New Roman"/>
          <w:sz w:val="22"/>
          <w:szCs w:val="22"/>
        </w:rPr>
        <w:t>（注：仅残疾人福利单位适用）</w:t>
      </w:r>
      <w:bookmarkEnd w:id="67"/>
    </w:p>
    <w:p w14:paraId="7025A255">
      <w:pPr>
        <w:adjustRightInd w:val="0"/>
        <w:snapToGrid w:val="0"/>
        <w:spacing w:line="300" w:lineRule="auto"/>
        <w:ind w:firstLine="440" w:firstLineChars="200"/>
        <w:rPr>
          <w:rFonts w:ascii="Times New Roman" w:hAnsi="Times New Roman" w:eastAsia="宋体" w:cs="Times New Roman"/>
          <w:sz w:val="22"/>
          <w:szCs w:val="22"/>
        </w:rPr>
      </w:pPr>
      <w:r>
        <w:rPr>
          <w:rFonts w:ascii="Times New Roman" w:hAnsi="Times New Roman" w:eastAsia="宋体" w:cs="Times New Roman"/>
          <w:sz w:val="22"/>
          <w:szCs w:val="22"/>
        </w:rPr>
        <w:t xml:space="preserve">16.1 </w:t>
      </w:r>
      <w:bookmarkStart w:id="68" w:name="sendNo"/>
      <w:r>
        <w:rPr>
          <w:rFonts w:ascii="Times New Roman" w:hAnsi="Times New Roman" w:eastAsia="宋体" w:cs="Times New Roman"/>
          <w:sz w:val="22"/>
          <w:szCs w:val="22"/>
        </w:rPr>
        <w:t>符合财库</w:t>
      </w:r>
      <w:bookmarkEnd w:id="68"/>
      <w:r>
        <w:rPr>
          <w:rFonts w:ascii="Times New Roman" w:hAnsi="Times New Roman" w:eastAsia="宋体" w:cs="Times New Roman"/>
          <w:sz w:val="22"/>
          <w:szCs w:val="22"/>
        </w:rPr>
        <w:t>【2017】141号文中所示条件的残疾人福利性单位视同小型、微型企业，享受促进中小企业发展的政府采购政策。残疾人福利性单位属于小型、微型企业的，不重复享受政策。</w:t>
      </w:r>
    </w:p>
    <w:p w14:paraId="282A2DB2">
      <w:r>
        <w:rPr>
          <w:rFonts w:ascii="Times New Roman" w:hAnsi="Times New Roman" w:eastAsia="宋体" w:cs="Times New Roman"/>
          <w:sz w:val="22"/>
          <w:szCs w:val="22"/>
        </w:rPr>
        <w:t>16.2</w:t>
      </w:r>
      <w:r>
        <w:rPr>
          <w:rFonts w:hint="eastAsia" w:ascii="Times New Roman" w:hAnsi="Times New Roman" w:eastAsia="宋体" w:cs="Times New Roman"/>
          <w:sz w:val="22"/>
          <w:szCs w:val="22"/>
        </w:rPr>
        <w:t xml:space="preserve"> </w:t>
      </w:r>
      <w:r>
        <w:rPr>
          <w:rFonts w:ascii="Times New Roman" w:hAnsi="Times New Roman" w:eastAsia="宋体" w:cs="Times New Roman"/>
          <w:sz w:val="22"/>
          <w:szCs w:val="22"/>
        </w:rPr>
        <w:t>残疾人福利性单位在参加政府采购活动时，应当按财库【2017】141号规定的《残疾人福利性单位声明函》（具体格式详见“投标文件格式”），并对声明的真实</w:t>
      </w:r>
      <w:bookmarkStart w:id="69" w:name="_GoBack"/>
      <w:bookmarkEnd w:id="69"/>
      <w:r>
        <w:rPr>
          <w:rFonts w:ascii="Times New Roman" w:hAnsi="Times New Roman" w:eastAsia="宋体" w:cs="Times New Roman"/>
          <w:sz w:val="22"/>
          <w:szCs w:val="22"/>
        </w:rPr>
        <w:t>性负责。</w:t>
      </w:r>
    </w:p>
    <w:sectPr>
      <w:pgSz w:w="11906" w:h="16838"/>
      <w:pgMar w:top="850" w:right="1134" w:bottom="85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B07416"/>
    <w:rsid w:val="73B074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qFormat/>
    <w:uiPriority w:val="59"/>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microsoft.com/office/2007/relationships/diagramDrawing" Target="diagrams/drawing1.xml"/><Relationship Id="rId7" Type="http://schemas.openxmlformats.org/officeDocument/2006/relationships/diagramColors" Target="diagrams/colors1.xml"/><Relationship Id="rId6" Type="http://schemas.openxmlformats.org/officeDocument/2006/relationships/diagramQuickStyle" Target="diagrams/quickStyle1.xml"/><Relationship Id="rId5" Type="http://schemas.openxmlformats.org/officeDocument/2006/relationships/diagramLayout" Target="diagrams/layout1.xml"/><Relationship Id="rId4" Type="http://schemas.openxmlformats.org/officeDocument/2006/relationships/diagramData" Target="diagrams/data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accent1_2#1">
  <dgm:title val=""/>
  <dgm:desc val=""/>
  <dgm:catLst>
    <dgm:cat type="accent1" pri="11200"/>
  </dgm:catLst>
  <dgm:styleLbl name="alignAcc1">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alignAccFollowNode1">
    <dgm:fillClrLst meth="repeat">
      <a:srgbClr val="4F81BD">
        <a:alpha val="90000"/>
        <a:tint val="40000"/>
      </a:srgbClr>
    </dgm:fillClrLst>
    <dgm:linClrLst meth="repeat">
      <a:srgbClr val="4F81BD">
        <a:alpha val="90000"/>
        <a:tint val="40000"/>
      </a:srgbClr>
    </dgm:linClrLst>
    <dgm:effectClrLst/>
    <dgm:txLinClrLst/>
    <dgm:txFillClrLst meth="repeat">
      <a:sysClr val="windowText" lastClr="000000"/>
    </dgm:txFillClrLst>
    <dgm:txEffectClrLst/>
  </dgm:styleLbl>
  <dgm:styleLbl name="alignImgPlace1">
    <dgm:fillClrLst meth="repeat">
      <a:srgbClr val="4F81BD">
        <a:tint val="50000"/>
      </a:srgbClr>
    </dgm:fillClrLst>
    <dgm:linClrLst meth="repeat">
      <a:sysClr val="window" lastClr="FFFFFF"/>
    </dgm:linClrLst>
    <dgm:effectClrLst/>
    <dgm:txLinClrLst/>
    <dgm:txFillClrLst meth="repeat">
      <a:sysClr val="window" lastClr="FFFFFF"/>
    </dgm:txFillClrLst>
    <dgm:txEffectClrLst/>
  </dgm:styleLbl>
  <dgm:styleLbl name="alignNode1">
    <dgm:fillClrLst meth="repeat">
      <a:srgbClr val="4F81BD"/>
    </dgm:fillClrLst>
    <dgm:linClrLst meth="repeat">
      <a:srgbClr val="4F81BD"/>
    </dgm:linClrLst>
    <dgm:effectClrLst/>
    <dgm:txLinClrLst/>
    <dgm:txFillClrLst/>
    <dgm:txEffectClrLst/>
  </dgm:styleLbl>
  <dgm:styleLbl name="asst0">
    <dgm:fillClrLst meth="repeat">
      <a:srgbClr val="4F81BD"/>
    </dgm:fillClrLst>
    <dgm:linClrLst meth="repeat">
      <a:sysClr val="window" lastClr="FFFFFF"/>
    </dgm:linClrLst>
    <dgm:effectClrLst/>
    <dgm:txLinClrLst/>
    <dgm:txFillClrLst/>
    <dgm:txEffectClrLst/>
  </dgm:styleLbl>
  <dgm:styleLbl name="asst1">
    <dgm:fillClrLst meth="repeat">
      <a:srgbClr val="4F81BD"/>
    </dgm:fillClrLst>
    <dgm:linClrLst meth="repeat">
      <a:sysClr val="window" lastClr="FFFFFF"/>
    </dgm:linClrLst>
    <dgm:effectClrLst/>
    <dgm:txLinClrLst/>
    <dgm:txFillClrLst/>
    <dgm:txEffectClrLst/>
  </dgm:styleLbl>
  <dgm:styleLbl name="asst2">
    <dgm:fillClrLst meth="repeat">
      <a:srgbClr val="4F81BD"/>
    </dgm:fillClrLst>
    <dgm:linClrLst meth="repeat">
      <a:sysClr val="window" lastClr="FFFFFF"/>
    </dgm:linClrLst>
    <dgm:effectClrLst/>
    <dgm:txLinClrLst/>
    <dgm:txFillClrLst/>
    <dgm:txEffectClrLst/>
  </dgm:styleLbl>
  <dgm:styleLbl name="asst3">
    <dgm:fillClrLst meth="repeat">
      <a:srgbClr val="4F81BD"/>
    </dgm:fillClrLst>
    <dgm:linClrLst meth="repeat">
      <a:sysClr val="window" lastClr="FFFFFF"/>
    </dgm:linClrLst>
    <dgm:effectClrLst/>
    <dgm:txLinClrLst/>
    <dgm:txFillClrLst/>
    <dgm:txEffectClrLst/>
  </dgm:styleLbl>
  <dgm:styleLbl name="asst4">
    <dgm:fillClrLst meth="repeat">
      <a:srgbClr val="4F81BD"/>
    </dgm:fillClrLst>
    <dgm:linClrLst meth="repeat">
      <a:sysClr val="window" lastClr="FFFFFF"/>
    </dgm:linClrLst>
    <dgm:effectClrLst/>
    <dgm:txLinClrLst/>
    <dgm:txFillClrLst/>
    <dgm:txEffectClrLst/>
  </dgm:styleLbl>
  <dgm:styleLbl name="bgAcc1">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bgAccFollowNode1">
    <dgm:fillClrLst meth="repeat">
      <a:srgbClr val="4F81BD">
        <a:alpha val="90000"/>
        <a:tint val="40000"/>
      </a:srgbClr>
    </dgm:fillClrLst>
    <dgm:linClrLst meth="repeat">
      <a:srgbClr val="4F81BD">
        <a:alpha val="90000"/>
        <a:tint val="40000"/>
      </a:srgbClr>
    </dgm:linClrLst>
    <dgm:effectClrLst/>
    <dgm:txLinClrLst/>
    <dgm:txFillClrLst meth="repeat">
      <a:sysClr val="windowText" lastClr="000000"/>
    </dgm:txFillClrLst>
    <dgm:txEffectClrLst/>
  </dgm:styleLbl>
  <dgm:styleLbl name="bgImgPlace1">
    <dgm:fillClrLst meth="repeat">
      <a:srgbClr val="4F81BD">
        <a:tint val="50000"/>
      </a:srgbClr>
    </dgm:fillClrLst>
    <dgm:linClrLst meth="repeat">
      <a:sysClr val="window" lastClr="FFFFFF"/>
    </dgm:linClrLst>
    <dgm:effectClrLst/>
    <dgm:txLinClrLst/>
    <dgm:txFillClrLst meth="repeat">
      <a:sysClr val="window" lastClr="FFFFFF"/>
    </dgm:txFillClrLst>
    <dgm:txEffectClrLst/>
  </dgm:styleLbl>
  <dgm:styleLbl name="bgShp">
    <dgm:fillClrLst meth="repeat">
      <a:srgbClr val="4F81BD">
        <a:tint val="40000"/>
      </a:srgbClr>
    </dgm:fillClrLst>
    <dgm:linClrLst meth="repeat">
      <a:srgbClr val="4F81BD"/>
    </dgm:linClrLst>
    <dgm:effectClrLst/>
    <dgm:txLinClrLst/>
    <dgm:txFillClrLst meth="repeat">
      <a:sysClr val="windowText" lastClr="000000"/>
    </dgm:txFillClrLst>
    <dgm:txEffectClrLst/>
  </dgm:styleLbl>
  <dgm:styleLbl name="bgSibTrans2D1">
    <dgm:fillClrLst meth="repeat">
      <a:srgbClr val="4F81BD">
        <a:tint val="60000"/>
      </a:srgbClr>
    </dgm:fillClrLst>
    <dgm:linClrLst meth="repeat">
      <a:srgbClr val="4F81BD">
        <a:tint val="60000"/>
      </a:srgbClr>
    </dgm:linClrLst>
    <dgm:effectClrLst/>
    <dgm:txLinClrLst/>
    <dgm:txFillClrLst/>
    <dgm:txEffectClrLst/>
  </dgm:styleLbl>
  <dgm:styleLbl name="callout">
    <dgm:fillClrLst meth="repeat">
      <a:srgbClr val="4F81BD"/>
    </dgm:fillClrLst>
    <dgm:linClrLst meth="repeat">
      <a:srgbClr val="4F81BD">
        <a:tint val="50000"/>
      </a:srgbClr>
    </dgm:linClrLst>
    <dgm:effectClrLst/>
    <dgm:txLinClrLst/>
    <dgm:txFillClrLst meth="repeat">
      <a:sysClr val="windowText" lastClr="000000"/>
    </dgm:txFillClrLst>
    <dgm:txEffectClrLst/>
  </dgm:styleLbl>
  <dgm:styleLbl name="conFgAcc1">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dkBgShp">
    <dgm:fillClrLst meth="repeat">
      <a:srgbClr val="4F81BD">
        <a:shade val="80000"/>
      </a:srgbClr>
    </dgm:fillClrLst>
    <dgm:linClrLst meth="repeat">
      <a:srgbClr val="4F81BD"/>
    </dgm:linClrLst>
    <dgm:effectClrLst/>
    <dgm:txLinClrLst/>
    <dgm:txFillClrLst meth="repeat">
      <a:sysClr val="window" lastClr="FFFFFF"/>
    </dgm:txFillClrLst>
    <dgm:txEffectClrLst/>
  </dgm:styleLbl>
  <dgm:styleLbl name="fgAcc0">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fgAcc1">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fgAcc2">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fgAcc3">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fgAcc4">
    <dgm:fillClrLst meth="repeat">
      <a:sysClr val="window" lastClr="FFFFFF">
        <a:alpha val="90000"/>
      </a:sysClr>
    </dgm:fillClrLst>
    <dgm:linClrLst meth="repeat">
      <a:srgbClr val="4F81BD"/>
    </dgm:linClrLst>
    <dgm:effectClrLst/>
    <dgm:txLinClrLst/>
    <dgm:txFillClrLst meth="repeat">
      <a:sysClr val="windowText" lastClr="000000"/>
    </dgm:txFillClrLst>
    <dgm:txEffectClrLst/>
  </dgm:styleLbl>
  <dgm:styleLbl name="fgAccFollowNode1">
    <dgm:fillClrLst meth="repeat">
      <a:srgbClr val="4F81BD">
        <a:alpha val="90000"/>
        <a:tint val="40000"/>
      </a:srgbClr>
    </dgm:fillClrLst>
    <dgm:linClrLst meth="repeat">
      <a:srgbClr val="4F81BD">
        <a:alpha val="90000"/>
        <a:tint val="40000"/>
      </a:srgbClr>
    </dgm:linClrLst>
    <dgm:effectClrLst/>
    <dgm:txLinClrLst/>
    <dgm:txFillClrLst meth="repeat">
      <a:sysClr val="windowText" lastClr="000000"/>
    </dgm:txFillClrLst>
    <dgm:txEffectClrLst/>
  </dgm:styleLbl>
  <dgm:styleLbl name="fgImgPlace1">
    <dgm:fillClrLst meth="repeat">
      <a:srgbClr val="4F81BD">
        <a:tint val="50000"/>
      </a:srgbClr>
    </dgm:fillClrLst>
    <dgm:linClrLst meth="repeat">
      <a:sysClr val="window" lastClr="FFFFFF"/>
    </dgm:linClrLst>
    <dgm:effectClrLst/>
    <dgm:txLinClrLst/>
    <dgm:txFillClrLst meth="repeat">
      <a:sysClr val="window" lastClr="FFFFFF"/>
    </dgm:txFillClrLst>
    <dgm:txEffectClrLst/>
  </dgm:styleLbl>
  <dgm:styleLbl name="fgShp">
    <dgm:fillClrLst meth="repeat">
      <a:srgbClr val="4F81BD">
        <a:tint val="60000"/>
      </a:srgbClr>
    </dgm:fillClrLst>
    <dgm:linClrLst meth="repeat">
      <a:sysClr val="window" lastClr="FFFFFF"/>
    </dgm:linClrLst>
    <dgm:effectClrLst/>
    <dgm:txLinClrLst/>
    <dgm:txFillClrLst meth="repeat">
      <a:sysClr val="windowText" lastClr="000000"/>
    </dgm:txFillClrLst>
    <dgm:txEffectClrLst/>
  </dgm:styleLbl>
  <dgm:styleLbl name="fgSibTrans2D1">
    <dgm:fillClrLst meth="repeat">
      <a:srgbClr val="4F81BD">
        <a:tint val="60000"/>
      </a:srgbClr>
    </dgm:fillClrLst>
    <dgm:linClrLst meth="repeat">
      <a:srgbClr val="4F81BD">
        <a:tint val="60000"/>
      </a:srgbClr>
    </dgm:linClrLst>
    <dgm:effectClrLst/>
    <dgm:txLinClrLst/>
    <dgm:txFillClrLst/>
    <dgm:txEffectClrLst/>
  </dgm:styleLbl>
  <dgm:styleLbl name="lnNode1">
    <dgm:fillClrLst meth="repeat">
      <a:srgbClr val="4F81BD"/>
    </dgm:fillClrLst>
    <dgm:linClrLst meth="repeat">
      <a:sysClr val="window" lastClr="FFFFFF"/>
    </dgm:linClrLst>
    <dgm:effectClrLst/>
    <dgm:txLinClrLst/>
    <dgm:txFillClrLst/>
    <dgm:txEffectClrLst/>
  </dgm:styleLbl>
  <dgm:styleLbl name="node0">
    <dgm:fillClrLst meth="repeat">
      <a:srgbClr val="4F81BD"/>
    </dgm:fillClrLst>
    <dgm:linClrLst meth="repeat">
      <a:sysClr val="window" lastClr="FFFFFF"/>
    </dgm:linClrLst>
    <dgm:effectClrLst/>
    <dgm:txLinClrLst/>
    <dgm:txFillClrLst/>
    <dgm:txEffectClrLst/>
  </dgm:styleLbl>
  <dgm:styleLbl name="node1">
    <dgm:fillClrLst meth="repeat">
      <a:srgbClr val="4F81BD"/>
    </dgm:fillClrLst>
    <dgm:linClrLst meth="repeat">
      <a:sysClr val="window" lastClr="FFFFFF"/>
    </dgm:linClrLst>
    <dgm:effectClrLst/>
    <dgm:txLinClrLst/>
    <dgm:txFillClrLst/>
    <dgm:txEffectClrLst/>
  </dgm:styleLbl>
  <dgm:styleLbl name="node2">
    <dgm:fillClrLst meth="repeat">
      <a:srgbClr val="4F81BD"/>
    </dgm:fillClrLst>
    <dgm:linClrLst meth="repeat">
      <a:sysClr val="window" lastClr="FFFFFF"/>
    </dgm:linClrLst>
    <dgm:effectClrLst/>
    <dgm:txLinClrLst/>
    <dgm:txFillClrLst/>
    <dgm:txEffectClrLst/>
  </dgm:styleLbl>
  <dgm:styleLbl name="node3">
    <dgm:fillClrLst meth="repeat">
      <a:srgbClr val="4F81BD"/>
    </dgm:fillClrLst>
    <dgm:linClrLst meth="repeat">
      <a:sysClr val="window" lastClr="FFFFFF"/>
    </dgm:linClrLst>
    <dgm:effectClrLst/>
    <dgm:txLinClrLst/>
    <dgm:txFillClrLst/>
    <dgm:txEffectClrLst/>
  </dgm:styleLbl>
  <dgm:styleLbl name="node4">
    <dgm:fillClrLst meth="repeat">
      <a:srgbClr val="4F81BD"/>
    </dgm:fillClrLst>
    <dgm:linClrLst meth="repeat">
      <a:sysClr val="window" lastClr="FFFFFF"/>
    </dgm:linClrLst>
    <dgm:effectClrLst/>
    <dgm:txLinClrLst/>
    <dgm:txFillClrLst/>
    <dgm:txEffectClrLst/>
  </dgm:styleLbl>
  <dgm:styleLbl name="parChTrans1D1">
    <dgm:fillClrLst meth="repeat">
      <a:srgbClr val="4F81BD"/>
    </dgm:fillClrLst>
    <dgm:linClrLst meth="repeat">
      <a:srgbClr val="4F81BD">
        <a:shade val="60000"/>
      </a:srgbClr>
    </dgm:linClrLst>
    <dgm:effectClrLst/>
    <dgm:txLinClrLst/>
    <dgm:txFillClrLst meth="repeat">
      <a:sysClr val="windowText" lastClr="000000"/>
    </dgm:txFillClrLst>
    <dgm:txEffectClrLst/>
  </dgm:styleLbl>
  <dgm:styleLbl name="parChTrans1D2">
    <dgm:fillClrLst meth="repeat">
      <a:srgbClr val="4F81BD"/>
    </dgm:fillClrLst>
    <dgm:linClrLst meth="repeat">
      <a:srgbClr val="4F81BD">
        <a:shade val="60000"/>
      </a:srgbClr>
    </dgm:linClrLst>
    <dgm:effectClrLst/>
    <dgm:txLinClrLst/>
    <dgm:txFillClrLst meth="repeat">
      <a:sysClr val="windowText" lastClr="000000"/>
    </dgm:txFillClrLst>
    <dgm:txEffectClrLst/>
  </dgm:styleLbl>
  <dgm:styleLbl name="parChTrans1D3">
    <dgm:fillClrLst meth="repeat">
      <a:srgbClr val="4F81BD"/>
    </dgm:fillClrLst>
    <dgm:linClrLst meth="repeat">
      <a:srgbClr val="4F81BD">
        <a:shade val="80000"/>
      </a:srgbClr>
    </dgm:linClrLst>
    <dgm:effectClrLst/>
    <dgm:txLinClrLst/>
    <dgm:txFillClrLst meth="repeat">
      <a:sysClr val="windowText" lastClr="000000"/>
    </dgm:txFillClrLst>
    <dgm:txEffectClrLst/>
  </dgm:styleLbl>
  <dgm:styleLbl name="parChTrans1D4">
    <dgm:fillClrLst meth="repeat">
      <a:srgbClr val="4F81BD"/>
    </dgm:fillClrLst>
    <dgm:linClrLst meth="repeat">
      <a:srgbClr val="4F81BD">
        <a:shade val="80000"/>
      </a:srgbClr>
    </dgm:linClrLst>
    <dgm:effectClrLst/>
    <dgm:txLinClrLst/>
    <dgm:txFillClrLst meth="repeat">
      <a:sysClr val="windowText" lastClr="000000"/>
    </dgm:txFillClrLst>
    <dgm:txEffectClrLst/>
  </dgm:styleLbl>
  <dgm:styleLbl name="parChTrans2D1">
    <dgm:fillClrLst meth="repeat">
      <a:srgbClr val="4F81BD">
        <a:tint val="60000"/>
      </a:srgbClr>
    </dgm:fillClrLst>
    <dgm:linClrLst meth="repeat">
      <a:srgbClr val="4F81BD">
        <a:tint val="60000"/>
      </a:srgbClr>
    </dgm:linClrLst>
    <dgm:effectClrLst/>
    <dgm:txLinClrLst/>
    <dgm:txFillClrLst meth="repeat">
      <a:sysClr val="window" lastClr="FFFFFF"/>
    </dgm:txFillClrLst>
    <dgm:txEffectClrLst/>
  </dgm:styleLbl>
  <dgm:styleLbl name="parChTrans2D2">
    <dgm:fillClrLst meth="repeat">
      <a:srgbClr val="4F81BD"/>
    </dgm:fillClrLst>
    <dgm:linClrLst meth="repeat">
      <a:srgbClr val="4F81BD"/>
    </dgm:linClrLst>
    <dgm:effectClrLst/>
    <dgm:txLinClrLst/>
    <dgm:txFillClrLst meth="repeat">
      <a:sysClr val="window" lastClr="FFFFFF"/>
    </dgm:txFillClrLst>
    <dgm:txEffectClrLst/>
  </dgm:styleLbl>
  <dgm:styleLbl name="parChTrans2D3">
    <dgm:fillClrLst meth="repeat">
      <a:srgbClr val="4F81BD"/>
    </dgm:fillClrLst>
    <dgm:linClrLst meth="repeat">
      <a:srgbClr val="4F81BD"/>
    </dgm:linClrLst>
    <dgm:effectClrLst/>
    <dgm:txLinClrLst/>
    <dgm:txFillClrLst meth="repeat">
      <a:sysClr val="window" lastClr="FFFFFF"/>
    </dgm:txFillClrLst>
    <dgm:txEffectClrLst/>
  </dgm:styleLbl>
  <dgm:styleLbl name="parChTrans2D4">
    <dgm:fillClrLst meth="repeat">
      <a:srgbClr val="4F81BD"/>
    </dgm:fillClrLst>
    <dgm:linClrLst meth="repeat">
      <a:srgbClr val="4F81BD"/>
    </dgm:linClrLst>
    <dgm:effectClrLst/>
    <dgm:txLinClrLst/>
    <dgm:txFillClrLst meth="repeat">
      <a:sysClr val="window" lastClr="FFFFFF"/>
    </dgm:txFillClrLst>
    <dgm:txEffectClrLst/>
  </dgm:styleLbl>
  <dgm:styleLbl name="revTx">
    <dgm:fillClrLst meth="repeat">
      <a:sysClr val="window" lastClr="FFFFFF">
        <a:alpha val="0"/>
      </a:sysClr>
    </dgm:fillClrLst>
    <dgm:linClrLst meth="repeat">
      <a:sysClr val="windowText" lastClr="000000">
        <a:alpha val="0"/>
      </a:sysClr>
    </dgm:linClrLst>
    <dgm:effectClrLst/>
    <dgm:txLinClrLst/>
    <dgm:txFillClrLst meth="repeat">
      <a:sysClr val="windowText" lastClr="000000"/>
    </dgm:txFillClrLst>
    <dgm:txEffectClrLst/>
  </dgm:styleLbl>
  <dgm:styleLbl name="sibTrans1D1">
    <dgm:fillClrLst meth="repeat">
      <a:srgbClr val="4F81BD"/>
    </dgm:fillClrLst>
    <dgm:linClrLst meth="repeat">
      <a:srgbClr val="4F81BD"/>
    </dgm:linClrLst>
    <dgm:effectClrLst/>
    <dgm:txLinClrLst/>
    <dgm:txFillClrLst meth="repeat">
      <a:sysClr val="windowText" lastClr="000000"/>
    </dgm:txFillClrLst>
    <dgm:txEffectClrLst/>
  </dgm:styleLbl>
  <dgm:styleLbl name="sibTrans2D1">
    <dgm:fillClrLst meth="repeat">
      <a:srgbClr val="4F81BD">
        <a:tint val="60000"/>
      </a:srgbClr>
    </dgm:fillClrLst>
    <dgm:linClrLst meth="repeat">
      <a:srgbClr val="4F81BD">
        <a:tint val="60000"/>
      </a:srgbClr>
    </dgm:linClrLst>
    <dgm:effectClrLst/>
    <dgm:txLinClrLst/>
    <dgm:txFillClrLst/>
    <dgm:txEffectClrLst/>
  </dgm:styleLbl>
  <dgm:styleLbl name="solidAlignAcc1">
    <dgm:fillClrLst meth="repeat">
      <a:sysClr val="window" lastClr="FFFFFF"/>
    </dgm:fillClrLst>
    <dgm:linClrLst meth="repeat">
      <a:srgbClr val="4F81BD"/>
    </dgm:linClrLst>
    <dgm:effectClrLst/>
    <dgm:txLinClrLst/>
    <dgm:txFillClrLst meth="repeat">
      <a:sysClr val="windowText" lastClr="000000"/>
    </dgm:txFillClrLst>
    <dgm:txEffectClrLst/>
  </dgm:styleLbl>
  <dgm:styleLbl name="solidBgAcc1">
    <dgm:fillClrLst meth="repeat">
      <a:sysClr val="window" lastClr="FFFFFF"/>
    </dgm:fillClrLst>
    <dgm:linClrLst meth="repeat">
      <a:srgbClr val="4F81BD"/>
    </dgm:linClrLst>
    <dgm:effectClrLst/>
    <dgm:txLinClrLst/>
    <dgm:txFillClrLst meth="repeat">
      <a:sysClr val="windowText" lastClr="000000"/>
    </dgm:txFillClrLst>
    <dgm:txEffectClrLst/>
  </dgm:styleLbl>
  <dgm:styleLbl name="solidFgAcc1">
    <dgm:fillClrLst meth="repeat">
      <a:sysClr val="window" lastClr="FFFFFF"/>
    </dgm:fillClrLst>
    <dgm:linClrLst meth="repeat">
      <a:srgbClr val="4F81BD"/>
    </dgm:linClrLst>
    <dgm:effectClrLst/>
    <dgm:txLinClrLst/>
    <dgm:txFillClrLst meth="repeat">
      <a:sysClr val="windowText" lastClr="000000"/>
    </dgm:txFillClrLst>
    <dgm:txEffectClrLst/>
  </dgm:styleLbl>
  <dgm:styleLbl name="trAlignAcc1">
    <dgm:fillClrLst meth="repeat">
      <a:sysClr val="window" lastClr="FFFFFF">
        <a:alpha val="40000"/>
      </a:sysClr>
    </dgm:fillClrLst>
    <dgm:linClrLst meth="repeat">
      <a:srgbClr val="4F81BD"/>
    </dgm:linClrLst>
    <dgm:effectClrLst/>
    <dgm:txLinClrLst/>
    <dgm:txFillClrLst meth="repeat">
      <a:sysClr val="windowText" lastClr="000000"/>
    </dgm:txFillClrLst>
    <dgm:txEffectClrLst/>
  </dgm:styleLbl>
  <dgm:styleLbl name="trBgShp">
    <dgm:fillClrLst meth="repeat">
      <a:srgbClr val="4F81BD">
        <a:tint val="50000"/>
        <a:alpha val="40000"/>
      </a:srgbClr>
    </dgm:fillClrLst>
    <dgm:linClrLst meth="repeat">
      <a:srgbClr val="4F81BD"/>
    </dgm:linClrLst>
    <dgm:effectClrLst/>
    <dgm:txLinClrLst/>
    <dgm:txFillClrLst meth="repeat">
      <a:sysClr val="window" lastClr="FFFFFF"/>
    </dgm:txFillClrLst>
    <dgm:txEffectClrLst/>
  </dgm:styleLbl>
  <dgm:styleLbl name="vennNode1">
    <dgm:fillClrLst meth="repeat">
      <a:srgbClr val="4F81BD">
        <a:alpha val="50000"/>
      </a:srgbClr>
    </dgm:fillClrLst>
    <dgm:linClrLst meth="repeat">
      <a:sysClr val="window" lastClr="FFFFFF"/>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81B542D4-A484-4DCC-B38A-1807481B22B6}" type="doc">
      <dgm:prSet loTypeId="urn:microsoft.com/office/officeart/2005/8/layout/orgChart1#1" loCatId="hierarchy" qsTypeId="urn:microsoft.com/office/officeart/2005/8/quickstyle/simple1#1" qsCatId="simple" csTypeId="urn:microsoft.com/office/officeart/2005/8/colors/accent1_2#1" csCatId="accent1" phldr="1"/>
      <dgm:spPr/>
      <dgm:t>
        <a:bodyPr/>
        <a:p>
          <a:endParaRPr lang="zh-CN" altLang="en-US"/>
        </a:p>
      </dgm:t>
    </dgm:pt>
    <dgm:pt modelId="{50C852DF-CF74-4F9C-B0B3-F979BAE9454B}">
      <dgm:prSet phldrT="[文本]" phldr="0" custT="0"/>
      <dgm:spPr/>
      <dgm:t>
        <a:bodyPr vert="horz" wrap="square"/>
        <a:p>
          <a:pPr algn="ctr">
            <a:lnSpc>
              <a:spcPct val="100000"/>
            </a:lnSpc>
            <a:spcBef>
              <a:spcPct val="0"/>
            </a:spcBef>
            <a:spcAft>
              <a:spcPct val="35000"/>
            </a:spcAft>
          </a:pPr>
          <a:r>
            <a:rPr lang="zh-CN" altLang="en-US"/>
            <a:t>项目管理</a:t>
          </a:r>
          <a:endParaRPr/>
        </a:p>
      </dgm:t>
    </dgm:pt>
    <dgm:pt modelId="{0E4A22DE-E1FE-4456-A68B-B94493E01886}" cxnId="{A4DD0704-D9D4-4B63-9572-DBA106058D26}" type="parTrans">
      <dgm:prSet/>
      <dgm:spPr/>
      <dgm:t>
        <a:bodyPr/>
        <a:p>
          <a:endParaRPr lang="zh-CN" altLang="en-US"/>
        </a:p>
      </dgm:t>
    </dgm:pt>
    <dgm:pt modelId="{3728D857-7CBD-46B0-B14C-6B7632184D1B}" cxnId="{A4DD0704-D9D4-4B63-9572-DBA106058D26}" type="sibTrans">
      <dgm:prSet/>
      <dgm:spPr/>
      <dgm:t>
        <a:bodyPr/>
        <a:p>
          <a:endParaRPr lang="zh-CN" altLang="en-US"/>
        </a:p>
      </dgm:t>
    </dgm:pt>
    <dgm:pt modelId="{8F9E6D45-8B73-4878-8935-AB3F44B8F460}">
      <dgm:prSet phldrT="[文本]" phldr="0" custT="0"/>
      <dgm:spPr/>
      <dgm:t>
        <a:bodyPr vert="horz" wrap="square"/>
        <a:p>
          <a:pPr>
            <a:lnSpc>
              <a:spcPct val="100000"/>
            </a:lnSpc>
            <a:spcBef>
              <a:spcPct val="0"/>
            </a:spcBef>
            <a:spcAft>
              <a:spcPct val="35000"/>
            </a:spcAft>
          </a:pPr>
          <a:r>
            <a:rPr lang="zh-CN" altLang="en-US"/>
            <a:t>保洁服务</a:t>
          </a:r>
          <a:endParaRPr/>
        </a:p>
      </dgm:t>
    </dgm:pt>
    <dgm:pt modelId="{269945DA-5679-45AF-BD4C-9380EA9CD952}" cxnId="{DF220392-A760-4594-88C3-865AD16693EA}" type="parTrans">
      <dgm:prSet/>
      <dgm:spPr/>
      <dgm:t>
        <a:bodyPr/>
        <a:p>
          <a:endParaRPr lang="zh-CN" altLang="en-US"/>
        </a:p>
      </dgm:t>
    </dgm:pt>
    <dgm:pt modelId="{3B490CDE-77A2-4F36-A7E3-6971C6482142}" cxnId="{DF220392-A760-4594-88C3-865AD16693EA}" type="sibTrans">
      <dgm:prSet/>
      <dgm:spPr/>
      <dgm:t>
        <a:bodyPr/>
        <a:p>
          <a:endParaRPr lang="zh-CN" altLang="en-US"/>
        </a:p>
      </dgm:t>
    </dgm:pt>
    <dgm:pt modelId="{9CDEF52F-8EC7-453D-8F0B-5AD1227D92CE}">
      <dgm:prSet phldrT="[文本]" phldr="0" custT="0"/>
      <dgm:spPr/>
      <dgm:t>
        <a:bodyPr vert="horz" wrap="square"/>
        <a:p>
          <a:pPr>
            <a:lnSpc>
              <a:spcPct val="100000"/>
            </a:lnSpc>
            <a:spcBef>
              <a:spcPct val="0"/>
            </a:spcBef>
            <a:spcAft>
              <a:spcPct val="35000"/>
            </a:spcAft>
          </a:pPr>
          <a:r>
            <a:rPr lang="zh-CN" altLang="en-US"/>
            <a:t>工勤服务</a:t>
          </a:r>
          <a:endParaRPr/>
        </a:p>
      </dgm:t>
    </dgm:pt>
    <dgm:pt modelId="{4DD97295-CD8D-494B-BC70-7C59E9686E71}" cxnId="{8BF2F555-456A-495E-8D04-0F8E383AE282}" type="parTrans">
      <dgm:prSet/>
      <dgm:spPr/>
      <dgm:t>
        <a:bodyPr/>
        <a:p>
          <a:endParaRPr lang="zh-CN" altLang="en-US"/>
        </a:p>
      </dgm:t>
    </dgm:pt>
    <dgm:pt modelId="{A9A7AF11-EF41-4E74-ACB3-05D351C06906}" cxnId="{8BF2F555-456A-495E-8D04-0F8E383AE282}" type="sibTrans">
      <dgm:prSet/>
      <dgm:spPr/>
      <dgm:t>
        <a:bodyPr/>
        <a:p>
          <a:endParaRPr lang="zh-CN" altLang="en-US"/>
        </a:p>
      </dgm:t>
    </dgm:pt>
    <dgm:pt modelId="{E29C8722-D679-4F90-8C01-2A919DDE8D05}">
      <dgm:prSet phldr="0" custT="0"/>
      <dgm:spPr/>
      <dgm:t>
        <a:bodyPr vert="horz" wrap="square"/>
        <a:p>
          <a:pPr>
            <a:lnSpc>
              <a:spcPct val="100000"/>
            </a:lnSpc>
            <a:spcBef>
              <a:spcPct val="0"/>
            </a:spcBef>
            <a:spcAft>
              <a:spcPct val="35000"/>
            </a:spcAft>
          </a:pPr>
          <a:r>
            <a:rPr lang="zh-CN" altLang="en-US"/>
            <a:t>后勤服务</a:t>
          </a:r>
          <a:endParaRPr lang="zh-CN"/>
        </a:p>
      </dgm:t>
    </dgm:pt>
    <dgm:pt modelId="{FD509264-C674-4694-9370-54446725E885}" cxnId="{A6BB152B-E4D5-47CF-94DC-D1B83966E5BC}" type="parTrans">
      <dgm:prSet/>
      <dgm:spPr/>
      <dgm:t>
        <a:bodyPr/>
        <a:p>
          <a:endParaRPr lang="zh-CN" altLang="en-US"/>
        </a:p>
      </dgm:t>
    </dgm:pt>
    <dgm:pt modelId="{D6CB9E38-A383-4307-B4B2-74B71156AF21}" cxnId="{A6BB152B-E4D5-47CF-94DC-D1B83966E5BC}" type="sibTrans">
      <dgm:prSet/>
      <dgm:spPr/>
      <dgm:t>
        <a:bodyPr/>
        <a:p>
          <a:endParaRPr lang="zh-CN" altLang="en-US"/>
        </a:p>
      </dgm:t>
    </dgm:pt>
    <dgm:pt modelId="{921C5344-8674-4FB9-95F9-863AC787D19A}">
      <dgm:prSet phldr="0" custT="0"/>
      <dgm:spPr/>
      <dgm:t>
        <a:bodyPr vert="horz" wrap="square"/>
        <a:p>
          <a:pPr>
            <a:lnSpc>
              <a:spcPct val="100000"/>
            </a:lnSpc>
            <a:spcBef>
              <a:spcPct val="0"/>
            </a:spcBef>
            <a:spcAft>
              <a:spcPct val="35000"/>
            </a:spcAft>
          </a:pPr>
          <a:r>
            <a:rPr lang="zh-CN" altLang="en-US"/>
            <a:t>食堂服务</a:t>
          </a:r>
          <a:endParaRPr lang="zh-CN"/>
        </a:p>
      </dgm:t>
    </dgm:pt>
    <dgm:pt modelId="{B280FB45-F0E9-44B2-8764-2719E3423091}" cxnId="{CC46C29C-27BD-4C07-B35A-8C99A1259751}" type="parTrans">
      <dgm:prSet/>
      <dgm:spPr/>
      <dgm:t>
        <a:bodyPr/>
        <a:p>
          <a:endParaRPr lang="zh-CN" altLang="en-US"/>
        </a:p>
      </dgm:t>
    </dgm:pt>
    <dgm:pt modelId="{21E85DD5-F6AD-4D9D-8069-196F5ED9E06B}" cxnId="{CC46C29C-27BD-4C07-B35A-8C99A1259751}" type="sibTrans">
      <dgm:prSet/>
      <dgm:spPr/>
      <dgm:t>
        <a:bodyPr/>
        <a:p>
          <a:endParaRPr lang="zh-CN" altLang="en-US"/>
        </a:p>
      </dgm:t>
    </dgm:pt>
    <dgm:pt modelId="{B45ACA05-9A2C-42EC-BEB1-E2E44B074557}">
      <dgm:prSet phldr="0" custT="0"/>
      <dgm:spPr/>
      <dgm:t>
        <a:bodyPr vert="horz" wrap="square"/>
        <a:p>
          <a:pPr>
            <a:lnSpc>
              <a:spcPct val="100000"/>
            </a:lnSpc>
            <a:spcBef>
              <a:spcPct val="0"/>
            </a:spcBef>
            <a:spcAft>
              <a:spcPct val="35000"/>
            </a:spcAft>
          </a:pPr>
          <a:r>
            <a:rPr lang="zh-CN" altLang="en-US"/>
            <a:t>绿化服务</a:t>
          </a:r>
          <a:endParaRPr lang="zh-CN"/>
        </a:p>
      </dgm:t>
    </dgm:pt>
    <dgm:pt modelId="{BF2AEED9-16AC-47D7-979F-F0DC098D8ED0}" cxnId="{68678CAB-11F1-49F7-AEF9-09BF11F700FD}" type="parTrans">
      <dgm:prSet/>
      <dgm:spPr/>
      <dgm:t>
        <a:bodyPr/>
        <a:p>
          <a:endParaRPr lang="zh-CN" altLang="en-US"/>
        </a:p>
      </dgm:t>
    </dgm:pt>
    <dgm:pt modelId="{D39D6876-5F49-4A7E-B350-91B6557ADF86}" cxnId="{68678CAB-11F1-49F7-AEF9-09BF11F700FD}" type="sibTrans">
      <dgm:prSet/>
      <dgm:spPr/>
      <dgm:t>
        <a:bodyPr/>
        <a:p>
          <a:endParaRPr lang="zh-CN" altLang="en-US"/>
        </a:p>
      </dgm:t>
    </dgm:pt>
    <dgm:pt modelId="{DC1CDE08-FA95-445F-8C3E-791F9EFD6C7F}" type="pres">
      <dgm:prSet presAssocID="{81B542D4-A484-4DCC-B38A-1807481B22B6}" presName="hierChild1" presStyleCnt="0">
        <dgm:presLayoutVars>
          <dgm:orgChart val="1"/>
          <dgm:chPref val="1"/>
          <dgm:dir/>
          <dgm:animOne val="branch"/>
          <dgm:animLvl val="lvl"/>
          <dgm:resizeHandles/>
        </dgm:presLayoutVars>
      </dgm:prSet>
      <dgm:spPr/>
      <dgm:t>
        <a:bodyPr/>
        <a:p>
          <a:endParaRPr lang="zh-CN" altLang="en-US"/>
        </a:p>
      </dgm:t>
    </dgm:pt>
    <dgm:pt modelId="{CA99D3D1-F9C4-4EB9-B984-D1C164B382E9}" type="pres">
      <dgm:prSet presAssocID="{50C852DF-CF74-4F9C-B0B3-F979BAE9454B}" presName="hierRoot1" presStyleCnt="0">
        <dgm:presLayoutVars>
          <dgm:hierBranch val="init"/>
        </dgm:presLayoutVars>
      </dgm:prSet>
      <dgm:spPr/>
    </dgm:pt>
    <dgm:pt modelId="{83D301B9-4B56-4AB8-AB59-2B137804D62B}" type="pres">
      <dgm:prSet presAssocID="{50C852DF-CF74-4F9C-B0B3-F979BAE9454B}" presName="rootComposite1" presStyleCnt="0"/>
      <dgm:spPr/>
      <dgm:t>
        <a:bodyPr/>
        <a:p>
          <a:endParaRPr lang="zh-CN" altLang="en-US"/>
        </a:p>
      </dgm:t>
    </dgm:pt>
    <dgm:pt modelId="{D97B94D1-458B-40D8-BF6E-E30478E4D255}" type="pres">
      <dgm:prSet presAssocID="{50C852DF-CF74-4F9C-B0B3-F979BAE9454B}" presName="rootText1" presStyleLbl="node0" presStyleIdx="0" presStyleCnt="1">
        <dgm:presLayoutVars>
          <dgm:chPref val="3"/>
        </dgm:presLayoutVars>
      </dgm:prSet>
      <dgm:spPr/>
      <dgm:t>
        <a:bodyPr/>
        <a:p>
          <a:endParaRPr lang="zh-CN" altLang="en-US"/>
        </a:p>
      </dgm:t>
    </dgm:pt>
    <dgm:pt modelId="{640A426E-6353-4DDF-84EF-551D9BA21E4B}" type="pres">
      <dgm:prSet presAssocID="{50C852DF-CF74-4F9C-B0B3-F979BAE9454B}" presName="rootConnector1" presStyleLbl="node1" presStyleIdx="0" presStyleCnt="0"/>
      <dgm:spPr/>
      <dgm:t>
        <a:bodyPr/>
        <a:p>
          <a:endParaRPr lang="zh-CN" altLang="en-US"/>
        </a:p>
      </dgm:t>
    </dgm:pt>
    <dgm:pt modelId="{B6A06979-7850-48E6-8288-369EDB2C4FAF}" type="pres">
      <dgm:prSet presAssocID="{50C852DF-CF74-4F9C-B0B3-F979BAE9454B}" presName="hierChild2" presStyleCnt="0"/>
      <dgm:spPr/>
    </dgm:pt>
    <dgm:pt modelId="{2F065A64-ED90-44FF-971D-109AE63A511A}" type="pres">
      <dgm:prSet presAssocID="{269945DA-5679-45AF-BD4C-9380EA9CD952}" presName="Name37" presStyleLbl="parChTrans1D2" presStyleIdx="0" presStyleCnt="5"/>
      <dgm:spPr/>
      <dgm:t>
        <a:bodyPr/>
        <a:p>
          <a:endParaRPr lang="zh-CN" altLang="en-US"/>
        </a:p>
      </dgm:t>
    </dgm:pt>
    <dgm:pt modelId="{682261A5-6DF3-4345-BE86-7384E5363061}" type="pres">
      <dgm:prSet presAssocID="{8F9E6D45-8B73-4878-8935-AB3F44B8F460}" presName="hierRoot2" presStyleCnt="0">
        <dgm:presLayoutVars>
          <dgm:hierBranch val="init"/>
        </dgm:presLayoutVars>
      </dgm:prSet>
      <dgm:spPr/>
    </dgm:pt>
    <dgm:pt modelId="{E98F19EC-EAC6-4F76-8B91-F19657EACBC3}" type="pres">
      <dgm:prSet presAssocID="{8F9E6D45-8B73-4878-8935-AB3F44B8F460}" presName="rootComposite" presStyleCnt="0"/>
      <dgm:spPr/>
      <dgm:t>
        <a:bodyPr/>
        <a:p>
          <a:endParaRPr lang="zh-CN" altLang="en-US"/>
        </a:p>
      </dgm:t>
    </dgm:pt>
    <dgm:pt modelId="{94CB1FD2-D0ED-46F6-A198-98317C916FAB}" type="pres">
      <dgm:prSet presAssocID="{8F9E6D45-8B73-4878-8935-AB3F44B8F460}" presName="rootText" presStyleLbl="node2" presStyleIdx="0" presStyleCnt="5">
        <dgm:presLayoutVars>
          <dgm:chPref val="3"/>
        </dgm:presLayoutVars>
      </dgm:prSet>
      <dgm:spPr/>
      <dgm:t>
        <a:bodyPr/>
        <a:p>
          <a:endParaRPr lang="zh-CN" altLang="en-US"/>
        </a:p>
      </dgm:t>
    </dgm:pt>
    <dgm:pt modelId="{B4FA1E67-369A-4828-B4AD-7BC44F7CF822}" type="pres">
      <dgm:prSet presAssocID="{8F9E6D45-8B73-4878-8935-AB3F44B8F460}" presName="rootConnector" presStyleLbl="node2" presStyleIdx="0" presStyleCnt="5"/>
      <dgm:spPr/>
      <dgm:t>
        <a:bodyPr/>
        <a:p>
          <a:endParaRPr lang="zh-CN" altLang="en-US"/>
        </a:p>
      </dgm:t>
    </dgm:pt>
    <dgm:pt modelId="{D6917179-B814-4C81-99F4-B941B0C78BE9}" type="pres">
      <dgm:prSet presAssocID="{8F9E6D45-8B73-4878-8935-AB3F44B8F460}" presName="hierChild4" presStyleCnt="0"/>
      <dgm:spPr/>
    </dgm:pt>
    <dgm:pt modelId="{12FB5F13-0400-455A-834F-FB606A702B76}" type="pres">
      <dgm:prSet presAssocID="{8F9E6D45-8B73-4878-8935-AB3F44B8F460}" presName="hierChild5" presStyleCnt="0"/>
      <dgm:spPr/>
    </dgm:pt>
    <dgm:pt modelId="{78C3DCE5-9899-4F0E-BEE8-80AA7646E1EE}" type="pres">
      <dgm:prSet presAssocID="{4DD97295-CD8D-494B-BC70-7C59E9686E71}" presName="Name37" presStyleLbl="parChTrans1D2" presStyleIdx="1" presStyleCnt="5"/>
      <dgm:spPr/>
      <dgm:t>
        <a:bodyPr/>
        <a:p>
          <a:endParaRPr lang="zh-CN" altLang="en-US"/>
        </a:p>
      </dgm:t>
    </dgm:pt>
    <dgm:pt modelId="{9D5F37F6-4AB2-430E-8B2A-846781FAB2F6}" type="pres">
      <dgm:prSet presAssocID="{9CDEF52F-8EC7-453D-8F0B-5AD1227D92CE}" presName="hierRoot2" presStyleCnt="0">
        <dgm:presLayoutVars>
          <dgm:hierBranch val="init"/>
        </dgm:presLayoutVars>
      </dgm:prSet>
      <dgm:spPr/>
    </dgm:pt>
    <dgm:pt modelId="{DCDF8404-5533-4296-AD3C-057E8F0B3B91}" type="pres">
      <dgm:prSet presAssocID="{9CDEF52F-8EC7-453D-8F0B-5AD1227D92CE}" presName="rootComposite" presStyleCnt="0"/>
      <dgm:spPr/>
      <dgm:t>
        <a:bodyPr/>
        <a:p>
          <a:endParaRPr lang="zh-CN" altLang="en-US"/>
        </a:p>
      </dgm:t>
    </dgm:pt>
    <dgm:pt modelId="{D1F0C2E1-7D39-4890-A05B-5AA8C1A2F6B5}" type="pres">
      <dgm:prSet presAssocID="{9CDEF52F-8EC7-453D-8F0B-5AD1227D92CE}" presName="rootText" presStyleLbl="node2" presStyleIdx="1" presStyleCnt="5">
        <dgm:presLayoutVars>
          <dgm:chPref val="3"/>
        </dgm:presLayoutVars>
      </dgm:prSet>
      <dgm:spPr/>
      <dgm:t>
        <a:bodyPr/>
        <a:p>
          <a:endParaRPr lang="zh-CN" altLang="en-US"/>
        </a:p>
      </dgm:t>
    </dgm:pt>
    <dgm:pt modelId="{6009EA10-1C16-4FE3-BAE3-76036155DC5B}" type="pres">
      <dgm:prSet presAssocID="{9CDEF52F-8EC7-453D-8F0B-5AD1227D92CE}" presName="rootConnector" presStyleLbl="node2" presStyleIdx="1" presStyleCnt="5"/>
      <dgm:spPr/>
      <dgm:t>
        <a:bodyPr/>
        <a:p>
          <a:endParaRPr lang="zh-CN" altLang="en-US"/>
        </a:p>
      </dgm:t>
    </dgm:pt>
    <dgm:pt modelId="{35093785-5562-4BDD-A6A7-A68AE563669F}" type="pres">
      <dgm:prSet presAssocID="{9CDEF52F-8EC7-453D-8F0B-5AD1227D92CE}" presName="hierChild4" presStyleCnt="0"/>
      <dgm:spPr/>
    </dgm:pt>
    <dgm:pt modelId="{50DC1977-6B37-4E7E-9DFD-DBF08ADCD2FC}" type="pres">
      <dgm:prSet presAssocID="{9CDEF52F-8EC7-453D-8F0B-5AD1227D92CE}" presName="hierChild5" presStyleCnt="0"/>
      <dgm:spPr/>
    </dgm:pt>
    <dgm:pt modelId="{445F4719-7378-4671-954A-1DB1EA2E26AF}" type="pres">
      <dgm:prSet presAssocID="{FD509264-C674-4694-9370-54446725E885}" presName="Name37" presStyleLbl="parChTrans1D2" presStyleIdx="2" presStyleCnt="5"/>
      <dgm:spPr/>
      <dgm:t>
        <a:bodyPr/>
        <a:p>
          <a:endParaRPr lang="zh-CN" altLang="en-US"/>
        </a:p>
      </dgm:t>
    </dgm:pt>
    <dgm:pt modelId="{2C43C033-0BD6-4CA2-B6A9-64D5251882DF}" type="pres">
      <dgm:prSet presAssocID="{E29C8722-D679-4F90-8C01-2A919DDE8D05}" presName="hierRoot2" presStyleCnt="0">
        <dgm:presLayoutVars>
          <dgm:hierBranch val="init"/>
        </dgm:presLayoutVars>
      </dgm:prSet>
      <dgm:spPr/>
    </dgm:pt>
    <dgm:pt modelId="{DF46D312-50EB-4DAC-9B63-33C18BDB0AED}" type="pres">
      <dgm:prSet presAssocID="{E29C8722-D679-4F90-8C01-2A919DDE8D05}" presName="rootComposite" presStyleCnt="0"/>
      <dgm:spPr/>
      <dgm:t>
        <a:bodyPr/>
        <a:p>
          <a:endParaRPr lang="zh-CN" altLang="en-US"/>
        </a:p>
      </dgm:t>
    </dgm:pt>
    <dgm:pt modelId="{AC650FA6-C207-48AF-BFB2-57BC4D4F67BC}" type="pres">
      <dgm:prSet presAssocID="{E29C8722-D679-4F90-8C01-2A919DDE8D05}" presName="rootText" presStyleLbl="node2" presStyleIdx="2" presStyleCnt="5">
        <dgm:presLayoutVars>
          <dgm:chPref val="3"/>
        </dgm:presLayoutVars>
      </dgm:prSet>
      <dgm:spPr/>
      <dgm:t>
        <a:bodyPr/>
        <a:p>
          <a:endParaRPr lang="zh-CN" altLang="en-US"/>
        </a:p>
      </dgm:t>
    </dgm:pt>
    <dgm:pt modelId="{F9B00E4C-41CB-4A52-9ACB-990E98F3DD72}" type="pres">
      <dgm:prSet presAssocID="{E29C8722-D679-4F90-8C01-2A919DDE8D05}" presName="rootConnector" presStyleLbl="node2" presStyleIdx="2" presStyleCnt="5"/>
      <dgm:spPr/>
      <dgm:t>
        <a:bodyPr/>
        <a:p>
          <a:endParaRPr lang="zh-CN" altLang="en-US"/>
        </a:p>
      </dgm:t>
    </dgm:pt>
    <dgm:pt modelId="{47A0F5B4-EC71-4DD7-93CA-1DBEB22427BE}" type="pres">
      <dgm:prSet presAssocID="{E29C8722-D679-4F90-8C01-2A919DDE8D05}" presName="hierChild4" presStyleCnt="0"/>
      <dgm:spPr/>
    </dgm:pt>
    <dgm:pt modelId="{1A58047A-E216-414A-B136-5D7A1C276BE8}" type="pres">
      <dgm:prSet presAssocID="{E29C8722-D679-4F90-8C01-2A919DDE8D05}" presName="hierChild5" presStyleCnt="0"/>
      <dgm:spPr/>
    </dgm:pt>
    <dgm:pt modelId="{8921D133-01F6-4D5E-A9D7-26AD2F6A566B}" type="pres">
      <dgm:prSet presAssocID="{B280FB45-F0E9-44B2-8764-2719E3423091}" presName="Name37" presStyleLbl="parChTrans1D2" presStyleIdx="3" presStyleCnt="5"/>
      <dgm:spPr/>
      <dgm:t>
        <a:bodyPr/>
        <a:p>
          <a:endParaRPr lang="zh-CN" altLang="en-US"/>
        </a:p>
      </dgm:t>
    </dgm:pt>
    <dgm:pt modelId="{B8986EDA-1BF8-47E7-B4EB-B27268719740}" type="pres">
      <dgm:prSet presAssocID="{921C5344-8674-4FB9-95F9-863AC787D19A}" presName="hierRoot2" presStyleCnt="0">
        <dgm:presLayoutVars>
          <dgm:hierBranch val="init"/>
        </dgm:presLayoutVars>
      </dgm:prSet>
      <dgm:spPr/>
    </dgm:pt>
    <dgm:pt modelId="{ADD384CB-C642-43C4-8F55-77E6B9F083AC}" type="pres">
      <dgm:prSet presAssocID="{921C5344-8674-4FB9-95F9-863AC787D19A}" presName="rootComposite" presStyleCnt="0"/>
      <dgm:spPr/>
      <dgm:t>
        <a:bodyPr/>
        <a:p>
          <a:endParaRPr lang="zh-CN" altLang="en-US"/>
        </a:p>
      </dgm:t>
    </dgm:pt>
    <dgm:pt modelId="{0B36E97E-7B4A-4972-8209-5BCDDB9967B4}" type="pres">
      <dgm:prSet presAssocID="{921C5344-8674-4FB9-95F9-863AC787D19A}" presName="rootText" presStyleLbl="node2" presStyleIdx="3" presStyleCnt="5">
        <dgm:presLayoutVars>
          <dgm:chPref val="3"/>
        </dgm:presLayoutVars>
      </dgm:prSet>
      <dgm:spPr/>
      <dgm:t>
        <a:bodyPr/>
        <a:p>
          <a:endParaRPr lang="zh-CN" altLang="en-US"/>
        </a:p>
      </dgm:t>
    </dgm:pt>
    <dgm:pt modelId="{B6D240EF-8F08-42DE-A48C-0EF2FFC00BEE}" type="pres">
      <dgm:prSet presAssocID="{921C5344-8674-4FB9-95F9-863AC787D19A}" presName="rootConnector" presStyleLbl="node2" presStyleIdx="3" presStyleCnt="5"/>
      <dgm:spPr/>
      <dgm:t>
        <a:bodyPr/>
        <a:p>
          <a:endParaRPr lang="zh-CN" altLang="en-US"/>
        </a:p>
      </dgm:t>
    </dgm:pt>
    <dgm:pt modelId="{E1CEB336-A193-4258-B05F-4D26B66195E0}" type="pres">
      <dgm:prSet presAssocID="{921C5344-8674-4FB9-95F9-863AC787D19A}" presName="hierChild4" presStyleCnt="0"/>
      <dgm:spPr/>
    </dgm:pt>
    <dgm:pt modelId="{595AC346-23C9-4C98-B596-B549D9A039FD}" type="pres">
      <dgm:prSet presAssocID="{921C5344-8674-4FB9-95F9-863AC787D19A}" presName="hierChild5" presStyleCnt="0"/>
      <dgm:spPr/>
    </dgm:pt>
    <dgm:pt modelId="{645EFC61-C4B5-4745-8A5A-C19F7025FEAF}" type="pres">
      <dgm:prSet presAssocID="{BF2AEED9-16AC-47D7-979F-F0DC098D8ED0}" presName="Name37" presStyleLbl="parChTrans1D2" presStyleIdx="4" presStyleCnt="5"/>
      <dgm:spPr/>
      <dgm:t>
        <a:bodyPr/>
        <a:p>
          <a:endParaRPr lang="zh-CN" altLang="en-US"/>
        </a:p>
      </dgm:t>
    </dgm:pt>
    <dgm:pt modelId="{EE697575-9C76-4DEF-BAA4-5E53F3D83E64}" type="pres">
      <dgm:prSet presAssocID="{B45ACA05-9A2C-42EC-BEB1-E2E44B074557}" presName="hierRoot2" presStyleCnt="0">
        <dgm:presLayoutVars>
          <dgm:hierBranch val="init"/>
        </dgm:presLayoutVars>
      </dgm:prSet>
      <dgm:spPr/>
    </dgm:pt>
    <dgm:pt modelId="{D8836CF1-AA92-44AB-A99E-D776A25B3C5B}" type="pres">
      <dgm:prSet presAssocID="{B45ACA05-9A2C-42EC-BEB1-E2E44B074557}" presName="rootComposite" presStyleCnt="0"/>
      <dgm:spPr/>
      <dgm:t>
        <a:bodyPr/>
        <a:p>
          <a:endParaRPr lang="zh-CN" altLang="en-US"/>
        </a:p>
      </dgm:t>
    </dgm:pt>
    <dgm:pt modelId="{70286391-7C19-47B5-9196-299430AA6489}" type="pres">
      <dgm:prSet presAssocID="{B45ACA05-9A2C-42EC-BEB1-E2E44B074557}" presName="rootText" presStyleLbl="node2" presStyleIdx="4" presStyleCnt="5" custLinFactNeighborX="223" custLinFactNeighborY="-705">
        <dgm:presLayoutVars>
          <dgm:chPref val="3"/>
        </dgm:presLayoutVars>
      </dgm:prSet>
      <dgm:spPr/>
      <dgm:t>
        <a:bodyPr/>
        <a:p>
          <a:endParaRPr lang="zh-CN" altLang="en-US"/>
        </a:p>
      </dgm:t>
    </dgm:pt>
    <dgm:pt modelId="{96A32374-5721-42AA-947E-DC15D8DF911E}" type="pres">
      <dgm:prSet presAssocID="{B45ACA05-9A2C-42EC-BEB1-E2E44B074557}" presName="rootConnector" presStyleLbl="node2" presStyleIdx="4" presStyleCnt="5"/>
      <dgm:spPr/>
      <dgm:t>
        <a:bodyPr/>
        <a:p>
          <a:endParaRPr lang="zh-CN" altLang="en-US"/>
        </a:p>
      </dgm:t>
    </dgm:pt>
    <dgm:pt modelId="{2430711D-8CA3-4DDD-AA66-8CE505DB981B}" type="pres">
      <dgm:prSet presAssocID="{B45ACA05-9A2C-42EC-BEB1-E2E44B074557}" presName="hierChild4" presStyleCnt="0"/>
      <dgm:spPr/>
    </dgm:pt>
    <dgm:pt modelId="{9BE9405A-558A-46BB-90B7-3242EE840D7D}" type="pres">
      <dgm:prSet presAssocID="{B45ACA05-9A2C-42EC-BEB1-E2E44B074557}" presName="hierChild5" presStyleCnt="0"/>
      <dgm:spPr/>
    </dgm:pt>
    <dgm:pt modelId="{F140FD74-BEF8-475D-A773-D61A6ED7CB15}" type="pres">
      <dgm:prSet presAssocID="{50C852DF-CF74-4F9C-B0B3-F979BAE9454B}" presName="hierChild3" presStyleCnt="0"/>
      <dgm:spPr/>
    </dgm:pt>
  </dgm:ptLst>
  <dgm:cxnLst>
    <dgm:cxn modelId="{BD39E2CA-B4EC-437E-B952-37DF00F021C7}" type="presOf" srcId="{921C5344-8674-4FB9-95F9-863AC787D19A}" destId="{0B36E97E-7B4A-4972-8209-5BCDDB9967B4}" srcOrd="1" destOrd="0" presId="urn:microsoft.com/office/officeart/2005/8/layout/orgChart1#1"/>
    <dgm:cxn modelId="{A7599619-62C9-46C2-A288-60D9E2A8F584}" type="presOf" srcId="{921C5344-8674-4FB9-95F9-863AC787D19A}" destId="{ADD384CB-C642-43C4-8F55-77E6B9F083AC}" srcOrd="0" destOrd="0" presId="urn:microsoft.com/office/officeart/2005/8/layout/orgChart1#1"/>
    <dgm:cxn modelId="{0D7E27E6-9144-47BC-BF84-BEA48BE4DF83}" type="presOf" srcId="{E29C8722-D679-4F90-8C01-2A919DDE8D05}" destId="{F9B00E4C-41CB-4A52-9ACB-990E98F3DD72}" srcOrd="2" destOrd="0" presId="urn:microsoft.com/office/officeart/2005/8/layout/orgChart1#1"/>
    <dgm:cxn modelId="{9B5319E6-EB60-4054-BA21-27476B26ED73}" type="presOf" srcId="{B45ACA05-9A2C-42EC-BEB1-E2E44B074557}" destId="{D8836CF1-AA92-44AB-A99E-D776A25B3C5B}" srcOrd="0" destOrd="0" presId="urn:microsoft.com/office/officeart/2005/8/layout/orgChart1#1"/>
    <dgm:cxn modelId="{C97B4CBF-CD23-477C-8109-81BF22103BB9}" type="presOf" srcId="{9CDEF52F-8EC7-453D-8F0B-5AD1227D92CE}" destId="{6009EA10-1C16-4FE3-BAE3-76036155DC5B}" srcOrd="2" destOrd="0" presId="urn:microsoft.com/office/officeart/2005/8/layout/orgChart1#1"/>
    <dgm:cxn modelId="{865FF1F7-D4FA-4492-87A2-8E4310A95E70}" type="presOf" srcId="{81B542D4-A484-4DCC-B38A-1807481B22B6}" destId="{DC1CDE08-FA95-445F-8C3E-791F9EFD6C7F}" srcOrd="0" destOrd="0" presId="urn:microsoft.com/office/officeart/2005/8/layout/orgChart1#1"/>
    <dgm:cxn modelId="{CCF71C1D-0F41-4CCF-A3F5-520FE89837F6}" type="presOf" srcId="{B45ACA05-9A2C-42EC-BEB1-E2E44B074557}" destId="{96A32374-5721-42AA-947E-DC15D8DF911E}" srcOrd="2" destOrd="0" presId="urn:microsoft.com/office/officeart/2005/8/layout/orgChart1#1"/>
    <dgm:cxn modelId="{687B7C02-B337-465E-AFAC-0A0DCA0BCF65}" type="presOf" srcId="{921C5344-8674-4FB9-95F9-863AC787D19A}" destId="{B6D240EF-8F08-42DE-A48C-0EF2FFC00BEE}" srcOrd="2" destOrd="0" presId="urn:microsoft.com/office/officeart/2005/8/layout/orgChart1#1"/>
    <dgm:cxn modelId="{4121EFB3-C283-4335-AD7C-8A03979B9A7C}" type="presOf" srcId="{E29C8722-D679-4F90-8C01-2A919DDE8D05}" destId="{AC650FA6-C207-48AF-BFB2-57BC4D4F67BC}" srcOrd="1" destOrd="0" presId="urn:microsoft.com/office/officeart/2005/8/layout/orgChart1#1"/>
    <dgm:cxn modelId="{56057ED7-6814-41B2-B517-076D22BA9345}" type="presOf" srcId="{BF2AEED9-16AC-47D7-979F-F0DC098D8ED0}" destId="{645EFC61-C4B5-4745-8A5A-C19F7025FEAF}" srcOrd="0" destOrd="0" presId="urn:microsoft.com/office/officeart/2005/8/layout/orgChart1#1"/>
    <dgm:cxn modelId="{F37BFFA1-9C8E-4F9E-AC6B-BF6731E647CD}" type="presOf" srcId="{B280FB45-F0E9-44B2-8764-2719E3423091}" destId="{8921D133-01F6-4D5E-A9D7-26AD2F6A566B}" srcOrd="0" destOrd="0" presId="urn:microsoft.com/office/officeart/2005/8/layout/orgChart1#1"/>
    <dgm:cxn modelId="{68678CAB-11F1-49F7-AEF9-09BF11F700FD}" srcId="{50C852DF-CF74-4F9C-B0B3-F979BAE9454B}" destId="{B45ACA05-9A2C-42EC-BEB1-E2E44B074557}" srcOrd="4" destOrd="0" parTransId="{BF2AEED9-16AC-47D7-979F-F0DC098D8ED0}" sibTransId="{D39D6876-5F49-4A7E-B350-91B6557ADF86}"/>
    <dgm:cxn modelId="{CF52738C-8397-41E3-BFEC-1B80AA245C1B}" type="presOf" srcId="{4DD97295-CD8D-494B-BC70-7C59E9686E71}" destId="{78C3DCE5-9899-4F0E-BEE8-80AA7646E1EE}" srcOrd="0" destOrd="0" presId="urn:microsoft.com/office/officeart/2005/8/layout/orgChart1#1"/>
    <dgm:cxn modelId="{14329456-6962-48AC-A245-09C32194C7BC}" type="presOf" srcId="{8F9E6D45-8B73-4878-8935-AB3F44B8F460}" destId="{94CB1FD2-D0ED-46F6-A198-98317C916FAB}" srcOrd="1" destOrd="0" presId="urn:microsoft.com/office/officeart/2005/8/layout/orgChart1#1"/>
    <dgm:cxn modelId="{4D49073A-7694-419F-9CE7-39EEC2B41C18}" type="presOf" srcId="{8F9E6D45-8B73-4878-8935-AB3F44B8F460}" destId="{B4FA1E67-369A-4828-B4AD-7BC44F7CF822}" srcOrd="2" destOrd="0" presId="urn:microsoft.com/office/officeart/2005/8/layout/orgChart1#1"/>
    <dgm:cxn modelId="{CC46C29C-27BD-4C07-B35A-8C99A1259751}" srcId="{50C852DF-CF74-4F9C-B0B3-F979BAE9454B}" destId="{921C5344-8674-4FB9-95F9-863AC787D19A}" srcOrd="3" destOrd="0" parTransId="{B280FB45-F0E9-44B2-8764-2719E3423091}" sibTransId="{21E85DD5-F6AD-4D9D-8069-196F5ED9E06B}"/>
    <dgm:cxn modelId="{E79F13CA-B0EF-4008-81C8-9C3F90180291}" type="presOf" srcId="{E29C8722-D679-4F90-8C01-2A919DDE8D05}" destId="{DF46D312-50EB-4DAC-9B63-33C18BDB0AED}" srcOrd="0" destOrd="0" presId="urn:microsoft.com/office/officeart/2005/8/layout/orgChart1#1"/>
    <dgm:cxn modelId="{A4DD0704-D9D4-4B63-9572-DBA106058D26}" srcId="{81B542D4-A484-4DCC-B38A-1807481B22B6}" destId="{50C852DF-CF74-4F9C-B0B3-F979BAE9454B}" srcOrd="0" destOrd="0" parTransId="{0E4A22DE-E1FE-4456-A68B-B94493E01886}" sibTransId="{3728D857-7CBD-46B0-B14C-6B7632184D1B}"/>
    <dgm:cxn modelId="{788A4D6B-D3BD-4897-9C8E-E710CB2881A1}" type="presOf" srcId="{9CDEF52F-8EC7-453D-8F0B-5AD1227D92CE}" destId="{DCDF8404-5533-4296-AD3C-057E8F0B3B91}" srcOrd="0" destOrd="0" presId="urn:microsoft.com/office/officeart/2005/8/layout/orgChart1#1"/>
    <dgm:cxn modelId="{7DA054A4-7AA2-4133-BAB9-B2B956DD939B}" type="presOf" srcId="{50C852DF-CF74-4F9C-B0B3-F979BAE9454B}" destId="{D97B94D1-458B-40D8-BF6E-E30478E4D255}" srcOrd="1" destOrd="0" presId="urn:microsoft.com/office/officeart/2005/8/layout/orgChart1#1"/>
    <dgm:cxn modelId="{3375C0A4-C304-462B-9AF5-CA774302FF7E}" type="presOf" srcId="{9CDEF52F-8EC7-453D-8F0B-5AD1227D92CE}" destId="{D1F0C2E1-7D39-4890-A05B-5AA8C1A2F6B5}" srcOrd="1" destOrd="0" presId="urn:microsoft.com/office/officeart/2005/8/layout/orgChart1#1"/>
    <dgm:cxn modelId="{8BF2F555-456A-495E-8D04-0F8E383AE282}" srcId="{50C852DF-CF74-4F9C-B0B3-F979BAE9454B}" destId="{9CDEF52F-8EC7-453D-8F0B-5AD1227D92CE}" srcOrd="1" destOrd="0" parTransId="{4DD97295-CD8D-494B-BC70-7C59E9686E71}" sibTransId="{A9A7AF11-EF41-4E74-ACB3-05D351C06906}"/>
    <dgm:cxn modelId="{DF220392-A760-4594-88C3-865AD16693EA}" srcId="{50C852DF-CF74-4F9C-B0B3-F979BAE9454B}" destId="{8F9E6D45-8B73-4878-8935-AB3F44B8F460}" srcOrd="0" destOrd="0" parTransId="{269945DA-5679-45AF-BD4C-9380EA9CD952}" sibTransId="{3B490CDE-77A2-4F36-A7E3-6971C6482142}"/>
    <dgm:cxn modelId="{A6BB152B-E4D5-47CF-94DC-D1B83966E5BC}" srcId="{50C852DF-CF74-4F9C-B0B3-F979BAE9454B}" destId="{E29C8722-D679-4F90-8C01-2A919DDE8D05}" srcOrd="2" destOrd="0" parTransId="{FD509264-C674-4694-9370-54446725E885}" sibTransId="{D6CB9E38-A383-4307-B4B2-74B71156AF21}"/>
    <dgm:cxn modelId="{ADD05A89-1F66-4F3A-B136-7D30333BE7CE}" type="presOf" srcId="{50C852DF-CF74-4F9C-B0B3-F979BAE9454B}" destId="{83D301B9-4B56-4AB8-AB59-2B137804D62B}" srcOrd="0" destOrd="0" presId="urn:microsoft.com/office/officeart/2005/8/layout/orgChart1#1"/>
    <dgm:cxn modelId="{DDB10DC5-B807-4751-AAF7-369402180B41}" type="presOf" srcId="{269945DA-5679-45AF-BD4C-9380EA9CD952}" destId="{2F065A64-ED90-44FF-971D-109AE63A511A}" srcOrd="0" destOrd="0" presId="urn:microsoft.com/office/officeart/2005/8/layout/orgChart1#1"/>
    <dgm:cxn modelId="{73BF8390-2FC6-4F25-9AA6-6ABD6B8ED4B8}" type="presOf" srcId="{FD509264-C674-4694-9370-54446725E885}" destId="{445F4719-7378-4671-954A-1DB1EA2E26AF}" srcOrd="0" destOrd="0" presId="urn:microsoft.com/office/officeart/2005/8/layout/orgChart1#1"/>
    <dgm:cxn modelId="{C978D739-8036-414E-BA52-EFBF01FD1524}" type="presOf" srcId="{B45ACA05-9A2C-42EC-BEB1-E2E44B074557}" destId="{70286391-7C19-47B5-9196-299430AA6489}" srcOrd="1" destOrd="0" presId="urn:microsoft.com/office/officeart/2005/8/layout/orgChart1#1"/>
    <dgm:cxn modelId="{1CC5B116-0CA4-40DA-B13C-DCEBC25CB2D0}" type="presOf" srcId="{8F9E6D45-8B73-4878-8935-AB3F44B8F460}" destId="{E98F19EC-EAC6-4F76-8B91-F19657EACBC3}" srcOrd="0" destOrd="0" presId="urn:microsoft.com/office/officeart/2005/8/layout/orgChart1#1"/>
    <dgm:cxn modelId="{403CC1BC-F6A9-4C2D-8E7B-4B2BD0F2B85E}" type="presOf" srcId="{50C852DF-CF74-4F9C-B0B3-F979BAE9454B}" destId="{640A426E-6353-4DDF-84EF-551D9BA21E4B}" srcOrd="2" destOrd="0" presId="urn:microsoft.com/office/officeart/2005/8/layout/orgChart1#1"/>
    <dgm:cxn modelId="{3B9A3FD6-DD44-4537-BF73-3E24B57A785A}" type="presParOf" srcId="{DC1CDE08-FA95-445F-8C3E-791F9EFD6C7F}" destId="{CA99D3D1-F9C4-4EB9-B984-D1C164B382E9}" srcOrd="0" destOrd="0" presId="urn:microsoft.com/office/officeart/2005/8/layout/orgChart1#1"/>
    <dgm:cxn modelId="{31F6C920-484F-4033-B5ED-EC302834F198}" type="presParOf" srcId="{CA99D3D1-F9C4-4EB9-B984-D1C164B382E9}" destId="{83D301B9-4B56-4AB8-AB59-2B137804D62B}" srcOrd="0" destOrd="0" presId="urn:microsoft.com/office/officeart/2005/8/layout/orgChart1#1"/>
    <dgm:cxn modelId="{6D5755C1-7F21-4424-8709-88C4699A7CF1}" type="presParOf" srcId="{83D301B9-4B56-4AB8-AB59-2B137804D62B}" destId="{D97B94D1-458B-40D8-BF6E-E30478E4D255}" srcOrd="0" destOrd="0" presId="urn:microsoft.com/office/officeart/2005/8/layout/orgChart1#1"/>
    <dgm:cxn modelId="{B3D763AA-5E52-4E14-BFDC-EA76B982CB3B}" type="presParOf" srcId="{83D301B9-4B56-4AB8-AB59-2B137804D62B}" destId="{640A426E-6353-4DDF-84EF-551D9BA21E4B}" srcOrd="1" destOrd="0" presId="urn:microsoft.com/office/officeart/2005/8/layout/orgChart1#1"/>
    <dgm:cxn modelId="{BDB7A965-95F3-47BA-B7AA-1FEE0E6A1926}" type="presParOf" srcId="{CA99D3D1-F9C4-4EB9-B984-D1C164B382E9}" destId="{B6A06979-7850-48E6-8288-369EDB2C4FAF}" srcOrd="1" destOrd="0" presId="urn:microsoft.com/office/officeart/2005/8/layout/orgChart1#1"/>
    <dgm:cxn modelId="{6B3CA65B-33CC-4563-BC61-301B28EB7C33}" type="presParOf" srcId="{B6A06979-7850-48E6-8288-369EDB2C4FAF}" destId="{2F065A64-ED90-44FF-971D-109AE63A511A}" srcOrd="0" destOrd="0" presId="urn:microsoft.com/office/officeart/2005/8/layout/orgChart1#1"/>
    <dgm:cxn modelId="{6D60FE33-073C-40F4-9A70-EDDE8439296D}" type="presParOf" srcId="{B6A06979-7850-48E6-8288-369EDB2C4FAF}" destId="{682261A5-6DF3-4345-BE86-7384E5363061}" srcOrd="1" destOrd="0" presId="urn:microsoft.com/office/officeart/2005/8/layout/orgChart1#1"/>
    <dgm:cxn modelId="{E66834EF-01FE-4EB2-867C-D658C6D58594}" type="presParOf" srcId="{682261A5-6DF3-4345-BE86-7384E5363061}" destId="{E98F19EC-EAC6-4F76-8B91-F19657EACBC3}" srcOrd="0" destOrd="0" presId="urn:microsoft.com/office/officeart/2005/8/layout/orgChart1#1"/>
    <dgm:cxn modelId="{D04C8720-75A5-4060-A65E-49D310E457F0}" type="presParOf" srcId="{E98F19EC-EAC6-4F76-8B91-F19657EACBC3}" destId="{94CB1FD2-D0ED-46F6-A198-98317C916FAB}" srcOrd="0" destOrd="0" presId="urn:microsoft.com/office/officeart/2005/8/layout/orgChart1#1"/>
    <dgm:cxn modelId="{B2B88D28-B84B-47AE-A2FE-3D85D282B645}" type="presParOf" srcId="{E98F19EC-EAC6-4F76-8B91-F19657EACBC3}" destId="{B4FA1E67-369A-4828-B4AD-7BC44F7CF822}" srcOrd="1" destOrd="0" presId="urn:microsoft.com/office/officeart/2005/8/layout/orgChart1#1"/>
    <dgm:cxn modelId="{CC9F899F-24A2-4E04-9845-9A372E796776}" type="presParOf" srcId="{682261A5-6DF3-4345-BE86-7384E5363061}" destId="{D6917179-B814-4C81-99F4-B941B0C78BE9}" srcOrd="1" destOrd="0" presId="urn:microsoft.com/office/officeart/2005/8/layout/orgChart1#1"/>
    <dgm:cxn modelId="{22118096-FE0C-4F87-964A-0536CAFB77CE}" type="presParOf" srcId="{682261A5-6DF3-4345-BE86-7384E5363061}" destId="{12FB5F13-0400-455A-834F-FB606A702B76}" srcOrd="2" destOrd="0" presId="urn:microsoft.com/office/officeart/2005/8/layout/orgChart1#1"/>
    <dgm:cxn modelId="{F6C60356-02E6-4415-B618-E12B2E12774B}" type="presParOf" srcId="{B6A06979-7850-48E6-8288-369EDB2C4FAF}" destId="{78C3DCE5-9899-4F0E-BEE8-80AA7646E1EE}" srcOrd="2" destOrd="0" presId="urn:microsoft.com/office/officeart/2005/8/layout/orgChart1#1"/>
    <dgm:cxn modelId="{A538087B-AE5F-437B-A017-AED33AF8FFB9}" type="presParOf" srcId="{B6A06979-7850-48E6-8288-369EDB2C4FAF}" destId="{9D5F37F6-4AB2-430E-8B2A-846781FAB2F6}" srcOrd="3" destOrd="0" presId="urn:microsoft.com/office/officeart/2005/8/layout/orgChart1#1"/>
    <dgm:cxn modelId="{34833179-51F1-4E25-A308-DCB4C0F0A4EE}" type="presParOf" srcId="{9D5F37F6-4AB2-430E-8B2A-846781FAB2F6}" destId="{DCDF8404-5533-4296-AD3C-057E8F0B3B91}" srcOrd="0" destOrd="0" presId="urn:microsoft.com/office/officeart/2005/8/layout/orgChart1#1"/>
    <dgm:cxn modelId="{F7FDC4F3-4F09-4E29-A593-39D156A16571}" type="presParOf" srcId="{DCDF8404-5533-4296-AD3C-057E8F0B3B91}" destId="{D1F0C2E1-7D39-4890-A05B-5AA8C1A2F6B5}" srcOrd="0" destOrd="0" presId="urn:microsoft.com/office/officeart/2005/8/layout/orgChart1#1"/>
    <dgm:cxn modelId="{F332299C-4FE9-4511-B8B8-8F2C3467F5AB}" type="presParOf" srcId="{DCDF8404-5533-4296-AD3C-057E8F0B3B91}" destId="{6009EA10-1C16-4FE3-BAE3-76036155DC5B}" srcOrd="1" destOrd="0" presId="urn:microsoft.com/office/officeart/2005/8/layout/orgChart1#1"/>
    <dgm:cxn modelId="{06E8C511-9EF3-4D10-B74C-DEC9E1D7A083}" type="presParOf" srcId="{9D5F37F6-4AB2-430E-8B2A-846781FAB2F6}" destId="{35093785-5562-4BDD-A6A7-A68AE563669F}" srcOrd="1" destOrd="0" presId="urn:microsoft.com/office/officeart/2005/8/layout/orgChart1#1"/>
    <dgm:cxn modelId="{95AD3742-89C5-4E67-A0B8-ED308F144E6A}" type="presParOf" srcId="{9D5F37F6-4AB2-430E-8B2A-846781FAB2F6}" destId="{50DC1977-6B37-4E7E-9DFD-DBF08ADCD2FC}" srcOrd="2" destOrd="0" presId="urn:microsoft.com/office/officeart/2005/8/layout/orgChart1#1"/>
    <dgm:cxn modelId="{EA7DD589-9743-46E3-930F-93F1B863828A}" type="presParOf" srcId="{B6A06979-7850-48E6-8288-369EDB2C4FAF}" destId="{445F4719-7378-4671-954A-1DB1EA2E26AF}" srcOrd="4" destOrd="0" presId="urn:microsoft.com/office/officeart/2005/8/layout/orgChart1#1"/>
    <dgm:cxn modelId="{06B80357-440F-456C-93C6-ADA26B316F29}" type="presParOf" srcId="{B6A06979-7850-48E6-8288-369EDB2C4FAF}" destId="{2C43C033-0BD6-4CA2-B6A9-64D5251882DF}" srcOrd="5" destOrd="0" presId="urn:microsoft.com/office/officeart/2005/8/layout/orgChart1#1"/>
    <dgm:cxn modelId="{1149FCE2-1C3B-41C5-8D5F-5C93B56A232E}" type="presParOf" srcId="{2C43C033-0BD6-4CA2-B6A9-64D5251882DF}" destId="{DF46D312-50EB-4DAC-9B63-33C18BDB0AED}" srcOrd="0" destOrd="0" presId="urn:microsoft.com/office/officeart/2005/8/layout/orgChart1#1"/>
    <dgm:cxn modelId="{9602EA6F-96F0-4A69-9E98-9125D36EFDAB}" type="presParOf" srcId="{DF46D312-50EB-4DAC-9B63-33C18BDB0AED}" destId="{AC650FA6-C207-48AF-BFB2-57BC4D4F67BC}" srcOrd="0" destOrd="0" presId="urn:microsoft.com/office/officeart/2005/8/layout/orgChart1#1"/>
    <dgm:cxn modelId="{E58A07FD-52E1-490B-BA44-5C2B269D7435}" type="presParOf" srcId="{DF46D312-50EB-4DAC-9B63-33C18BDB0AED}" destId="{F9B00E4C-41CB-4A52-9ACB-990E98F3DD72}" srcOrd="1" destOrd="0" presId="urn:microsoft.com/office/officeart/2005/8/layout/orgChart1#1"/>
    <dgm:cxn modelId="{B64DC807-BEEA-4130-B6A9-8754DF62C05A}" type="presParOf" srcId="{2C43C033-0BD6-4CA2-B6A9-64D5251882DF}" destId="{47A0F5B4-EC71-4DD7-93CA-1DBEB22427BE}" srcOrd="1" destOrd="0" presId="urn:microsoft.com/office/officeart/2005/8/layout/orgChart1#1"/>
    <dgm:cxn modelId="{896E8053-8C04-42AE-9CC8-C01FD0F1DCC2}" type="presParOf" srcId="{2C43C033-0BD6-4CA2-B6A9-64D5251882DF}" destId="{1A58047A-E216-414A-B136-5D7A1C276BE8}" srcOrd="2" destOrd="0" presId="urn:microsoft.com/office/officeart/2005/8/layout/orgChart1#1"/>
    <dgm:cxn modelId="{38BC3094-858E-491E-9E8C-080126341572}" type="presParOf" srcId="{B6A06979-7850-48E6-8288-369EDB2C4FAF}" destId="{8921D133-01F6-4D5E-A9D7-26AD2F6A566B}" srcOrd="6" destOrd="0" presId="urn:microsoft.com/office/officeart/2005/8/layout/orgChart1#1"/>
    <dgm:cxn modelId="{B0DFE5A0-DA8B-4357-B78A-04DAD5356AD0}" type="presParOf" srcId="{B6A06979-7850-48E6-8288-369EDB2C4FAF}" destId="{B8986EDA-1BF8-47E7-B4EB-B27268719740}" srcOrd="7" destOrd="0" presId="urn:microsoft.com/office/officeart/2005/8/layout/orgChart1#1"/>
    <dgm:cxn modelId="{E6C7FE70-7427-46A3-A9ED-E00738581CF7}" type="presParOf" srcId="{B8986EDA-1BF8-47E7-B4EB-B27268719740}" destId="{ADD384CB-C642-43C4-8F55-77E6B9F083AC}" srcOrd="0" destOrd="0" presId="urn:microsoft.com/office/officeart/2005/8/layout/orgChart1#1"/>
    <dgm:cxn modelId="{84111788-FA8C-4CAE-86E2-68F0A70C5A09}" type="presParOf" srcId="{ADD384CB-C642-43C4-8F55-77E6B9F083AC}" destId="{0B36E97E-7B4A-4972-8209-5BCDDB9967B4}" srcOrd="0" destOrd="0" presId="urn:microsoft.com/office/officeart/2005/8/layout/orgChart1#1"/>
    <dgm:cxn modelId="{4399F9F4-BBF9-40D1-A530-F24CB0C3A12B}" type="presParOf" srcId="{ADD384CB-C642-43C4-8F55-77E6B9F083AC}" destId="{B6D240EF-8F08-42DE-A48C-0EF2FFC00BEE}" srcOrd="1" destOrd="0" presId="urn:microsoft.com/office/officeart/2005/8/layout/orgChart1#1"/>
    <dgm:cxn modelId="{70ED553D-CD69-4665-AD0D-319DCA8E8F4E}" type="presParOf" srcId="{B8986EDA-1BF8-47E7-B4EB-B27268719740}" destId="{E1CEB336-A193-4258-B05F-4D26B66195E0}" srcOrd="1" destOrd="0" presId="urn:microsoft.com/office/officeart/2005/8/layout/orgChart1#1"/>
    <dgm:cxn modelId="{D5827473-1943-41BD-8943-9937AD4E05F3}" type="presParOf" srcId="{B8986EDA-1BF8-47E7-B4EB-B27268719740}" destId="{595AC346-23C9-4C98-B596-B549D9A039FD}" srcOrd="2" destOrd="0" presId="urn:microsoft.com/office/officeart/2005/8/layout/orgChart1#1"/>
    <dgm:cxn modelId="{319EF6F5-F9B3-4AED-95B9-C845CAEA6A7A}" type="presParOf" srcId="{B6A06979-7850-48E6-8288-369EDB2C4FAF}" destId="{645EFC61-C4B5-4745-8A5A-C19F7025FEAF}" srcOrd="8" destOrd="0" presId="urn:microsoft.com/office/officeart/2005/8/layout/orgChart1#1"/>
    <dgm:cxn modelId="{3CAC5AC2-0A3F-48A0-9D46-C717F3714EA7}" type="presParOf" srcId="{B6A06979-7850-48E6-8288-369EDB2C4FAF}" destId="{EE697575-9C76-4DEF-BAA4-5E53F3D83E64}" srcOrd="9" destOrd="0" presId="urn:microsoft.com/office/officeart/2005/8/layout/orgChart1#1"/>
    <dgm:cxn modelId="{14BCDAE2-63CF-47D7-B055-763922C441BE}" type="presParOf" srcId="{EE697575-9C76-4DEF-BAA4-5E53F3D83E64}" destId="{D8836CF1-AA92-44AB-A99E-D776A25B3C5B}" srcOrd="0" destOrd="0" presId="urn:microsoft.com/office/officeart/2005/8/layout/orgChart1#1"/>
    <dgm:cxn modelId="{79C4FBB6-C6FF-4F61-B14D-B3C3EE7D017B}" type="presParOf" srcId="{D8836CF1-AA92-44AB-A99E-D776A25B3C5B}" destId="{70286391-7C19-47B5-9196-299430AA6489}" srcOrd="0" destOrd="0" presId="urn:microsoft.com/office/officeart/2005/8/layout/orgChart1#1"/>
    <dgm:cxn modelId="{49124BAE-B269-4124-8B41-66E86041CEDA}" type="presParOf" srcId="{D8836CF1-AA92-44AB-A99E-D776A25B3C5B}" destId="{96A32374-5721-42AA-947E-DC15D8DF911E}" srcOrd="1" destOrd="0" presId="urn:microsoft.com/office/officeart/2005/8/layout/orgChart1#1"/>
    <dgm:cxn modelId="{113C281B-6DF2-4AB3-A77F-8004D3251E43}" type="presParOf" srcId="{EE697575-9C76-4DEF-BAA4-5E53F3D83E64}" destId="{2430711D-8CA3-4DDD-AA66-8CE505DB981B}" srcOrd="1" destOrd="0" presId="urn:microsoft.com/office/officeart/2005/8/layout/orgChart1#1"/>
    <dgm:cxn modelId="{2C18BBEA-5686-46DE-BF41-7144E6C2FE80}" type="presParOf" srcId="{EE697575-9C76-4DEF-BAA4-5E53F3D83E64}" destId="{9BE9405A-558A-46BB-90B7-3242EE840D7D}" srcOrd="2" destOrd="0" presId="urn:microsoft.com/office/officeart/2005/8/layout/orgChart1#1"/>
    <dgm:cxn modelId="{8F968967-3FDC-4897-B45C-6749D3EAF9EC}" type="presParOf" srcId="{CA99D3D1-F9C4-4EB9-B984-D1C164B382E9}" destId="{F140FD74-BEF8-475D-A773-D61A6ED7CB15}" srcOrd="2" destOrd="0" presId="urn:microsoft.com/office/officeart/2005/8/layout/orgChart1#1"/>
  </dgm:cxnLst>
  <dgm:bg/>
  <dgm:whole/>
  <dgm:extLst>
    <a:ext uri="http://schemas.microsoft.com/office/drawing/2008/diagram">
      <dsp:dataModelExt xmlns:dsp="http://schemas.microsoft.com/office/drawing/2008/diagram" relId="rId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xmlns:r="http://schemas.openxmlformats.org/officeDocument/2006/relationships">
  <dsp:spTree>
    <dsp:nvGrpSpPr>
      <dsp:cNvPr id="2" name="组合 1"/>
      <dsp:cNvGrpSpPr/>
    </dsp:nvGrpSpPr>
    <dsp:grpSpPr>
      <a:xfrm>
        <a:off x="0" y="0"/>
        <a:ext cx="4822190" cy="1422400"/>
        <a:chOff x="0" y="0"/>
        <a:chExt cx="4822190" cy="1422400"/>
      </a:xfrm>
    </dsp:grpSpPr>
    <dsp:sp modelId="{2F065A64-ED90-44FF-971D-109AE63A511A}">
      <dsp:nvSpPr>
        <dsp:cNvPr id="5" name="任意多边形 4"/>
        <dsp:cNvSpPr/>
      </dsp:nvSpPr>
      <dsp:spPr bwMode="white">
        <a:xfrm>
          <a:off x="412859" y="624500"/>
          <a:ext cx="1998236" cy="173401"/>
        </a:xfrm>
        <a:custGeom>
          <a:avLst/>
          <a:gdLst/>
          <a:ahLst/>
          <a:cxnLst/>
          <a:pathLst>
            <a:path w="3147" h="273">
              <a:moveTo>
                <a:pt x="3147" y="0"/>
              </a:moveTo>
              <a:lnTo>
                <a:pt x="3147" y="137"/>
              </a:lnTo>
              <a:lnTo>
                <a:pt x="0" y="137"/>
              </a:lnTo>
              <a:lnTo>
                <a:pt x="0" y="273"/>
              </a:lnTo>
            </a:path>
          </a:pathLst>
        </a:custGeom>
      </dsp:spPr>
      <dsp:style>
        <a:lnRef idx="2">
          <a:srgbClr val="4F81BD">
            <a:shade val="60000"/>
          </a:srgbClr>
        </a:lnRef>
        <a:fillRef idx="0">
          <a:srgbClr val="4F81BD"/>
        </a:fillRef>
        <a:effectRef idx="0">
          <a:scrgbClr r="0" g="0" b="0"/>
        </a:effectRef>
        <a:fontRef idx="minor"/>
      </dsp:style>
      <dsp:txXfrm>
        <a:off x="412859" y="624500"/>
        <a:ext cx="1998236" cy="173401"/>
      </dsp:txXfrm>
    </dsp:sp>
    <dsp:sp modelId="{78C3DCE5-9899-4F0E-BEE8-80AA7646E1EE}">
      <dsp:nvSpPr>
        <dsp:cNvPr id="8" name="任意多边形 7"/>
        <dsp:cNvSpPr/>
      </dsp:nvSpPr>
      <dsp:spPr bwMode="white">
        <a:xfrm>
          <a:off x="1411977" y="624500"/>
          <a:ext cx="999118" cy="173401"/>
        </a:xfrm>
        <a:custGeom>
          <a:avLst/>
          <a:gdLst/>
          <a:ahLst/>
          <a:cxnLst/>
          <a:pathLst>
            <a:path w="1573" h="273">
              <a:moveTo>
                <a:pt x="1573" y="0"/>
              </a:moveTo>
              <a:lnTo>
                <a:pt x="1573" y="137"/>
              </a:lnTo>
              <a:lnTo>
                <a:pt x="0" y="137"/>
              </a:lnTo>
              <a:lnTo>
                <a:pt x="0" y="273"/>
              </a:lnTo>
            </a:path>
          </a:pathLst>
        </a:custGeom>
      </dsp:spPr>
      <dsp:style>
        <a:lnRef idx="2">
          <a:srgbClr val="4F81BD">
            <a:shade val="60000"/>
          </a:srgbClr>
        </a:lnRef>
        <a:fillRef idx="0">
          <a:srgbClr val="4F81BD"/>
        </a:fillRef>
        <a:effectRef idx="0">
          <a:scrgbClr r="0" g="0" b="0"/>
        </a:effectRef>
        <a:fontRef idx="minor"/>
      </dsp:style>
      <dsp:txXfrm>
        <a:off x="1411977" y="624500"/>
        <a:ext cx="999118" cy="173401"/>
      </dsp:txXfrm>
    </dsp:sp>
    <dsp:sp modelId="{445F4719-7378-4671-954A-1DB1EA2E26AF}">
      <dsp:nvSpPr>
        <dsp:cNvPr id="11" name="任意多边形 10"/>
        <dsp:cNvSpPr/>
      </dsp:nvSpPr>
      <dsp:spPr bwMode="white">
        <a:xfrm>
          <a:off x="2411095" y="624500"/>
          <a:ext cx="0" cy="173401"/>
        </a:xfrm>
        <a:custGeom>
          <a:avLst/>
          <a:gdLst/>
          <a:ahLst/>
          <a:cxnLst/>
          <a:pathLst>
            <a:path h="273">
              <a:moveTo>
                <a:pt x="0" y="0"/>
              </a:moveTo>
              <a:lnTo>
                <a:pt x="0" y="137"/>
              </a:lnTo>
              <a:lnTo>
                <a:pt x="0" y="137"/>
              </a:lnTo>
              <a:lnTo>
                <a:pt x="0" y="273"/>
              </a:lnTo>
            </a:path>
          </a:pathLst>
        </a:custGeom>
      </dsp:spPr>
      <dsp:style>
        <a:lnRef idx="2">
          <a:srgbClr val="4F81BD">
            <a:shade val="60000"/>
          </a:srgbClr>
        </a:lnRef>
        <a:fillRef idx="0">
          <a:srgbClr val="4F81BD"/>
        </a:fillRef>
        <a:effectRef idx="0">
          <a:scrgbClr r="0" g="0" b="0"/>
        </a:effectRef>
        <a:fontRef idx="minor"/>
      </dsp:style>
      <dsp:txXfrm>
        <a:off x="2411095" y="624500"/>
        <a:ext cx="0" cy="173401"/>
      </dsp:txXfrm>
    </dsp:sp>
    <dsp:sp modelId="{8921D133-01F6-4D5E-A9D7-26AD2F6A566B}">
      <dsp:nvSpPr>
        <dsp:cNvPr id="14" name="任意多边形 13"/>
        <dsp:cNvSpPr/>
      </dsp:nvSpPr>
      <dsp:spPr bwMode="white">
        <a:xfrm>
          <a:off x="2411095" y="624500"/>
          <a:ext cx="999118" cy="173401"/>
        </a:xfrm>
        <a:custGeom>
          <a:avLst/>
          <a:gdLst/>
          <a:ahLst/>
          <a:cxnLst/>
          <a:pathLst>
            <a:path w="1573" h="273">
              <a:moveTo>
                <a:pt x="0" y="0"/>
              </a:moveTo>
              <a:lnTo>
                <a:pt x="0" y="137"/>
              </a:lnTo>
              <a:lnTo>
                <a:pt x="1573" y="137"/>
              </a:lnTo>
              <a:lnTo>
                <a:pt x="1573" y="273"/>
              </a:lnTo>
            </a:path>
          </a:pathLst>
        </a:custGeom>
      </dsp:spPr>
      <dsp:style>
        <a:lnRef idx="2">
          <a:srgbClr val="4F81BD">
            <a:shade val="60000"/>
          </a:srgbClr>
        </a:lnRef>
        <a:fillRef idx="0">
          <a:srgbClr val="4F81BD"/>
        </a:fillRef>
        <a:effectRef idx="0">
          <a:scrgbClr r="0" g="0" b="0"/>
        </a:effectRef>
        <a:fontRef idx="minor"/>
      </dsp:style>
      <dsp:txXfrm>
        <a:off x="2411095" y="624500"/>
        <a:ext cx="999118" cy="173401"/>
      </dsp:txXfrm>
    </dsp:sp>
    <dsp:sp modelId="{645EFC61-C4B5-4745-8A5A-C19F7025FEAF}">
      <dsp:nvSpPr>
        <dsp:cNvPr id="17" name="任意多边形 16"/>
        <dsp:cNvSpPr/>
      </dsp:nvSpPr>
      <dsp:spPr bwMode="white">
        <a:xfrm>
          <a:off x="2411095" y="624500"/>
          <a:ext cx="1998236" cy="170490"/>
        </a:xfrm>
        <a:custGeom>
          <a:avLst/>
          <a:gdLst/>
          <a:ahLst/>
          <a:cxnLst/>
          <a:pathLst>
            <a:path w="3147" h="268">
              <a:moveTo>
                <a:pt x="0" y="0"/>
              </a:moveTo>
              <a:lnTo>
                <a:pt x="0" y="132"/>
              </a:lnTo>
              <a:lnTo>
                <a:pt x="3147" y="132"/>
              </a:lnTo>
              <a:lnTo>
                <a:pt x="3147" y="268"/>
              </a:lnTo>
            </a:path>
          </a:pathLst>
        </a:custGeom>
      </dsp:spPr>
      <dsp:style>
        <a:lnRef idx="2">
          <a:srgbClr val="4F81BD">
            <a:shade val="60000"/>
          </a:srgbClr>
        </a:lnRef>
        <a:fillRef idx="0">
          <a:srgbClr val="4F81BD"/>
        </a:fillRef>
        <a:effectRef idx="0">
          <a:scrgbClr r="0" g="0" b="0"/>
        </a:effectRef>
        <a:fontRef idx="minor"/>
      </dsp:style>
      <dsp:txXfrm>
        <a:off x="2411095" y="624500"/>
        <a:ext cx="1998236" cy="170490"/>
      </dsp:txXfrm>
    </dsp:sp>
    <dsp:sp modelId="{D97B94D1-458B-40D8-BF6E-E30478E4D255}">
      <dsp:nvSpPr>
        <dsp:cNvPr id="3" name="矩形 2"/>
        <dsp:cNvSpPr/>
      </dsp:nvSpPr>
      <dsp:spPr bwMode="white">
        <a:xfrm>
          <a:off x="1998236" y="211641"/>
          <a:ext cx="825717" cy="412859"/>
        </a:xfrm>
        <a:prstGeom prst="rect">
          <a:avLst/>
        </a:prstGeom>
      </dsp:spPr>
      <dsp:style>
        <a:lnRef idx="2">
          <a:sysClr val="window" lastClr="FFFFFF"/>
        </a:lnRef>
        <a:fillRef idx="1">
          <a:srgbClr val="4F81BD"/>
        </a:fillRef>
        <a:effectRef idx="0">
          <a:scrgbClr r="0" g="0" b="0"/>
        </a:effectRef>
        <a:fontRef idx="minor">
          <a:sysClr val="window" lastClr="FFFFFF"/>
        </a:fontRef>
      </dsp:style>
      <dsp:txBody>
        <a:bodyPr vert="horz" wrap="square" lIns="9525" tIns="9525" rIns="9525" bIns="9525" anchor="ctr"/>
        <a:lstStyle>
          <a:lvl1pPr algn="ctr">
            <a:defRPr sz="1500"/>
          </a:lvl1pPr>
          <a:lvl2pPr marL="57150" indent="-57150" algn="ctr">
            <a:defRPr sz="1100"/>
          </a:lvl2pPr>
          <a:lvl3pPr marL="114300" indent="-57150" algn="ctr">
            <a:defRPr sz="1100"/>
          </a:lvl3pPr>
          <a:lvl4pPr marL="171450" indent="-57150" algn="ctr">
            <a:defRPr sz="1100"/>
          </a:lvl4pPr>
          <a:lvl5pPr marL="228600" indent="-57150" algn="ctr">
            <a:defRPr sz="1100"/>
          </a:lvl5pPr>
          <a:lvl6pPr marL="285750" indent="-57150" algn="ctr">
            <a:defRPr sz="1100"/>
          </a:lvl6pPr>
          <a:lvl7pPr marL="342900" indent="-57150" algn="ctr">
            <a:defRPr sz="1100"/>
          </a:lvl7pPr>
          <a:lvl8pPr marL="400050" indent="-57150" algn="ctr">
            <a:defRPr sz="1100"/>
          </a:lvl8pPr>
          <a:lvl9pPr marL="457200" indent="-57150" algn="ctr">
            <a:defRPr sz="1100"/>
          </a:lvl9pPr>
        </a:lstStyle>
        <a:p>
          <a:pPr lvl="0" algn="ctr">
            <a:lnSpc>
              <a:spcPct val="100000"/>
            </a:lnSpc>
            <a:spcBef>
              <a:spcPct val="0"/>
            </a:spcBef>
            <a:spcAft>
              <a:spcPct val="35000"/>
            </a:spcAft>
          </a:pPr>
          <a:r>
            <a:rPr lang="zh-CN" altLang="en-US"/>
            <a:t>项目管理</a:t>
          </a:r>
        </a:p>
      </dsp:txBody>
      <dsp:txXfrm>
        <a:off x="1998236" y="211641"/>
        <a:ext cx="825717" cy="412859"/>
      </dsp:txXfrm>
    </dsp:sp>
    <dsp:sp modelId="{94CB1FD2-D0ED-46F6-A198-98317C916FAB}">
      <dsp:nvSpPr>
        <dsp:cNvPr id="6" name="矩形 5"/>
        <dsp:cNvSpPr/>
      </dsp:nvSpPr>
      <dsp:spPr bwMode="white">
        <a:xfrm>
          <a:off x="0" y="797900"/>
          <a:ext cx="825717" cy="412859"/>
        </a:xfrm>
        <a:prstGeom prst="rect">
          <a:avLst/>
        </a:prstGeom>
      </dsp:spPr>
      <dsp:style>
        <a:lnRef idx="2">
          <a:sysClr val="window" lastClr="FFFFFF"/>
        </a:lnRef>
        <a:fillRef idx="1">
          <a:srgbClr val="4F81BD"/>
        </a:fillRef>
        <a:effectRef idx="0">
          <a:scrgbClr r="0" g="0" b="0"/>
        </a:effectRef>
        <a:fontRef idx="minor">
          <a:sysClr val="window" lastClr="FFFFFF"/>
        </a:fontRef>
      </dsp:style>
      <dsp:txBody>
        <a:bodyPr vert="horz" wrap="square" lIns="9525" tIns="9525" rIns="9525" bIns="9525" anchor="ctr"/>
        <a:lstStyle>
          <a:lvl1pPr algn="ctr">
            <a:defRPr sz="1500"/>
          </a:lvl1pPr>
          <a:lvl2pPr marL="57150" indent="-57150" algn="ctr">
            <a:defRPr sz="1100"/>
          </a:lvl2pPr>
          <a:lvl3pPr marL="114300" indent="-57150" algn="ctr">
            <a:defRPr sz="1100"/>
          </a:lvl3pPr>
          <a:lvl4pPr marL="171450" indent="-57150" algn="ctr">
            <a:defRPr sz="1100"/>
          </a:lvl4pPr>
          <a:lvl5pPr marL="228600" indent="-57150" algn="ctr">
            <a:defRPr sz="1100"/>
          </a:lvl5pPr>
          <a:lvl6pPr marL="285750" indent="-57150" algn="ctr">
            <a:defRPr sz="1100"/>
          </a:lvl6pPr>
          <a:lvl7pPr marL="342900" indent="-57150" algn="ctr">
            <a:defRPr sz="1100"/>
          </a:lvl7pPr>
          <a:lvl8pPr marL="400050" indent="-57150" algn="ctr">
            <a:defRPr sz="1100"/>
          </a:lvl8pPr>
          <a:lvl9pPr marL="457200" indent="-57150" algn="ctr">
            <a:defRPr sz="1100"/>
          </a:lvl9pPr>
        </a:lstStyle>
        <a:p>
          <a:pPr lvl="0">
            <a:lnSpc>
              <a:spcPct val="100000"/>
            </a:lnSpc>
            <a:spcBef>
              <a:spcPct val="0"/>
            </a:spcBef>
            <a:spcAft>
              <a:spcPct val="35000"/>
            </a:spcAft>
          </a:pPr>
          <a:r>
            <a:rPr lang="zh-CN" altLang="en-US"/>
            <a:t>保洁服务</a:t>
          </a:r>
        </a:p>
      </dsp:txBody>
      <dsp:txXfrm>
        <a:off x="0" y="797900"/>
        <a:ext cx="825717" cy="412859"/>
      </dsp:txXfrm>
    </dsp:sp>
    <dsp:sp modelId="{D1F0C2E1-7D39-4890-A05B-5AA8C1A2F6B5}">
      <dsp:nvSpPr>
        <dsp:cNvPr id="9" name="矩形 8"/>
        <dsp:cNvSpPr/>
      </dsp:nvSpPr>
      <dsp:spPr bwMode="white">
        <a:xfrm>
          <a:off x="999118" y="797900"/>
          <a:ext cx="825717" cy="412859"/>
        </a:xfrm>
        <a:prstGeom prst="rect">
          <a:avLst/>
        </a:prstGeom>
      </dsp:spPr>
      <dsp:style>
        <a:lnRef idx="2">
          <a:sysClr val="window" lastClr="FFFFFF"/>
        </a:lnRef>
        <a:fillRef idx="1">
          <a:srgbClr val="4F81BD"/>
        </a:fillRef>
        <a:effectRef idx="0">
          <a:scrgbClr r="0" g="0" b="0"/>
        </a:effectRef>
        <a:fontRef idx="minor">
          <a:sysClr val="window" lastClr="FFFFFF"/>
        </a:fontRef>
      </dsp:style>
      <dsp:txBody>
        <a:bodyPr vert="horz" wrap="square" lIns="9525" tIns="9525" rIns="9525" bIns="9525" anchor="ctr"/>
        <a:lstStyle>
          <a:lvl1pPr algn="ctr">
            <a:defRPr sz="1500"/>
          </a:lvl1pPr>
          <a:lvl2pPr marL="57150" indent="-57150" algn="ctr">
            <a:defRPr sz="1100"/>
          </a:lvl2pPr>
          <a:lvl3pPr marL="114300" indent="-57150" algn="ctr">
            <a:defRPr sz="1100"/>
          </a:lvl3pPr>
          <a:lvl4pPr marL="171450" indent="-57150" algn="ctr">
            <a:defRPr sz="1100"/>
          </a:lvl4pPr>
          <a:lvl5pPr marL="228600" indent="-57150" algn="ctr">
            <a:defRPr sz="1100"/>
          </a:lvl5pPr>
          <a:lvl6pPr marL="285750" indent="-57150" algn="ctr">
            <a:defRPr sz="1100"/>
          </a:lvl6pPr>
          <a:lvl7pPr marL="342900" indent="-57150" algn="ctr">
            <a:defRPr sz="1100"/>
          </a:lvl7pPr>
          <a:lvl8pPr marL="400050" indent="-57150" algn="ctr">
            <a:defRPr sz="1100"/>
          </a:lvl8pPr>
          <a:lvl9pPr marL="457200" indent="-57150" algn="ctr">
            <a:defRPr sz="1100"/>
          </a:lvl9pPr>
        </a:lstStyle>
        <a:p>
          <a:pPr lvl="0">
            <a:lnSpc>
              <a:spcPct val="100000"/>
            </a:lnSpc>
            <a:spcBef>
              <a:spcPct val="0"/>
            </a:spcBef>
            <a:spcAft>
              <a:spcPct val="35000"/>
            </a:spcAft>
          </a:pPr>
          <a:r>
            <a:rPr lang="zh-CN" altLang="en-US"/>
            <a:t>工勤服务</a:t>
          </a:r>
        </a:p>
      </dsp:txBody>
      <dsp:txXfrm>
        <a:off x="999118" y="797900"/>
        <a:ext cx="825717" cy="412859"/>
      </dsp:txXfrm>
    </dsp:sp>
    <dsp:sp modelId="{AC650FA6-C207-48AF-BFB2-57BC4D4F67BC}">
      <dsp:nvSpPr>
        <dsp:cNvPr id="12" name="矩形 11"/>
        <dsp:cNvSpPr/>
      </dsp:nvSpPr>
      <dsp:spPr bwMode="white">
        <a:xfrm>
          <a:off x="1998236" y="797900"/>
          <a:ext cx="825717" cy="412859"/>
        </a:xfrm>
        <a:prstGeom prst="rect">
          <a:avLst/>
        </a:prstGeom>
      </dsp:spPr>
      <dsp:style>
        <a:lnRef idx="2">
          <a:sysClr val="window" lastClr="FFFFFF"/>
        </a:lnRef>
        <a:fillRef idx="1">
          <a:srgbClr val="4F81BD"/>
        </a:fillRef>
        <a:effectRef idx="0">
          <a:scrgbClr r="0" g="0" b="0"/>
        </a:effectRef>
        <a:fontRef idx="minor">
          <a:sysClr val="window" lastClr="FFFFFF"/>
        </a:fontRef>
      </dsp:style>
      <dsp:txBody>
        <a:bodyPr vert="horz" wrap="square" lIns="9525" tIns="9525" rIns="9525" bIns="9525" anchor="ctr"/>
        <a:lstStyle>
          <a:lvl1pPr algn="ctr">
            <a:defRPr sz="1500"/>
          </a:lvl1pPr>
          <a:lvl2pPr marL="57150" indent="-57150" algn="ctr">
            <a:defRPr sz="1100"/>
          </a:lvl2pPr>
          <a:lvl3pPr marL="114300" indent="-57150" algn="ctr">
            <a:defRPr sz="1100"/>
          </a:lvl3pPr>
          <a:lvl4pPr marL="171450" indent="-57150" algn="ctr">
            <a:defRPr sz="1100"/>
          </a:lvl4pPr>
          <a:lvl5pPr marL="228600" indent="-57150" algn="ctr">
            <a:defRPr sz="1100"/>
          </a:lvl5pPr>
          <a:lvl6pPr marL="285750" indent="-57150" algn="ctr">
            <a:defRPr sz="1100"/>
          </a:lvl6pPr>
          <a:lvl7pPr marL="342900" indent="-57150" algn="ctr">
            <a:defRPr sz="1100"/>
          </a:lvl7pPr>
          <a:lvl8pPr marL="400050" indent="-57150" algn="ctr">
            <a:defRPr sz="1100"/>
          </a:lvl8pPr>
          <a:lvl9pPr marL="457200" indent="-57150" algn="ctr">
            <a:defRPr sz="1100"/>
          </a:lvl9pPr>
        </a:lstStyle>
        <a:p>
          <a:pPr lvl="0">
            <a:lnSpc>
              <a:spcPct val="100000"/>
            </a:lnSpc>
            <a:spcBef>
              <a:spcPct val="0"/>
            </a:spcBef>
            <a:spcAft>
              <a:spcPct val="35000"/>
            </a:spcAft>
          </a:pPr>
          <a:r>
            <a:rPr lang="zh-CN" altLang="en-US"/>
            <a:t>后勤服务</a:t>
          </a:r>
          <a:endParaRPr lang="zh-CN"/>
        </a:p>
      </dsp:txBody>
      <dsp:txXfrm>
        <a:off x="1998236" y="797900"/>
        <a:ext cx="825717" cy="412859"/>
      </dsp:txXfrm>
    </dsp:sp>
    <dsp:sp modelId="{0B36E97E-7B4A-4972-8209-5BCDDB9967B4}">
      <dsp:nvSpPr>
        <dsp:cNvPr id="15" name="矩形 14"/>
        <dsp:cNvSpPr/>
      </dsp:nvSpPr>
      <dsp:spPr bwMode="white">
        <a:xfrm>
          <a:off x="2997354" y="797900"/>
          <a:ext cx="825717" cy="412859"/>
        </a:xfrm>
        <a:prstGeom prst="rect">
          <a:avLst/>
        </a:prstGeom>
      </dsp:spPr>
      <dsp:style>
        <a:lnRef idx="2">
          <a:sysClr val="window" lastClr="FFFFFF"/>
        </a:lnRef>
        <a:fillRef idx="1">
          <a:srgbClr val="4F81BD"/>
        </a:fillRef>
        <a:effectRef idx="0">
          <a:scrgbClr r="0" g="0" b="0"/>
        </a:effectRef>
        <a:fontRef idx="minor">
          <a:sysClr val="window" lastClr="FFFFFF"/>
        </a:fontRef>
      </dsp:style>
      <dsp:txBody>
        <a:bodyPr vert="horz" wrap="square" lIns="9525" tIns="9525" rIns="9525" bIns="9525" anchor="ctr"/>
        <a:lstStyle>
          <a:lvl1pPr algn="ctr">
            <a:defRPr sz="1500"/>
          </a:lvl1pPr>
          <a:lvl2pPr marL="57150" indent="-57150" algn="ctr">
            <a:defRPr sz="1100"/>
          </a:lvl2pPr>
          <a:lvl3pPr marL="114300" indent="-57150" algn="ctr">
            <a:defRPr sz="1100"/>
          </a:lvl3pPr>
          <a:lvl4pPr marL="171450" indent="-57150" algn="ctr">
            <a:defRPr sz="1100"/>
          </a:lvl4pPr>
          <a:lvl5pPr marL="228600" indent="-57150" algn="ctr">
            <a:defRPr sz="1100"/>
          </a:lvl5pPr>
          <a:lvl6pPr marL="285750" indent="-57150" algn="ctr">
            <a:defRPr sz="1100"/>
          </a:lvl6pPr>
          <a:lvl7pPr marL="342900" indent="-57150" algn="ctr">
            <a:defRPr sz="1100"/>
          </a:lvl7pPr>
          <a:lvl8pPr marL="400050" indent="-57150" algn="ctr">
            <a:defRPr sz="1100"/>
          </a:lvl8pPr>
          <a:lvl9pPr marL="457200" indent="-57150" algn="ctr">
            <a:defRPr sz="1100"/>
          </a:lvl9pPr>
        </a:lstStyle>
        <a:p>
          <a:pPr lvl="0">
            <a:lnSpc>
              <a:spcPct val="100000"/>
            </a:lnSpc>
            <a:spcBef>
              <a:spcPct val="0"/>
            </a:spcBef>
            <a:spcAft>
              <a:spcPct val="35000"/>
            </a:spcAft>
          </a:pPr>
          <a:r>
            <a:rPr lang="zh-CN" altLang="en-US"/>
            <a:t>食堂服务</a:t>
          </a:r>
          <a:endParaRPr lang="zh-CN"/>
        </a:p>
      </dsp:txBody>
      <dsp:txXfrm>
        <a:off x="2997354" y="797900"/>
        <a:ext cx="825717" cy="412859"/>
      </dsp:txXfrm>
    </dsp:sp>
    <dsp:sp modelId="{70286391-7C19-47B5-9196-299430AA6489}">
      <dsp:nvSpPr>
        <dsp:cNvPr id="18" name="矩形 17"/>
        <dsp:cNvSpPr/>
      </dsp:nvSpPr>
      <dsp:spPr bwMode="white">
        <a:xfrm>
          <a:off x="3996473" y="794990"/>
          <a:ext cx="825717" cy="412859"/>
        </a:xfrm>
        <a:prstGeom prst="rect">
          <a:avLst/>
        </a:prstGeom>
      </dsp:spPr>
      <dsp:style>
        <a:lnRef idx="2">
          <a:sysClr val="window" lastClr="FFFFFF"/>
        </a:lnRef>
        <a:fillRef idx="1">
          <a:srgbClr val="4F81BD"/>
        </a:fillRef>
        <a:effectRef idx="0">
          <a:scrgbClr r="0" g="0" b="0"/>
        </a:effectRef>
        <a:fontRef idx="minor">
          <a:sysClr val="window" lastClr="FFFFFF"/>
        </a:fontRef>
      </dsp:style>
      <dsp:txBody>
        <a:bodyPr vert="horz" wrap="square" lIns="9525" tIns="9525" rIns="9525" bIns="9525" anchor="ctr"/>
        <a:lstStyle>
          <a:lvl1pPr algn="ctr">
            <a:defRPr sz="1500"/>
          </a:lvl1pPr>
          <a:lvl2pPr marL="57150" indent="-57150" algn="ctr">
            <a:defRPr sz="1100"/>
          </a:lvl2pPr>
          <a:lvl3pPr marL="114300" indent="-57150" algn="ctr">
            <a:defRPr sz="1100"/>
          </a:lvl3pPr>
          <a:lvl4pPr marL="171450" indent="-57150" algn="ctr">
            <a:defRPr sz="1100"/>
          </a:lvl4pPr>
          <a:lvl5pPr marL="228600" indent="-57150" algn="ctr">
            <a:defRPr sz="1100"/>
          </a:lvl5pPr>
          <a:lvl6pPr marL="285750" indent="-57150" algn="ctr">
            <a:defRPr sz="1100"/>
          </a:lvl6pPr>
          <a:lvl7pPr marL="342900" indent="-57150" algn="ctr">
            <a:defRPr sz="1100"/>
          </a:lvl7pPr>
          <a:lvl8pPr marL="400050" indent="-57150" algn="ctr">
            <a:defRPr sz="1100"/>
          </a:lvl8pPr>
          <a:lvl9pPr marL="457200" indent="-57150" algn="ctr">
            <a:defRPr sz="1100"/>
          </a:lvl9pPr>
        </a:lstStyle>
        <a:p>
          <a:pPr lvl="0">
            <a:lnSpc>
              <a:spcPct val="100000"/>
            </a:lnSpc>
            <a:spcBef>
              <a:spcPct val="0"/>
            </a:spcBef>
            <a:spcAft>
              <a:spcPct val="35000"/>
            </a:spcAft>
          </a:pPr>
          <a:r>
            <a:rPr lang="zh-CN" altLang="en-US"/>
            <a:t>绿化服务</a:t>
          </a:r>
          <a:endParaRPr lang="zh-CN"/>
        </a:p>
      </dsp:txBody>
      <dsp:txXfrm>
        <a:off x="3996473" y="794990"/>
        <a:ext cx="825717" cy="412859"/>
      </dsp:txXfrm>
    </dsp:sp>
    <dsp:sp modelId="{640A426E-6353-4DDF-84EF-551D9BA21E4B}">
      <dsp:nvSpPr>
        <dsp:cNvPr id="4" name="矩形 3" hidden="1"/>
        <dsp:cNvSpPr/>
      </dsp:nvSpPr>
      <dsp:spPr>
        <a:xfrm>
          <a:off x="1998236" y="211641"/>
          <a:ext cx="165143" cy="412859"/>
        </a:xfrm>
        <a:prstGeom prst="rect">
          <a:avLst/>
        </a:prstGeom>
      </dsp:spPr>
      <dsp:txXfrm>
        <a:off x="1998236" y="211641"/>
        <a:ext cx="165143" cy="412859"/>
      </dsp:txXfrm>
    </dsp:sp>
    <dsp:sp modelId="{B4FA1E67-369A-4828-B4AD-7BC44F7CF822}">
      <dsp:nvSpPr>
        <dsp:cNvPr id="7" name="矩形 6" hidden="1"/>
        <dsp:cNvSpPr/>
      </dsp:nvSpPr>
      <dsp:spPr>
        <a:xfrm>
          <a:off x="0" y="797900"/>
          <a:ext cx="165143" cy="412859"/>
        </a:xfrm>
        <a:prstGeom prst="rect">
          <a:avLst/>
        </a:prstGeom>
      </dsp:spPr>
      <dsp:txXfrm>
        <a:off x="0" y="797900"/>
        <a:ext cx="165143" cy="412859"/>
      </dsp:txXfrm>
    </dsp:sp>
    <dsp:sp modelId="{6009EA10-1C16-4FE3-BAE3-76036155DC5B}">
      <dsp:nvSpPr>
        <dsp:cNvPr id="10" name="矩形 9" hidden="1"/>
        <dsp:cNvSpPr/>
      </dsp:nvSpPr>
      <dsp:spPr>
        <a:xfrm>
          <a:off x="999118" y="797900"/>
          <a:ext cx="165143" cy="412859"/>
        </a:xfrm>
        <a:prstGeom prst="rect">
          <a:avLst/>
        </a:prstGeom>
      </dsp:spPr>
      <dsp:txXfrm>
        <a:off x="999118" y="797900"/>
        <a:ext cx="165143" cy="412859"/>
      </dsp:txXfrm>
    </dsp:sp>
    <dsp:sp modelId="{F9B00E4C-41CB-4A52-9ACB-990E98F3DD72}">
      <dsp:nvSpPr>
        <dsp:cNvPr id="13" name="矩形 12" hidden="1"/>
        <dsp:cNvSpPr/>
      </dsp:nvSpPr>
      <dsp:spPr>
        <a:xfrm>
          <a:off x="1998236" y="797900"/>
          <a:ext cx="165143" cy="412859"/>
        </a:xfrm>
        <a:prstGeom prst="rect">
          <a:avLst/>
        </a:prstGeom>
      </dsp:spPr>
      <dsp:txXfrm>
        <a:off x="1998236" y="797900"/>
        <a:ext cx="165143" cy="412859"/>
      </dsp:txXfrm>
    </dsp:sp>
    <dsp:sp modelId="{B6D240EF-8F08-42DE-A48C-0EF2FFC00BEE}">
      <dsp:nvSpPr>
        <dsp:cNvPr id="16" name="矩形 15" hidden="1"/>
        <dsp:cNvSpPr/>
      </dsp:nvSpPr>
      <dsp:spPr>
        <a:xfrm>
          <a:off x="2997354" y="797900"/>
          <a:ext cx="165143" cy="412859"/>
        </a:xfrm>
        <a:prstGeom prst="rect">
          <a:avLst/>
        </a:prstGeom>
      </dsp:spPr>
      <dsp:txXfrm>
        <a:off x="2997354" y="797900"/>
        <a:ext cx="165143" cy="412859"/>
      </dsp:txXfrm>
    </dsp:sp>
    <dsp:sp modelId="{96A32374-5721-42AA-947E-DC15D8DF911E}">
      <dsp:nvSpPr>
        <dsp:cNvPr id="19" name="矩形 18" hidden="1"/>
        <dsp:cNvSpPr/>
      </dsp:nvSpPr>
      <dsp:spPr>
        <a:xfrm>
          <a:off x="3996473" y="794990"/>
          <a:ext cx="165143" cy="412859"/>
        </a:xfrm>
        <a:prstGeom prst="rect">
          <a:avLst/>
        </a:prstGeom>
      </dsp:spPr>
      <dsp:txXfrm>
        <a:off x="3996473" y="794990"/>
        <a:ext cx="165143" cy="412859"/>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rSet qsTypeId="urn:microsoft.com/office/officeart/2005/8/quickstyle/simple5"/>
        </dgm:pt>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linDir" val="fromT"/>
                  <dgm:param type="chAlign" val="r"/>
                </dgm:alg>
              </dgm:if>
              <dgm:if name="Name23" func="var" arg="hierBranch" op="equ" val="r">
                <dgm:alg type="hierChild">
                  <dgm:param type="linDir" val="fromT"/>
                  <dgm:param type="chAlign" val="l"/>
                </dgm:alg>
              </dgm:if>
              <dgm:if name="Name24" func="var" arg="hierBranch" op="equ" val="hang">
                <dgm:choose name="Name25">
                  <dgm:if name="Name26" func="var" arg="dir" op="equ" val="norm">
                    <dgm:alg type="hierChild">
                      <dgm:param type="linDir" val="fromL"/>
                      <dgm:param type="chAlign" val="l"/>
                      <dgm:param type="secLinDir" val="fromT"/>
                      <dgm:param type="secChAlign" val="t"/>
                    </dgm:alg>
                  </dgm:if>
                  <dgm:else name="Name27">
                    <dgm:alg type="hierChild">
                      <dgm:param type="linDir" val="fromR"/>
                      <dgm:param type="chAlign" val="l"/>
                      <dgm:param type="secLinDir" val="fromT"/>
                      <dgm:param type="secChAlign" val="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dim" val="1D"/>
                        <dgm:param type="endSty" val="noArr"/>
                        <dgm:param type="connRout" val="bend"/>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dim" val="1D"/>
                            <dgm:param type="endSty" val="noArr"/>
                            <dgm:param type="connRout" val="bend"/>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dim" val="1D"/>
                                    <dgm:param type="endSty" val="noArr"/>
                                    <dgm:param type="connRout" val="bend"/>
                                    <dgm:param type="begPts" val="bCtr"/>
                                    <dgm:param type="endPts" val="midL midR"/>
                                  </dgm:alg>
                                </dgm:if>
                                <dgm:else name="Name45">
                                  <dgm:alg type="conn">
                                    <dgm:param type="srcNode" val="rootConnector"/>
                                    <dgm:param type="dim" val="1D"/>
                                    <dgm:param type="endSty" val="noArr"/>
                                    <dgm:param type="connRout" val="bend"/>
                                    <dgm:param type="begPts" val="bCtr"/>
                                    <dgm:param type="endPts" val="midL midR"/>
                                  </dgm:alg>
                                </dgm:else>
                              </dgm:choose>
                            </dgm:if>
                            <dgm:else name="Name46">
                              <dgm:alg type="conn">
                                <dgm:param type="dim" val="1D"/>
                                <dgm:param type="endSty" val="noArr"/>
                                <dgm:param type="connRout" val="bend"/>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dim" val="1D"/>
                        <dgm:param type="endSty" val="noArr"/>
                        <dgm:param type="connRout" val="bend"/>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dim" val="1D"/>
                                <dgm:param type="endSty" val="noArr"/>
                                <dgm:param type="connRout" val="bend"/>
                                <dgm:param type="begPts" val="bCtr"/>
                                <dgm:param type="endPts" val="midL midR"/>
                              </dgm:alg>
                            </dgm:if>
                            <dgm:else name="Name55">
                              <dgm:alg type="conn">
                                <dgm:param type="srcNode" val="rootConnector1"/>
                                <dgm:param type="dim" val="1D"/>
                                <dgm:param type="endSty" val="noArr"/>
                                <dgm:param type="connRout" val="bend"/>
                                <dgm:param type="begPts" val="bCtr"/>
                                <dgm:param type="endPts" val="midL midR"/>
                              </dgm:alg>
                            </dgm:else>
                          </dgm:choose>
                        </dgm:if>
                        <dgm:else name="Name56">
                          <dgm:choose name="Name57">
                            <dgm:if name="Name58" axis="par ch" ptType="node asst" func="cnt" op="gte" val="1">
                              <dgm:alg type="conn">
                                <dgm:param type="dim" val="1D"/>
                                <dgm:param type="endSty" val="noArr"/>
                                <dgm:param type="connRout" val="bend"/>
                                <dgm:param type="begPts" val="bCtr"/>
                                <dgm:param type="endPts" val="midL midR"/>
                              </dgm:alg>
                            </dgm:if>
                            <dgm:else name="Name59">
                              <dgm:alg type="conn">
                                <dgm:param type="srcNode" val="rootConnector"/>
                                <dgm:param type="dim" val="1D"/>
                                <dgm:param type="endSty" val="noArr"/>
                                <dgm:param type="connRout" val="bend"/>
                                <dgm:param type="begPts" val="bCtr"/>
                                <dgm:param type="endPts" val="midL mid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linDir" val="fromT"/>
                        <dgm:param type="chAlign" val="r"/>
                      </dgm:alg>
                    </dgm:if>
                    <dgm:if name="Name85" func="var" arg="hierBranch" op="equ" val="r">
                      <dgm:alg type="hierChild">
                        <dgm:param type="linDir" val="fromT"/>
                        <dgm:param type="chAlign" val="l"/>
                      </dgm:alg>
                    </dgm:if>
                    <dgm:if name="Name86" func="var" arg="hierBranch" op="equ" val="hang">
                      <dgm:choose name="Name87">
                        <dgm:if name="Name88" func="var" arg="dir" op="equ" val="norm">
                          <dgm:alg type="hierChild">
                            <dgm:param type="linDir" val="fromL"/>
                            <dgm:param type="chAlign" val="l"/>
                            <dgm:param type="secLinDir" val="fromT"/>
                            <dgm:param type="secChAlign" val="t"/>
                          </dgm:alg>
                        </dgm:if>
                        <dgm:else name="Name89">
                          <dgm:alg type="hierChild">
                            <dgm:param type="linDir" val="fromR"/>
                            <dgm:param type="chAlign" val="l"/>
                            <dgm:param type="secLinDir" val="fromT"/>
                            <dgm:param type="secChAlign" val="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linDir" val="fromT"/>
                            <dgm:param type="chAlign" val="l"/>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linDir" val="fromL"/>
                        <dgm:param type="chAlign" val="l"/>
                        <dgm:param type="secLinDir" val="fromT"/>
                        <dgm:param type="secChAlign" val="t"/>
                      </dgm:alg>
                    </dgm:if>
                    <dgm:else name="Name105">
                      <dgm:alg type="hierChild">
                        <dgm:param type="linDir" val="fromR"/>
                        <dgm:param type="chAlign" val="l"/>
                        <dgm:param type="secLinDir" val="fromT"/>
                        <dgm:param type="secChAlign" val="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linDir" val="fromL"/>
                  <dgm:param type="chAlign" val="l"/>
                  <dgm:param type="secLinDir" val="fromT"/>
                  <dgm:param type="secChAlign" val="t"/>
                </dgm:alg>
              </dgm:if>
              <dgm:else name="Name109">
                <dgm:alg type="hierChild">
                  <dgm:param type="linDir" val="fromR"/>
                  <dgm:param type="chAlign" val="l"/>
                  <dgm:param type="secLinDir" val="fromT"/>
                  <dgm:param type="secChAlign" val="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dim" val="1D"/>
                    <dgm:param type="endSty" val="noArr"/>
                    <dgm:param type="connRout" val="bend"/>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linDir" val="fromT"/>
                        <dgm:param type="chAlign" val="r"/>
                      </dgm:alg>
                    </dgm:if>
                    <dgm:if name="Name129" func="var" arg="hierBranch" op="equ" val="r">
                      <dgm:alg type="hierChild">
                        <dgm:param type="linDir" val="fromT"/>
                        <dgm:param type="chAlign" val="l"/>
                      </dgm:alg>
                    </dgm:if>
                    <dgm:if name="Name130" func="var" arg="hierBranch" op="equ" val="hang">
                      <dgm:choose name="Name131">
                        <dgm:if name="Name132" func="var" arg="dir" op="equ" val="norm">
                          <dgm:alg type="hierChild">
                            <dgm:param type="linDir" val="fromL"/>
                            <dgm:param type="chAlign" val="l"/>
                            <dgm:param type="secLinDir" val="fromT"/>
                            <dgm:param type="secChAlign" val="t"/>
                          </dgm:alg>
                        </dgm:if>
                        <dgm:else name="Name133">
                          <dgm:alg type="hierChild">
                            <dgm:param type="linDir" val="fromR"/>
                            <dgm:param type="chAlign" val="l"/>
                            <dgm:param type="secLinDir" val="fromT"/>
                            <dgm:param type="secChAlign" val="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linDir" val="fromT"/>
                            <dgm:param type="chAlign" val="l"/>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linDir" val="fromL"/>
                        <dgm:param type="chAlign" val="l"/>
                        <dgm:param type="secLinDir" val="fromT"/>
                        <dgm:param type="secChAlign" val="t"/>
                      </dgm:alg>
                    </dgm:if>
                    <dgm:else name="Name146">
                      <dgm:alg type="hierChild">
                        <dgm:param type="linDir" val="fromR"/>
                        <dgm:param type="chAlign" val="l"/>
                        <dgm:param type="secLinDir" val="fromT"/>
                        <dgm:param type="secChAlign" val="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1">
  <dgm:title val=""/>
  <dgm:desc val=""/>
  <dgm:catLst>
    <dgm:cat type="simple" pri="10100"/>
  </dgm:catLst>
  <dgm:scene3d>
    <a:camera prst="orthographicFront"/>
    <a:lightRig rig="threePt" dir="t"/>
  </dgm:scene3d>
  <dgm:styleLbl name="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asst0">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asst1">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asst2">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asst3">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asst4">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txPr/>
    <dgm:style>
      <a:lnRef idx="0">
        <a:scrgbClr r="0" g="0" b="0"/>
      </a:lnRef>
      <a:fillRef idx="1">
        <a:scrgbClr r="0" g="0" b="0"/>
      </a:fillRef>
      <a:effectRef idx="0">
        <a:scrgbClr r="0" g="0" b="0"/>
      </a:effectRef>
      <a:fontRef idx="minor">
        <a:sysClr val="window" lastClr="FFFFFF"/>
      </a:fontRef>
    </dgm:style>
  </dgm:styleLbl>
  <dgm:styleLbl name="callout">
    <dgm:scene3d>
      <a:camera prst="orthographicFront"/>
      <a:lightRig rig="threePt" dir="t"/>
    </dgm:scene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txPr/>
    <dgm:style>
      <a:lnRef idx="0">
        <a:scrgbClr r="0" g="0" b="0"/>
      </a:lnRef>
      <a:fillRef idx="1">
        <a:scrgbClr r="0" g="0" b="0"/>
      </a:fillRef>
      <a:effectRef idx="0">
        <a:scrgbClr r="0" g="0" b="0"/>
      </a:effectRef>
      <a:fontRef idx="minor">
        <a:sysClr val="window" lastClr="FFFFFF"/>
      </a:fontRef>
    </dgm:style>
  </dgm:styleLbl>
  <dgm:styleLbl name="lnNode1">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node0">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node1">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node2">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node3">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node4">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parChTrans1D1">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parChTrans2D2">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parChTrans2D3">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parChTrans2D4">
    <dgm:scene3d>
      <a:camera prst="orthographicFront"/>
      <a:lightRig rig="threePt" dir="t"/>
    </dgm:scene3d>
    <dgm:txPr/>
    <dgm:style>
      <a:lnRef idx="2">
        <a:scrgbClr r="0" g="0" b="0"/>
      </a:lnRef>
      <a:fillRef idx="1">
        <a:scrgbClr r="0" g="0" b="0"/>
      </a:fillRef>
      <a:effectRef idx="0">
        <a:scrgbClr r="0" g="0" b="0"/>
      </a:effectRef>
      <a:fontRef idx="minor">
        <a:sysClr val="window" lastClr="FFFFFF"/>
      </a:fontRef>
    </dgm:style>
  </dgm:styleLbl>
  <dgm:styleLbl name="revTx">
    <dgm:scene3d>
      <a:camera prst="orthographicFront"/>
      <a:lightRig rig="threePt" dir="t"/>
    </dgm:scene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txPr/>
    <dgm:style>
      <a:lnRef idx="0">
        <a:scrgbClr r="0" g="0" b="0"/>
      </a:lnRef>
      <a:fillRef idx="1">
        <a:scrgbClr r="0" g="0" b="0"/>
      </a:fillRef>
      <a:effectRef idx="0">
        <a:scrgbClr r="0" g="0" b="0"/>
      </a:effectRef>
      <a:fontRef idx="minor">
        <a:sysClr val="window" lastClr="FFFFFF"/>
      </a:fontRef>
    </dgm:style>
  </dgm:styleLbl>
  <dgm:styleLbl name="solid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txPr/>
    <dgm:style>
      <a:lnRef idx="2">
        <a:scrgbClr r="0" g="0" b="0"/>
      </a:lnRef>
      <a:fillRef idx="1">
        <a:scrgbClr r="0" g="0" b="0"/>
      </a:fillRef>
      <a:effectRef idx="0">
        <a:scrgbClr r="0" g="0" b="0"/>
      </a:effectRef>
      <a:fontRef idx="minor">
        <a:sysClr val="windowText" lastClr="000000"/>
      </a:fontRef>
    </dgm:style>
  </dgm:styleLbl>
</dgm:styleDef>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0</Words>
  <Characters>0</Characters>
  <Lines>0</Lines>
  <Paragraphs>0</Paragraphs>
  <TotalTime>5</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2025-03-28T05:18:00Z</dcterms:created>
  <dc:creator>陈芊伊</dc:creator>
  <cp:lastModifiedBy>陈芊伊</cp:lastModifiedBy>
  <dcterms:modified xsi:type="dcterms:W3CDTF">2025-03-28T05:25:50Z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F6AD1BD0711D4272BDFC7487719D9EA9_11</vt:lpwstr>
  </property>
  <property fmtid="{D5CDD505-2E9C-101B-9397-08002B2CF9AE}" pid="4" name="KSOTemplateDocerSaveRecord">
    <vt:lpwstr>eyJoZGlkIjoiM2FiMTNiNDM0MzQ4MmYyNzMyMjVkMzRjN2JkN2ViNDEiLCJ1c2VySWQiOiIyMDMwMTYzNjUifQ==</vt:lpwstr>
  </property>
</Properties>
</file>