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1FEA8">
      <w:pPr>
        <w:pStyle w:val="2"/>
        <w:spacing w:before="0" w:after="100" w:afterAutospacing="1" w:line="360" w:lineRule="auto"/>
        <w:jc w:val="center"/>
        <w:rPr>
          <w:rFonts w:hint="eastAsia" w:ascii="宋体" w:hAnsi="宋体"/>
          <w:kern w:val="0"/>
          <w:sz w:val="30"/>
          <w:szCs w:val="30"/>
          <w:lang w:eastAsia="zh-CN"/>
        </w:rPr>
      </w:pPr>
      <w:r>
        <w:rPr>
          <w:rFonts w:hint="eastAsia" w:ascii="宋体" w:hAnsi="宋体"/>
          <w:kern w:val="0"/>
          <w:sz w:val="30"/>
          <w:szCs w:val="30"/>
          <w:lang w:eastAsia="zh-CN"/>
        </w:rPr>
        <w:t>留置专区看护重点安保服务项目采购需求</w:t>
      </w:r>
    </w:p>
    <w:p w14:paraId="1FB35FC1">
      <w:pPr>
        <w:widowControl/>
        <w:spacing w:line="360" w:lineRule="auto"/>
        <w:ind w:firstLine="422" w:firstLineChars="200"/>
        <w:jc w:val="left"/>
        <w:rPr>
          <w:rFonts w:hint="eastAsia" w:ascii="宋体" w:hAnsi="宋体" w:cs="宋体"/>
          <w:b/>
          <w:kern w:val="0"/>
          <w:szCs w:val="21"/>
        </w:rPr>
      </w:pPr>
      <w:r>
        <w:rPr>
          <w:rFonts w:hint="eastAsia" w:ascii="宋体" w:hAnsi="宋体" w:cs="宋体"/>
          <w:b/>
          <w:kern w:val="0"/>
          <w:szCs w:val="21"/>
        </w:rPr>
        <w:t>一、项目基本概况：</w:t>
      </w:r>
    </w:p>
    <w:p w14:paraId="3F6D3818">
      <w:pPr>
        <w:widowControl/>
        <w:spacing w:line="360" w:lineRule="auto"/>
        <w:ind w:firstLine="420" w:firstLineChars="200"/>
        <w:jc w:val="left"/>
        <w:rPr>
          <w:rFonts w:hint="eastAsia" w:ascii="宋体" w:hAnsi="宋体" w:cs="宋体"/>
          <w:b/>
          <w:kern w:val="0"/>
          <w:szCs w:val="21"/>
        </w:rPr>
      </w:pPr>
      <w:r>
        <w:rPr>
          <w:rFonts w:hint="eastAsia" w:ascii="宋体" w:hAnsi="宋体" w:cs="宋体"/>
          <w:kern w:val="0"/>
          <w:szCs w:val="21"/>
        </w:rPr>
        <w:t>1、项目概况：执纪审查安全事关党的形象，事关社会政治稳定和反腐败工作的健康发展。深化国家监察体制改革，是以习近平同志为核心的党中央作出的重大决策部署，是事关全局的重大政治体制改革，是强化党和国家自我监督的重大战略举措。确保执纪审查安全，也是推进国家监察体制改革试点工作，贯彻落实党的十九大精神的具体体现。根据《中华人民共和国监察法》，为规范本市公安机关留置专区看护管理工作，特组建一支政治可靠、素质过硬的留置专区看护队伍。</w:t>
      </w:r>
      <w:r>
        <w:rPr>
          <w:rFonts w:hint="eastAsia" w:ascii="宋体" w:hAnsi="宋体" w:cs="宋体"/>
          <w:b/>
          <w:kern w:val="0"/>
          <w:szCs w:val="21"/>
        </w:rPr>
        <w:t>（详见人员设备配置表）</w:t>
      </w:r>
    </w:p>
    <w:p w14:paraId="5C0DC769">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青浦区纪委监委对有关人员采取留置措施时，在纪委监委的领导和管理下，履行留置措施看护工作职责任务；没有看护任务时，在青浦区公安分局、青浦看守所组织管理下，履行看守监控工作职责。协助民警开展其他工作、应急处置等；</w:t>
      </w:r>
    </w:p>
    <w:p w14:paraId="17A7E70E">
      <w:pPr>
        <w:spacing w:line="360" w:lineRule="auto"/>
        <w:ind w:firstLine="420"/>
        <w:rPr>
          <w:rFonts w:hint="eastAsia" w:ascii="宋体"/>
          <w:b/>
          <w:szCs w:val="21"/>
        </w:rPr>
      </w:pPr>
      <w:r>
        <w:rPr>
          <w:rFonts w:hint="eastAsia" w:ascii="宋体"/>
          <w:b/>
          <w:szCs w:val="21"/>
        </w:rPr>
        <w:t>二、保安岗位资格要求</w:t>
      </w:r>
    </w:p>
    <w:p w14:paraId="1F57CABF">
      <w:pPr>
        <w:spacing w:line="360" w:lineRule="auto"/>
        <w:ind w:firstLine="420"/>
        <w:rPr>
          <w:rFonts w:hint="eastAsia" w:ascii="宋体"/>
          <w:szCs w:val="21"/>
        </w:rPr>
      </w:pPr>
      <w:r>
        <w:rPr>
          <w:rFonts w:hint="eastAsia" w:ascii="宋体"/>
          <w:szCs w:val="21"/>
        </w:rPr>
        <w:t>1、每位保安人员必须全部持证（保安员证）上岗；新进保安人员要事先报甲方备案许可并面试后，方可上岗。</w:t>
      </w:r>
    </w:p>
    <w:p w14:paraId="0609BFE1">
      <w:pPr>
        <w:spacing w:line="360" w:lineRule="auto"/>
        <w:ind w:firstLine="420"/>
        <w:rPr>
          <w:rFonts w:hint="eastAsia" w:ascii="宋体"/>
          <w:szCs w:val="21"/>
        </w:rPr>
      </w:pPr>
      <w:r>
        <w:rPr>
          <w:rFonts w:hint="eastAsia" w:ascii="宋体"/>
          <w:szCs w:val="21"/>
        </w:rPr>
        <w:t>2、投标人应派遣优秀合适的管理人员进驻现场，其中队长必须具备3年以上相关项目或类似项目管理经验</w:t>
      </w:r>
      <w:r>
        <w:rPr>
          <w:rFonts w:hint="eastAsia" w:ascii="宋体"/>
          <w:szCs w:val="21"/>
          <w:lang w:eastAsia="zh-CN"/>
        </w:rPr>
        <w:t>，</w:t>
      </w:r>
      <w:r>
        <w:rPr>
          <w:rFonts w:hint="eastAsia" w:ascii="宋体"/>
          <w:szCs w:val="21"/>
        </w:rPr>
        <w:t>大专以上文化程度</w:t>
      </w:r>
      <w:r>
        <w:rPr>
          <w:rFonts w:hint="eastAsia" w:ascii="宋体"/>
          <w:szCs w:val="21"/>
          <w:lang w:eastAsia="zh-CN"/>
        </w:rPr>
        <w:t>，</w:t>
      </w:r>
      <w:r>
        <w:rPr>
          <w:rFonts w:hint="eastAsia" w:ascii="宋体" w:hAnsi="宋体" w:eastAsia="宋体" w:cs="宋体"/>
          <w:color w:val="000000"/>
          <w:kern w:val="0"/>
          <w:sz w:val="21"/>
          <w:szCs w:val="21"/>
          <w:lang w:val="en-US" w:eastAsia="zh-CN" w:bidi="ar-SA"/>
        </w:rPr>
        <w:t>具有保卫管理员三级及以上</w:t>
      </w:r>
      <w:r>
        <w:rPr>
          <w:rFonts w:hint="eastAsia" w:ascii="宋体" w:hAnsi="宋体" w:cs="宋体"/>
          <w:color w:val="000000"/>
          <w:kern w:val="0"/>
          <w:sz w:val="21"/>
          <w:szCs w:val="21"/>
          <w:lang w:val="en-US" w:eastAsia="zh-CN" w:bidi="ar-SA"/>
        </w:rPr>
        <w:t>资质</w:t>
      </w:r>
      <w:r>
        <w:rPr>
          <w:rFonts w:hint="eastAsia" w:ascii="宋体" w:hAnsi="宋体" w:eastAsia="宋体" w:cs="宋体"/>
          <w:color w:val="000000"/>
          <w:kern w:val="0"/>
          <w:sz w:val="21"/>
          <w:szCs w:val="21"/>
          <w:lang w:val="en-US" w:eastAsia="zh-CN" w:bidi="ar-SA"/>
        </w:rPr>
        <w:t>证书</w:t>
      </w:r>
      <w:r>
        <w:rPr>
          <w:rFonts w:hint="eastAsia" w:ascii="宋体"/>
          <w:szCs w:val="21"/>
        </w:rPr>
        <w:t>。</w:t>
      </w:r>
    </w:p>
    <w:p w14:paraId="3F12E0F2">
      <w:pPr>
        <w:spacing w:line="360" w:lineRule="auto"/>
        <w:ind w:firstLine="420"/>
        <w:rPr>
          <w:rFonts w:hint="eastAsia" w:ascii="宋体"/>
          <w:szCs w:val="21"/>
        </w:rPr>
      </w:pPr>
      <w:r>
        <w:rPr>
          <w:rFonts w:hint="eastAsia" w:ascii="宋体"/>
          <w:szCs w:val="21"/>
        </w:rPr>
        <w:t>3、采购人有权在提前5个工作日通知中标人的前提条件下要求中标人更换认为不适合继续工作的保安人员。</w:t>
      </w:r>
    </w:p>
    <w:p w14:paraId="524C8552">
      <w:pPr>
        <w:spacing w:line="360" w:lineRule="auto"/>
        <w:ind w:firstLine="420"/>
        <w:rPr>
          <w:rFonts w:hint="eastAsia" w:ascii="宋体"/>
          <w:b/>
          <w:szCs w:val="21"/>
        </w:rPr>
      </w:pPr>
      <w:r>
        <w:rPr>
          <w:rFonts w:hint="eastAsia" w:ascii="宋体"/>
          <w:b/>
          <w:szCs w:val="21"/>
        </w:rPr>
        <w:t>三、保安人员标准</w:t>
      </w:r>
    </w:p>
    <w:p w14:paraId="5CA379B9">
      <w:pPr>
        <w:spacing w:line="360" w:lineRule="auto"/>
        <w:ind w:firstLine="420"/>
        <w:rPr>
          <w:rFonts w:hint="eastAsia" w:ascii="宋体"/>
          <w:szCs w:val="21"/>
        </w:rPr>
      </w:pPr>
      <w:r>
        <w:rPr>
          <w:rFonts w:hint="eastAsia" w:ascii="宋体"/>
          <w:szCs w:val="21"/>
        </w:rPr>
        <w:t>1、服从中国共产党的领导，拥护党的四项基本原则和中华人民共和国宪法、政治历史清楚、遵纪守法、作风正派、品行端正，具有履行岗位职责的身体条件、资格条件和工作能力，能够保守工作秘密，本人、家庭成员及社会关系中没有违法犯罪记录，本人没有被开除或辞退记录。</w:t>
      </w:r>
    </w:p>
    <w:p w14:paraId="33191CDA">
      <w:pPr>
        <w:spacing w:line="360" w:lineRule="auto"/>
        <w:ind w:firstLine="420"/>
        <w:rPr>
          <w:rFonts w:hint="eastAsia" w:ascii="宋体"/>
          <w:szCs w:val="21"/>
        </w:rPr>
      </w:pPr>
      <w:r>
        <w:rPr>
          <w:rFonts w:hint="eastAsia" w:ascii="宋体"/>
          <w:szCs w:val="21"/>
          <w:lang w:val="en-US" w:eastAsia="zh-CN"/>
        </w:rPr>
        <w:t>2</w:t>
      </w:r>
      <w:r>
        <w:rPr>
          <w:rFonts w:hint="eastAsia" w:ascii="宋体"/>
          <w:szCs w:val="21"/>
        </w:rPr>
        <w:t>、身体健康，五官端正，裸眼视力1.0以上，无纹身、男性无耳洞等，无残疾，口吃、斜视、精神病史、传染病史以及各类慢性疾病。</w:t>
      </w:r>
    </w:p>
    <w:p w14:paraId="65749888">
      <w:pPr>
        <w:spacing w:line="360" w:lineRule="auto"/>
        <w:ind w:firstLine="420"/>
        <w:rPr>
          <w:rFonts w:hint="eastAsia" w:ascii="宋体"/>
          <w:szCs w:val="21"/>
        </w:rPr>
      </w:pPr>
      <w:r>
        <w:rPr>
          <w:rFonts w:hint="eastAsia" w:ascii="宋体"/>
          <w:szCs w:val="21"/>
          <w:lang w:val="en-US" w:eastAsia="zh-CN"/>
        </w:rPr>
        <w:t>3</w:t>
      </w:r>
      <w:r>
        <w:rPr>
          <w:rFonts w:hint="eastAsia" w:ascii="宋体"/>
          <w:szCs w:val="21"/>
        </w:rPr>
        <w:t>、具有良好团队精神、较强的应变能力、工作认真负责，能吃苦耐劳，能服从安排、听从命令、服从值班、加班安排，组织纪律观念强。</w:t>
      </w:r>
    </w:p>
    <w:p w14:paraId="1A77E7BD">
      <w:pPr>
        <w:spacing w:line="360" w:lineRule="auto"/>
        <w:ind w:firstLine="420"/>
        <w:rPr>
          <w:rFonts w:hint="eastAsia" w:ascii="宋体"/>
          <w:szCs w:val="21"/>
        </w:rPr>
      </w:pPr>
      <w:r>
        <w:rPr>
          <w:rFonts w:hint="eastAsia" w:ascii="宋体"/>
          <w:szCs w:val="21"/>
          <w:lang w:val="en-US" w:eastAsia="zh-CN"/>
        </w:rPr>
        <w:t>4</w:t>
      </w:r>
      <w:r>
        <w:rPr>
          <w:rFonts w:hint="eastAsia" w:ascii="宋体"/>
          <w:szCs w:val="21"/>
        </w:rPr>
        <w:t>、遵纪守法观念强，能严格执行国家法律法规，自觉遵守</w:t>
      </w:r>
      <w:r>
        <w:rPr>
          <w:rFonts w:hint="eastAsia" w:ascii="宋体"/>
          <w:szCs w:val="21"/>
          <w:lang w:eastAsia="zh-CN"/>
        </w:rPr>
        <w:t>签署的保密协议及</w:t>
      </w:r>
      <w:r>
        <w:rPr>
          <w:rFonts w:hint="eastAsia" w:ascii="宋体"/>
          <w:szCs w:val="21"/>
        </w:rPr>
        <w:t>甲、乙双方制定的各项规章制度。</w:t>
      </w:r>
    </w:p>
    <w:p w14:paraId="14C24CDF">
      <w:pPr>
        <w:spacing w:line="360" w:lineRule="auto"/>
        <w:ind w:firstLine="420"/>
        <w:rPr>
          <w:rFonts w:hint="eastAsia" w:ascii="宋体"/>
          <w:szCs w:val="21"/>
          <w:lang w:val="en-US" w:eastAsia="zh-CN"/>
        </w:rPr>
      </w:pPr>
      <w:r>
        <w:rPr>
          <w:rFonts w:hint="eastAsia" w:ascii="宋体"/>
          <w:szCs w:val="21"/>
          <w:lang w:val="en-US" w:eastAsia="zh-CN"/>
        </w:rPr>
        <w:t>5、拥护中华人民共和国宪法，遵守国家法律法规，自愿从事留置专区看护工作，能够保守国家秘密、工作秘密，遵守工作纪律，具有忠诚、奉献、吃苦耐劳的精神;</w:t>
      </w:r>
    </w:p>
    <w:p w14:paraId="59946224">
      <w:pPr>
        <w:spacing w:line="360" w:lineRule="auto"/>
        <w:ind w:firstLine="420"/>
        <w:rPr>
          <w:rFonts w:hint="eastAsia" w:ascii="宋体"/>
          <w:szCs w:val="21"/>
          <w:lang w:val="en-US" w:eastAsia="zh-CN"/>
        </w:rPr>
      </w:pPr>
      <w:r>
        <w:rPr>
          <w:rFonts w:hint="eastAsia" w:ascii="宋体"/>
          <w:szCs w:val="21"/>
          <w:lang w:val="en-US" w:eastAsia="zh-CN"/>
        </w:rPr>
        <w:t>7、年龄须在18周岁以上、40周岁以下，特别优秀的可放宽至45周岁:</w:t>
      </w:r>
    </w:p>
    <w:p w14:paraId="6ADB1505">
      <w:pPr>
        <w:spacing w:line="360" w:lineRule="auto"/>
        <w:ind w:firstLine="420"/>
        <w:rPr>
          <w:rFonts w:hint="eastAsia" w:ascii="宋体"/>
          <w:szCs w:val="21"/>
          <w:lang w:val="en-US" w:eastAsia="zh-CN"/>
        </w:rPr>
      </w:pPr>
      <w:r>
        <w:rPr>
          <w:rFonts w:hint="eastAsia" w:ascii="宋体"/>
          <w:szCs w:val="21"/>
          <w:lang w:val="en-US" w:eastAsia="zh-CN"/>
        </w:rPr>
        <w:t>8、身体健康，无传染性和重大器质性疾病，体形端正视力良好，具备正常履行职责的身体条件，能适应夜间值班和加班等工作需求;</w:t>
      </w:r>
    </w:p>
    <w:p w14:paraId="5C3A7966">
      <w:pPr>
        <w:spacing w:line="360" w:lineRule="auto"/>
        <w:ind w:firstLine="420"/>
        <w:rPr>
          <w:rFonts w:hint="eastAsia" w:ascii="宋体"/>
          <w:szCs w:val="21"/>
          <w:lang w:val="en-US" w:eastAsia="zh-CN"/>
        </w:rPr>
      </w:pPr>
      <w:r>
        <w:rPr>
          <w:rFonts w:hint="eastAsia" w:ascii="宋体"/>
          <w:szCs w:val="21"/>
          <w:lang w:val="en-US" w:eastAsia="zh-CN"/>
        </w:rPr>
        <w:t>9、具有大学专科以上文化程度，获得国家保安员资格证书，能操作电脑，</w:t>
      </w:r>
      <w:r>
        <w:rPr>
          <w:rFonts w:hint="eastAsia" w:ascii="宋体"/>
          <w:szCs w:val="21"/>
        </w:rPr>
        <w:t>男性身高172CM以上、女性身高160CM以上，中共党员或退役军人可适当放宽文化程度要求</w:t>
      </w:r>
      <w:r>
        <w:rPr>
          <w:rFonts w:hint="eastAsia" w:ascii="宋体"/>
          <w:szCs w:val="21"/>
          <w:lang w:val="en-US" w:eastAsia="zh-CN"/>
        </w:rPr>
        <w:t>;</w:t>
      </w:r>
    </w:p>
    <w:p w14:paraId="48C17007">
      <w:pPr>
        <w:spacing w:line="360" w:lineRule="auto"/>
        <w:ind w:firstLine="420"/>
        <w:rPr>
          <w:rFonts w:hint="eastAsia" w:ascii="宋体"/>
          <w:szCs w:val="21"/>
          <w:lang w:val="en-US" w:eastAsia="zh-CN"/>
        </w:rPr>
      </w:pPr>
      <w:r>
        <w:rPr>
          <w:rFonts w:hint="eastAsia" w:ascii="宋体"/>
          <w:szCs w:val="21"/>
          <w:lang w:val="en-US" w:eastAsia="zh-CN"/>
        </w:rPr>
        <w:t>10、具有一定法律知识、类似岗位工作经历的人员，中共党员或退役军人可优先录用。</w:t>
      </w:r>
    </w:p>
    <w:p w14:paraId="6B3A0455">
      <w:pPr>
        <w:spacing w:line="360" w:lineRule="auto"/>
        <w:ind w:firstLine="420"/>
        <w:rPr>
          <w:rFonts w:hint="eastAsia" w:ascii="宋体"/>
          <w:szCs w:val="21"/>
          <w:lang w:val="en-US" w:eastAsia="zh-CN"/>
        </w:rPr>
      </w:pPr>
      <w:r>
        <w:rPr>
          <w:rFonts w:hint="eastAsia" w:ascii="宋体"/>
          <w:szCs w:val="21"/>
          <w:lang w:val="en-US" w:eastAsia="zh-CN"/>
        </w:rPr>
        <w:t>11、 具有下列情形之一的，不得招录为留置专区特殊保安:</w:t>
      </w:r>
    </w:p>
    <w:p w14:paraId="41DD9863">
      <w:pPr>
        <w:spacing w:line="360" w:lineRule="auto"/>
        <w:ind w:firstLine="420"/>
        <w:rPr>
          <w:rFonts w:hint="eastAsia" w:ascii="宋体"/>
          <w:szCs w:val="21"/>
          <w:lang w:val="en-US" w:eastAsia="zh-CN"/>
        </w:rPr>
      </w:pPr>
      <w:r>
        <w:rPr>
          <w:rFonts w:hint="eastAsia" w:ascii="宋体"/>
          <w:szCs w:val="21"/>
          <w:lang w:val="en-US" w:eastAsia="zh-CN"/>
        </w:rPr>
        <w:t>(一)受过刑事或治安管理处罚的;</w:t>
      </w:r>
    </w:p>
    <w:p w14:paraId="06491887">
      <w:pPr>
        <w:spacing w:line="360" w:lineRule="auto"/>
        <w:ind w:firstLine="420"/>
        <w:rPr>
          <w:rFonts w:hint="eastAsia" w:ascii="宋体"/>
          <w:szCs w:val="21"/>
          <w:lang w:val="en-US" w:eastAsia="zh-CN"/>
        </w:rPr>
      </w:pPr>
      <w:r>
        <w:rPr>
          <w:rFonts w:hint="eastAsia" w:ascii="宋体"/>
          <w:szCs w:val="21"/>
          <w:lang w:val="en-US" w:eastAsia="zh-CN"/>
        </w:rPr>
        <w:t>(二)曾被行政拘留、收容教养、劳动教养或有吸毒史的;(三)曾因违规违纪被国家机关或者企事业单位处分、开除辞退、解聘的;</w:t>
      </w:r>
    </w:p>
    <w:p w14:paraId="050BB036">
      <w:pPr>
        <w:spacing w:line="360" w:lineRule="auto"/>
        <w:ind w:firstLine="420"/>
        <w:rPr>
          <w:rFonts w:hint="eastAsia" w:ascii="宋体"/>
          <w:szCs w:val="21"/>
          <w:lang w:val="en-US" w:eastAsia="zh-CN"/>
        </w:rPr>
      </w:pPr>
      <w:r>
        <w:rPr>
          <w:rFonts w:hint="eastAsia" w:ascii="宋体"/>
          <w:szCs w:val="21"/>
          <w:lang w:val="en-US" w:eastAsia="zh-CN"/>
        </w:rPr>
        <w:t>(四)本人或家庭成员、近亲属参加非法组织、邪教组织或从事其他危害国家安全活动的;</w:t>
      </w:r>
    </w:p>
    <w:p w14:paraId="6DFF85F2">
      <w:pPr>
        <w:spacing w:line="360" w:lineRule="auto"/>
        <w:ind w:firstLine="420"/>
        <w:rPr>
          <w:rFonts w:hint="eastAsia" w:ascii="宋体"/>
          <w:szCs w:val="21"/>
          <w:lang w:val="en-US" w:eastAsia="zh-CN"/>
        </w:rPr>
      </w:pPr>
      <w:r>
        <w:rPr>
          <w:rFonts w:hint="eastAsia" w:ascii="宋体"/>
          <w:szCs w:val="21"/>
          <w:lang w:val="en-US" w:eastAsia="zh-CN"/>
        </w:rPr>
        <w:t>(五)有较为严重的个人不良信用记录的;</w:t>
      </w:r>
    </w:p>
    <w:p w14:paraId="3105EC80">
      <w:pPr>
        <w:spacing w:line="360" w:lineRule="auto"/>
        <w:ind w:firstLine="420"/>
        <w:rPr>
          <w:rFonts w:hint="eastAsia" w:ascii="宋体"/>
          <w:szCs w:val="21"/>
          <w:lang w:val="en-US" w:eastAsia="zh-CN"/>
        </w:rPr>
      </w:pPr>
      <w:r>
        <w:rPr>
          <w:rFonts w:hint="eastAsia" w:ascii="宋体"/>
          <w:szCs w:val="21"/>
          <w:lang w:val="en-US" w:eastAsia="zh-CN"/>
        </w:rPr>
        <w:t>(六)其他不适合从事留置专区看护工作的，</w:t>
      </w:r>
    </w:p>
    <w:p w14:paraId="0BECEFB2">
      <w:pPr>
        <w:spacing w:line="360" w:lineRule="auto"/>
        <w:ind w:firstLine="422" w:firstLineChars="200"/>
        <w:rPr>
          <w:rFonts w:hint="eastAsia" w:ascii="宋体" w:hAnsi="宋体" w:eastAsia="宋体"/>
          <w:b/>
          <w:szCs w:val="21"/>
          <w:lang w:val="en-US" w:eastAsia="zh-CN"/>
        </w:rPr>
      </w:pPr>
      <w:r>
        <w:rPr>
          <w:rFonts w:hint="eastAsia" w:ascii="宋体" w:hAnsi="宋体"/>
          <w:b/>
          <w:szCs w:val="21"/>
        </w:rPr>
        <w:t>四、岗位配置表</w:t>
      </w:r>
      <w:r>
        <w:rPr>
          <w:rFonts w:hint="eastAsia" w:ascii="宋体" w:hAnsi="宋体"/>
          <w:b/>
          <w:szCs w:val="21"/>
          <w:lang w:val="en-US" w:eastAsia="zh-CN"/>
        </w:rPr>
        <w:t xml:space="preserve">   </w:t>
      </w:r>
      <w:r>
        <w:rPr>
          <w:rFonts w:hint="eastAsia"/>
          <w:color w:val="000000"/>
        </w:rPr>
        <w:t>“★”：</w:t>
      </w:r>
      <w:r>
        <w:rPr>
          <w:rFonts w:hint="eastAsia" w:ascii="宋体"/>
          <w:szCs w:val="21"/>
        </w:rPr>
        <w:t>本项目</w:t>
      </w:r>
      <w:r>
        <w:rPr>
          <w:rFonts w:hint="eastAsia" w:ascii="宋体"/>
          <w:szCs w:val="21"/>
          <w:lang w:eastAsia="zh-CN"/>
        </w:rPr>
        <w:t>保安</w:t>
      </w:r>
      <w:r>
        <w:rPr>
          <w:rFonts w:hint="eastAsia" w:ascii="宋体"/>
          <w:szCs w:val="21"/>
        </w:rPr>
        <w:t>人员不少于</w:t>
      </w:r>
      <w:r>
        <w:rPr>
          <w:rFonts w:hint="eastAsia" w:ascii="宋体"/>
          <w:szCs w:val="21"/>
          <w:lang w:val="en-US" w:eastAsia="zh-CN"/>
        </w:rPr>
        <w:t>58</w:t>
      </w:r>
      <w:r>
        <w:rPr>
          <w:rFonts w:hint="eastAsia" w:ascii="宋体"/>
          <w:szCs w:val="21"/>
        </w:rPr>
        <w:t>人</w:t>
      </w:r>
      <w:r>
        <w:rPr>
          <w:rFonts w:hint="eastAsia" w:ascii="宋体"/>
          <w:szCs w:val="21"/>
          <w:lang w:eastAsia="zh-CN"/>
        </w:rPr>
        <w:t>。</w:t>
      </w:r>
    </w:p>
    <w:tbl>
      <w:tblPr>
        <w:tblStyle w:val="5"/>
        <w:tblW w:w="0" w:type="auto"/>
        <w:jc w:val="cente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autofit"/>
        <w:tblCellMar>
          <w:top w:w="0" w:type="dxa"/>
          <w:left w:w="108" w:type="dxa"/>
          <w:bottom w:w="0" w:type="dxa"/>
          <w:right w:w="108" w:type="dxa"/>
        </w:tblCellMar>
      </w:tblPr>
      <w:tblGrid>
        <w:gridCol w:w="900"/>
        <w:gridCol w:w="1832"/>
        <w:gridCol w:w="1420"/>
        <w:gridCol w:w="1420"/>
        <w:gridCol w:w="1421"/>
        <w:gridCol w:w="1421"/>
      </w:tblGrid>
      <w:tr w14:paraId="19E33ED1">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jc w:val="center"/>
        </w:trPr>
        <w:tc>
          <w:tcPr>
            <w:tcW w:w="900" w:type="dxa"/>
            <w:tcBorders>
              <w:bottom w:val="single" w:color="4F81BD" w:sz="18" w:space="0"/>
            </w:tcBorders>
            <w:vAlign w:val="center"/>
          </w:tcPr>
          <w:p w14:paraId="1BB44679">
            <w:pPr>
              <w:widowControl/>
              <w:spacing w:line="560" w:lineRule="exact"/>
              <w:jc w:val="center"/>
              <w:rPr>
                <w:rFonts w:ascii="宋体" w:hAnsi="宋体"/>
                <w:b/>
                <w:bCs/>
                <w:color w:val="000000"/>
                <w:kern w:val="0"/>
                <w:szCs w:val="21"/>
              </w:rPr>
            </w:pPr>
            <w:r>
              <w:rPr>
                <w:rFonts w:hint="eastAsia" w:ascii="宋体" w:hAnsi="宋体" w:cs="仿宋"/>
                <w:b/>
                <w:bCs/>
                <w:color w:val="000000"/>
                <w:kern w:val="0"/>
                <w:szCs w:val="21"/>
              </w:rPr>
              <w:t>序号</w:t>
            </w:r>
          </w:p>
        </w:tc>
        <w:tc>
          <w:tcPr>
            <w:tcW w:w="1832" w:type="dxa"/>
            <w:tcBorders>
              <w:bottom w:val="single" w:color="4F81BD" w:sz="18" w:space="0"/>
            </w:tcBorders>
            <w:vAlign w:val="center"/>
          </w:tcPr>
          <w:p w14:paraId="6E005C62">
            <w:pPr>
              <w:widowControl/>
              <w:spacing w:line="560" w:lineRule="exact"/>
              <w:ind w:firstLine="422" w:firstLineChars="200"/>
              <w:jc w:val="center"/>
              <w:rPr>
                <w:rFonts w:ascii="宋体" w:hAnsi="宋体"/>
                <w:b/>
                <w:bCs/>
                <w:color w:val="000000"/>
                <w:kern w:val="0"/>
                <w:szCs w:val="21"/>
              </w:rPr>
            </w:pPr>
            <w:r>
              <w:rPr>
                <w:rFonts w:hint="eastAsia" w:ascii="宋体" w:hAnsi="宋体" w:cs="仿宋"/>
                <w:b/>
                <w:bCs/>
                <w:color w:val="000000"/>
                <w:kern w:val="0"/>
                <w:szCs w:val="21"/>
              </w:rPr>
              <w:t>单位</w:t>
            </w:r>
          </w:p>
        </w:tc>
        <w:tc>
          <w:tcPr>
            <w:tcW w:w="1420" w:type="dxa"/>
            <w:tcBorders>
              <w:bottom w:val="single" w:color="4F81BD" w:sz="18" w:space="0"/>
            </w:tcBorders>
            <w:vAlign w:val="center"/>
          </w:tcPr>
          <w:p w14:paraId="1EE4FFEF">
            <w:pPr>
              <w:widowControl/>
              <w:spacing w:line="560" w:lineRule="exact"/>
              <w:ind w:firstLine="420" w:firstLineChars="200"/>
              <w:jc w:val="center"/>
              <w:rPr>
                <w:rFonts w:ascii="宋体" w:hAnsi="宋体"/>
                <w:b/>
                <w:bCs/>
                <w:color w:val="000000"/>
                <w:kern w:val="0"/>
                <w:szCs w:val="21"/>
              </w:rPr>
            </w:pPr>
            <w:r>
              <w:rPr>
                <w:rFonts w:hint="eastAsia" w:ascii="宋体" w:hAnsi="宋体" w:cs="仿宋"/>
                <w:color w:val="000000"/>
                <w:kern w:val="0"/>
                <w:szCs w:val="21"/>
              </w:rPr>
              <w:t>男</w:t>
            </w:r>
          </w:p>
        </w:tc>
        <w:tc>
          <w:tcPr>
            <w:tcW w:w="1420" w:type="dxa"/>
            <w:tcBorders>
              <w:bottom w:val="single" w:color="4F81BD" w:sz="18" w:space="0"/>
            </w:tcBorders>
            <w:vAlign w:val="center"/>
          </w:tcPr>
          <w:p w14:paraId="523B2FB1">
            <w:pPr>
              <w:widowControl/>
              <w:spacing w:line="560" w:lineRule="exact"/>
              <w:ind w:firstLine="420" w:firstLineChars="200"/>
              <w:jc w:val="center"/>
              <w:rPr>
                <w:rFonts w:ascii="宋体" w:hAnsi="宋体"/>
                <w:b/>
                <w:bCs/>
                <w:color w:val="000000"/>
                <w:kern w:val="0"/>
                <w:szCs w:val="21"/>
              </w:rPr>
            </w:pPr>
            <w:r>
              <w:rPr>
                <w:rFonts w:hint="eastAsia" w:ascii="宋体" w:hAnsi="宋体" w:cs="仿宋"/>
                <w:color w:val="000000"/>
                <w:kern w:val="0"/>
                <w:szCs w:val="21"/>
              </w:rPr>
              <w:t>女</w:t>
            </w:r>
          </w:p>
        </w:tc>
        <w:tc>
          <w:tcPr>
            <w:tcW w:w="1421" w:type="dxa"/>
            <w:tcBorders>
              <w:bottom w:val="single" w:color="4F81BD" w:sz="18" w:space="0"/>
            </w:tcBorders>
            <w:vAlign w:val="center"/>
          </w:tcPr>
          <w:p w14:paraId="43A17829">
            <w:pPr>
              <w:widowControl/>
              <w:spacing w:line="560" w:lineRule="exact"/>
              <w:ind w:firstLine="420" w:firstLineChars="200"/>
              <w:jc w:val="center"/>
              <w:rPr>
                <w:rFonts w:ascii="宋体" w:hAnsi="宋体"/>
                <w:b/>
                <w:bCs/>
                <w:color w:val="000000"/>
                <w:kern w:val="0"/>
                <w:szCs w:val="21"/>
              </w:rPr>
            </w:pPr>
            <w:r>
              <w:rPr>
                <w:rFonts w:hint="eastAsia" w:ascii="宋体" w:hAnsi="宋体" w:cs="仿宋"/>
                <w:color w:val="000000"/>
                <w:kern w:val="0"/>
                <w:szCs w:val="21"/>
              </w:rPr>
              <w:t>小计</w:t>
            </w:r>
          </w:p>
        </w:tc>
        <w:tc>
          <w:tcPr>
            <w:tcW w:w="1421" w:type="dxa"/>
            <w:tcBorders>
              <w:bottom w:val="single" w:color="4F81BD" w:sz="18" w:space="0"/>
            </w:tcBorders>
            <w:vAlign w:val="center"/>
          </w:tcPr>
          <w:p w14:paraId="248B9516">
            <w:pPr>
              <w:widowControl/>
              <w:spacing w:line="560" w:lineRule="exact"/>
              <w:ind w:firstLine="420" w:firstLineChars="200"/>
              <w:jc w:val="center"/>
              <w:rPr>
                <w:rFonts w:ascii="宋体" w:hAnsi="宋体"/>
                <w:b/>
                <w:bCs/>
                <w:color w:val="000000"/>
                <w:kern w:val="0"/>
                <w:szCs w:val="21"/>
              </w:rPr>
            </w:pPr>
            <w:r>
              <w:rPr>
                <w:rFonts w:hint="eastAsia" w:ascii="宋体" w:hAnsi="宋体" w:cs="仿宋"/>
                <w:color w:val="000000"/>
                <w:kern w:val="0"/>
                <w:szCs w:val="21"/>
              </w:rPr>
              <w:t>备注</w:t>
            </w:r>
          </w:p>
        </w:tc>
      </w:tr>
      <w:tr w14:paraId="4463711B">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jc w:val="center"/>
        </w:trPr>
        <w:tc>
          <w:tcPr>
            <w:tcW w:w="900" w:type="dxa"/>
            <w:shd w:val="clear" w:color="auto" w:fill="D3DFEE"/>
            <w:vAlign w:val="center"/>
          </w:tcPr>
          <w:p w14:paraId="3DED98E4">
            <w:pPr>
              <w:widowControl/>
              <w:spacing w:line="560" w:lineRule="exact"/>
              <w:ind w:firstLine="422" w:firstLineChars="200"/>
              <w:jc w:val="center"/>
              <w:rPr>
                <w:rFonts w:ascii="宋体" w:hAnsi="宋体" w:cs="仿宋"/>
                <w:b/>
                <w:bCs/>
                <w:color w:val="000000"/>
                <w:kern w:val="0"/>
                <w:szCs w:val="21"/>
              </w:rPr>
            </w:pPr>
            <w:r>
              <w:rPr>
                <w:rFonts w:ascii="宋体" w:hAnsi="宋体" w:cs="仿宋"/>
                <w:b/>
                <w:bCs/>
                <w:color w:val="000000"/>
                <w:kern w:val="0"/>
                <w:szCs w:val="21"/>
              </w:rPr>
              <w:t>1</w:t>
            </w:r>
          </w:p>
        </w:tc>
        <w:tc>
          <w:tcPr>
            <w:tcW w:w="1832" w:type="dxa"/>
            <w:shd w:val="clear" w:color="auto" w:fill="D3DFEE"/>
            <w:vAlign w:val="center"/>
          </w:tcPr>
          <w:p w14:paraId="5F0F28CF">
            <w:pPr>
              <w:widowControl/>
              <w:spacing w:line="560" w:lineRule="exact"/>
              <w:jc w:val="center"/>
              <w:rPr>
                <w:rFonts w:ascii="宋体" w:hAnsi="宋体"/>
                <w:b/>
                <w:bCs/>
                <w:color w:val="000000"/>
                <w:kern w:val="0"/>
                <w:szCs w:val="21"/>
              </w:rPr>
            </w:pPr>
            <w:r>
              <w:rPr>
                <w:rFonts w:hint="eastAsia" w:ascii="宋体" w:hAnsi="宋体" w:cs="仿宋"/>
                <w:b/>
                <w:bCs/>
                <w:color w:val="000000"/>
                <w:kern w:val="0"/>
                <w:szCs w:val="21"/>
              </w:rPr>
              <w:t>留置专区看护</w:t>
            </w:r>
          </w:p>
        </w:tc>
        <w:tc>
          <w:tcPr>
            <w:tcW w:w="1420" w:type="dxa"/>
            <w:shd w:val="clear" w:color="auto" w:fill="D3DFEE"/>
            <w:vAlign w:val="center"/>
          </w:tcPr>
          <w:p w14:paraId="639D8010">
            <w:pPr>
              <w:widowControl/>
              <w:spacing w:line="560" w:lineRule="exact"/>
              <w:ind w:firstLine="422" w:firstLineChars="200"/>
              <w:jc w:val="center"/>
              <w:rPr>
                <w:rFonts w:ascii="宋体" w:hAnsi="宋体" w:cs="仿宋"/>
                <w:b/>
                <w:bCs/>
                <w:color w:val="000000"/>
                <w:kern w:val="0"/>
                <w:szCs w:val="21"/>
              </w:rPr>
            </w:pPr>
            <w:r>
              <w:rPr>
                <w:rFonts w:ascii="宋体" w:hAnsi="宋体" w:cs="仿宋"/>
                <w:b/>
                <w:bCs/>
                <w:color w:val="000000"/>
                <w:kern w:val="0"/>
                <w:szCs w:val="21"/>
              </w:rPr>
              <w:t>46</w:t>
            </w:r>
          </w:p>
        </w:tc>
        <w:tc>
          <w:tcPr>
            <w:tcW w:w="1420" w:type="dxa"/>
            <w:shd w:val="clear" w:color="auto" w:fill="D3DFEE"/>
            <w:vAlign w:val="center"/>
          </w:tcPr>
          <w:p w14:paraId="2C46D11D">
            <w:pPr>
              <w:widowControl/>
              <w:spacing w:line="560" w:lineRule="exact"/>
              <w:ind w:firstLine="422" w:firstLineChars="200"/>
              <w:jc w:val="center"/>
              <w:rPr>
                <w:rFonts w:ascii="宋体" w:hAnsi="宋体" w:cs="仿宋"/>
                <w:b/>
                <w:bCs/>
                <w:color w:val="000000"/>
                <w:kern w:val="0"/>
                <w:szCs w:val="21"/>
              </w:rPr>
            </w:pPr>
            <w:r>
              <w:rPr>
                <w:rFonts w:ascii="宋体" w:hAnsi="宋体" w:cs="仿宋"/>
                <w:b/>
                <w:bCs/>
                <w:color w:val="000000"/>
                <w:kern w:val="0"/>
                <w:szCs w:val="21"/>
              </w:rPr>
              <w:t>12</w:t>
            </w:r>
          </w:p>
        </w:tc>
        <w:tc>
          <w:tcPr>
            <w:tcW w:w="1421" w:type="dxa"/>
            <w:shd w:val="clear" w:color="auto" w:fill="D3DFEE"/>
            <w:vAlign w:val="center"/>
          </w:tcPr>
          <w:p w14:paraId="33D0FD35">
            <w:pPr>
              <w:widowControl/>
              <w:spacing w:line="560" w:lineRule="exact"/>
              <w:ind w:firstLine="422" w:firstLineChars="200"/>
              <w:jc w:val="center"/>
              <w:rPr>
                <w:rFonts w:ascii="宋体" w:hAnsi="宋体" w:cs="仿宋"/>
                <w:b/>
                <w:bCs/>
                <w:color w:val="000000"/>
                <w:kern w:val="0"/>
                <w:szCs w:val="21"/>
              </w:rPr>
            </w:pPr>
            <w:r>
              <w:rPr>
                <w:rFonts w:ascii="宋体" w:hAnsi="宋体" w:cs="仿宋"/>
                <w:b/>
                <w:bCs/>
                <w:color w:val="000000"/>
                <w:kern w:val="0"/>
                <w:szCs w:val="21"/>
              </w:rPr>
              <w:t>58</w:t>
            </w:r>
          </w:p>
        </w:tc>
        <w:tc>
          <w:tcPr>
            <w:tcW w:w="1421" w:type="dxa"/>
            <w:shd w:val="clear" w:color="auto" w:fill="D3DFEE"/>
            <w:vAlign w:val="center"/>
          </w:tcPr>
          <w:p w14:paraId="738EB284">
            <w:pPr>
              <w:widowControl/>
              <w:spacing w:line="560" w:lineRule="exact"/>
              <w:ind w:firstLine="422" w:firstLineChars="200"/>
              <w:jc w:val="center"/>
              <w:rPr>
                <w:rFonts w:ascii="宋体" w:hAnsi="宋体" w:cs="仿宋"/>
                <w:b/>
                <w:bCs/>
                <w:color w:val="000000"/>
                <w:kern w:val="0"/>
                <w:szCs w:val="21"/>
              </w:rPr>
            </w:pPr>
          </w:p>
        </w:tc>
      </w:tr>
    </w:tbl>
    <w:p w14:paraId="35F6FC17">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注：</w:t>
      </w:r>
      <w:r>
        <w:rPr>
          <w:rFonts w:ascii="宋体" w:hAnsi="宋体" w:cs="仿宋"/>
          <w:color w:val="000000"/>
          <w:kern w:val="0"/>
          <w:szCs w:val="21"/>
        </w:rPr>
        <w:t>1</w:t>
      </w:r>
      <w:r>
        <w:rPr>
          <w:rFonts w:hint="eastAsia" w:ascii="宋体" w:hAnsi="宋体" w:cs="仿宋"/>
          <w:color w:val="000000"/>
          <w:kern w:val="0"/>
          <w:szCs w:val="21"/>
        </w:rPr>
        <w:t>、投标单位应符合国家和上海市有关法律、</w:t>
      </w:r>
      <w:r>
        <w:rPr>
          <w:rFonts w:ascii="宋体" w:hAnsi="宋体" w:cs="仿宋"/>
          <w:color w:val="000000"/>
          <w:kern w:val="0"/>
          <w:szCs w:val="21"/>
        </w:rPr>
        <w:t xml:space="preserve"> </w:t>
      </w:r>
      <w:r>
        <w:rPr>
          <w:rFonts w:hint="eastAsia" w:ascii="宋体" w:hAnsi="宋体" w:cs="仿宋"/>
          <w:color w:val="000000"/>
          <w:kern w:val="0"/>
          <w:szCs w:val="21"/>
        </w:rPr>
        <w:t>法规和标准规范，</w:t>
      </w:r>
      <w:r>
        <w:rPr>
          <w:rFonts w:ascii="宋体" w:hAnsi="宋体" w:cs="仿宋"/>
          <w:color w:val="000000"/>
          <w:kern w:val="0"/>
          <w:szCs w:val="21"/>
        </w:rPr>
        <w:t xml:space="preserve"> </w:t>
      </w:r>
      <w:r>
        <w:rPr>
          <w:rFonts w:hint="eastAsia" w:ascii="宋体" w:hAnsi="宋体" w:cs="仿宋"/>
          <w:color w:val="000000"/>
          <w:kern w:val="0"/>
          <w:szCs w:val="21"/>
        </w:rPr>
        <w:t>满足合同约定的服务内容和质量等要求。</w:t>
      </w:r>
    </w:p>
    <w:p w14:paraId="5F31CBAE">
      <w:pPr>
        <w:widowControl/>
        <w:spacing w:line="360" w:lineRule="auto"/>
        <w:ind w:firstLine="420" w:firstLineChars="200"/>
        <w:jc w:val="left"/>
        <w:rPr>
          <w:rFonts w:hint="eastAsia" w:ascii="宋体" w:hAnsi="宋体" w:cs="仿宋"/>
          <w:color w:val="000000"/>
          <w:kern w:val="0"/>
          <w:szCs w:val="21"/>
        </w:rPr>
      </w:pPr>
      <w:r>
        <w:rPr>
          <w:rFonts w:ascii="宋体" w:hAnsi="宋体" w:cs="仿宋"/>
          <w:color w:val="000000"/>
          <w:kern w:val="0"/>
          <w:szCs w:val="21"/>
        </w:rPr>
        <w:t>2</w:t>
      </w:r>
      <w:r>
        <w:rPr>
          <w:rFonts w:hint="eastAsia" w:ascii="宋体" w:hAnsi="宋体" w:cs="仿宋"/>
          <w:color w:val="000000"/>
          <w:kern w:val="0"/>
          <w:szCs w:val="21"/>
        </w:rPr>
        <w:t>、具体岗位工作时间、岗位分布配置等事宜由双方使用时确定。</w:t>
      </w:r>
    </w:p>
    <w:p w14:paraId="145FBD70">
      <w:pPr>
        <w:spacing w:line="360" w:lineRule="auto"/>
        <w:ind w:firstLine="422" w:firstLineChars="200"/>
        <w:rPr>
          <w:rFonts w:ascii="宋体" w:hAnsi="宋体"/>
          <w:b/>
          <w:szCs w:val="21"/>
        </w:rPr>
      </w:pPr>
      <w:r>
        <w:rPr>
          <w:rFonts w:hint="eastAsia" w:ascii="宋体" w:hAnsi="宋体"/>
          <w:b/>
          <w:szCs w:val="21"/>
        </w:rPr>
        <w:t>五、留置对象看护人员岗位基本职责要求</w:t>
      </w:r>
    </w:p>
    <w:p w14:paraId="37F32264">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1</w:t>
      </w:r>
      <w:r>
        <w:rPr>
          <w:rFonts w:hint="eastAsia" w:ascii="宋体" w:hAnsi="宋体" w:cs="仿宋"/>
          <w:color w:val="000000"/>
          <w:kern w:val="0"/>
          <w:szCs w:val="21"/>
        </w:rPr>
        <w:t>、看护人员必须在指定岗位准时上岗，不准迟到、早退、旷工；</w:t>
      </w:r>
    </w:p>
    <w:p w14:paraId="057B32B8">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2</w:t>
      </w:r>
      <w:r>
        <w:rPr>
          <w:rFonts w:hint="eastAsia" w:ascii="宋体" w:hAnsi="宋体" w:cs="仿宋"/>
          <w:color w:val="000000"/>
          <w:kern w:val="0"/>
          <w:szCs w:val="21"/>
        </w:rPr>
        <w:t>、禁止未经许可的人员进入岗位；</w:t>
      </w:r>
    </w:p>
    <w:p w14:paraId="62556EE5">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3</w:t>
      </w:r>
      <w:r>
        <w:rPr>
          <w:rFonts w:hint="eastAsia" w:ascii="宋体" w:hAnsi="宋体" w:cs="仿宋"/>
          <w:color w:val="000000"/>
          <w:kern w:val="0"/>
          <w:szCs w:val="21"/>
        </w:rPr>
        <w:t>、处理一切当值岗位发生的事件及时报告队长；</w:t>
      </w:r>
    </w:p>
    <w:p w14:paraId="028C2DEC">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4</w:t>
      </w:r>
      <w:r>
        <w:rPr>
          <w:rFonts w:hint="eastAsia" w:ascii="宋体" w:hAnsi="宋体" w:cs="仿宋"/>
          <w:color w:val="000000"/>
          <w:kern w:val="0"/>
          <w:szCs w:val="21"/>
        </w:rPr>
        <w:t>、执行队长所指定的任务；</w:t>
      </w:r>
    </w:p>
    <w:p w14:paraId="56CA6B55">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5</w:t>
      </w:r>
      <w:r>
        <w:rPr>
          <w:rFonts w:hint="eastAsia" w:ascii="宋体" w:hAnsi="宋体" w:cs="仿宋"/>
          <w:color w:val="000000"/>
          <w:kern w:val="0"/>
          <w:szCs w:val="21"/>
        </w:rPr>
        <w:t>、如遇重大活动或解决重大事故、险情，所属看护人员应延时工作，直至圆满完成；</w:t>
      </w:r>
    </w:p>
    <w:p w14:paraId="2E84895A">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6</w:t>
      </w:r>
      <w:r>
        <w:rPr>
          <w:rFonts w:hint="eastAsia" w:ascii="宋体" w:hAnsi="宋体" w:cs="仿宋"/>
          <w:color w:val="000000"/>
          <w:kern w:val="0"/>
          <w:szCs w:val="21"/>
        </w:rPr>
        <w:t>、配合公安机关做好区域内各项日常工作，使区域内的办公环境达到安全、有序、良好；</w:t>
      </w:r>
    </w:p>
    <w:p w14:paraId="2D961AA3">
      <w:pPr>
        <w:spacing w:line="360" w:lineRule="auto"/>
        <w:ind w:firstLine="422" w:firstLineChars="200"/>
        <w:rPr>
          <w:rFonts w:ascii="宋体" w:hAnsi="宋体"/>
          <w:b/>
          <w:szCs w:val="21"/>
        </w:rPr>
      </w:pPr>
      <w:r>
        <w:rPr>
          <w:rFonts w:hint="eastAsia" w:ascii="宋体" w:hAnsi="宋体"/>
          <w:b/>
          <w:szCs w:val="21"/>
        </w:rPr>
        <w:t>六、留置对象看护人员重点要求</w:t>
      </w:r>
    </w:p>
    <w:p w14:paraId="7288A9FE">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1</w:t>
      </w:r>
      <w:r>
        <w:rPr>
          <w:rFonts w:hint="eastAsia" w:ascii="宋体" w:hAnsi="宋体" w:cs="仿宋"/>
          <w:color w:val="000000"/>
          <w:kern w:val="0"/>
          <w:szCs w:val="21"/>
        </w:rPr>
        <w:t>、依法文明看护，不准打骂、侮辱、虐待、体罚或者变相体罚留置对象。</w:t>
      </w:r>
    </w:p>
    <w:p w14:paraId="7FEE59C0">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2</w:t>
      </w:r>
      <w:r>
        <w:rPr>
          <w:rFonts w:hint="eastAsia" w:ascii="宋体" w:hAnsi="宋体" w:cs="仿宋"/>
          <w:color w:val="000000"/>
          <w:kern w:val="0"/>
          <w:szCs w:val="21"/>
        </w:rPr>
        <w:t>、不准擅离职守，不准从事与看护工作无关的活动，如看书、听收音机、看电视等。</w:t>
      </w:r>
    </w:p>
    <w:p w14:paraId="75F60AEA">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3</w:t>
      </w:r>
      <w:r>
        <w:rPr>
          <w:rFonts w:hint="eastAsia" w:ascii="宋体" w:hAnsi="宋体" w:cs="仿宋"/>
          <w:color w:val="000000"/>
          <w:kern w:val="0"/>
          <w:szCs w:val="21"/>
        </w:rPr>
        <w:t>、不准擅自受理、答复留置对象的请求。</w:t>
      </w:r>
    </w:p>
    <w:p w14:paraId="7B0DB00F">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4</w:t>
      </w:r>
      <w:r>
        <w:rPr>
          <w:rFonts w:hint="eastAsia" w:ascii="宋体" w:hAnsi="宋体" w:cs="仿宋"/>
          <w:color w:val="000000"/>
          <w:kern w:val="0"/>
          <w:szCs w:val="21"/>
        </w:rPr>
        <w:t>、不准擅自为留置对象代购、代转或提供食品、药品、用品或其他物品。</w:t>
      </w:r>
    </w:p>
    <w:p w14:paraId="572835CB">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5</w:t>
      </w:r>
      <w:r>
        <w:rPr>
          <w:rFonts w:hint="eastAsia" w:ascii="宋体" w:hAnsi="宋体" w:cs="仿宋"/>
          <w:color w:val="000000"/>
          <w:kern w:val="0"/>
          <w:szCs w:val="21"/>
        </w:rPr>
        <w:t>、不准打听或谈论与查办案件工作有关的任何情况。</w:t>
      </w:r>
    </w:p>
    <w:p w14:paraId="3CA4A0CF">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6</w:t>
      </w:r>
      <w:r>
        <w:rPr>
          <w:rFonts w:hint="eastAsia" w:ascii="宋体" w:hAnsi="宋体" w:cs="仿宋"/>
          <w:color w:val="000000"/>
          <w:kern w:val="0"/>
          <w:szCs w:val="21"/>
        </w:rPr>
        <w:t>、不准为留置对象代传口信、代转字条或其他任何物品。</w:t>
      </w:r>
    </w:p>
    <w:p w14:paraId="12BA0CE7">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7</w:t>
      </w:r>
      <w:r>
        <w:rPr>
          <w:rFonts w:hint="eastAsia" w:ascii="宋体" w:hAnsi="宋体" w:cs="仿宋"/>
          <w:color w:val="000000"/>
          <w:kern w:val="0"/>
          <w:szCs w:val="21"/>
        </w:rPr>
        <w:t>、不准与留置对象的亲友联系交往，不准索要、收受、侵占留置对象及其亲属的财物。</w:t>
      </w:r>
    </w:p>
    <w:p w14:paraId="068DBC62">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8</w:t>
      </w:r>
      <w:r>
        <w:rPr>
          <w:rFonts w:hint="eastAsia" w:ascii="宋体" w:hAnsi="宋体" w:cs="仿宋"/>
          <w:color w:val="000000"/>
          <w:kern w:val="0"/>
          <w:szCs w:val="21"/>
        </w:rPr>
        <w:t>、不准接触非本人看护的对象。不准泄露秘密、接受新闻媒体采访和公开发表涉及任务的报道。不准将移动通信工具带入留置用房。发现所负责看护的留置对象是自己认识的人时，应当立即向上级反映。不准向留置对象透露自己的身份，不准询问留置对象的姓名、单位、家庭住址等情况。不准与留置对象谈论案情，或擅自与留置对象交谈、拉家常；不准使用方言与留置对象对话；不准察看或翻阅留置对象所写的案情材料。看护期间及看护工作结束后，不准向任何人泄漏案件审查组人员、看护人员、留置对象、办案地点和看护工作情况等与案件有关的任何信息。看护期间一般不准请假外出，如有特殊情况需要请假外出时，应有</w:t>
      </w:r>
      <w:r>
        <w:rPr>
          <w:rFonts w:ascii="宋体" w:hAnsi="宋体" w:cs="仿宋"/>
          <w:color w:val="000000"/>
          <w:kern w:val="0"/>
          <w:szCs w:val="21"/>
        </w:rPr>
        <w:t>2</w:t>
      </w:r>
      <w:r>
        <w:rPr>
          <w:rFonts w:hint="eastAsia" w:ascii="宋体" w:hAnsi="宋体" w:cs="仿宋"/>
          <w:color w:val="000000"/>
          <w:kern w:val="0"/>
          <w:szCs w:val="21"/>
        </w:rPr>
        <w:t>人以上结伴同行，并填写请假条，经审查组领导批准后方可离开。</w:t>
      </w:r>
    </w:p>
    <w:p w14:paraId="0680B380">
      <w:pPr>
        <w:spacing w:line="360" w:lineRule="auto"/>
        <w:ind w:firstLine="422" w:firstLineChars="200"/>
        <w:rPr>
          <w:rFonts w:ascii="宋体" w:hAnsi="宋体"/>
          <w:b/>
          <w:szCs w:val="21"/>
        </w:rPr>
      </w:pPr>
      <w:r>
        <w:rPr>
          <w:rFonts w:hint="eastAsia" w:ascii="宋体" w:hAnsi="宋体"/>
          <w:b/>
          <w:szCs w:val="21"/>
        </w:rPr>
        <w:t>七、留置对象看护人员处置要求</w:t>
      </w:r>
    </w:p>
    <w:p w14:paraId="1272FC4F">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看护人员平时要加强对情况的预想，研究制定各种情况的处置方法和措施，并有针对性的进行训练和模拟演练。一旦出现情况，能以最快的速度，在最短的时间内，采取最合适的方法果断有效处置。看护人员要时刻保持高度警惕，遇事认真分析判断，及时发现危及留置对象安全的问题和隐患，并采取必要措施，把问题和隐患消灭在萌芽状态，防患于未然。在紧急情况下，要沉着冷静，勇敢顽强，不怕牺牲，确保留置对象的绝对安全，在处理问题时，要尽量控制影响，不扩大事态。在处置情况时，看护人员应当根据问题的不同性质，采取不同的处置方法。属于人民内部矛盾的，应当以说服教育、宣传疏导为主；属于敌我矛盾的，必须采取断然措施，坚决予以打击。</w:t>
      </w:r>
    </w:p>
    <w:p w14:paraId="60462F20">
      <w:pPr>
        <w:spacing w:line="360" w:lineRule="auto"/>
        <w:ind w:firstLine="422" w:firstLineChars="200"/>
        <w:rPr>
          <w:rFonts w:ascii="宋体" w:hAnsi="宋体"/>
          <w:b/>
          <w:szCs w:val="21"/>
        </w:rPr>
      </w:pPr>
      <w:r>
        <w:rPr>
          <w:rFonts w:hint="eastAsia" w:ascii="宋体" w:hAnsi="宋体"/>
          <w:b/>
          <w:szCs w:val="21"/>
        </w:rPr>
        <w:t>八、留置对象看护人员仪容仪表之要求</w:t>
      </w:r>
    </w:p>
    <w:p w14:paraId="7F8AC2F3">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1</w:t>
      </w:r>
      <w:r>
        <w:rPr>
          <w:rFonts w:hint="eastAsia" w:ascii="宋体" w:hAnsi="宋体" w:cs="仿宋"/>
          <w:color w:val="000000"/>
          <w:kern w:val="0"/>
          <w:szCs w:val="21"/>
        </w:rPr>
        <w:t>、所有留置对象看护人员的制服应保持干净。</w:t>
      </w:r>
    </w:p>
    <w:p w14:paraId="0965ECCD">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2</w:t>
      </w:r>
      <w:r>
        <w:rPr>
          <w:rFonts w:hint="eastAsia" w:ascii="宋体" w:hAnsi="宋体" w:cs="仿宋"/>
          <w:color w:val="000000"/>
          <w:kern w:val="0"/>
          <w:szCs w:val="21"/>
        </w:rPr>
        <w:t>、发型：头发梳理整齐，头发不过领，不许留鬓须。</w:t>
      </w:r>
    </w:p>
    <w:p w14:paraId="263A2627">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3</w:t>
      </w:r>
      <w:r>
        <w:rPr>
          <w:rFonts w:hint="eastAsia" w:ascii="宋体" w:hAnsi="宋体" w:cs="仿宋"/>
          <w:color w:val="000000"/>
          <w:kern w:val="0"/>
          <w:szCs w:val="21"/>
        </w:rPr>
        <w:t>、着装：按规定穿着制服整齐划一，证件佩带在指定位置。</w:t>
      </w:r>
    </w:p>
    <w:p w14:paraId="1FD66A0E">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4</w:t>
      </w:r>
      <w:r>
        <w:rPr>
          <w:rFonts w:hint="eastAsia" w:ascii="宋体" w:hAnsi="宋体" w:cs="仿宋"/>
          <w:color w:val="000000"/>
          <w:kern w:val="0"/>
          <w:szCs w:val="21"/>
        </w:rPr>
        <w:t>、站姿：保持两腿与双肩同宽，两手自然下垂，或双手交叉放于身后或前胸下，收腹、挺胸。</w:t>
      </w:r>
    </w:p>
    <w:p w14:paraId="7FAF644A">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5</w:t>
      </w:r>
      <w:r>
        <w:rPr>
          <w:rFonts w:hint="eastAsia" w:ascii="宋体" w:hAnsi="宋体" w:cs="仿宋"/>
          <w:color w:val="000000"/>
          <w:kern w:val="0"/>
          <w:szCs w:val="21"/>
        </w:rPr>
        <w:t>、坐姿：不趴桌，不翘腿，双眼正视前方，姿势端正。</w:t>
      </w:r>
    </w:p>
    <w:p w14:paraId="06A7567C">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6</w:t>
      </w:r>
      <w:r>
        <w:rPr>
          <w:rFonts w:hint="eastAsia" w:ascii="宋体" w:hAnsi="宋体" w:cs="仿宋"/>
          <w:color w:val="000000"/>
          <w:kern w:val="0"/>
          <w:szCs w:val="21"/>
        </w:rPr>
        <w:t>、精神面貌：行走有力，挺拔，精神饱满，目视前方，富有朝气。</w:t>
      </w:r>
    </w:p>
    <w:p w14:paraId="5CAD803A">
      <w:pPr>
        <w:spacing w:line="360" w:lineRule="auto"/>
        <w:ind w:firstLine="422" w:firstLineChars="200"/>
        <w:rPr>
          <w:rFonts w:ascii="宋体" w:hAnsi="宋体"/>
          <w:b/>
          <w:szCs w:val="21"/>
        </w:rPr>
      </w:pPr>
      <w:r>
        <w:rPr>
          <w:rFonts w:hint="eastAsia" w:ascii="宋体" w:hAnsi="宋体"/>
          <w:b/>
          <w:szCs w:val="21"/>
        </w:rPr>
        <w:t>九、保安部岗位纪律要求</w:t>
      </w:r>
    </w:p>
    <w:p w14:paraId="071D1F38">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为获得最高效率的工作，身为保安人员必须保持良好的操行，以礼待人，以理服人，遵章守纪。</w:t>
      </w:r>
    </w:p>
    <w:p w14:paraId="03435B46">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1</w:t>
      </w:r>
      <w:r>
        <w:rPr>
          <w:rFonts w:hint="eastAsia" w:ascii="宋体" w:hAnsi="宋体" w:cs="仿宋"/>
          <w:color w:val="000000"/>
          <w:kern w:val="0"/>
          <w:szCs w:val="21"/>
        </w:rPr>
        <w:t>、不得迟到、早退；</w:t>
      </w:r>
    </w:p>
    <w:p w14:paraId="4A113B2F">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2</w:t>
      </w:r>
      <w:r>
        <w:rPr>
          <w:rFonts w:hint="eastAsia" w:ascii="宋体" w:hAnsi="宋体" w:cs="仿宋"/>
          <w:color w:val="000000"/>
          <w:kern w:val="0"/>
          <w:szCs w:val="21"/>
        </w:rPr>
        <w:t>、当值时必须穿着制服，佩戴铭牌或证件；</w:t>
      </w:r>
    </w:p>
    <w:p w14:paraId="1218611B">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3</w:t>
      </w:r>
      <w:r>
        <w:rPr>
          <w:rFonts w:hint="eastAsia" w:ascii="宋体" w:hAnsi="宋体" w:cs="仿宋"/>
          <w:color w:val="000000"/>
          <w:kern w:val="0"/>
          <w:szCs w:val="21"/>
        </w:rPr>
        <w:t>、不得擅离职守；</w:t>
      </w:r>
    </w:p>
    <w:p w14:paraId="4C5209EC">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4</w:t>
      </w:r>
      <w:r>
        <w:rPr>
          <w:rFonts w:hint="eastAsia" w:ascii="宋体" w:hAnsi="宋体" w:cs="仿宋"/>
          <w:color w:val="000000"/>
          <w:kern w:val="0"/>
          <w:szCs w:val="21"/>
        </w:rPr>
        <w:t>、不得当值时在岗位内睡觉；</w:t>
      </w:r>
    </w:p>
    <w:p w14:paraId="025376A8">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5</w:t>
      </w:r>
      <w:r>
        <w:rPr>
          <w:rFonts w:hint="eastAsia" w:ascii="宋体" w:hAnsi="宋体" w:cs="仿宋"/>
          <w:color w:val="000000"/>
          <w:kern w:val="0"/>
          <w:szCs w:val="21"/>
        </w:rPr>
        <w:t>、不得在岗位吸烟</w:t>
      </w:r>
      <w:r>
        <w:rPr>
          <w:rFonts w:ascii="宋体" w:hAnsi="宋体" w:cs="仿宋"/>
          <w:color w:val="000000"/>
          <w:kern w:val="0"/>
          <w:szCs w:val="21"/>
        </w:rPr>
        <w:t>,</w:t>
      </w:r>
      <w:r>
        <w:rPr>
          <w:rFonts w:hint="eastAsia" w:ascii="宋体" w:hAnsi="宋体" w:cs="仿宋"/>
          <w:color w:val="000000"/>
          <w:kern w:val="0"/>
          <w:szCs w:val="21"/>
        </w:rPr>
        <w:t>休息时不得在大楼内吸烟；</w:t>
      </w:r>
    </w:p>
    <w:p w14:paraId="56FBCF4A">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6</w:t>
      </w:r>
      <w:r>
        <w:rPr>
          <w:rFonts w:hint="eastAsia" w:ascii="宋体" w:hAnsi="宋体" w:cs="仿宋"/>
          <w:color w:val="000000"/>
          <w:kern w:val="0"/>
          <w:szCs w:val="21"/>
        </w:rPr>
        <w:t>、不得当值前或当值时饮用含酒精类的饮品；</w:t>
      </w:r>
    </w:p>
    <w:p w14:paraId="154C35EF">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7</w:t>
      </w:r>
      <w:r>
        <w:rPr>
          <w:rFonts w:hint="eastAsia" w:ascii="宋体" w:hAnsi="宋体" w:cs="仿宋"/>
          <w:color w:val="000000"/>
          <w:kern w:val="0"/>
          <w:szCs w:val="21"/>
        </w:rPr>
        <w:t>、不得在岗位时吃零食、闲聊、打闹、看书报、听</w:t>
      </w:r>
      <w:r>
        <w:rPr>
          <w:rFonts w:ascii="宋体" w:hAnsi="宋体" w:cs="仿宋"/>
          <w:color w:val="000000"/>
          <w:kern w:val="0"/>
          <w:szCs w:val="21"/>
        </w:rPr>
        <w:t>MP3</w:t>
      </w:r>
      <w:r>
        <w:rPr>
          <w:rFonts w:hint="eastAsia" w:ascii="宋体" w:hAnsi="宋体" w:cs="仿宋"/>
          <w:color w:val="000000"/>
          <w:kern w:val="0"/>
          <w:szCs w:val="21"/>
        </w:rPr>
        <w:t>、玩手机游戏等一切与工作无关的事情。</w:t>
      </w:r>
    </w:p>
    <w:p w14:paraId="27BDD975">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8</w:t>
      </w:r>
      <w:r>
        <w:rPr>
          <w:rFonts w:hint="eastAsia" w:ascii="宋体" w:hAnsi="宋体" w:cs="仿宋"/>
          <w:color w:val="000000"/>
          <w:kern w:val="0"/>
          <w:szCs w:val="21"/>
        </w:rPr>
        <w:t>、不得擅自向外人泄露内部机密和内部控制详情；</w:t>
      </w:r>
    </w:p>
    <w:p w14:paraId="394C29DB">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9</w:t>
      </w:r>
      <w:r>
        <w:rPr>
          <w:rFonts w:hint="eastAsia" w:ascii="宋体" w:hAnsi="宋体" w:cs="仿宋"/>
          <w:color w:val="000000"/>
          <w:kern w:val="0"/>
          <w:szCs w:val="21"/>
        </w:rPr>
        <w:t>、上班期间，不准接待亲友，如有必要，应先告知领班或队长，并其安排调班事宜；</w:t>
      </w:r>
    </w:p>
    <w:p w14:paraId="39EE93EC">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10</w:t>
      </w:r>
      <w:r>
        <w:rPr>
          <w:rFonts w:hint="eastAsia" w:ascii="宋体" w:hAnsi="宋体" w:cs="仿宋"/>
          <w:color w:val="000000"/>
          <w:kern w:val="0"/>
          <w:szCs w:val="21"/>
        </w:rPr>
        <w:t>、应保持通讯畅通，接听电话应保持规范；</w:t>
      </w:r>
    </w:p>
    <w:p w14:paraId="10AD84A7">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11</w:t>
      </w:r>
      <w:r>
        <w:rPr>
          <w:rFonts w:hint="eastAsia" w:ascii="宋体" w:hAnsi="宋体" w:cs="仿宋"/>
          <w:color w:val="000000"/>
          <w:kern w:val="0"/>
          <w:szCs w:val="21"/>
        </w:rPr>
        <w:t>、保安人员如犯有任何罪案，立即交警方处理，如违反公司规章制度，则应接受处分、警告，直至除名；</w:t>
      </w:r>
    </w:p>
    <w:p w14:paraId="6BC6ABD2">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12</w:t>
      </w:r>
      <w:r>
        <w:rPr>
          <w:rFonts w:hint="eastAsia" w:ascii="宋体" w:hAnsi="宋体" w:cs="仿宋"/>
          <w:color w:val="000000"/>
          <w:kern w:val="0"/>
          <w:szCs w:val="21"/>
        </w:rPr>
        <w:t>、上岗之前必须列队召开班前例会。下岗后，必须列队召开班后会。由领班总结一天的工作，提出批评和表扬以及跟进事宜；</w:t>
      </w:r>
    </w:p>
    <w:p w14:paraId="3FBA771F">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13</w:t>
      </w:r>
      <w:r>
        <w:rPr>
          <w:rFonts w:hint="eastAsia" w:ascii="宋体" w:hAnsi="宋体" w:cs="仿宋"/>
          <w:color w:val="000000"/>
          <w:kern w:val="0"/>
          <w:szCs w:val="21"/>
        </w:rPr>
        <w:t>、队长必须不定期、不定时进行夜间抽查，将检查状况上报公司和甲方安全负责人。</w:t>
      </w:r>
    </w:p>
    <w:p w14:paraId="6F78C663">
      <w:pPr>
        <w:spacing w:line="360" w:lineRule="auto"/>
        <w:ind w:firstLine="422" w:firstLineChars="200"/>
        <w:rPr>
          <w:rFonts w:hint="eastAsia" w:ascii="宋体" w:hAnsi="宋体"/>
          <w:b/>
          <w:szCs w:val="21"/>
        </w:rPr>
      </w:pPr>
      <w:r>
        <w:rPr>
          <w:rFonts w:hint="eastAsia" w:ascii="宋体" w:hAnsi="宋体"/>
          <w:b/>
          <w:szCs w:val="21"/>
        </w:rPr>
        <w:t>十、其他要求</w:t>
      </w:r>
    </w:p>
    <w:p w14:paraId="075FB3E9">
      <w:pPr>
        <w:spacing w:line="360" w:lineRule="auto"/>
        <w:ind w:firstLine="420" w:firstLineChars="200"/>
        <w:rPr>
          <w:rFonts w:hint="eastAsia" w:ascii="宋体" w:hAnsi="宋体"/>
          <w:szCs w:val="21"/>
        </w:rPr>
      </w:pPr>
      <w:r>
        <w:rPr>
          <w:rFonts w:hint="eastAsia" w:ascii="宋体" w:hAnsi="宋体"/>
          <w:szCs w:val="21"/>
        </w:rPr>
        <w:t>1、服务期限：</w:t>
      </w:r>
      <w:r>
        <w:rPr>
          <w:rFonts w:hint="eastAsia" w:ascii="宋体" w:hAnsi="宋体"/>
          <w:color w:val="000000"/>
          <w:szCs w:val="21"/>
          <w:lang w:eastAsia="zh-CN"/>
        </w:rPr>
        <w:t>自合同签订之日起一年。</w:t>
      </w:r>
      <w:r>
        <w:rPr>
          <w:rFonts w:hint="eastAsia" w:ascii="宋体" w:hAnsi="宋体" w:cs="Arial"/>
          <w:kern w:val="0"/>
          <w:szCs w:val="21"/>
          <w:lang w:val="en-US" w:eastAsia="zh-CN"/>
        </w:rPr>
        <w:t>本项目采取一次采购三年享用，分年签订合同的方式实施</w:t>
      </w:r>
      <w:r>
        <w:rPr>
          <w:rFonts w:hint="eastAsia" w:ascii="宋体" w:hAnsi="宋体"/>
          <w:szCs w:val="21"/>
        </w:rPr>
        <w:t>。本项目中标通知书发出后，采购人与中标供应商按照项目招投标结果签订第一年度合同。之后，在上一年度合同到期后，采购人对中标供应商的工作进行考核，考核通过的，双方续签下一年度合同。第二年和第三年签订的采购合同价原则上不得高于招标时所确定的第一年度合同价格。如中标供应商年度考核未通过，或者项目内容及价格变动较大、超过招标时所确定的第一年度合同金额10%的，则上一年度合同到期后，双方不再续签下一年度合同，本项目招标结果也不再有效。</w:t>
      </w:r>
      <w:bookmarkStart w:id="0" w:name="_GoBack"/>
      <w:bookmarkEnd w:id="0"/>
    </w:p>
    <w:p w14:paraId="0D444F1B">
      <w:pPr>
        <w:spacing w:line="360" w:lineRule="auto"/>
        <w:ind w:firstLine="420" w:firstLineChars="200"/>
        <w:rPr>
          <w:rFonts w:hint="eastAsia" w:ascii="宋体" w:hAnsi="宋体"/>
          <w:szCs w:val="21"/>
        </w:rPr>
      </w:pPr>
      <w:r>
        <w:rPr>
          <w:rFonts w:hint="eastAsia" w:ascii="宋体" w:hAnsi="宋体"/>
          <w:szCs w:val="21"/>
        </w:rPr>
        <w:t>2、付款方式：经考核后，每3个月支付一次。</w:t>
      </w:r>
    </w:p>
    <w:p w14:paraId="109B8060">
      <w:pPr>
        <w:spacing w:line="360" w:lineRule="auto"/>
        <w:ind w:firstLine="422" w:firstLineChars="200"/>
        <w:rPr>
          <w:rFonts w:hint="eastAsia" w:ascii="宋体" w:hAnsi="宋体"/>
          <w:b/>
          <w:bCs/>
          <w:szCs w:val="21"/>
        </w:rPr>
      </w:pPr>
      <w:r>
        <w:rPr>
          <w:rFonts w:hint="eastAsia" w:ascii="宋体" w:hAnsi="宋体"/>
          <w:b/>
          <w:bCs/>
          <w:szCs w:val="21"/>
        </w:rPr>
        <w:t>3、资质要求：供应商须具有省、自治区、直辖市人民政府公安机关核发的《保安服务许可证》。</w:t>
      </w:r>
    </w:p>
    <w:p w14:paraId="389893E1">
      <w:pPr>
        <w:spacing w:line="360" w:lineRule="auto"/>
        <w:ind w:firstLine="420" w:firstLineChars="200"/>
        <w:rPr>
          <w:rFonts w:hint="eastAsia" w:ascii="宋体" w:hAnsi="宋体"/>
          <w:szCs w:val="21"/>
        </w:rPr>
      </w:pPr>
      <w:r>
        <w:rPr>
          <w:rFonts w:hint="eastAsia" w:ascii="宋体" w:hAnsi="宋体"/>
          <w:szCs w:val="21"/>
        </w:rPr>
        <w:t>4、投标人提供的保安服务应当符合国家和上海市有关法律、法规和标准规范，满足合同约定的服务内容和质量等要求。投标人不得违反标准规范规定或合同约定， 通过降低服务质量、减少服务内容等手段进行恶性竞争，扰乱正常市场秩序。</w:t>
      </w:r>
    </w:p>
    <w:p w14:paraId="506DF0A2">
      <w:pPr>
        <w:spacing w:line="360" w:lineRule="auto"/>
        <w:ind w:firstLine="420" w:firstLineChars="200"/>
        <w:rPr>
          <w:rFonts w:ascii="宋体" w:hAnsi="宋体"/>
          <w:szCs w:val="21"/>
        </w:rPr>
      </w:pPr>
      <w:r>
        <w:rPr>
          <w:rFonts w:hint="eastAsia" w:ascii="宋体" w:hAnsi="宋体"/>
          <w:szCs w:val="21"/>
        </w:rPr>
        <w:t>5、转让与分包：</w:t>
      </w:r>
    </w:p>
    <w:p w14:paraId="24B56526">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（1）本项目合同不得整体转让。</w:t>
      </w:r>
    </w:p>
    <w:p w14:paraId="5DF624AA">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（2）合同非主体部分需要分包的，投标人应当在投标文件中说明；投标文件中未说明的，分包须经过采购人书面同意。</w:t>
      </w:r>
    </w:p>
    <w:p w14:paraId="46E980FF">
      <w:pPr>
        <w:spacing w:line="360" w:lineRule="auto"/>
        <w:ind w:firstLine="422" w:firstLineChars="200"/>
        <w:rPr>
          <w:rFonts w:ascii="宋体" w:hAnsi="宋体"/>
          <w:b/>
          <w:szCs w:val="21"/>
        </w:rPr>
      </w:pPr>
      <w:r>
        <w:rPr>
          <w:rFonts w:hint="eastAsia" w:ascii="宋体" w:hAnsi="宋体"/>
          <w:b/>
          <w:szCs w:val="21"/>
        </w:rPr>
        <w:t>十一、本项目管理服务报价包括</w:t>
      </w:r>
    </w:p>
    <w:p w14:paraId="07069E6B">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1</w:t>
      </w:r>
      <w:r>
        <w:rPr>
          <w:rFonts w:hint="eastAsia" w:ascii="宋体" w:hAnsi="宋体" w:cs="仿宋"/>
          <w:color w:val="000000"/>
          <w:kern w:val="0"/>
          <w:szCs w:val="21"/>
        </w:rPr>
        <w:t>、保安服务人员的人员工资、人员福利、节日加班费及政策性因素调整等全部人员费用；</w:t>
      </w:r>
    </w:p>
    <w:p w14:paraId="23F811F1">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2</w:t>
      </w:r>
      <w:r>
        <w:rPr>
          <w:rFonts w:hint="eastAsia" w:ascii="宋体" w:hAnsi="宋体" w:cs="仿宋"/>
          <w:color w:val="000000"/>
          <w:kern w:val="0"/>
          <w:szCs w:val="21"/>
        </w:rPr>
        <w:t>、保安服务的行政办公费用，包括办公材料、公众责任保险、雇主责任保险等；</w:t>
      </w:r>
    </w:p>
    <w:p w14:paraId="7ED4FE53">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3</w:t>
      </w:r>
      <w:r>
        <w:rPr>
          <w:rFonts w:hint="eastAsia" w:ascii="宋体" w:hAnsi="宋体" w:cs="仿宋"/>
          <w:color w:val="000000"/>
          <w:kern w:val="0"/>
          <w:szCs w:val="21"/>
        </w:rPr>
        <w:t>、保安服务的装备费与各类耗材；</w:t>
      </w:r>
    </w:p>
    <w:p w14:paraId="4C2DA3B2">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4</w:t>
      </w:r>
      <w:r>
        <w:rPr>
          <w:rFonts w:hint="eastAsia" w:ascii="宋体" w:hAnsi="宋体" w:cs="仿宋"/>
          <w:color w:val="000000"/>
          <w:kern w:val="0"/>
          <w:szCs w:val="21"/>
        </w:rPr>
        <w:t>、本次招标约定的其他费用；</w:t>
      </w:r>
    </w:p>
    <w:p w14:paraId="0DEDD316">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5</w:t>
      </w:r>
      <w:r>
        <w:rPr>
          <w:rFonts w:hint="eastAsia" w:ascii="宋体" w:hAnsi="宋体" w:cs="仿宋"/>
          <w:color w:val="000000"/>
          <w:kern w:val="0"/>
          <w:szCs w:val="21"/>
        </w:rPr>
        <w:t>、管理企业管理费与利润；</w:t>
      </w:r>
    </w:p>
    <w:p w14:paraId="77C7AA49">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6</w:t>
      </w:r>
      <w:r>
        <w:rPr>
          <w:rFonts w:hint="eastAsia" w:ascii="宋体" w:hAnsi="宋体" w:cs="仿宋"/>
          <w:color w:val="000000"/>
          <w:kern w:val="0"/>
          <w:szCs w:val="21"/>
        </w:rPr>
        <w:t>、营业税金；</w:t>
      </w:r>
    </w:p>
    <w:p w14:paraId="41DCB4AC">
      <w:pPr>
        <w:widowControl/>
        <w:spacing w:line="360" w:lineRule="auto"/>
        <w:ind w:firstLine="420" w:firstLineChars="200"/>
        <w:jc w:val="left"/>
        <w:rPr>
          <w:rFonts w:ascii="宋体" w:hAnsi="宋体" w:cs="仿宋"/>
          <w:color w:val="000000"/>
          <w:kern w:val="0"/>
          <w:szCs w:val="21"/>
        </w:rPr>
      </w:pPr>
      <w:r>
        <w:rPr>
          <w:rFonts w:ascii="宋体" w:hAnsi="宋体" w:cs="仿宋"/>
          <w:color w:val="000000"/>
          <w:kern w:val="0"/>
          <w:szCs w:val="21"/>
        </w:rPr>
        <w:t>7</w:t>
      </w:r>
      <w:r>
        <w:rPr>
          <w:rFonts w:hint="eastAsia" w:ascii="宋体" w:hAnsi="宋体" w:cs="仿宋"/>
          <w:color w:val="000000"/>
          <w:kern w:val="0"/>
          <w:szCs w:val="21"/>
        </w:rPr>
        <w:t>、管理企业认为与管理服务相关的其他必要费用。</w:t>
      </w:r>
    </w:p>
    <w:p w14:paraId="4B0BF197">
      <w:pPr>
        <w:spacing w:line="360" w:lineRule="auto"/>
        <w:ind w:firstLine="422" w:firstLineChars="200"/>
        <w:rPr>
          <w:rFonts w:ascii="宋体" w:hAnsi="宋体"/>
          <w:b/>
          <w:szCs w:val="21"/>
        </w:rPr>
      </w:pPr>
      <w:r>
        <w:rPr>
          <w:rFonts w:hint="eastAsia" w:ascii="宋体" w:hAnsi="宋体"/>
          <w:b/>
          <w:szCs w:val="21"/>
        </w:rPr>
        <w:t>十二、服务指标</w:t>
      </w:r>
    </w:p>
    <w:p w14:paraId="24401628">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1.员工到岗率</w:t>
      </w:r>
      <w:r>
        <w:rPr>
          <w:rFonts w:ascii="宋体" w:hAnsi="宋体" w:cs="仿宋"/>
          <w:color w:val="000000"/>
          <w:kern w:val="0"/>
          <w:szCs w:val="21"/>
        </w:rPr>
        <w:t>100%</w:t>
      </w:r>
      <w:r>
        <w:rPr>
          <w:rFonts w:hint="eastAsia" w:ascii="宋体" w:hAnsi="宋体" w:cs="仿宋"/>
          <w:color w:val="000000"/>
          <w:kern w:val="0"/>
          <w:szCs w:val="21"/>
        </w:rPr>
        <w:t>；</w:t>
      </w:r>
    </w:p>
    <w:p w14:paraId="499ED060">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2.员工培训上岗合格率</w:t>
      </w:r>
      <w:r>
        <w:rPr>
          <w:rFonts w:ascii="宋体" w:hAnsi="宋体" w:cs="仿宋"/>
          <w:color w:val="000000"/>
          <w:kern w:val="0"/>
          <w:szCs w:val="21"/>
        </w:rPr>
        <w:t>100%</w:t>
      </w:r>
      <w:r>
        <w:rPr>
          <w:rFonts w:hint="eastAsia" w:ascii="宋体" w:hAnsi="宋体" w:cs="仿宋"/>
          <w:color w:val="000000"/>
          <w:kern w:val="0"/>
          <w:szCs w:val="21"/>
        </w:rPr>
        <w:t>；</w:t>
      </w:r>
    </w:p>
    <w:p w14:paraId="6CACD687">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3.工作计划和内容完成率</w:t>
      </w:r>
      <w:r>
        <w:rPr>
          <w:rFonts w:ascii="宋体" w:hAnsi="宋体" w:cs="仿宋"/>
          <w:color w:val="000000"/>
          <w:kern w:val="0"/>
          <w:szCs w:val="21"/>
        </w:rPr>
        <w:t>99%</w:t>
      </w:r>
      <w:r>
        <w:rPr>
          <w:rFonts w:hint="eastAsia" w:ascii="宋体" w:hAnsi="宋体" w:cs="仿宋"/>
          <w:color w:val="000000"/>
          <w:kern w:val="0"/>
          <w:szCs w:val="21"/>
        </w:rPr>
        <w:t>；</w:t>
      </w:r>
    </w:p>
    <w:p w14:paraId="3DAEE936">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4.保安措施保障（覆盖）率</w:t>
      </w:r>
      <w:r>
        <w:rPr>
          <w:rFonts w:ascii="宋体" w:hAnsi="宋体" w:cs="仿宋"/>
          <w:color w:val="000000"/>
          <w:kern w:val="0"/>
          <w:szCs w:val="21"/>
        </w:rPr>
        <w:t>100%</w:t>
      </w:r>
      <w:r>
        <w:rPr>
          <w:rFonts w:hint="eastAsia" w:ascii="宋体" w:hAnsi="宋体" w:cs="仿宋"/>
          <w:color w:val="000000"/>
          <w:kern w:val="0"/>
          <w:szCs w:val="21"/>
        </w:rPr>
        <w:t>；</w:t>
      </w:r>
    </w:p>
    <w:p w14:paraId="7A35934E">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5.保安工作质量合格率</w:t>
      </w:r>
      <w:r>
        <w:rPr>
          <w:rFonts w:ascii="宋体" w:hAnsi="宋体" w:cs="仿宋"/>
          <w:color w:val="000000"/>
          <w:kern w:val="0"/>
          <w:szCs w:val="21"/>
        </w:rPr>
        <w:t>95%</w:t>
      </w:r>
      <w:r>
        <w:rPr>
          <w:rFonts w:hint="eastAsia" w:ascii="宋体" w:hAnsi="宋体" w:cs="仿宋"/>
          <w:color w:val="000000"/>
          <w:kern w:val="0"/>
          <w:szCs w:val="21"/>
        </w:rPr>
        <w:t>；</w:t>
      </w:r>
    </w:p>
    <w:p w14:paraId="74611D9B">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6.投诉处理及时率</w:t>
      </w:r>
      <w:r>
        <w:rPr>
          <w:rFonts w:ascii="宋体" w:hAnsi="宋体" w:cs="仿宋"/>
          <w:color w:val="000000"/>
          <w:kern w:val="0"/>
          <w:szCs w:val="21"/>
        </w:rPr>
        <w:t>100%</w:t>
      </w:r>
      <w:r>
        <w:rPr>
          <w:rFonts w:hint="eastAsia" w:ascii="宋体" w:hAnsi="宋体" w:cs="仿宋"/>
          <w:color w:val="000000"/>
          <w:kern w:val="0"/>
          <w:szCs w:val="21"/>
        </w:rPr>
        <w:t>；</w:t>
      </w:r>
    </w:p>
    <w:p w14:paraId="4CB9B054">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7.采购人或群众满意率</w:t>
      </w:r>
      <w:r>
        <w:rPr>
          <w:rFonts w:ascii="宋体" w:hAnsi="宋体" w:cs="仿宋"/>
          <w:color w:val="000000"/>
          <w:kern w:val="0"/>
          <w:szCs w:val="21"/>
        </w:rPr>
        <w:t>95%</w:t>
      </w:r>
      <w:r>
        <w:rPr>
          <w:rFonts w:hint="eastAsia" w:ascii="宋体" w:hAnsi="宋体" w:cs="仿宋"/>
          <w:color w:val="000000"/>
          <w:kern w:val="0"/>
          <w:szCs w:val="21"/>
        </w:rPr>
        <w:t>；</w:t>
      </w:r>
    </w:p>
    <w:p w14:paraId="0AAE6B73">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8.安保突发事件控制率</w:t>
      </w:r>
      <w:r>
        <w:rPr>
          <w:rFonts w:ascii="宋体" w:hAnsi="宋体" w:cs="仿宋"/>
          <w:color w:val="000000"/>
          <w:kern w:val="0"/>
          <w:szCs w:val="21"/>
        </w:rPr>
        <w:t>100%</w:t>
      </w:r>
      <w:r>
        <w:rPr>
          <w:rFonts w:hint="eastAsia" w:ascii="宋体" w:hAnsi="宋体" w:cs="仿宋"/>
          <w:color w:val="000000"/>
          <w:kern w:val="0"/>
          <w:szCs w:val="21"/>
        </w:rPr>
        <w:t>；</w:t>
      </w:r>
    </w:p>
    <w:p w14:paraId="605CC197">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9.安全服务控制率</w:t>
      </w:r>
      <w:r>
        <w:rPr>
          <w:rFonts w:ascii="宋体" w:hAnsi="宋体" w:cs="仿宋"/>
          <w:color w:val="000000"/>
          <w:kern w:val="0"/>
          <w:szCs w:val="21"/>
        </w:rPr>
        <w:t>100%</w:t>
      </w:r>
      <w:r>
        <w:rPr>
          <w:rFonts w:hint="eastAsia" w:ascii="宋体" w:hAnsi="宋体" w:cs="仿宋"/>
          <w:color w:val="000000"/>
          <w:kern w:val="0"/>
          <w:szCs w:val="21"/>
        </w:rPr>
        <w:t>；</w:t>
      </w:r>
    </w:p>
    <w:p w14:paraId="617B9B24">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10.重大责任事故为</w:t>
      </w:r>
      <w:r>
        <w:rPr>
          <w:rFonts w:ascii="宋体" w:hAnsi="宋体" w:cs="仿宋"/>
          <w:color w:val="000000"/>
          <w:kern w:val="0"/>
          <w:szCs w:val="21"/>
        </w:rPr>
        <w:t>0</w:t>
      </w:r>
      <w:r>
        <w:rPr>
          <w:rFonts w:hint="eastAsia" w:ascii="宋体" w:hAnsi="宋体" w:cs="仿宋"/>
          <w:color w:val="000000"/>
          <w:kern w:val="0"/>
          <w:szCs w:val="21"/>
        </w:rPr>
        <w:t>。</w:t>
      </w:r>
    </w:p>
    <w:p w14:paraId="5DFB9363">
      <w:pPr>
        <w:widowControl/>
        <w:spacing w:line="360" w:lineRule="auto"/>
        <w:ind w:firstLine="422" w:firstLineChars="200"/>
        <w:jc w:val="left"/>
        <w:rPr>
          <w:rFonts w:ascii="宋体" w:hAnsi="宋体" w:cs="仿宋"/>
          <w:b/>
          <w:color w:val="000000"/>
          <w:kern w:val="0"/>
          <w:szCs w:val="21"/>
        </w:rPr>
      </w:pPr>
      <w:r>
        <w:rPr>
          <w:rFonts w:hint="eastAsia" w:ascii="宋体" w:hAnsi="宋体" w:cs="仿宋"/>
          <w:b/>
          <w:color w:val="000000"/>
          <w:kern w:val="0"/>
          <w:szCs w:val="21"/>
        </w:rPr>
        <w:t>注：上述仅为本项目主要任务、要求或标准，不能理解为完整、详细的全部工作，投标人应根据自己的管理经验，结合本项目实际情况行投标。</w:t>
      </w:r>
    </w:p>
    <w:p w14:paraId="1752189B">
      <w:pPr>
        <w:spacing w:line="360" w:lineRule="auto"/>
        <w:ind w:left="420"/>
        <w:rPr>
          <w:rFonts w:hint="eastAsia" w:ascii="宋体"/>
          <w:b/>
          <w:szCs w:val="21"/>
        </w:rPr>
      </w:pPr>
      <w:r>
        <w:rPr>
          <w:rFonts w:hint="eastAsia" w:ascii="宋体"/>
          <w:b/>
          <w:szCs w:val="21"/>
        </w:rPr>
        <w:t>十三、考核标准</w:t>
      </w:r>
    </w:p>
    <w:p w14:paraId="4386AB67">
      <w:pPr>
        <w:spacing w:line="360" w:lineRule="auto"/>
        <w:ind w:firstLine="422" w:firstLineChars="200"/>
        <w:rPr>
          <w:rFonts w:hint="eastAsia" w:ascii="宋体"/>
          <w:b/>
          <w:szCs w:val="21"/>
        </w:rPr>
      </w:pPr>
      <w:r>
        <w:rPr>
          <w:rFonts w:hint="eastAsia" w:ascii="宋体"/>
          <w:b/>
          <w:szCs w:val="21"/>
        </w:rPr>
        <w:t>原则上考核成绩 90 分以上，支付季度全额费用，得分 85-89 分，支付 90%季度经费，得分80-84分，支付 80%季度费用，得分 80 分以下的，支付 70%季度费用，连续两次考核得分低于 80 分的，将直接终止服务协议。（考核明细见下表）</w:t>
      </w:r>
    </w:p>
    <w:p w14:paraId="206A77FF">
      <w:pPr>
        <w:rPr>
          <w:rFonts w:hint="eastAsia" w:ascii="宋体" w:hAnsi="宋体"/>
          <w:szCs w:val="21"/>
        </w:rPr>
      </w:pPr>
      <w:r>
        <w:rPr>
          <w:rFonts w:hint="eastAsia" w:ascii="宋体" w:hAnsi="宋体"/>
          <w:szCs w:val="21"/>
        </w:rPr>
        <w:t>项目名称：                                                服务时间：</w:t>
      </w:r>
    </w:p>
    <w:tbl>
      <w:tblPr>
        <w:tblStyle w:val="5"/>
        <w:tblW w:w="11048" w:type="dxa"/>
        <w:jc w:val="center"/>
        <w:tblLayout w:type="autofit"/>
        <w:tblCellMar>
          <w:top w:w="0" w:type="dxa"/>
          <w:left w:w="108" w:type="dxa"/>
          <w:bottom w:w="0" w:type="dxa"/>
          <w:right w:w="108" w:type="dxa"/>
        </w:tblCellMar>
      </w:tblPr>
      <w:tblGrid>
        <w:gridCol w:w="427"/>
        <w:gridCol w:w="1133"/>
        <w:gridCol w:w="5750"/>
        <w:gridCol w:w="1060"/>
        <w:gridCol w:w="1115"/>
        <w:gridCol w:w="1563"/>
      </w:tblGrid>
      <w:tr w14:paraId="1EB2F2AD">
        <w:tblPrEx>
          <w:tblCellMar>
            <w:top w:w="0" w:type="dxa"/>
            <w:left w:w="108" w:type="dxa"/>
            <w:bottom w:w="0" w:type="dxa"/>
            <w:right w:w="108" w:type="dxa"/>
          </w:tblCellMar>
        </w:tblPrEx>
        <w:trPr>
          <w:trHeight w:val="450" w:hRule="atLeast"/>
          <w:jc w:val="center"/>
        </w:trPr>
        <w:tc>
          <w:tcPr>
            <w:tcW w:w="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A227E">
            <w:pPr>
              <w:widowControl/>
              <w:jc w:val="center"/>
              <w:rPr>
                <w:rFonts w:ascii="宋体" w:hAnsi="宋体" w:cs="宋体"/>
                <w:b/>
                <w:bCs/>
                <w:kern w:val="0"/>
                <w:szCs w:val="21"/>
              </w:rPr>
            </w:pPr>
            <w:r>
              <w:rPr>
                <w:rFonts w:hint="eastAsia" w:ascii="宋体" w:hAnsi="宋体" w:cs="宋体"/>
                <w:b/>
                <w:bCs/>
                <w:kern w:val="0"/>
                <w:szCs w:val="21"/>
              </w:rPr>
              <w:t>序号</w:t>
            </w:r>
          </w:p>
        </w:tc>
        <w:tc>
          <w:tcPr>
            <w:tcW w:w="1133" w:type="dxa"/>
            <w:tcBorders>
              <w:top w:val="single" w:color="auto" w:sz="4" w:space="0"/>
              <w:left w:val="nil"/>
              <w:bottom w:val="single" w:color="auto" w:sz="4" w:space="0"/>
              <w:right w:val="single" w:color="auto" w:sz="4" w:space="0"/>
            </w:tcBorders>
            <w:shd w:val="clear" w:color="auto" w:fill="auto"/>
            <w:noWrap/>
            <w:vAlign w:val="center"/>
          </w:tcPr>
          <w:p w14:paraId="6159FFBB">
            <w:pPr>
              <w:widowControl/>
              <w:jc w:val="center"/>
              <w:rPr>
                <w:rFonts w:ascii="宋体" w:hAnsi="宋体" w:cs="宋体"/>
                <w:b/>
                <w:bCs/>
                <w:kern w:val="0"/>
                <w:szCs w:val="21"/>
              </w:rPr>
            </w:pPr>
            <w:r>
              <w:rPr>
                <w:rFonts w:hint="eastAsia" w:ascii="宋体" w:hAnsi="宋体" w:cs="宋体"/>
                <w:b/>
                <w:bCs/>
                <w:kern w:val="0"/>
                <w:szCs w:val="21"/>
              </w:rPr>
              <w:t>项目</w:t>
            </w:r>
          </w:p>
        </w:tc>
        <w:tc>
          <w:tcPr>
            <w:tcW w:w="5750" w:type="dxa"/>
            <w:tcBorders>
              <w:top w:val="single" w:color="auto" w:sz="4" w:space="0"/>
              <w:left w:val="nil"/>
              <w:bottom w:val="single" w:color="auto" w:sz="4" w:space="0"/>
              <w:right w:val="single" w:color="auto" w:sz="4" w:space="0"/>
            </w:tcBorders>
            <w:shd w:val="clear" w:color="auto" w:fill="auto"/>
            <w:noWrap/>
            <w:vAlign w:val="center"/>
          </w:tcPr>
          <w:p w14:paraId="54B49F78">
            <w:pPr>
              <w:widowControl/>
              <w:jc w:val="center"/>
              <w:rPr>
                <w:rFonts w:ascii="宋体" w:hAnsi="宋体" w:cs="宋体"/>
                <w:b/>
                <w:bCs/>
                <w:kern w:val="0"/>
                <w:szCs w:val="21"/>
              </w:rPr>
            </w:pPr>
            <w:r>
              <w:rPr>
                <w:rFonts w:hint="eastAsia" w:ascii="宋体" w:hAnsi="宋体" w:cs="宋体"/>
                <w:b/>
                <w:bCs/>
                <w:kern w:val="0"/>
                <w:szCs w:val="21"/>
              </w:rPr>
              <w:t>标准</w:t>
            </w:r>
          </w:p>
        </w:tc>
        <w:tc>
          <w:tcPr>
            <w:tcW w:w="1060" w:type="dxa"/>
            <w:tcBorders>
              <w:top w:val="single" w:color="auto" w:sz="4" w:space="0"/>
              <w:left w:val="nil"/>
              <w:bottom w:val="single" w:color="auto" w:sz="4" w:space="0"/>
              <w:right w:val="single" w:color="auto" w:sz="4" w:space="0"/>
            </w:tcBorders>
            <w:shd w:val="clear" w:color="auto" w:fill="auto"/>
            <w:noWrap/>
            <w:vAlign w:val="center"/>
          </w:tcPr>
          <w:p w14:paraId="3056A612">
            <w:pPr>
              <w:widowControl/>
              <w:jc w:val="center"/>
              <w:rPr>
                <w:rFonts w:ascii="宋体" w:hAnsi="宋体" w:cs="宋体"/>
                <w:b/>
                <w:bCs/>
                <w:kern w:val="0"/>
                <w:szCs w:val="21"/>
              </w:rPr>
            </w:pPr>
            <w:r>
              <w:rPr>
                <w:rFonts w:hint="eastAsia" w:ascii="宋体" w:hAnsi="宋体" w:cs="宋体"/>
                <w:b/>
                <w:bCs/>
                <w:kern w:val="0"/>
                <w:szCs w:val="21"/>
              </w:rPr>
              <w:t>分值</w:t>
            </w:r>
          </w:p>
        </w:tc>
        <w:tc>
          <w:tcPr>
            <w:tcW w:w="1115" w:type="dxa"/>
            <w:tcBorders>
              <w:top w:val="single" w:color="auto" w:sz="4" w:space="0"/>
              <w:left w:val="nil"/>
              <w:bottom w:val="single" w:color="auto" w:sz="4" w:space="0"/>
              <w:right w:val="single" w:color="auto" w:sz="4" w:space="0"/>
            </w:tcBorders>
            <w:shd w:val="clear" w:color="auto" w:fill="auto"/>
            <w:noWrap/>
            <w:vAlign w:val="center"/>
          </w:tcPr>
          <w:p w14:paraId="072DD476">
            <w:pPr>
              <w:widowControl/>
              <w:jc w:val="center"/>
              <w:rPr>
                <w:rFonts w:ascii="宋体" w:hAnsi="宋体" w:cs="宋体"/>
                <w:b/>
                <w:bCs/>
                <w:kern w:val="0"/>
                <w:szCs w:val="21"/>
              </w:rPr>
            </w:pPr>
            <w:r>
              <w:rPr>
                <w:rFonts w:hint="eastAsia" w:ascii="宋体" w:hAnsi="宋体" w:cs="宋体"/>
                <w:b/>
                <w:bCs/>
                <w:kern w:val="0"/>
                <w:szCs w:val="21"/>
              </w:rPr>
              <w:t>得分</w:t>
            </w:r>
          </w:p>
        </w:tc>
        <w:tc>
          <w:tcPr>
            <w:tcW w:w="1563" w:type="dxa"/>
            <w:tcBorders>
              <w:top w:val="single" w:color="auto" w:sz="4" w:space="0"/>
              <w:left w:val="nil"/>
              <w:bottom w:val="single" w:color="auto" w:sz="4" w:space="0"/>
              <w:right w:val="single" w:color="auto" w:sz="4" w:space="0"/>
            </w:tcBorders>
            <w:shd w:val="clear" w:color="auto" w:fill="auto"/>
            <w:noWrap/>
            <w:vAlign w:val="center"/>
          </w:tcPr>
          <w:p w14:paraId="043C7721">
            <w:pPr>
              <w:widowControl/>
              <w:jc w:val="center"/>
              <w:rPr>
                <w:rFonts w:ascii="宋体" w:hAnsi="宋体" w:cs="宋体"/>
                <w:b/>
                <w:bCs/>
                <w:kern w:val="0"/>
                <w:szCs w:val="21"/>
              </w:rPr>
            </w:pPr>
            <w:r>
              <w:rPr>
                <w:rFonts w:hint="eastAsia" w:ascii="宋体" w:hAnsi="宋体" w:cs="宋体"/>
                <w:b/>
                <w:bCs/>
                <w:kern w:val="0"/>
                <w:szCs w:val="21"/>
              </w:rPr>
              <w:t>扣分说明</w:t>
            </w:r>
          </w:p>
        </w:tc>
      </w:tr>
      <w:tr w14:paraId="1F8EC4B0">
        <w:tblPrEx>
          <w:tblCellMar>
            <w:top w:w="0" w:type="dxa"/>
            <w:left w:w="108" w:type="dxa"/>
            <w:bottom w:w="0" w:type="dxa"/>
            <w:right w:w="108" w:type="dxa"/>
          </w:tblCellMar>
        </w:tblPrEx>
        <w:trPr>
          <w:trHeight w:val="480" w:hRule="atLeast"/>
          <w:jc w:val="center"/>
        </w:trPr>
        <w:tc>
          <w:tcPr>
            <w:tcW w:w="427" w:type="dxa"/>
            <w:tcBorders>
              <w:top w:val="nil"/>
              <w:left w:val="single" w:color="auto" w:sz="4" w:space="0"/>
              <w:bottom w:val="single" w:color="auto" w:sz="4" w:space="0"/>
              <w:right w:val="single" w:color="auto" w:sz="4" w:space="0"/>
            </w:tcBorders>
            <w:shd w:val="clear" w:color="auto" w:fill="auto"/>
            <w:noWrap/>
            <w:vAlign w:val="center"/>
          </w:tcPr>
          <w:p w14:paraId="5214877A">
            <w:pPr>
              <w:widowControl/>
              <w:jc w:val="center"/>
              <w:rPr>
                <w:rFonts w:ascii="宋体" w:hAnsi="宋体" w:cs="宋体"/>
                <w:kern w:val="0"/>
                <w:szCs w:val="21"/>
              </w:rPr>
            </w:pPr>
            <w:r>
              <w:rPr>
                <w:rFonts w:hint="eastAsia" w:ascii="宋体" w:hAnsi="宋体" w:cs="宋体"/>
                <w:kern w:val="0"/>
                <w:szCs w:val="21"/>
              </w:rPr>
              <w:t>1</w:t>
            </w:r>
          </w:p>
        </w:tc>
        <w:tc>
          <w:tcPr>
            <w:tcW w:w="1133" w:type="dxa"/>
            <w:tcBorders>
              <w:top w:val="nil"/>
              <w:left w:val="nil"/>
              <w:bottom w:val="nil"/>
              <w:right w:val="single" w:color="auto" w:sz="4" w:space="0"/>
            </w:tcBorders>
            <w:shd w:val="clear" w:color="auto" w:fill="auto"/>
            <w:vAlign w:val="center"/>
          </w:tcPr>
          <w:p w14:paraId="789E28BC">
            <w:pPr>
              <w:widowControl/>
              <w:jc w:val="center"/>
              <w:rPr>
                <w:rFonts w:ascii="宋体" w:hAnsi="宋体" w:cs="宋体"/>
                <w:kern w:val="0"/>
                <w:szCs w:val="21"/>
              </w:rPr>
            </w:pPr>
            <w:r>
              <w:rPr>
                <w:rFonts w:hint="eastAsia" w:ascii="宋体" w:hAnsi="宋体" w:cs="宋体"/>
                <w:kern w:val="0"/>
                <w:szCs w:val="21"/>
              </w:rPr>
              <w:t>人员岗位及出勤</w:t>
            </w:r>
          </w:p>
        </w:tc>
        <w:tc>
          <w:tcPr>
            <w:tcW w:w="5750" w:type="dxa"/>
            <w:tcBorders>
              <w:top w:val="nil"/>
              <w:left w:val="nil"/>
              <w:bottom w:val="single" w:color="auto" w:sz="4" w:space="0"/>
              <w:right w:val="single" w:color="auto" w:sz="4" w:space="0"/>
            </w:tcBorders>
            <w:shd w:val="clear" w:color="auto" w:fill="auto"/>
            <w:vAlign w:val="center"/>
          </w:tcPr>
          <w:p w14:paraId="668DB732">
            <w:pPr>
              <w:widowControl/>
              <w:jc w:val="left"/>
              <w:rPr>
                <w:rFonts w:ascii="宋体" w:hAnsi="宋体" w:cs="宋体"/>
                <w:color w:val="000000"/>
                <w:kern w:val="0"/>
                <w:szCs w:val="21"/>
              </w:rPr>
            </w:pPr>
            <w:r>
              <w:rPr>
                <w:rFonts w:hint="eastAsia" w:ascii="宋体" w:hAnsi="宋体" w:cs="宋体"/>
                <w:color w:val="000000"/>
                <w:kern w:val="0"/>
                <w:szCs w:val="21"/>
              </w:rPr>
              <w:t>1、根据工作实际情况，合理安排休班，按岗位设置或排班表；</w:t>
            </w:r>
            <w:r>
              <w:rPr>
                <w:rFonts w:hint="eastAsia" w:ascii="宋体" w:hAnsi="宋体" w:cs="宋体"/>
                <w:color w:val="000000"/>
                <w:kern w:val="0"/>
                <w:szCs w:val="21"/>
              </w:rPr>
              <w:br w:type="textWrapping"/>
            </w:r>
            <w:r>
              <w:rPr>
                <w:rFonts w:hint="eastAsia" w:ascii="宋体" w:hAnsi="宋体" w:cs="宋体"/>
                <w:color w:val="000000"/>
                <w:kern w:val="0"/>
                <w:szCs w:val="21"/>
              </w:rPr>
              <w:t>2、人员调配合理，准时到岗，无迟到早退或缺勤现象。</w:t>
            </w:r>
          </w:p>
        </w:tc>
        <w:tc>
          <w:tcPr>
            <w:tcW w:w="1060" w:type="dxa"/>
            <w:tcBorders>
              <w:top w:val="nil"/>
              <w:left w:val="nil"/>
              <w:bottom w:val="single" w:color="auto" w:sz="4" w:space="0"/>
              <w:right w:val="single" w:color="auto" w:sz="4" w:space="0"/>
            </w:tcBorders>
            <w:shd w:val="clear" w:color="auto" w:fill="auto"/>
            <w:noWrap/>
            <w:vAlign w:val="center"/>
          </w:tcPr>
          <w:p w14:paraId="65B9DF97">
            <w:pPr>
              <w:widowControl/>
              <w:jc w:val="center"/>
              <w:rPr>
                <w:rFonts w:ascii="宋体" w:hAnsi="宋体" w:cs="宋体"/>
                <w:kern w:val="0"/>
                <w:szCs w:val="21"/>
              </w:rPr>
            </w:pPr>
            <w:r>
              <w:rPr>
                <w:rFonts w:hint="eastAsia" w:ascii="宋体" w:hAnsi="宋体" w:cs="宋体"/>
                <w:kern w:val="0"/>
                <w:szCs w:val="21"/>
              </w:rPr>
              <w:t>20</w:t>
            </w:r>
          </w:p>
        </w:tc>
        <w:tc>
          <w:tcPr>
            <w:tcW w:w="1115" w:type="dxa"/>
            <w:tcBorders>
              <w:top w:val="nil"/>
              <w:left w:val="nil"/>
              <w:bottom w:val="single" w:color="auto" w:sz="4" w:space="0"/>
              <w:right w:val="single" w:color="auto" w:sz="4" w:space="0"/>
            </w:tcBorders>
            <w:shd w:val="clear" w:color="auto" w:fill="auto"/>
            <w:noWrap/>
            <w:vAlign w:val="center"/>
          </w:tcPr>
          <w:p w14:paraId="26C3894F">
            <w:pPr>
              <w:widowControl/>
              <w:jc w:val="left"/>
              <w:rPr>
                <w:rFonts w:ascii="宋体" w:hAnsi="宋体" w:cs="宋体"/>
                <w:kern w:val="0"/>
                <w:szCs w:val="21"/>
              </w:rPr>
            </w:pPr>
            <w:r>
              <w:rPr>
                <w:rFonts w:hint="eastAsia" w:ascii="宋体" w:hAnsi="宋体" w:cs="宋体"/>
                <w:kern w:val="0"/>
                <w:szCs w:val="21"/>
              </w:rPr>
              <w:t>　</w:t>
            </w:r>
          </w:p>
        </w:tc>
        <w:tc>
          <w:tcPr>
            <w:tcW w:w="1563" w:type="dxa"/>
            <w:tcBorders>
              <w:top w:val="nil"/>
              <w:left w:val="nil"/>
              <w:bottom w:val="single" w:color="auto" w:sz="4" w:space="0"/>
              <w:right w:val="single" w:color="auto" w:sz="4" w:space="0"/>
            </w:tcBorders>
            <w:shd w:val="clear" w:color="auto" w:fill="auto"/>
            <w:noWrap/>
            <w:vAlign w:val="center"/>
          </w:tcPr>
          <w:p w14:paraId="3677734B">
            <w:pPr>
              <w:widowControl/>
              <w:jc w:val="left"/>
              <w:rPr>
                <w:rFonts w:ascii="宋体" w:hAnsi="宋体" w:cs="宋体"/>
                <w:color w:val="FF0000"/>
                <w:kern w:val="0"/>
                <w:szCs w:val="21"/>
              </w:rPr>
            </w:pPr>
            <w:r>
              <w:rPr>
                <w:rFonts w:hint="eastAsia" w:ascii="宋体" w:hAnsi="宋体" w:cs="宋体"/>
                <w:color w:val="FF0000"/>
                <w:kern w:val="0"/>
                <w:szCs w:val="21"/>
              </w:rPr>
              <w:t>　</w:t>
            </w:r>
          </w:p>
        </w:tc>
      </w:tr>
      <w:tr w14:paraId="32721226">
        <w:tblPrEx>
          <w:tblCellMar>
            <w:top w:w="0" w:type="dxa"/>
            <w:left w:w="108" w:type="dxa"/>
            <w:bottom w:w="0" w:type="dxa"/>
            <w:right w:w="108" w:type="dxa"/>
          </w:tblCellMar>
        </w:tblPrEx>
        <w:trPr>
          <w:trHeight w:val="1350" w:hRule="atLeast"/>
          <w:jc w:val="center"/>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31C4F81">
            <w:pPr>
              <w:widowControl/>
              <w:jc w:val="center"/>
              <w:rPr>
                <w:rFonts w:ascii="宋体" w:hAnsi="宋体" w:cs="宋体"/>
                <w:kern w:val="0"/>
                <w:szCs w:val="21"/>
              </w:rPr>
            </w:pPr>
            <w:r>
              <w:rPr>
                <w:rFonts w:hint="eastAsia" w:ascii="宋体" w:hAnsi="宋体" w:cs="宋体"/>
                <w:kern w:val="0"/>
                <w:szCs w:val="21"/>
              </w:rPr>
              <w:t>2</w:t>
            </w:r>
          </w:p>
        </w:tc>
        <w:tc>
          <w:tcPr>
            <w:tcW w:w="1133" w:type="dxa"/>
            <w:tcBorders>
              <w:top w:val="single" w:color="auto" w:sz="4" w:space="0"/>
              <w:left w:val="nil"/>
              <w:bottom w:val="nil"/>
              <w:right w:val="single" w:color="auto" w:sz="4" w:space="0"/>
            </w:tcBorders>
            <w:shd w:val="clear" w:color="auto" w:fill="auto"/>
            <w:vAlign w:val="center"/>
          </w:tcPr>
          <w:p w14:paraId="3022F137">
            <w:pPr>
              <w:widowControl/>
              <w:jc w:val="center"/>
              <w:rPr>
                <w:rFonts w:ascii="宋体" w:hAnsi="宋体" w:cs="宋体"/>
                <w:kern w:val="0"/>
                <w:szCs w:val="21"/>
              </w:rPr>
            </w:pPr>
            <w:r>
              <w:rPr>
                <w:rFonts w:hint="eastAsia" w:ascii="宋体" w:hAnsi="宋体" w:cs="宋体"/>
                <w:kern w:val="0"/>
                <w:szCs w:val="21"/>
              </w:rPr>
              <w:t>人员礼仪纪律</w:t>
            </w:r>
          </w:p>
        </w:tc>
        <w:tc>
          <w:tcPr>
            <w:tcW w:w="5750" w:type="dxa"/>
            <w:tcBorders>
              <w:top w:val="nil"/>
              <w:left w:val="nil"/>
              <w:bottom w:val="single" w:color="auto" w:sz="4" w:space="0"/>
              <w:right w:val="single" w:color="auto" w:sz="4" w:space="0"/>
            </w:tcBorders>
            <w:shd w:val="clear" w:color="auto" w:fill="auto"/>
            <w:vAlign w:val="center"/>
          </w:tcPr>
          <w:p w14:paraId="478C8D4B">
            <w:pPr>
              <w:widowControl/>
              <w:jc w:val="left"/>
              <w:rPr>
                <w:rFonts w:ascii="宋体" w:hAnsi="宋体" w:cs="宋体"/>
                <w:color w:val="000000"/>
                <w:kern w:val="0"/>
                <w:szCs w:val="21"/>
              </w:rPr>
            </w:pPr>
            <w:r>
              <w:rPr>
                <w:rFonts w:hint="eastAsia" w:ascii="宋体" w:hAnsi="宋体" w:cs="宋体"/>
                <w:color w:val="000000"/>
                <w:kern w:val="0"/>
                <w:szCs w:val="21"/>
              </w:rPr>
              <w:t>1、微笑规范询问，合理阻止非文明行为及非规范行为，严禁粗话、脏话，无肢体冲突；</w:t>
            </w:r>
            <w:r>
              <w:rPr>
                <w:rFonts w:hint="eastAsia" w:ascii="宋体" w:hAnsi="宋体" w:cs="宋体"/>
                <w:color w:val="000000"/>
                <w:kern w:val="0"/>
                <w:szCs w:val="21"/>
              </w:rPr>
              <w:br w:type="textWrapping"/>
            </w:r>
            <w:r>
              <w:rPr>
                <w:rFonts w:hint="eastAsia" w:ascii="宋体" w:hAnsi="宋体" w:cs="宋体"/>
                <w:color w:val="000000"/>
                <w:kern w:val="0"/>
                <w:szCs w:val="21"/>
              </w:rPr>
              <w:t>2、各种手势必须清晰、规范，手势统一有力，严禁手势误导；</w:t>
            </w:r>
            <w:r>
              <w:rPr>
                <w:rFonts w:hint="eastAsia" w:ascii="宋体" w:hAnsi="宋体" w:cs="宋体"/>
                <w:color w:val="000000"/>
                <w:kern w:val="0"/>
                <w:szCs w:val="21"/>
              </w:rPr>
              <w:br w:type="textWrapping"/>
            </w:r>
            <w:r>
              <w:rPr>
                <w:rFonts w:hint="eastAsia" w:ascii="宋体" w:hAnsi="宋体" w:cs="宋体"/>
                <w:color w:val="000000"/>
                <w:kern w:val="0"/>
                <w:szCs w:val="21"/>
              </w:rPr>
              <w:t>3、穿着清洁整齐，裤线清晰直挺，口袋内不放异物；</w:t>
            </w:r>
            <w:r>
              <w:rPr>
                <w:rFonts w:hint="eastAsia" w:ascii="宋体" w:hAnsi="宋体" w:cs="宋体"/>
                <w:color w:val="000000"/>
                <w:kern w:val="0"/>
                <w:szCs w:val="21"/>
              </w:rPr>
              <w:br w:type="textWrapping"/>
            </w:r>
            <w:r>
              <w:rPr>
                <w:rFonts w:hint="eastAsia" w:ascii="宋体" w:hAnsi="宋体" w:cs="宋体"/>
                <w:color w:val="000000"/>
                <w:kern w:val="0"/>
                <w:szCs w:val="21"/>
              </w:rPr>
              <w:t>4、不得留须、长发、长甲，食用口气较重食物，严禁酒后当值；</w:t>
            </w:r>
            <w:r>
              <w:rPr>
                <w:rFonts w:hint="eastAsia" w:ascii="宋体" w:hAnsi="宋体" w:cs="宋体"/>
                <w:color w:val="000000"/>
                <w:kern w:val="0"/>
                <w:szCs w:val="21"/>
              </w:rPr>
              <w:br w:type="textWrapping"/>
            </w:r>
            <w:r>
              <w:rPr>
                <w:rFonts w:hint="eastAsia" w:ascii="宋体" w:hAnsi="宋体" w:cs="宋体"/>
                <w:color w:val="000000"/>
                <w:kern w:val="0"/>
                <w:szCs w:val="21"/>
              </w:rPr>
              <w:t>5、工作、休息区域卫生整洁，各类记录表单、使用器具摆放整齐；</w:t>
            </w:r>
            <w:r>
              <w:rPr>
                <w:rFonts w:hint="eastAsia" w:ascii="宋体" w:hAnsi="宋体" w:cs="宋体"/>
                <w:color w:val="000000"/>
                <w:kern w:val="0"/>
                <w:szCs w:val="21"/>
              </w:rPr>
              <w:br w:type="textWrapping"/>
            </w:r>
            <w:r>
              <w:rPr>
                <w:rFonts w:hint="eastAsia" w:ascii="宋体" w:hAnsi="宋体" w:cs="宋体"/>
                <w:color w:val="000000"/>
                <w:kern w:val="0"/>
                <w:szCs w:val="21"/>
              </w:rPr>
              <w:t>6、工作时注意站姿，坐姿、行姿，不得做与工作无关的事情。</w:t>
            </w:r>
          </w:p>
        </w:tc>
        <w:tc>
          <w:tcPr>
            <w:tcW w:w="1060" w:type="dxa"/>
            <w:tcBorders>
              <w:top w:val="nil"/>
              <w:left w:val="nil"/>
              <w:bottom w:val="single" w:color="auto" w:sz="4" w:space="0"/>
              <w:right w:val="single" w:color="auto" w:sz="4" w:space="0"/>
            </w:tcBorders>
            <w:shd w:val="clear" w:color="auto" w:fill="auto"/>
            <w:noWrap/>
            <w:vAlign w:val="center"/>
          </w:tcPr>
          <w:p w14:paraId="76154691">
            <w:pPr>
              <w:widowControl/>
              <w:jc w:val="center"/>
              <w:rPr>
                <w:rFonts w:ascii="宋体" w:hAnsi="宋体" w:cs="宋体"/>
                <w:kern w:val="0"/>
                <w:szCs w:val="21"/>
              </w:rPr>
            </w:pPr>
            <w:r>
              <w:rPr>
                <w:rFonts w:hint="eastAsia" w:ascii="宋体" w:hAnsi="宋体" w:cs="宋体"/>
                <w:kern w:val="0"/>
                <w:szCs w:val="21"/>
              </w:rPr>
              <w:t>20</w:t>
            </w:r>
          </w:p>
        </w:tc>
        <w:tc>
          <w:tcPr>
            <w:tcW w:w="1115" w:type="dxa"/>
            <w:tcBorders>
              <w:top w:val="nil"/>
              <w:left w:val="nil"/>
              <w:bottom w:val="single" w:color="auto" w:sz="4" w:space="0"/>
              <w:right w:val="single" w:color="auto" w:sz="4" w:space="0"/>
            </w:tcBorders>
            <w:shd w:val="clear" w:color="auto" w:fill="FFFFFF"/>
            <w:noWrap/>
            <w:vAlign w:val="center"/>
          </w:tcPr>
          <w:p w14:paraId="29411E17">
            <w:pPr>
              <w:widowControl/>
              <w:jc w:val="left"/>
              <w:rPr>
                <w:rFonts w:ascii="宋体" w:hAnsi="宋体" w:cs="宋体"/>
                <w:kern w:val="0"/>
                <w:szCs w:val="21"/>
              </w:rPr>
            </w:pPr>
            <w:r>
              <w:rPr>
                <w:rFonts w:hint="eastAsia" w:ascii="宋体" w:hAnsi="宋体" w:cs="宋体"/>
                <w:kern w:val="0"/>
                <w:szCs w:val="21"/>
              </w:rPr>
              <w:t>　</w:t>
            </w:r>
          </w:p>
        </w:tc>
        <w:tc>
          <w:tcPr>
            <w:tcW w:w="1563" w:type="dxa"/>
            <w:tcBorders>
              <w:top w:val="nil"/>
              <w:left w:val="nil"/>
              <w:bottom w:val="single" w:color="auto" w:sz="4" w:space="0"/>
              <w:right w:val="single" w:color="auto" w:sz="4" w:space="0"/>
            </w:tcBorders>
            <w:shd w:val="clear" w:color="auto" w:fill="auto"/>
            <w:noWrap/>
            <w:vAlign w:val="center"/>
          </w:tcPr>
          <w:p w14:paraId="422C241C">
            <w:pPr>
              <w:widowControl/>
              <w:jc w:val="left"/>
              <w:rPr>
                <w:rFonts w:ascii="宋体" w:hAnsi="宋体" w:cs="宋体"/>
                <w:kern w:val="0"/>
                <w:szCs w:val="21"/>
              </w:rPr>
            </w:pPr>
            <w:r>
              <w:rPr>
                <w:rFonts w:hint="eastAsia" w:ascii="宋体" w:hAnsi="宋体" w:cs="宋体"/>
                <w:kern w:val="0"/>
                <w:szCs w:val="21"/>
              </w:rPr>
              <w:t>　</w:t>
            </w:r>
          </w:p>
        </w:tc>
      </w:tr>
      <w:tr w14:paraId="76A61414">
        <w:tblPrEx>
          <w:tblCellMar>
            <w:top w:w="0" w:type="dxa"/>
            <w:left w:w="108" w:type="dxa"/>
            <w:bottom w:w="0" w:type="dxa"/>
            <w:right w:w="108" w:type="dxa"/>
          </w:tblCellMar>
        </w:tblPrEx>
        <w:trPr>
          <w:trHeight w:val="1266" w:hRule="atLeast"/>
          <w:jc w:val="center"/>
        </w:trPr>
        <w:tc>
          <w:tcPr>
            <w:tcW w:w="427" w:type="dxa"/>
            <w:tcBorders>
              <w:top w:val="nil"/>
              <w:left w:val="single" w:color="auto" w:sz="4" w:space="0"/>
              <w:bottom w:val="single" w:color="auto" w:sz="4" w:space="0"/>
              <w:right w:val="single" w:color="auto" w:sz="4" w:space="0"/>
            </w:tcBorders>
            <w:shd w:val="clear" w:color="auto" w:fill="auto"/>
            <w:noWrap/>
            <w:vAlign w:val="center"/>
          </w:tcPr>
          <w:p w14:paraId="5D2F1CAF">
            <w:pPr>
              <w:widowControl/>
              <w:jc w:val="center"/>
              <w:rPr>
                <w:rFonts w:ascii="宋体" w:hAnsi="宋体" w:cs="宋体"/>
                <w:kern w:val="0"/>
                <w:szCs w:val="21"/>
              </w:rPr>
            </w:pPr>
            <w:r>
              <w:rPr>
                <w:rFonts w:hint="eastAsia" w:ascii="宋体" w:hAnsi="宋体" w:cs="宋体"/>
                <w:kern w:val="0"/>
                <w:szCs w:val="21"/>
              </w:rPr>
              <w:t>3</w:t>
            </w:r>
          </w:p>
        </w:tc>
        <w:tc>
          <w:tcPr>
            <w:tcW w:w="1133" w:type="dxa"/>
            <w:tcBorders>
              <w:top w:val="single" w:color="auto" w:sz="4" w:space="0"/>
              <w:left w:val="nil"/>
              <w:bottom w:val="nil"/>
              <w:right w:val="single" w:color="auto" w:sz="4" w:space="0"/>
            </w:tcBorders>
            <w:shd w:val="clear" w:color="auto" w:fill="auto"/>
            <w:vAlign w:val="center"/>
          </w:tcPr>
          <w:p w14:paraId="736C6074">
            <w:pPr>
              <w:widowControl/>
              <w:jc w:val="center"/>
              <w:rPr>
                <w:rFonts w:ascii="宋体" w:hAnsi="宋体" w:cs="宋体"/>
                <w:kern w:val="0"/>
                <w:szCs w:val="21"/>
              </w:rPr>
            </w:pPr>
            <w:r>
              <w:rPr>
                <w:rFonts w:hint="eastAsia" w:ascii="宋体" w:hAnsi="宋体" w:cs="宋体"/>
                <w:kern w:val="0"/>
                <w:szCs w:val="21"/>
              </w:rPr>
              <w:t>日常管理工作</w:t>
            </w:r>
          </w:p>
        </w:tc>
        <w:tc>
          <w:tcPr>
            <w:tcW w:w="5750" w:type="dxa"/>
            <w:tcBorders>
              <w:top w:val="nil"/>
              <w:left w:val="nil"/>
              <w:bottom w:val="single" w:color="auto" w:sz="4" w:space="0"/>
              <w:right w:val="single" w:color="auto" w:sz="4" w:space="0"/>
            </w:tcBorders>
            <w:shd w:val="clear" w:color="auto" w:fill="auto"/>
            <w:vAlign w:val="center"/>
          </w:tcPr>
          <w:p w14:paraId="1FBD3E26">
            <w:pPr>
              <w:widowControl/>
              <w:jc w:val="left"/>
              <w:rPr>
                <w:rFonts w:ascii="宋体" w:hAnsi="宋体" w:cs="宋体"/>
                <w:color w:val="000000"/>
                <w:kern w:val="0"/>
                <w:szCs w:val="21"/>
              </w:rPr>
            </w:pPr>
            <w:r>
              <w:rPr>
                <w:rFonts w:hint="eastAsia" w:ascii="宋体" w:hAnsi="宋体" w:cs="宋体"/>
                <w:color w:val="000000"/>
                <w:kern w:val="0"/>
                <w:szCs w:val="21"/>
              </w:rPr>
              <w:t>1、按计划完成日常巡楼工作，并有相应规范记录表单；</w:t>
            </w:r>
            <w:r>
              <w:rPr>
                <w:rFonts w:hint="eastAsia" w:ascii="宋体" w:hAnsi="宋体" w:cs="宋体"/>
                <w:color w:val="000000"/>
                <w:kern w:val="0"/>
                <w:szCs w:val="21"/>
              </w:rPr>
              <w:br w:type="textWrapping"/>
            </w:r>
            <w:r>
              <w:rPr>
                <w:rFonts w:hint="eastAsia" w:ascii="宋体" w:hAnsi="宋体" w:cs="宋体"/>
                <w:color w:val="000000"/>
                <w:kern w:val="0"/>
                <w:szCs w:val="21"/>
              </w:rPr>
              <w:t>2、管控外来访客、施工人员、物品进出，确保服务区内无重大治安事件；</w:t>
            </w:r>
            <w:r>
              <w:rPr>
                <w:rFonts w:hint="eastAsia" w:ascii="宋体" w:hAnsi="宋体" w:cs="宋体"/>
                <w:color w:val="000000"/>
                <w:kern w:val="0"/>
                <w:szCs w:val="21"/>
              </w:rPr>
              <w:br w:type="textWrapping"/>
            </w:r>
            <w:r>
              <w:rPr>
                <w:rFonts w:hint="eastAsia" w:ascii="宋体" w:hAnsi="宋体" w:cs="宋体"/>
                <w:color w:val="000000"/>
                <w:kern w:val="0"/>
                <w:szCs w:val="21"/>
              </w:rPr>
              <w:t>3、到岗人员熟悉岗位内安全出口位置和消防器材摆放位置；</w:t>
            </w:r>
            <w:r>
              <w:rPr>
                <w:rFonts w:hint="eastAsia" w:ascii="宋体" w:hAnsi="宋体" w:cs="宋体"/>
                <w:color w:val="000000"/>
                <w:kern w:val="0"/>
                <w:szCs w:val="21"/>
              </w:rPr>
              <w:br w:type="textWrapping"/>
            </w:r>
            <w:r>
              <w:rPr>
                <w:rFonts w:hint="eastAsia" w:ascii="宋体" w:hAnsi="宋体" w:cs="宋体"/>
                <w:color w:val="000000"/>
                <w:kern w:val="0"/>
                <w:szCs w:val="21"/>
              </w:rPr>
              <w:t>4、日常工作记录表单全面详细符合现场工作要求，并规范存档；</w:t>
            </w:r>
            <w:r>
              <w:rPr>
                <w:rFonts w:hint="eastAsia" w:ascii="宋体" w:hAnsi="宋体" w:cs="宋体"/>
                <w:color w:val="000000"/>
                <w:kern w:val="0"/>
                <w:szCs w:val="21"/>
              </w:rPr>
              <w:br w:type="textWrapping"/>
            </w:r>
            <w:r>
              <w:rPr>
                <w:rFonts w:hint="eastAsia" w:ascii="宋体" w:hAnsi="宋体" w:cs="宋体"/>
                <w:color w:val="000000"/>
                <w:kern w:val="0"/>
                <w:szCs w:val="21"/>
              </w:rPr>
              <w:t>5、车辆档案、登记清晰、准确，现场机动车与非机动车停放有序，及时处理违章停放；</w:t>
            </w:r>
            <w:r>
              <w:rPr>
                <w:rFonts w:hint="eastAsia" w:ascii="宋体" w:hAnsi="宋体" w:cs="宋体"/>
                <w:color w:val="000000"/>
                <w:kern w:val="0"/>
                <w:szCs w:val="21"/>
              </w:rPr>
              <w:br w:type="textWrapping"/>
            </w:r>
            <w:r>
              <w:rPr>
                <w:rFonts w:hint="eastAsia" w:ascii="宋体" w:hAnsi="宋体" w:cs="宋体"/>
                <w:color w:val="000000"/>
                <w:kern w:val="0"/>
                <w:szCs w:val="21"/>
              </w:rPr>
              <w:t>6、突发事件15分钟内上报指定领导；</w:t>
            </w:r>
            <w:r>
              <w:rPr>
                <w:rFonts w:hint="eastAsia" w:ascii="宋体" w:hAnsi="宋体" w:cs="宋体"/>
                <w:color w:val="000000"/>
                <w:kern w:val="0"/>
                <w:szCs w:val="21"/>
              </w:rPr>
              <w:br w:type="textWrapping"/>
            </w:r>
            <w:r>
              <w:rPr>
                <w:rFonts w:hint="eastAsia" w:ascii="宋体" w:hAnsi="宋体" w:cs="宋体"/>
                <w:color w:val="000000"/>
                <w:kern w:val="0"/>
                <w:szCs w:val="21"/>
              </w:rPr>
              <w:t>7、各岗位队员熟知本岗位职责，不得离岗、脱岗、睡岗；</w:t>
            </w:r>
            <w:r>
              <w:rPr>
                <w:rFonts w:hint="eastAsia" w:ascii="宋体" w:hAnsi="宋体" w:cs="宋体"/>
                <w:color w:val="000000"/>
                <w:kern w:val="0"/>
                <w:szCs w:val="21"/>
              </w:rPr>
              <w:br w:type="textWrapping"/>
            </w:r>
            <w:r>
              <w:rPr>
                <w:rFonts w:hint="eastAsia" w:ascii="宋体" w:hAnsi="宋体" w:cs="宋体"/>
                <w:color w:val="000000"/>
                <w:kern w:val="0"/>
                <w:szCs w:val="21"/>
              </w:rPr>
              <w:t>8、责任区域内，无投诉、无报警、无安全事故及消防事故；</w:t>
            </w:r>
            <w:r>
              <w:rPr>
                <w:rFonts w:hint="eastAsia" w:ascii="宋体" w:hAnsi="宋体" w:cs="宋体"/>
                <w:color w:val="000000"/>
                <w:kern w:val="0"/>
                <w:szCs w:val="21"/>
              </w:rPr>
              <w:br w:type="textWrapping"/>
            </w:r>
            <w:r>
              <w:rPr>
                <w:rFonts w:hint="eastAsia" w:ascii="宋体" w:hAnsi="宋体" w:cs="宋体"/>
                <w:color w:val="000000"/>
                <w:kern w:val="0"/>
                <w:szCs w:val="21"/>
              </w:rPr>
              <w:t>9、制定符合现场突发事件应急预案，到岗员工熟悉预案流程；</w:t>
            </w:r>
            <w:r>
              <w:rPr>
                <w:rFonts w:hint="eastAsia" w:ascii="宋体" w:hAnsi="宋体" w:cs="宋体"/>
                <w:color w:val="000000"/>
                <w:kern w:val="0"/>
                <w:szCs w:val="21"/>
              </w:rPr>
              <w:br w:type="textWrapping"/>
            </w:r>
            <w:r>
              <w:rPr>
                <w:rFonts w:hint="eastAsia" w:ascii="宋体" w:hAnsi="宋体" w:cs="宋体"/>
                <w:color w:val="000000"/>
                <w:kern w:val="0"/>
                <w:szCs w:val="21"/>
              </w:rPr>
              <w:t>10、面对突发事件及时到达现场并作出合理处置及报告程序合理</w:t>
            </w:r>
          </w:p>
        </w:tc>
        <w:tc>
          <w:tcPr>
            <w:tcW w:w="1060" w:type="dxa"/>
            <w:tcBorders>
              <w:top w:val="nil"/>
              <w:left w:val="nil"/>
              <w:bottom w:val="single" w:color="auto" w:sz="4" w:space="0"/>
              <w:right w:val="single" w:color="auto" w:sz="4" w:space="0"/>
            </w:tcBorders>
            <w:shd w:val="clear" w:color="auto" w:fill="auto"/>
            <w:noWrap/>
            <w:vAlign w:val="center"/>
          </w:tcPr>
          <w:p w14:paraId="3A0602F5">
            <w:pPr>
              <w:widowControl/>
              <w:jc w:val="center"/>
              <w:rPr>
                <w:rFonts w:ascii="宋体" w:hAnsi="宋体" w:cs="宋体"/>
                <w:kern w:val="0"/>
                <w:szCs w:val="21"/>
              </w:rPr>
            </w:pPr>
            <w:r>
              <w:rPr>
                <w:rFonts w:hint="eastAsia" w:ascii="宋体" w:hAnsi="宋体" w:cs="宋体"/>
                <w:kern w:val="0"/>
                <w:szCs w:val="21"/>
              </w:rPr>
              <w:t>40</w:t>
            </w:r>
          </w:p>
        </w:tc>
        <w:tc>
          <w:tcPr>
            <w:tcW w:w="1115" w:type="dxa"/>
            <w:tcBorders>
              <w:top w:val="nil"/>
              <w:left w:val="nil"/>
              <w:bottom w:val="single" w:color="auto" w:sz="4" w:space="0"/>
              <w:right w:val="single" w:color="auto" w:sz="4" w:space="0"/>
            </w:tcBorders>
            <w:shd w:val="clear" w:color="auto" w:fill="auto"/>
            <w:noWrap/>
            <w:vAlign w:val="center"/>
          </w:tcPr>
          <w:p w14:paraId="13AC51F7">
            <w:pPr>
              <w:widowControl/>
              <w:jc w:val="left"/>
              <w:rPr>
                <w:rFonts w:ascii="宋体" w:hAnsi="宋体" w:cs="宋体"/>
                <w:kern w:val="0"/>
                <w:szCs w:val="21"/>
              </w:rPr>
            </w:pPr>
            <w:r>
              <w:rPr>
                <w:rFonts w:hint="eastAsia" w:ascii="宋体" w:hAnsi="宋体" w:cs="宋体"/>
                <w:kern w:val="0"/>
                <w:szCs w:val="21"/>
              </w:rPr>
              <w:t>　</w:t>
            </w:r>
          </w:p>
        </w:tc>
        <w:tc>
          <w:tcPr>
            <w:tcW w:w="1563" w:type="dxa"/>
            <w:tcBorders>
              <w:top w:val="nil"/>
              <w:left w:val="nil"/>
              <w:bottom w:val="single" w:color="auto" w:sz="4" w:space="0"/>
              <w:right w:val="single" w:color="auto" w:sz="4" w:space="0"/>
            </w:tcBorders>
            <w:shd w:val="clear" w:color="auto" w:fill="auto"/>
            <w:noWrap/>
            <w:vAlign w:val="center"/>
          </w:tcPr>
          <w:p w14:paraId="54D125DB">
            <w:pPr>
              <w:widowControl/>
              <w:jc w:val="left"/>
              <w:rPr>
                <w:rFonts w:ascii="宋体" w:hAnsi="宋体" w:cs="宋体"/>
                <w:color w:val="FF0000"/>
                <w:kern w:val="0"/>
                <w:szCs w:val="21"/>
              </w:rPr>
            </w:pPr>
            <w:r>
              <w:rPr>
                <w:rFonts w:hint="eastAsia" w:ascii="宋体" w:hAnsi="宋体" w:cs="宋体"/>
                <w:color w:val="FF0000"/>
                <w:kern w:val="0"/>
                <w:szCs w:val="21"/>
              </w:rPr>
              <w:t>　</w:t>
            </w:r>
          </w:p>
        </w:tc>
      </w:tr>
      <w:tr w14:paraId="2486E49F">
        <w:tblPrEx>
          <w:tblCellMar>
            <w:top w:w="0" w:type="dxa"/>
            <w:left w:w="108" w:type="dxa"/>
            <w:bottom w:w="0" w:type="dxa"/>
            <w:right w:w="108" w:type="dxa"/>
          </w:tblCellMar>
        </w:tblPrEx>
        <w:trPr>
          <w:trHeight w:val="1125" w:hRule="atLeast"/>
          <w:jc w:val="center"/>
        </w:trPr>
        <w:tc>
          <w:tcPr>
            <w:tcW w:w="427" w:type="dxa"/>
            <w:tcBorders>
              <w:top w:val="nil"/>
              <w:left w:val="single" w:color="auto" w:sz="4" w:space="0"/>
              <w:bottom w:val="single" w:color="auto" w:sz="4" w:space="0"/>
              <w:right w:val="single" w:color="auto" w:sz="4" w:space="0"/>
            </w:tcBorders>
            <w:shd w:val="clear" w:color="auto" w:fill="auto"/>
            <w:noWrap/>
            <w:vAlign w:val="center"/>
          </w:tcPr>
          <w:p w14:paraId="5C5D3515">
            <w:pPr>
              <w:widowControl/>
              <w:jc w:val="center"/>
              <w:rPr>
                <w:rFonts w:ascii="宋体" w:hAnsi="宋体" w:cs="宋体"/>
                <w:kern w:val="0"/>
                <w:szCs w:val="21"/>
              </w:rPr>
            </w:pPr>
            <w:r>
              <w:rPr>
                <w:rFonts w:hint="eastAsia" w:ascii="宋体" w:hAnsi="宋体" w:cs="宋体"/>
                <w:kern w:val="0"/>
                <w:szCs w:val="21"/>
              </w:rPr>
              <w:t>4</w:t>
            </w:r>
          </w:p>
        </w:tc>
        <w:tc>
          <w:tcPr>
            <w:tcW w:w="1133" w:type="dxa"/>
            <w:tcBorders>
              <w:top w:val="single" w:color="auto" w:sz="4" w:space="0"/>
              <w:left w:val="nil"/>
              <w:bottom w:val="nil"/>
              <w:right w:val="single" w:color="auto" w:sz="4" w:space="0"/>
            </w:tcBorders>
            <w:shd w:val="clear" w:color="auto" w:fill="auto"/>
            <w:vAlign w:val="center"/>
          </w:tcPr>
          <w:p w14:paraId="7ECA3D2B">
            <w:pPr>
              <w:widowControl/>
              <w:jc w:val="center"/>
              <w:rPr>
                <w:rFonts w:ascii="宋体" w:hAnsi="宋体" w:cs="宋体"/>
                <w:kern w:val="0"/>
                <w:szCs w:val="21"/>
              </w:rPr>
            </w:pPr>
            <w:r>
              <w:rPr>
                <w:rFonts w:hint="eastAsia" w:ascii="宋体" w:hAnsi="宋体" w:cs="宋体"/>
                <w:kern w:val="0"/>
                <w:szCs w:val="21"/>
              </w:rPr>
              <w:t>工作配合及沟通</w:t>
            </w:r>
          </w:p>
        </w:tc>
        <w:tc>
          <w:tcPr>
            <w:tcW w:w="5750" w:type="dxa"/>
            <w:tcBorders>
              <w:top w:val="nil"/>
              <w:left w:val="nil"/>
              <w:bottom w:val="single" w:color="auto" w:sz="4" w:space="0"/>
              <w:right w:val="single" w:color="auto" w:sz="4" w:space="0"/>
            </w:tcBorders>
            <w:shd w:val="clear" w:color="auto" w:fill="auto"/>
            <w:vAlign w:val="center"/>
          </w:tcPr>
          <w:p w14:paraId="2F9992F5">
            <w:pPr>
              <w:widowControl/>
              <w:jc w:val="left"/>
              <w:rPr>
                <w:rFonts w:ascii="宋体" w:hAnsi="宋体" w:cs="宋体"/>
                <w:color w:val="000000"/>
                <w:kern w:val="0"/>
                <w:szCs w:val="21"/>
              </w:rPr>
            </w:pPr>
            <w:r>
              <w:rPr>
                <w:rFonts w:hint="eastAsia" w:ascii="宋体" w:hAnsi="宋体" w:cs="宋体"/>
                <w:color w:val="000000"/>
                <w:kern w:val="0"/>
                <w:szCs w:val="21"/>
              </w:rPr>
              <w:t>1、及时有效传达管理处布置的各阶段工作重点及任务，保证其落实执行并及时反馈；</w:t>
            </w:r>
            <w:r>
              <w:rPr>
                <w:rFonts w:hint="eastAsia" w:ascii="宋体" w:hAnsi="宋体" w:cs="宋体"/>
                <w:color w:val="000000"/>
                <w:kern w:val="0"/>
                <w:szCs w:val="21"/>
              </w:rPr>
              <w:br w:type="textWrapping"/>
            </w:r>
            <w:r>
              <w:rPr>
                <w:rFonts w:hint="eastAsia" w:ascii="宋体" w:hAnsi="宋体" w:cs="宋体"/>
                <w:color w:val="000000"/>
                <w:kern w:val="0"/>
                <w:szCs w:val="21"/>
              </w:rPr>
              <w:t>2、就工作指令中的疑问主动与管理处进行协调沟通，有效防止误会和失误 ；</w:t>
            </w:r>
            <w:r>
              <w:rPr>
                <w:rFonts w:hint="eastAsia" w:ascii="宋体" w:hAnsi="宋体" w:cs="宋体"/>
                <w:color w:val="000000"/>
                <w:kern w:val="0"/>
                <w:szCs w:val="21"/>
              </w:rPr>
              <w:br w:type="textWrapping"/>
            </w:r>
            <w:r>
              <w:rPr>
                <w:rFonts w:hint="eastAsia" w:ascii="宋体" w:hAnsi="宋体" w:cs="宋体"/>
                <w:color w:val="000000"/>
                <w:kern w:val="0"/>
                <w:szCs w:val="21"/>
              </w:rPr>
              <w:t>3、工作中积极主动不计个人得失，发挥主观能动性，高效高质的完成各项工作任务；</w:t>
            </w:r>
            <w:r>
              <w:rPr>
                <w:rFonts w:hint="eastAsia" w:ascii="宋体" w:hAnsi="宋体" w:cs="宋体"/>
                <w:color w:val="000000"/>
                <w:kern w:val="0"/>
                <w:szCs w:val="21"/>
              </w:rPr>
              <w:br w:type="textWrapping"/>
            </w:r>
            <w:r>
              <w:rPr>
                <w:rFonts w:hint="eastAsia" w:ascii="宋体" w:hAnsi="宋体" w:cs="宋体"/>
                <w:color w:val="000000"/>
                <w:kern w:val="0"/>
                <w:szCs w:val="21"/>
              </w:rPr>
              <w:t>4、对于工作中碰到的问题与协同部门进行沟通并及时反馈进展；</w:t>
            </w:r>
            <w:r>
              <w:rPr>
                <w:rFonts w:hint="eastAsia" w:ascii="宋体" w:hAnsi="宋体" w:cs="宋体"/>
                <w:color w:val="000000"/>
                <w:kern w:val="0"/>
                <w:szCs w:val="21"/>
              </w:rPr>
              <w:br w:type="textWrapping"/>
            </w:r>
            <w:r>
              <w:rPr>
                <w:rFonts w:hint="eastAsia" w:ascii="宋体" w:hAnsi="宋体" w:cs="宋体"/>
                <w:color w:val="000000"/>
                <w:kern w:val="0"/>
                <w:szCs w:val="21"/>
              </w:rPr>
              <w:t>5、工作中主动对潜在的问题进行发掘并做出各种预见性方案</w:t>
            </w:r>
          </w:p>
        </w:tc>
        <w:tc>
          <w:tcPr>
            <w:tcW w:w="1060" w:type="dxa"/>
            <w:tcBorders>
              <w:top w:val="nil"/>
              <w:left w:val="nil"/>
              <w:bottom w:val="single" w:color="auto" w:sz="4" w:space="0"/>
              <w:right w:val="single" w:color="auto" w:sz="4" w:space="0"/>
            </w:tcBorders>
            <w:shd w:val="clear" w:color="auto" w:fill="auto"/>
            <w:noWrap/>
            <w:vAlign w:val="center"/>
          </w:tcPr>
          <w:p w14:paraId="31A7900E">
            <w:pPr>
              <w:widowControl/>
              <w:jc w:val="center"/>
              <w:rPr>
                <w:rFonts w:ascii="宋体" w:hAnsi="宋体" w:cs="宋体"/>
                <w:kern w:val="0"/>
                <w:szCs w:val="21"/>
              </w:rPr>
            </w:pPr>
            <w:r>
              <w:rPr>
                <w:rFonts w:hint="eastAsia" w:ascii="宋体" w:hAnsi="宋体" w:cs="宋体"/>
                <w:kern w:val="0"/>
                <w:szCs w:val="21"/>
              </w:rPr>
              <w:t>20</w:t>
            </w:r>
          </w:p>
        </w:tc>
        <w:tc>
          <w:tcPr>
            <w:tcW w:w="1115" w:type="dxa"/>
            <w:tcBorders>
              <w:top w:val="nil"/>
              <w:left w:val="nil"/>
              <w:bottom w:val="single" w:color="auto" w:sz="4" w:space="0"/>
              <w:right w:val="single" w:color="auto" w:sz="4" w:space="0"/>
            </w:tcBorders>
            <w:shd w:val="clear" w:color="auto" w:fill="auto"/>
            <w:noWrap/>
            <w:vAlign w:val="center"/>
          </w:tcPr>
          <w:p w14:paraId="044E34C4">
            <w:pPr>
              <w:widowControl/>
              <w:jc w:val="left"/>
              <w:rPr>
                <w:rFonts w:ascii="宋体" w:hAnsi="宋体" w:cs="宋体"/>
                <w:kern w:val="0"/>
                <w:szCs w:val="21"/>
              </w:rPr>
            </w:pPr>
            <w:r>
              <w:rPr>
                <w:rFonts w:hint="eastAsia" w:ascii="宋体" w:hAnsi="宋体" w:cs="宋体"/>
                <w:kern w:val="0"/>
                <w:szCs w:val="21"/>
              </w:rPr>
              <w:t>　</w:t>
            </w:r>
          </w:p>
        </w:tc>
        <w:tc>
          <w:tcPr>
            <w:tcW w:w="1563" w:type="dxa"/>
            <w:tcBorders>
              <w:top w:val="nil"/>
              <w:left w:val="nil"/>
              <w:bottom w:val="single" w:color="auto" w:sz="4" w:space="0"/>
              <w:right w:val="single" w:color="auto" w:sz="4" w:space="0"/>
            </w:tcBorders>
            <w:shd w:val="clear" w:color="auto" w:fill="auto"/>
            <w:noWrap/>
            <w:vAlign w:val="center"/>
          </w:tcPr>
          <w:p w14:paraId="474B0836">
            <w:pPr>
              <w:widowControl/>
              <w:jc w:val="left"/>
              <w:rPr>
                <w:rFonts w:ascii="宋体" w:hAnsi="宋体" w:cs="宋体"/>
                <w:color w:val="000000"/>
                <w:kern w:val="0"/>
                <w:szCs w:val="21"/>
              </w:rPr>
            </w:pPr>
            <w:r>
              <w:rPr>
                <w:rFonts w:hint="eastAsia" w:ascii="宋体" w:hAnsi="宋体" w:cs="宋体"/>
                <w:color w:val="000000"/>
                <w:kern w:val="0"/>
                <w:szCs w:val="21"/>
              </w:rPr>
              <w:t>　</w:t>
            </w:r>
          </w:p>
        </w:tc>
      </w:tr>
      <w:tr w14:paraId="268A2BC3">
        <w:tblPrEx>
          <w:tblCellMar>
            <w:top w:w="0" w:type="dxa"/>
            <w:left w:w="108" w:type="dxa"/>
            <w:bottom w:w="0" w:type="dxa"/>
            <w:right w:w="108" w:type="dxa"/>
          </w:tblCellMar>
        </w:tblPrEx>
        <w:trPr>
          <w:trHeight w:val="402" w:hRule="atLeast"/>
          <w:jc w:val="center"/>
        </w:trPr>
        <w:tc>
          <w:tcPr>
            <w:tcW w:w="1560" w:type="dxa"/>
            <w:gridSpan w:val="2"/>
            <w:tcBorders>
              <w:top w:val="single" w:color="auto" w:sz="4" w:space="0"/>
              <w:left w:val="single" w:color="auto" w:sz="4" w:space="0"/>
              <w:bottom w:val="single" w:color="auto" w:sz="4" w:space="0"/>
              <w:right w:val="nil"/>
            </w:tcBorders>
            <w:shd w:val="clear" w:color="auto" w:fill="FFFF99"/>
            <w:noWrap/>
            <w:vAlign w:val="center"/>
          </w:tcPr>
          <w:p w14:paraId="65FD7BE7">
            <w:pPr>
              <w:widowControl/>
              <w:jc w:val="left"/>
              <w:rPr>
                <w:rFonts w:ascii="宋体" w:hAnsi="宋体" w:cs="宋体"/>
                <w:b/>
                <w:bCs/>
                <w:kern w:val="0"/>
                <w:szCs w:val="21"/>
              </w:rPr>
            </w:pPr>
            <w:r>
              <w:rPr>
                <w:rFonts w:hint="eastAsia" w:ascii="宋体" w:hAnsi="宋体" w:cs="宋体"/>
                <w:b/>
                <w:bCs/>
                <w:kern w:val="0"/>
                <w:szCs w:val="21"/>
              </w:rPr>
              <w:t>合计总分</w:t>
            </w:r>
          </w:p>
        </w:tc>
        <w:tc>
          <w:tcPr>
            <w:tcW w:w="5750" w:type="dxa"/>
            <w:tcBorders>
              <w:top w:val="nil"/>
              <w:left w:val="nil"/>
              <w:bottom w:val="single" w:color="auto" w:sz="4" w:space="0"/>
              <w:right w:val="nil"/>
            </w:tcBorders>
            <w:shd w:val="clear" w:color="auto" w:fill="FFFF99"/>
            <w:noWrap/>
            <w:vAlign w:val="center"/>
          </w:tcPr>
          <w:p w14:paraId="48874C72">
            <w:pPr>
              <w:widowControl/>
              <w:jc w:val="left"/>
              <w:rPr>
                <w:rFonts w:ascii="宋体" w:hAnsi="宋体" w:cs="宋体"/>
                <w:b/>
                <w:bCs/>
                <w:kern w:val="0"/>
                <w:szCs w:val="21"/>
              </w:rPr>
            </w:pPr>
            <w:r>
              <w:rPr>
                <w:rFonts w:hint="eastAsia" w:ascii="宋体" w:hAnsi="宋体" w:cs="宋体"/>
                <w:b/>
                <w:bCs/>
                <w:kern w:val="0"/>
                <w:szCs w:val="21"/>
              </w:rPr>
              <w:t>　</w:t>
            </w:r>
          </w:p>
        </w:tc>
        <w:tc>
          <w:tcPr>
            <w:tcW w:w="1060" w:type="dxa"/>
            <w:tcBorders>
              <w:top w:val="nil"/>
              <w:left w:val="single" w:color="auto" w:sz="4" w:space="0"/>
              <w:bottom w:val="single" w:color="auto" w:sz="4" w:space="0"/>
              <w:right w:val="single" w:color="auto" w:sz="4" w:space="0"/>
            </w:tcBorders>
            <w:shd w:val="clear" w:color="auto" w:fill="FFFF99"/>
            <w:noWrap/>
            <w:vAlign w:val="center"/>
          </w:tcPr>
          <w:p w14:paraId="098C911A">
            <w:pPr>
              <w:widowControl/>
              <w:jc w:val="center"/>
              <w:rPr>
                <w:rFonts w:ascii="宋体" w:hAnsi="宋体" w:cs="宋体"/>
                <w:b/>
                <w:bCs/>
                <w:kern w:val="0"/>
                <w:szCs w:val="21"/>
              </w:rPr>
            </w:pPr>
            <w:r>
              <w:rPr>
                <w:rFonts w:hint="eastAsia" w:ascii="宋体" w:hAnsi="宋体" w:cs="宋体"/>
                <w:b/>
                <w:bCs/>
                <w:kern w:val="0"/>
                <w:szCs w:val="21"/>
              </w:rPr>
              <w:t>100</w:t>
            </w:r>
          </w:p>
        </w:tc>
        <w:tc>
          <w:tcPr>
            <w:tcW w:w="1115" w:type="dxa"/>
            <w:tcBorders>
              <w:top w:val="nil"/>
              <w:left w:val="nil"/>
              <w:bottom w:val="single" w:color="auto" w:sz="4" w:space="0"/>
              <w:right w:val="single" w:color="auto" w:sz="4" w:space="0"/>
            </w:tcBorders>
            <w:shd w:val="clear" w:color="auto" w:fill="FFFF99"/>
            <w:noWrap/>
            <w:vAlign w:val="center"/>
          </w:tcPr>
          <w:p w14:paraId="70A74432">
            <w:pPr>
              <w:widowControl/>
              <w:jc w:val="left"/>
              <w:rPr>
                <w:rFonts w:ascii="宋体" w:hAnsi="宋体" w:cs="宋体"/>
                <w:b/>
                <w:bCs/>
                <w:kern w:val="0"/>
                <w:szCs w:val="21"/>
              </w:rPr>
            </w:pPr>
            <w:r>
              <w:rPr>
                <w:rFonts w:hint="eastAsia" w:ascii="宋体" w:hAnsi="宋体" w:cs="宋体"/>
                <w:b/>
                <w:bCs/>
                <w:kern w:val="0"/>
                <w:szCs w:val="21"/>
              </w:rPr>
              <w:t>　</w:t>
            </w:r>
          </w:p>
        </w:tc>
        <w:tc>
          <w:tcPr>
            <w:tcW w:w="1563" w:type="dxa"/>
            <w:tcBorders>
              <w:top w:val="nil"/>
              <w:left w:val="nil"/>
              <w:bottom w:val="single" w:color="auto" w:sz="4" w:space="0"/>
              <w:right w:val="single" w:color="auto" w:sz="4" w:space="0"/>
            </w:tcBorders>
            <w:shd w:val="clear" w:color="auto" w:fill="FFFF99"/>
            <w:noWrap/>
            <w:vAlign w:val="center"/>
          </w:tcPr>
          <w:p w14:paraId="5BF02361">
            <w:pPr>
              <w:widowControl/>
              <w:jc w:val="left"/>
              <w:rPr>
                <w:rFonts w:ascii="宋体" w:hAnsi="宋体" w:cs="宋体"/>
                <w:b/>
                <w:bCs/>
                <w:kern w:val="0"/>
                <w:szCs w:val="21"/>
              </w:rPr>
            </w:pPr>
            <w:r>
              <w:rPr>
                <w:rFonts w:hint="eastAsia" w:ascii="宋体" w:hAnsi="宋体" w:cs="宋体"/>
                <w:b/>
                <w:bCs/>
                <w:kern w:val="0"/>
                <w:szCs w:val="21"/>
              </w:rPr>
              <w:t>　</w:t>
            </w:r>
          </w:p>
        </w:tc>
      </w:tr>
    </w:tbl>
    <w:p w14:paraId="1DBDA46B">
      <w:pPr>
        <w:rPr>
          <w:rFonts w:hint="eastAsia" w:ascii="宋体" w:hAnsi="宋体"/>
          <w:szCs w:val="21"/>
        </w:rPr>
      </w:pPr>
    </w:p>
    <w:p w14:paraId="0F5968C7">
      <w:pPr>
        <w:spacing w:line="360" w:lineRule="auto"/>
        <w:rPr>
          <w:rFonts w:hint="eastAsia" w:ascii="宋体" w:hAnsi="宋体"/>
          <w:szCs w:val="21"/>
        </w:rPr>
      </w:pPr>
      <w:r>
        <w:rPr>
          <w:rFonts w:hint="eastAsia" w:ascii="宋体" w:hAnsi="宋体"/>
          <w:szCs w:val="21"/>
        </w:rPr>
        <w:t>甲方考核确认盖章：</w:t>
      </w:r>
    </w:p>
    <w:p w14:paraId="74154DD7">
      <w:pPr>
        <w:spacing w:line="360" w:lineRule="auto"/>
        <w:rPr>
          <w:rFonts w:hint="eastAsia" w:ascii="宋体" w:hAnsi="宋体"/>
          <w:szCs w:val="21"/>
        </w:rPr>
      </w:pPr>
      <w:r>
        <w:rPr>
          <w:rFonts w:hint="eastAsia" w:ascii="宋体" w:hAnsi="宋体"/>
          <w:szCs w:val="21"/>
        </w:rPr>
        <w:t>乙方被考核确认盖章：</w:t>
      </w:r>
    </w:p>
    <w:p w14:paraId="710445F8">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iZDU5MmMxMjE4MDlmNTFkZjRjYmM1MDU3ZDY4ZDAifQ=="/>
  </w:docVars>
  <w:rsids>
    <w:rsidRoot w:val="00FC4A6E"/>
    <w:rsid w:val="00001707"/>
    <w:rsid w:val="003E7A32"/>
    <w:rsid w:val="00587A1C"/>
    <w:rsid w:val="009911E3"/>
    <w:rsid w:val="00FC4A6E"/>
    <w:rsid w:val="03C975F7"/>
    <w:rsid w:val="04C17856"/>
    <w:rsid w:val="1C9E76A5"/>
    <w:rsid w:val="232E7C24"/>
    <w:rsid w:val="2B120579"/>
    <w:rsid w:val="2B6A6EAC"/>
    <w:rsid w:val="2EF363A4"/>
    <w:rsid w:val="2FBE7946"/>
    <w:rsid w:val="31FA68E5"/>
    <w:rsid w:val="38D13D0B"/>
    <w:rsid w:val="3EA572C5"/>
    <w:rsid w:val="45D264C6"/>
    <w:rsid w:val="4FA41A8F"/>
    <w:rsid w:val="52A85EBC"/>
    <w:rsid w:val="58A3441E"/>
    <w:rsid w:val="5CAF4A92"/>
    <w:rsid w:val="63EE0517"/>
    <w:rsid w:val="66794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6"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Times New Roman" w:hAnsi="Times New Roman" w:eastAsia="宋体" w:cs="Times New Roman"/>
      <w:b/>
      <w:bCs/>
      <w:kern w:val="44"/>
      <w:sz w:val="44"/>
      <w:szCs w:val="44"/>
    </w:rPr>
  </w:style>
  <w:style w:type="character" w:customStyle="1" w:styleId="10">
    <w:name w:val="标题 1 Char"/>
    <w:link w:val="2"/>
    <w:qFormat/>
    <w:locked/>
    <w:uiPriority w:val="0"/>
    <w:rPr>
      <w:rFonts w:ascii="Times New Roman" w:hAnsi="Times New Roman" w:eastAsia="宋体" w:cs="Times New Roman"/>
      <w:b/>
      <w:bCs/>
      <w:kern w:val="44"/>
      <w:sz w:val="44"/>
      <w:szCs w:val="44"/>
      <w:lang w:val="zh-CN"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4739</Words>
  <Characters>4837</Characters>
  <Lines>33</Lines>
  <Paragraphs>9</Paragraphs>
  <TotalTime>0</TotalTime>
  <ScaleCrop>false</ScaleCrop>
  <LinksUpToDate>false</LinksUpToDate>
  <CharactersWithSpaces>4915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2024-10-29T01:23:00Z</dcterms:created>
  <dc:creator>Administrator</dc:creator>
  <cp:lastModifiedBy>DZ</cp:lastModifiedBy>
  <dcterms:modified xsi:type="dcterms:W3CDTF">2024-11-21T00:55:59Z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C0F1D183FDCB4AC3B6E125FA4017604B_12</vt:lpwstr>
  </property>
</Properties>
</file>