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ind w:firstLine="0" w:firstLineChars="0"/>
        <w:rPr>
          <w:kern w:val="0"/>
        </w:rPr>
      </w:pPr>
      <w:r>
        <w:rPr>
          <w:rFonts w:hint="eastAsia"/>
        </w:rPr>
        <w:t>香花桥街道绿化养护项目招标方案</w:t>
      </w:r>
    </w:p>
    <w:p>
      <w:r>
        <w:t>　</w:t>
      </w:r>
      <w:r>
        <w:rPr>
          <w:rFonts w:hint="eastAsia"/>
        </w:rPr>
        <w:t>一、项目背景</w:t>
      </w:r>
    </w:p>
    <w:p>
      <w:r>
        <w:rPr>
          <w:rFonts w:hint="eastAsia"/>
        </w:rPr>
        <w:t>根据青浦区发展和改革委员会2017年2号《一园三区养护工作移交事宜协调会议纪要》，“关于一园三区区域内市政和公用基础设施养护管理工作，按照“属地化管理”原则，自2017年1月1日起，由一园三区正式移交给香花桥街道，移交和接收双方应做好资料梳理、设施量清点等对接工作。”“自关于市政道路、绿化及管线维护工作，自2017年1月1日起全部由香花桥街道通过市场化选择作业单位，区财政安排预算资金。”等会议精神及街道党工委、办事处工作部署，自2017年起香花桥街道对其辖区内的道路绿化、行道树、公园绿化等街道绿化通过政府采购公开招投标的形式确定最优的作业单位开展养护工作，实行全面精细化养护管理。</w:t>
      </w:r>
    </w:p>
    <w:p/>
    <w:p>
      <w:r>
        <w:rPr>
          <w:rFonts w:hint="eastAsia"/>
        </w:rPr>
        <w:t>二</w:t>
      </w:r>
      <w:r>
        <w:t>、实施范围</w:t>
      </w:r>
    </w:p>
    <w:p>
      <w:pPr>
        <w:pStyle w:val="2"/>
      </w:pPr>
      <w:r>
        <w:rPr>
          <w:rFonts w:hint="eastAsia"/>
        </w:rPr>
        <w:t>香花桥街道绿化养护实施范围为：香花桥街道内涉及区域内87条道路等相关</w:t>
      </w:r>
      <w:r>
        <w:rPr>
          <w:rFonts w:hint="eastAsia"/>
          <w:szCs w:val="24"/>
        </w:rPr>
        <w:t>周边的</w:t>
      </w:r>
      <w:r>
        <w:rPr>
          <w:rFonts w:hint="eastAsia"/>
        </w:rPr>
        <w:t>道路绿化、行道树及路边小绿地（公共区域）内小灌木地被；公园绿地3座；集中区域绿化3处；崧泽大道移树绿化1处；垃圾场两侧绿化1处。其中：道路绿化及集中区域绿化面积1877905.6平方米、道路两侧行道树25194株、集中区域行道树856株、垃圾场两侧绿化157776 平方米、崧泽大道移树绿化134300平方米、公园养护115933平方米。（后附作业设施量汇总表）</w:t>
      </w:r>
    </w:p>
    <w:p>
      <w:pPr>
        <w:rPr>
          <w:rFonts w:ascii="宋体" w:hAnsi="宋体"/>
          <w:b/>
          <w:bCs/>
          <w:szCs w:val="24"/>
        </w:rPr>
      </w:pPr>
      <w:r>
        <w:rPr>
          <w:rFonts w:hint="eastAsia" w:ascii="宋体" w:hAnsi="宋体"/>
          <w:b/>
          <w:bCs/>
          <w:szCs w:val="24"/>
        </w:rPr>
        <w:t>1、</w:t>
      </w:r>
      <w:r>
        <w:rPr>
          <w:rFonts w:hint="eastAsia"/>
        </w:rPr>
        <w:t>作业设施量汇总表</w:t>
      </w:r>
    </w:p>
    <w:tbl>
      <w:tblPr>
        <w:tblStyle w:val="9"/>
        <w:tblW w:w="8918" w:type="dxa"/>
        <w:tblInd w:w="93" w:type="dxa"/>
        <w:tblLayout w:type="fixed"/>
        <w:tblCellMar>
          <w:top w:w="0" w:type="dxa"/>
          <w:left w:w="108" w:type="dxa"/>
          <w:bottom w:w="0" w:type="dxa"/>
          <w:right w:w="108" w:type="dxa"/>
        </w:tblCellMar>
      </w:tblPr>
      <w:tblGrid>
        <w:gridCol w:w="785"/>
        <w:gridCol w:w="2083"/>
        <w:gridCol w:w="1167"/>
        <w:gridCol w:w="1416"/>
        <w:gridCol w:w="3467"/>
      </w:tblGrid>
      <w:tr>
        <w:tblPrEx>
          <w:tblCellMar>
            <w:top w:w="0" w:type="dxa"/>
            <w:left w:w="108" w:type="dxa"/>
            <w:bottom w:w="0" w:type="dxa"/>
            <w:right w:w="108" w:type="dxa"/>
          </w:tblCellMar>
        </w:tblPrEx>
        <w:trPr>
          <w:trHeight w:val="600"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r>
              <w:rPr>
                <w:rFonts w:hint="eastAsia"/>
                <w:kern w:val="0"/>
              </w:rPr>
              <w:t>序号</w:t>
            </w: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r>
              <w:rPr>
                <w:rFonts w:hint="eastAsia"/>
                <w:kern w:val="0"/>
              </w:rPr>
              <w:t>名称</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r>
              <w:rPr>
                <w:rFonts w:hint="eastAsia"/>
                <w:kern w:val="0"/>
              </w:rPr>
              <w:t>单位</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r>
              <w:rPr>
                <w:rFonts w:hint="eastAsia"/>
                <w:kern w:val="0"/>
              </w:rPr>
              <w:t>数量</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kern w:val="0"/>
              </w:rPr>
              <w:t>备注</w:t>
            </w:r>
          </w:p>
        </w:tc>
      </w:tr>
      <w:tr>
        <w:tblPrEx>
          <w:tblCellMar>
            <w:top w:w="0" w:type="dxa"/>
            <w:left w:w="108" w:type="dxa"/>
            <w:bottom w:w="0" w:type="dxa"/>
            <w:right w:w="108" w:type="dxa"/>
          </w:tblCellMar>
        </w:tblPrEx>
        <w:trPr>
          <w:trHeight w:val="600"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w:t>
            </w: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道路绿化</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平方米</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1853138.8</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香花桥街道区域内87条道等相关周边的道路路边绿化养护（详见后附表：涉及本次招标的道路名称表</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w:t>
            </w:r>
          </w:p>
        </w:tc>
      </w:tr>
      <w:tr>
        <w:tblPrEx>
          <w:tblCellMar>
            <w:top w:w="0" w:type="dxa"/>
            <w:left w:w="108" w:type="dxa"/>
            <w:bottom w:w="0" w:type="dxa"/>
            <w:right w:w="108" w:type="dxa"/>
          </w:tblCellMar>
        </w:tblPrEx>
        <w:trPr>
          <w:trHeight w:val="600"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w:t>
            </w: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道路两侧行道树</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株</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25194</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香花桥街道区域内87条道路等相关周边的道路两侧行道树（详见后附表：涉及本次招标的道路名称表</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w:t>
            </w:r>
          </w:p>
        </w:tc>
      </w:tr>
      <w:tr>
        <w:tblPrEx>
          <w:tblCellMar>
            <w:top w:w="0" w:type="dxa"/>
            <w:left w:w="108" w:type="dxa"/>
            <w:bottom w:w="0" w:type="dxa"/>
            <w:right w:w="108" w:type="dxa"/>
          </w:tblCellMar>
        </w:tblPrEx>
        <w:trPr>
          <w:trHeight w:val="600"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3</w:t>
            </w: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集中区域绿化</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平方米</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24766.8</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香花桥街道区域内绿化集中区域三处（科创园、新城一区、高新园区）</w:t>
            </w:r>
          </w:p>
        </w:tc>
      </w:tr>
      <w:tr>
        <w:tblPrEx>
          <w:tblCellMar>
            <w:top w:w="0" w:type="dxa"/>
            <w:left w:w="108" w:type="dxa"/>
            <w:bottom w:w="0" w:type="dxa"/>
            <w:right w:w="108" w:type="dxa"/>
          </w:tblCellMar>
        </w:tblPrEx>
        <w:trPr>
          <w:trHeight w:val="1080"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4</w:t>
            </w: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集中区域行道树</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株</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856</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香花桥街道区域内绿化集中区域内的道路行道树（科创园、新城一区、高新园区）</w:t>
            </w:r>
          </w:p>
        </w:tc>
      </w:tr>
      <w:tr>
        <w:tblPrEx>
          <w:tblCellMar>
            <w:top w:w="0" w:type="dxa"/>
            <w:left w:w="108" w:type="dxa"/>
            <w:bottom w:w="0" w:type="dxa"/>
            <w:right w:w="108" w:type="dxa"/>
          </w:tblCellMar>
        </w:tblPrEx>
        <w:trPr>
          <w:trHeight w:val="600"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5</w:t>
            </w: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崧泽大道移树绿化</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平方米</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134300</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alibri" w:hAnsi="Calibri" w:eastAsia="宋体" w:cs="Times New Roman"/>
                <w:kern w:val="2"/>
                <w:sz w:val="21"/>
                <w:szCs w:val="22"/>
                <w:lang w:val="en-US" w:eastAsia="zh-CN" w:bidi="ar-SA"/>
              </w:rPr>
            </w:pPr>
          </w:p>
        </w:tc>
      </w:tr>
      <w:tr>
        <w:tblPrEx>
          <w:tblCellMar>
            <w:top w:w="0" w:type="dxa"/>
            <w:left w:w="108" w:type="dxa"/>
            <w:bottom w:w="0" w:type="dxa"/>
            <w:right w:w="108" w:type="dxa"/>
          </w:tblCellMar>
        </w:tblPrEx>
        <w:trPr>
          <w:trHeight w:val="600"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6</w:t>
            </w: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公园绿地养护</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平方米</w:t>
            </w:r>
          </w:p>
        </w:tc>
        <w:tc>
          <w:tcPr>
            <w:tcW w:w="1416" w:type="dxa"/>
            <w:tcBorders>
              <w:top w:val="nil"/>
              <w:left w:val="nil"/>
              <w:bottom w:val="nil"/>
              <w:right w:val="nil"/>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115933</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公园三座（清馨园、西大盈港公园、天一公园）</w:t>
            </w:r>
          </w:p>
        </w:tc>
      </w:tr>
      <w:tr>
        <w:tblPrEx>
          <w:tblCellMar>
            <w:top w:w="0" w:type="dxa"/>
            <w:left w:w="108" w:type="dxa"/>
            <w:bottom w:w="0" w:type="dxa"/>
            <w:right w:w="108" w:type="dxa"/>
          </w:tblCellMar>
        </w:tblPrEx>
        <w:trPr>
          <w:trHeight w:val="600"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7</w:t>
            </w: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垃圾场两侧绿化</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平方米</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157776</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alibri" w:hAnsi="Calibri" w:eastAsia="宋体" w:cs="Times New Roman"/>
                <w:kern w:val="2"/>
                <w:sz w:val="21"/>
                <w:szCs w:val="22"/>
                <w:lang w:val="en-US" w:eastAsia="zh-CN" w:bidi="ar-SA"/>
              </w:rPr>
            </w:pPr>
          </w:p>
        </w:tc>
      </w:tr>
      <w:tr>
        <w:tblPrEx>
          <w:tblCellMar>
            <w:top w:w="0" w:type="dxa"/>
            <w:left w:w="108" w:type="dxa"/>
            <w:bottom w:w="0" w:type="dxa"/>
            <w:right w:w="108" w:type="dxa"/>
          </w:tblCellMar>
        </w:tblPrEx>
        <w:trPr>
          <w:trHeight w:val="580"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alibri" w:hAnsi="Calibri" w:eastAsia="宋体" w:cs="Times New Roman"/>
                <w:kern w:val="2"/>
                <w:sz w:val="21"/>
                <w:szCs w:val="22"/>
                <w:lang w:val="en-US" w:eastAsia="zh-CN" w:bidi="ar-SA"/>
              </w:rPr>
            </w:pPr>
          </w:p>
        </w:tc>
      </w:tr>
    </w:tbl>
    <w:p>
      <w:pPr>
        <w:rPr>
          <w:rFonts w:hint="eastAsia" w:ascii="Calibri" w:hAnsi="Calibri" w:eastAsia="宋体" w:cs="Times New Roman"/>
          <w:kern w:val="2"/>
          <w:sz w:val="21"/>
          <w:szCs w:val="22"/>
          <w:lang w:val="en-US" w:eastAsia="zh-CN" w:bidi="ar-SA"/>
        </w:rPr>
      </w:pP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三、实施内容</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按照《园林绿化养护技术等级标准》、《园林绿化养护技术规程》、《行道树养护技术规程》（DG/TJ08-702-2005）、（DG/TJ08-19-2011）、（DG/TJ08-2105-2012）等技术标准，及相关行业养护作业要求包括且不限于对道路两侧绿地、中央隔离带绿化、公园绿化以及行道树进行绿化修剪、浇水、清理枯枝、绿化补植、病虫害防治、树木扶正加固、打药水、拔草、行道树修枝等养护工作。</w:t>
      </w:r>
    </w:p>
    <w:p>
      <w:pPr>
        <w:pStyle w:val="2"/>
        <w:rPr>
          <w:rFonts w:hint="eastAsia" w:ascii="Calibri" w:hAnsi="Calibri" w:eastAsia="宋体" w:cs="Times New Roman"/>
          <w:kern w:val="2"/>
          <w:sz w:val="21"/>
          <w:szCs w:val="22"/>
          <w:lang w:val="en-US" w:eastAsia="zh-CN" w:bidi="ar-SA"/>
        </w:rPr>
      </w:pP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四、作业标准</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按照《园林绿化养护技术等级标准》、《园林绿化养护技术规程》、《行道树养护技术规程》（DG/TJ08-702-2005）、（DG/TJ08-19-2011）、（DG/TJ08-2105-2012）等标准，对公共绿地和行道树实施管养。符合《上海市城市公园实施分类分级管理指导意见》（沪绿容[2019]）156号）、《2019年公园管理考核细则》（沪绿容[2019]）208号）等文件要求。</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植物长势良好、无死株（濒死株）、无病虫害、无明显杂草、无石砾、无白色垃圾和陈旧性垃圾、无影响绿化景观的其他附属物（无乱晾晒、乱悬挂、乱绑扎、乱设置、乱张贴以及已损坏的树木支撑物、绑扎物等），</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3、养护作业产生的垃圾集中堆放不过夜，做到“日产日清”。</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4、养护作业要求配备洒水车、园林修剪登高作业车、卡车等机械设备，配备满足需要的修剪工具等养护作业机具。</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五、工作要求</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投标人对香花桥养护区域内进行乔灌木（包含行道树）、地被草坪修剪、树木扶正加固等工作；对病虫害进行防治工作并持续跟踪；对区域内绿化带垃圾进行清理并转运；对裸露区域补植草坪、麦冬、行道树；定期进行养护技术、安全培训及交底；定期对绿化养护使用工具、工程车辆进行检修，保养；每日安排养护巡查，对巡查发现的问题立即自查自纠并记录；建立养护日报、月报等资料制度，留下书面记录及影像资料；对绿植进行防暑降温、防台防汛等应急保障工作。</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投标人在投标阶段应根据本项目具体情况、采购人需求和国家、本市有关规定与标准制定养护管理方案，在中标后据此进行细化，经采购人确认后按照确认的养护管理方案和养护管理计划组织养护管理，接受采购人代表对养护管理质量的检查、监督和考核。未经采购人事前书面许可，中标人不得自行调整养护管理方案或更改养护管理措施。</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3.根据实际需要或其他原因，采购人认为确有必要调整养护管理方案并以书面形式要求中标人调整养护管理时间或更改养护管理措施时，中标人应遵从采购人要求。如该项调整导致费用增加，中标人需提出增加费用预算和依据，经采购人确认后由采购人承担。</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4.投标人应考虑在养护管理期间确保管理区域及周围环境的整洁，不得影响该区域的交通与日常正常活动的进行，中标人必须按本市相关规定和采购人需求结合本项目具体情况在投标书中明确本项目安全、文明养护管理的具体措施并按此实施。</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5.中标人对养护管理范围的园林绿化（包括水面）及附属设施的安全负全责；对政府管理单位发出的安全整改通知按要求整改，赔偿因管理缺失造成的损失、直至承担承包合同被采购人解除的所有后果。</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6、园林保洁及垃圾收集</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涉及公园内绿地、室外园路、果壳箱等。</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6.1绿地内应做到无蛛网、白色垃圾、烟蒂和陈旧性垃圾，枯枝、落叶及时清理、无堆积。</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6.2园路集中清扫应在闭园时进行，须做到“开门清”。公园开放期间应以巡回保洁为主，做到无白色垃圾、烟蒂和陈旧性垃圾，无落叶堆积，垃圾停留时间不超过15分钟。路面清扫及垃圾收运不得影响游客正常游园。发现路面破损、松动等问题应做好记录及时汇报。</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6.3绿地内监控、音响、棚架、山石等设施设备表面整洁、无灰尘、无蛛网。涵洞中无隐藏垃圾、无蛛网，有随地小便的应及时冲洗。</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6.4公园内果壳箱应保持外观整洁、无污，桶内垃圾应及时清除，垃圾量不得超过桶容量的2/3，垃圾袋必须同步更换。</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6.5严格遵守公园垃圾分类收集、堆放要求，不得混收、混放。</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6.6主动配合清运单位按时、分类清运垃圾。</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7.转包与分包：</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7.1本项目合同不得转让、不得分包。</w:t>
      </w:r>
    </w:p>
    <w:p>
      <w:pPr>
        <w:pStyle w:val="2"/>
        <w:rPr>
          <w:rFonts w:hint="eastAsia" w:ascii="Calibri" w:hAnsi="Calibri" w:eastAsia="宋体" w:cs="Times New Roman"/>
          <w:kern w:val="2"/>
          <w:sz w:val="21"/>
          <w:szCs w:val="22"/>
          <w:lang w:val="en-US" w:eastAsia="zh-CN" w:bidi="ar-SA"/>
        </w:rPr>
      </w:pP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六、监督管理要求</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1、中标人人员在养护施工中不得从事与绿化养护以外的活动（除特定要求外），承包方负责绿化养护工作的安全。承包方与所聘用的从业人员如发生一切劳务纠纷均与我方无关。</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2、中标人在养护过程中，不得进行转包，否则，按违约处理，如发生重大违约、失信等问题，我方有权单方面提前解除合同。</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3、中标人在承包过程中，应明确绿化负责人，如需更换或调整，必须通报我方并得到同意。否则，按违约处理。</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4、中标方应自行建立养护管理的档案，涵盖技术规范、施工养护人员、植物生长状况等，严控失察导致植物因自身原因、病虫害无法挽救死亡。中标方日常养护施工遵循规范、标准、专业、精细、执业的管理理念、并列入考核指标。</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5、招标方按照绿化精细化的管理要求，设定绿化养护管理考核标准，实行定期巡查制度、季度考核制度，就绿化养护安全、养护质量、服务质量、环境卫生等相关事务，加强与承包人的联系和沟通，协调处理各种偶发事件。</w:t>
      </w:r>
    </w:p>
    <w:p>
      <w:pPr>
        <w:pStyle w:val="2"/>
        <w:rPr>
          <w:rFonts w:hint="eastAsia" w:ascii="Calibri" w:hAnsi="Calibri" w:eastAsia="宋体" w:cs="Times New Roman"/>
          <w:kern w:val="2"/>
          <w:sz w:val="21"/>
          <w:szCs w:val="22"/>
          <w:lang w:val="en-US" w:eastAsia="zh-CN" w:bidi="ar-SA"/>
        </w:rPr>
      </w:pP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七、资质要求</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 xml:space="preserve"> 须具备以下所有条件：</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需配备技术管理人员与一般服务人员，项目技术管理人员中园林专业中级职称以上人员配置较多，园林专业技术管理人员种类齐全，如：项目负责人1名，质量员1名、施工员1名、安全员1名、资料员1名、技术负责人1名。项目经理须具有园林专业中级及以上职称、技术负责人须具有园林专业高级职称，其他专业人员须具备园林专业证书，一般养护作业服务人员数量达到项目规模要求；在养护过程中项目负责人须行业工作经验满10年，每周在项目部办公时间不得少于5天并每周参加工作例会；一般服务人员200名，人员数量须满足符合项目实际需求，一般服务人员投标人中标后可由专业的劳务公司聘请人员进行服务作业。</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2、投标人须具备近三年类似项目业绩（需提供类似项目的合同）；</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3、企业具备专业绿化养护设备如：园林修剪登高作业车不少于1辆、洒水车不少于3辆、生活垃圾运输车不少于4辆（干垃圾清运车2辆、湿垃圾清运车2辆）、绿化养护自卸车10辆，上述设备车辆须提供相关产证及行驶证；</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4、投标人应具备对修剪及保洁后产生枯枝落叶、白色垃圾的处置能力、垃圾的收集、运输程序是否规范合理等情况；</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6、投标供应商需具备内部管理制度；</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7、投标单位应需具有相关应急处置预案及措施，确保重大节假日、上级部门巡视的应急保障等，且投标人应服从采购人的工作安排。如遇突发事件，投标人须在30分钟内到达现场。</w:t>
      </w:r>
    </w:p>
    <w:p>
      <w:pPr>
        <w:pStyle w:val="2"/>
        <w:rPr>
          <w:rFonts w:hint="eastAsia" w:ascii="Calibri" w:hAnsi="Calibri" w:eastAsia="宋体" w:cs="Times New Roman"/>
          <w:kern w:val="2"/>
          <w:sz w:val="21"/>
          <w:szCs w:val="22"/>
          <w:lang w:val="en-US" w:eastAsia="zh-CN" w:bidi="ar-SA"/>
        </w:rPr>
      </w:pP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八、项目经费情况</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按照区绿容局规定的道路、园林绿化养护价格定额标准，同时结合区财政局建议及街道实际情况，香花桥街道绿化养护经费依据道路等级（二类、三类道路）、一级、二级、三级绿地园林养护标准以及其他相关绿化养护作业要求进行测算，：道路绿化及集中区域绿化面积1877905.6平方米、道路两侧行道树25194株、集中区域行道树856株、垃圾场两侧绿化157776 平方米、崧泽大道移树绿化134300平方米、公园养护115933平方米经测算，香花桥街道绿化养护年度经费共需资金约2139.3484万元。</w:t>
      </w:r>
    </w:p>
    <w:p>
      <w:pPr>
        <w:pStyle w:val="2"/>
        <w:rPr>
          <w:rFonts w:hint="eastAsia" w:ascii="Calibri" w:hAnsi="Calibri" w:eastAsia="宋体" w:cs="Times New Roman"/>
          <w:kern w:val="2"/>
          <w:sz w:val="21"/>
          <w:szCs w:val="22"/>
          <w:lang w:val="en-US" w:eastAsia="zh-CN" w:bidi="ar-SA"/>
        </w:rPr>
      </w:pP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九、其他需求</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1、本项目预算金额22310000元，本次招标投标限价为21393483元。</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本项目一次招标享用三年，分三个年度分别签订合同的方式实施。本项目中标通知书发出后，采购人与中标人按照项目中标结果签订第一年度合同。第二年和第三年签订的采购合同价原则上不得高于招标时所确定的第一年度合同价格。如项目内容及价格变动较大、超过招标时所确定的第一年度合同金额10%的，则上一年度合同到期后，双方不再续签下一年度合同，本项目中标结果也不再生效。（合同期内，如本项目开展成本预算绩效分析工作，合同金额以中标金额与成本预算绩效分析结果孰低为准）。</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3、以上养护清单仅供参考。（绿化养护范围包含清单所述所有道路绿化、行道树、公园绿地等）</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备注：本项目养护作业对象原则上已现有绿化养护清单作为基础，养护周期内存在统计漏项或由于新建道路附属绿化设施移交，经验收通过后新增设施量由中标单位无条件接受养护作业。</w:t>
      </w:r>
    </w:p>
    <w:p>
      <w:pPr>
        <w:pStyle w:val="2"/>
        <w:rPr>
          <w:rFonts w:hint="eastAsia" w:ascii="Calibri" w:hAnsi="Calibri" w:eastAsia="宋体" w:cs="Times New Roman"/>
          <w:kern w:val="2"/>
          <w:sz w:val="21"/>
          <w:szCs w:val="22"/>
          <w:lang w:val="en-US" w:eastAsia="zh-CN" w:bidi="ar-SA"/>
        </w:rPr>
      </w:pP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涉及本次招标的道路名称表</w:t>
      </w:r>
    </w:p>
    <w:tbl>
      <w:tblPr>
        <w:tblStyle w:val="9"/>
        <w:tblW w:w="8717" w:type="dxa"/>
        <w:tblInd w:w="93" w:type="dxa"/>
        <w:tblLayout w:type="autofit"/>
        <w:tblCellMar>
          <w:top w:w="0" w:type="dxa"/>
          <w:left w:w="108" w:type="dxa"/>
          <w:bottom w:w="0" w:type="dxa"/>
          <w:right w:w="108" w:type="dxa"/>
        </w:tblCellMar>
      </w:tblPr>
      <w:tblGrid>
        <w:gridCol w:w="1364"/>
        <w:gridCol w:w="1857"/>
        <w:gridCol w:w="1364"/>
        <w:gridCol w:w="1384"/>
        <w:gridCol w:w="1364"/>
        <w:gridCol w:w="1384"/>
      </w:tblGrid>
      <w:tr>
        <w:tblPrEx>
          <w:tblCellMar>
            <w:top w:w="0" w:type="dxa"/>
            <w:left w:w="108" w:type="dxa"/>
            <w:bottom w:w="0" w:type="dxa"/>
            <w:right w:w="108" w:type="dxa"/>
          </w:tblCellMar>
        </w:tblPrEx>
        <w:trPr>
          <w:trHeight w:val="511" w:hRule="atLeast"/>
        </w:trPr>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序号</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道路名称</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序号</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道路名称</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序号</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道路名称</w:t>
            </w:r>
          </w:p>
        </w:tc>
      </w:tr>
      <w:tr>
        <w:tblPrEx>
          <w:tblCellMar>
            <w:top w:w="0" w:type="dxa"/>
            <w:left w:w="108" w:type="dxa"/>
            <w:bottom w:w="0" w:type="dxa"/>
            <w:right w:w="108" w:type="dxa"/>
          </w:tblCellMar>
        </w:tblPrEx>
        <w:trPr>
          <w:trHeight w:val="51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崧复路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胜利路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新团路</w:t>
            </w:r>
          </w:p>
        </w:tc>
      </w:tr>
      <w:tr>
        <w:tblPrEx>
          <w:tblCellMar>
            <w:top w:w="0" w:type="dxa"/>
            <w:left w:w="108" w:type="dxa"/>
            <w:bottom w:w="0" w:type="dxa"/>
            <w:right w:w="108" w:type="dxa"/>
          </w:tblCellMar>
        </w:tblPrEx>
        <w:trPr>
          <w:trHeight w:val="51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赵巷村路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胜利支路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新科路</w:t>
            </w:r>
          </w:p>
        </w:tc>
      </w:tr>
      <w:tr>
        <w:tblPrEx>
          <w:tblCellMar>
            <w:top w:w="0" w:type="dxa"/>
            <w:left w:w="108" w:type="dxa"/>
            <w:bottom w:w="0" w:type="dxa"/>
            <w:right w:w="108" w:type="dxa"/>
          </w:tblCellMar>
        </w:tblPrEx>
        <w:trPr>
          <w:trHeight w:val="51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崧盈路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新胜路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北盈路</w:t>
            </w:r>
          </w:p>
        </w:tc>
      </w:tr>
      <w:tr>
        <w:tblPrEx>
          <w:tblCellMar>
            <w:top w:w="0" w:type="dxa"/>
            <w:left w:w="108" w:type="dxa"/>
            <w:bottom w:w="0" w:type="dxa"/>
            <w:right w:w="108" w:type="dxa"/>
          </w:tblCellMar>
        </w:tblPrEx>
        <w:trPr>
          <w:trHeight w:val="51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崧秋路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盈顺路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崧泽大道</w:t>
            </w:r>
          </w:p>
        </w:tc>
      </w:tr>
      <w:tr>
        <w:tblPrEx>
          <w:tblCellMar>
            <w:top w:w="0" w:type="dxa"/>
            <w:left w:w="108" w:type="dxa"/>
            <w:bottom w:w="0" w:type="dxa"/>
            <w:right w:w="108" w:type="dxa"/>
          </w:tblCellMar>
        </w:tblPrEx>
        <w:trPr>
          <w:trHeight w:val="51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崧华路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漕盈路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致富路</w:t>
            </w:r>
          </w:p>
        </w:tc>
      </w:tr>
      <w:tr>
        <w:tblPrEx>
          <w:tblCellMar>
            <w:top w:w="0" w:type="dxa"/>
            <w:left w:w="108" w:type="dxa"/>
            <w:bottom w:w="0" w:type="dxa"/>
            <w:right w:w="108" w:type="dxa"/>
          </w:tblCellMar>
        </w:tblPrEx>
        <w:trPr>
          <w:trHeight w:val="51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崧达路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卓青路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汇邦路</w:t>
            </w:r>
          </w:p>
        </w:tc>
      </w:tr>
      <w:tr>
        <w:tblPrEx>
          <w:tblCellMar>
            <w:top w:w="0" w:type="dxa"/>
            <w:left w:w="108" w:type="dxa"/>
            <w:bottom w:w="0" w:type="dxa"/>
            <w:right w:w="108" w:type="dxa"/>
          </w:tblCellMar>
        </w:tblPrEx>
        <w:trPr>
          <w:trHeight w:val="51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汇滨路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学子南路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新业路</w:t>
            </w:r>
          </w:p>
        </w:tc>
      </w:tr>
      <w:tr>
        <w:tblPrEx>
          <w:tblCellMar>
            <w:top w:w="0" w:type="dxa"/>
            <w:left w:w="108" w:type="dxa"/>
            <w:bottom w:w="0" w:type="dxa"/>
            <w:right w:w="108" w:type="dxa"/>
          </w:tblCellMar>
        </w:tblPrEx>
        <w:trPr>
          <w:trHeight w:val="51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泾溪路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学子路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光景路</w:t>
            </w:r>
          </w:p>
        </w:tc>
      </w:tr>
      <w:tr>
        <w:tblPrEx>
          <w:tblCellMar>
            <w:top w:w="0" w:type="dxa"/>
            <w:left w:w="108" w:type="dxa"/>
            <w:bottom w:w="0" w:type="dxa"/>
            <w:right w:w="108" w:type="dxa"/>
          </w:tblCellMar>
        </w:tblPrEx>
        <w:trPr>
          <w:trHeight w:val="51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新金路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太联路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双盈路</w:t>
            </w:r>
          </w:p>
        </w:tc>
      </w:tr>
      <w:tr>
        <w:tblPrEx>
          <w:tblCellMar>
            <w:top w:w="0" w:type="dxa"/>
            <w:left w:w="108" w:type="dxa"/>
            <w:bottom w:w="0" w:type="dxa"/>
            <w:right w:w="108" w:type="dxa"/>
          </w:tblCellMar>
        </w:tblPrEx>
        <w:trPr>
          <w:trHeight w:val="51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新涛路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新厍路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竹盈路</w:t>
            </w:r>
          </w:p>
        </w:tc>
      </w:tr>
      <w:tr>
        <w:tblPrEx>
          <w:tblCellMar>
            <w:top w:w="0" w:type="dxa"/>
            <w:left w:w="108" w:type="dxa"/>
            <w:bottom w:w="0" w:type="dxa"/>
            <w:right w:w="108" w:type="dxa"/>
          </w:tblCellMar>
        </w:tblPrEx>
        <w:trPr>
          <w:trHeight w:val="51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汇联路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秀横公路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新达路</w:t>
            </w:r>
          </w:p>
        </w:tc>
      </w:tr>
      <w:tr>
        <w:tblPrEx>
          <w:tblCellMar>
            <w:top w:w="0" w:type="dxa"/>
            <w:left w:w="108" w:type="dxa"/>
            <w:bottom w:w="0" w:type="dxa"/>
            <w:right w:w="108" w:type="dxa"/>
          </w:tblCellMar>
        </w:tblPrEx>
        <w:trPr>
          <w:trHeight w:val="51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泾阳路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庄五路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新康路</w:t>
            </w:r>
          </w:p>
        </w:tc>
      </w:tr>
      <w:tr>
        <w:tblPrEx>
          <w:tblCellMar>
            <w:top w:w="0" w:type="dxa"/>
            <w:left w:w="108" w:type="dxa"/>
            <w:bottom w:w="0" w:type="dxa"/>
            <w:right w:w="108" w:type="dxa"/>
          </w:tblCellMar>
        </w:tblPrEx>
        <w:trPr>
          <w:trHeight w:val="51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久乐路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友爱路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崧煌路</w:t>
            </w:r>
          </w:p>
        </w:tc>
      </w:tr>
      <w:tr>
        <w:tblPrEx>
          <w:tblCellMar>
            <w:top w:w="0" w:type="dxa"/>
            <w:left w:w="108" w:type="dxa"/>
            <w:bottom w:w="0" w:type="dxa"/>
            <w:right w:w="108" w:type="dxa"/>
          </w:tblCellMar>
        </w:tblPrEx>
        <w:trPr>
          <w:trHeight w:val="51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久旺路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东方路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华纺路</w:t>
            </w:r>
          </w:p>
        </w:tc>
      </w:tr>
      <w:tr>
        <w:tblPrEx>
          <w:tblCellMar>
            <w:top w:w="0" w:type="dxa"/>
            <w:left w:w="108" w:type="dxa"/>
            <w:bottom w:w="0" w:type="dxa"/>
            <w:right w:w="108" w:type="dxa"/>
          </w:tblCellMar>
        </w:tblPrEx>
        <w:trPr>
          <w:trHeight w:val="51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尚景路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农园二路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盈港东路</w:t>
            </w:r>
          </w:p>
        </w:tc>
      </w:tr>
      <w:tr>
        <w:tblPrEx>
          <w:tblCellMar>
            <w:top w:w="0" w:type="dxa"/>
            <w:left w:w="108" w:type="dxa"/>
            <w:bottom w:w="0" w:type="dxa"/>
            <w:right w:w="108" w:type="dxa"/>
          </w:tblCellMar>
        </w:tblPrEx>
        <w:trPr>
          <w:trHeight w:val="51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新水路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新桥路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崧辉路</w:t>
            </w:r>
          </w:p>
        </w:tc>
      </w:tr>
      <w:tr>
        <w:tblPrEx>
          <w:tblCellMar>
            <w:top w:w="0" w:type="dxa"/>
            <w:left w:w="108" w:type="dxa"/>
            <w:bottom w:w="0" w:type="dxa"/>
            <w:right w:w="108" w:type="dxa"/>
          </w:tblCellMar>
        </w:tblPrEx>
        <w:trPr>
          <w:trHeight w:val="51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香花桥东路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香大路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崧秀路</w:t>
            </w:r>
          </w:p>
        </w:tc>
      </w:tr>
      <w:tr>
        <w:tblPrEx>
          <w:tblCellMar>
            <w:top w:w="0" w:type="dxa"/>
            <w:left w:w="108" w:type="dxa"/>
            <w:bottom w:w="0" w:type="dxa"/>
            <w:right w:w="108" w:type="dxa"/>
          </w:tblCellMar>
        </w:tblPrEx>
        <w:trPr>
          <w:trHeight w:val="51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久顺路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香大东路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新东路</w:t>
            </w:r>
          </w:p>
        </w:tc>
      </w:tr>
      <w:tr>
        <w:tblPrEx>
          <w:tblCellMar>
            <w:top w:w="0" w:type="dxa"/>
            <w:left w:w="108" w:type="dxa"/>
            <w:bottom w:w="0" w:type="dxa"/>
            <w:right w:w="108" w:type="dxa"/>
          </w:tblCellMar>
        </w:tblPrEx>
        <w:trPr>
          <w:trHeight w:val="51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向阳河路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惠康路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崧波路</w:t>
            </w:r>
          </w:p>
        </w:tc>
      </w:tr>
      <w:tr>
        <w:tblPrEx>
          <w:tblCellMar>
            <w:top w:w="0" w:type="dxa"/>
            <w:left w:w="108" w:type="dxa"/>
            <w:bottom w:w="0" w:type="dxa"/>
            <w:right w:w="108" w:type="dxa"/>
          </w:tblCellMar>
        </w:tblPrEx>
        <w:trPr>
          <w:trHeight w:val="51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朝阳河路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金横路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崧春路</w:t>
            </w:r>
          </w:p>
        </w:tc>
      </w:tr>
      <w:tr>
        <w:tblPrEx>
          <w:tblCellMar>
            <w:top w:w="0" w:type="dxa"/>
            <w:left w:w="108" w:type="dxa"/>
            <w:bottom w:w="0" w:type="dxa"/>
            <w:right w:w="108" w:type="dxa"/>
          </w:tblCellMar>
        </w:tblPrEx>
        <w:trPr>
          <w:trHeight w:val="51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华青路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农园三路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崧金路</w:t>
            </w:r>
          </w:p>
        </w:tc>
      </w:tr>
      <w:tr>
        <w:tblPrEx>
          <w:tblCellMar>
            <w:top w:w="0" w:type="dxa"/>
            <w:left w:w="108" w:type="dxa"/>
            <w:bottom w:w="0" w:type="dxa"/>
            <w:right w:w="108" w:type="dxa"/>
          </w:tblCellMar>
        </w:tblPrEx>
        <w:trPr>
          <w:trHeight w:val="51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新技路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钱曹路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启迪路</w:t>
            </w:r>
          </w:p>
        </w:tc>
      </w:tr>
      <w:tr>
        <w:tblPrEx>
          <w:tblCellMar>
            <w:top w:w="0" w:type="dxa"/>
            <w:left w:w="108" w:type="dxa"/>
            <w:bottom w:w="0" w:type="dxa"/>
            <w:right w:w="108" w:type="dxa"/>
          </w:tblCellMar>
        </w:tblPrEx>
        <w:trPr>
          <w:trHeight w:val="51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新园路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天辰路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创荣路</w:t>
            </w:r>
          </w:p>
        </w:tc>
      </w:tr>
      <w:tr>
        <w:tblPrEx>
          <w:tblCellMar>
            <w:top w:w="0" w:type="dxa"/>
            <w:left w:w="108" w:type="dxa"/>
            <w:bottom w:w="0" w:type="dxa"/>
            <w:right w:w="108" w:type="dxa"/>
          </w:tblCellMar>
        </w:tblPrEx>
        <w:trPr>
          <w:trHeight w:val="51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新中路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天瑞路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清河湾路</w:t>
            </w:r>
          </w:p>
        </w:tc>
      </w:tr>
      <w:tr>
        <w:tblPrEx>
          <w:tblCellMar>
            <w:top w:w="0" w:type="dxa"/>
            <w:left w:w="108" w:type="dxa"/>
            <w:bottom w:w="0" w:type="dxa"/>
            <w:right w:w="108" w:type="dxa"/>
          </w:tblCellMar>
        </w:tblPrEx>
        <w:trPr>
          <w:trHeight w:val="51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外青松公路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天一路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南厍江路</w:t>
            </w:r>
          </w:p>
        </w:tc>
      </w:tr>
      <w:tr>
        <w:tblPrEx>
          <w:tblCellMar>
            <w:top w:w="0" w:type="dxa"/>
            <w:left w:w="108" w:type="dxa"/>
            <w:bottom w:w="0" w:type="dxa"/>
            <w:right w:w="108" w:type="dxa"/>
          </w:tblCellMar>
        </w:tblPrEx>
        <w:trPr>
          <w:trHeight w:val="51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久康路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天盈路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规划三路</w:t>
            </w:r>
          </w:p>
        </w:tc>
      </w:tr>
      <w:tr>
        <w:tblPrEx>
          <w:tblCellMar>
            <w:top w:w="0" w:type="dxa"/>
            <w:left w:w="108" w:type="dxa"/>
            <w:bottom w:w="0" w:type="dxa"/>
            <w:right w:w="108" w:type="dxa"/>
          </w:tblCellMar>
        </w:tblPrEx>
        <w:trPr>
          <w:trHeight w:val="51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久业路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振盈路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拓青路</w:t>
            </w:r>
          </w:p>
        </w:tc>
      </w:tr>
      <w:tr>
        <w:tblPrEx>
          <w:tblCellMar>
            <w:top w:w="0" w:type="dxa"/>
            <w:left w:w="108" w:type="dxa"/>
            <w:bottom w:w="0" w:type="dxa"/>
            <w:right w:w="108" w:type="dxa"/>
          </w:tblCellMar>
        </w:tblPrEx>
        <w:trPr>
          <w:trHeight w:val="51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城中北路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北青公路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p>
        </w:tc>
      </w:tr>
      <w:tr>
        <w:tblPrEx>
          <w:tblCellMar>
            <w:top w:w="0" w:type="dxa"/>
            <w:left w:w="108" w:type="dxa"/>
            <w:bottom w:w="0" w:type="dxa"/>
            <w:right w:w="108" w:type="dxa"/>
          </w:tblCellMar>
        </w:tblPrEx>
        <w:trPr>
          <w:trHeight w:val="51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杜村公路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新高路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p>
        </w:tc>
      </w:tr>
      <w:tr>
        <w:tblPrEx>
          <w:tblCellMar>
            <w:top w:w="0" w:type="dxa"/>
            <w:left w:w="108" w:type="dxa"/>
            <w:bottom w:w="0" w:type="dxa"/>
            <w:right w:w="108" w:type="dxa"/>
          </w:tblCellMar>
        </w:tblPrEx>
        <w:trPr>
          <w:trHeight w:val="5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久远路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久惠路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p>
        </w:tc>
      </w:tr>
    </w:tbl>
    <w:p>
      <w:pPr>
        <w:pStyle w:val="2"/>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注：1.上述道路中的部分路段包含了高新园区（本项目内）、及集镇一体化（本项目外）的绿化养护范围，但面积没有重复计算。本项目应包含街道内所有道路及相关公共区域、公园绿地的养护工作。2.本项目养护作业对象原则上已现有招标清单作为基础，养护周期内因中央商务区、香花桥城中村改造等项目可能引发设施量的减少，以及园区新建道路移交于街道引发设施量的新增，将实时对现有设施量进行同步增减调整。</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十一、考核方式</w:t>
      </w: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本项目中标通知书发出后，采购人与中标人按照项目中标结果签订第一年度合同。之后，在上一年度合同到期后，采购人对中标人的工作进行考核，考核通过的，双方续签下一年度合同。第二年和第三年签订的采购合同价原则上不得高于招标时所确定的第一年度合同价格。如中标人年度考核未通过，或者项目内容及价格变动较大、超过招标时所确定的第一年度合同金额10%的，则上一年度合同到期后，双方不再续签下一年度合同，本项目中标结果也不再生效。（合同期内，如本项目开展成本预算绩效分析工作，合同金额以中标金额与成本预算绩效分析结果孰低为准）。</w:t>
      </w:r>
    </w:p>
    <w:p>
      <w:pPr>
        <w:rPr>
          <w:rFonts w:hint="eastAsia" w:ascii="Calibri" w:hAnsi="Calibri" w:eastAsia="宋体" w:cs="Times New Roman"/>
          <w:kern w:val="2"/>
          <w:sz w:val="21"/>
          <w:szCs w:val="22"/>
          <w:lang w:val="en-US" w:eastAsia="zh-CN" w:bidi="ar-SA"/>
        </w:rPr>
      </w:pP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本项目依据《香花桥街道绿化养护考核细则》进行考核，并根据考核结果作为请款支付的依据。建立绿化作业成效与作业经费拨付实行季度考核挂钩，具体为以季度请款金额提取20%作为考核金，经考核合格后，按每季度结算。原则上考核成绩90分以上，支付季度全额费用，得分80-89分，支付90%季度费用，得分80分以下的，支付80%季度费用,连续两次考核得分低于80分的，支付70%季度费用，并约谈企业负责人，作出书面警告通知，连续三次考核得分低于80分的，列入清退名单。如后续区行业单位或街道出台相关政府采购绩效考核办法，则遵照执行。</w:t>
      </w:r>
    </w:p>
    <w:p>
      <w:pPr>
        <w:rPr>
          <w:rFonts w:hint="eastAsia" w:ascii="Calibri" w:hAnsi="Calibri" w:eastAsia="宋体" w:cs="Times New Roman"/>
          <w:kern w:val="2"/>
          <w:sz w:val="21"/>
          <w:szCs w:val="22"/>
          <w:lang w:val="en-US" w:eastAsia="zh-CN" w:bidi="ar-SA"/>
        </w:rPr>
      </w:pP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cr/>
      </w:r>
    </w:p>
    <w:p>
      <w:pPr>
        <w:pStyle w:val="2"/>
        <w:rPr>
          <w:rFonts w:hint="eastAsia" w:ascii="Calibri" w:hAnsi="Calibri" w:eastAsia="宋体" w:cs="Times New Roman"/>
          <w:kern w:val="2"/>
          <w:sz w:val="21"/>
          <w:szCs w:val="22"/>
          <w:lang w:val="en-US" w:eastAsia="zh-CN" w:bidi="ar-SA"/>
        </w:rPr>
        <w:sectPr>
          <w:headerReference r:id="rId7" w:type="first"/>
          <w:footerReference r:id="rId10" w:type="first"/>
          <w:headerReference r:id="rId5" w:type="default"/>
          <w:footerReference r:id="rId8" w:type="default"/>
          <w:headerReference r:id="rId6" w:type="even"/>
          <w:footerReference r:id="rId9" w:type="even"/>
          <w:pgSz w:w="11906" w:h="16838"/>
          <w:pgMar w:top="851" w:right="1800" w:bottom="1440" w:left="1800" w:header="851" w:footer="992" w:gutter="0"/>
          <w:pgNumType w:start="1"/>
          <w:cols w:space="720" w:num="1"/>
          <w:docGrid w:type="lines" w:linePitch="312" w:charSpace="0"/>
        </w:sectPr>
      </w:pPr>
    </w:p>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十二、考核细则</w:t>
      </w:r>
    </w:p>
    <w:tbl>
      <w:tblPr>
        <w:tblStyle w:val="9"/>
        <w:tblW w:w="14536" w:type="dxa"/>
        <w:tblInd w:w="93" w:type="dxa"/>
        <w:tblLayout w:type="fixed"/>
        <w:tblCellMar>
          <w:top w:w="0" w:type="dxa"/>
          <w:left w:w="108" w:type="dxa"/>
          <w:bottom w:w="0" w:type="dxa"/>
          <w:right w:w="108" w:type="dxa"/>
        </w:tblCellMar>
      </w:tblPr>
      <w:tblGrid>
        <w:gridCol w:w="698"/>
        <w:gridCol w:w="521"/>
        <w:gridCol w:w="1133"/>
        <w:gridCol w:w="3217"/>
        <w:gridCol w:w="750"/>
        <w:gridCol w:w="4617"/>
        <w:gridCol w:w="650"/>
        <w:gridCol w:w="1666"/>
        <w:gridCol w:w="1284"/>
      </w:tblGrid>
      <w:tr>
        <w:tblPrEx>
          <w:tblCellMar>
            <w:top w:w="0" w:type="dxa"/>
            <w:left w:w="108" w:type="dxa"/>
            <w:bottom w:w="0" w:type="dxa"/>
            <w:right w:w="108" w:type="dxa"/>
          </w:tblCellMar>
        </w:tblPrEx>
        <w:trPr>
          <w:trHeight w:val="415" w:hRule="atLeast"/>
        </w:trPr>
        <w:tc>
          <w:tcPr>
            <w:tcW w:w="14536" w:type="dxa"/>
            <w:gridSpan w:val="9"/>
            <w:tcBorders>
              <w:top w:val="nil"/>
              <w:left w:val="nil"/>
              <w:bottom w:val="single" w:color="000000" w:sz="4" w:space="0"/>
              <w:right w:val="nil"/>
            </w:tcBorders>
            <w:shd w:val="clear" w:color="auto" w:fill="auto"/>
            <w:vAlign w:val="center"/>
          </w:tcPr>
          <w:p>
            <w:pPr>
              <w:jc w:val="cente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香花桥街道绿化养护考核评价细则</w:t>
            </w:r>
          </w:p>
        </w:tc>
      </w:tr>
      <w:tr>
        <w:tblPrEx>
          <w:tblCellMar>
            <w:top w:w="0" w:type="dxa"/>
            <w:left w:w="108" w:type="dxa"/>
            <w:bottom w:w="0" w:type="dxa"/>
            <w:right w:w="108" w:type="dxa"/>
          </w:tblCellMar>
        </w:tblPrEx>
        <w:trPr>
          <w:trHeight w:val="968"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序号</w:t>
            </w:r>
          </w:p>
        </w:tc>
        <w:tc>
          <w:tcPr>
            <w:tcW w:w="16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考核项目</w:t>
            </w:r>
          </w:p>
        </w:tc>
        <w:tc>
          <w:tcPr>
            <w:tcW w:w="3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考核内容</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分值</w:t>
            </w:r>
          </w:p>
        </w:tc>
        <w:tc>
          <w:tcPr>
            <w:tcW w:w="4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扣分细则</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考核得分</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备注</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考核单位</w:t>
            </w:r>
          </w:p>
        </w:tc>
      </w:tr>
      <w:tr>
        <w:tblPrEx>
          <w:tblCellMar>
            <w:top w:w="0" w:type="dxa"/>
            <w:left w:w="108" w:type="dxa"/>
            <w:bottom w:w="0" w:type="dxa"/>
            <w:right w:w="108" w:type="dxa"/>
          </w:tblCellMar>
        </w:tblPrEx>
        <w:trPr>
          <w:trHeight w:val="1363"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w:t>
            </w:r>
          </w:p>
        </w:tc>
        <w:tc>
          <w:tcPr>
            <w:tcW w:w="5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绿化</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文明指数测评点，示范样板路</w:t>
            </w:r>
          </w:p>
        </w:tc>
        <w:tc>
          <w:tcPr>
            <w:tcW w:w="32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行道树定时修剪，有加固防风、防寒保暖措施、无死树、倾斜、倒伏。乔木、灌木、草坪地被无死株和明显空缺。（常态必查）</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10</w:t>
            </w:r>
          </w:p>
        </w:tc>
        <w:tc>
          <w:tcPr>
            <w:tcW w:w="46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行道树每缺株、死株一株扣1分，乔木、灌木每缺株死株一株扣0.5分，草坪地被有明显空缺（0.5㎡以上）扣0.3分，有明显的杂草、垃圾，发现一处扣</w:t>
            </w:r>
            <w:r>
              <w:rPr>
                <w:rFonts w:hint="default" w:ascii="Calibri" w:hAnsi="Calibri" w:eastAsia="宋体" w:cs="Times New Roman"/>
                <w:kern w:val="2"/>
                <w:sz w:val="21"/>
                <w:szCs w:val="22"/>
                <w:lang w:val="en-US" w:eastAsia="zh-CN" w:bidi="ar-SA"/>
              </w:rPr>
              <w:t>0.5分，扣分上限10分。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alibri" w:hAnsi="Calibri" w:eastAsia="宋体" w:cs="Times New Roman"/>
                <w:kern w:val="2"/>
                <w:sz w:val="21"/>
                <w:szCs w:val="22"/>
                <w:lang w:val="en-US" w:eastAsia="zh-CN" w:bidi="ar-SA"/>
              </w:rPr>
            </w:pPr>
          </w:p>
        </w:tc>
        <w:tc>
          <w:tcPr>
            <w:tcW w:w="12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alibri" w:hAnsi="Calibri" w:eastAsia="宋体" w:cs="Times New Roman"/>
                <w:kern w:val="2"/>
                <w:sz w:val="21"/>
                <w:szCs w:val="22"/>
                <w:lang w:val="en-US" w:eastAsia="zh-CN" w:bidi="ar-SA"/>
              </w:rPr>
            </w:pPr>
          </w:p>
        </w:tc>
      </w:tr>
      <w:tr>
        <w:tblPrEx>
          <w:tblCellMar>
            <w:top w:w="0" w:type="dxa"/>
            <w:left w:w="108" w:type="dxa"/>
            <w:bottom w:w="0" w:type="dxa"/>
            <w:right w:w="108" w:type="dxa"/>
          </w:tblCellMar>
        </w:tblPrEx>
        <w:trPr>
          <w:trHeight w:val="113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w:t>
            </w:r>
          </w:p>
        </w:tc>
        <w:tc>
          <w:tcPr>
            <w:tcW w:w="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alibri" w:hAnsi="Calibri" w:eastAsia="宋体" w:cs="Times New Roman"/>
                <w:kern w:val="2"/>
                <w:sz w:val="21"/>
                <w:szCs w:val="22"/>
                <w:lang w:val="en-US" w:eastAsia="zh-CN" w:bidi="ar-SA"/>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一般路段</w:t>
            </w:r>
          </w:p>
        </w:tc>
        <w:tc>
          <w:tcPr>
            <w:tcW w:w="32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行道树定时修剪，有加固防风、防寒保暖措施、无死树、倾斜、倒伏。乔木、灌木、草坪地被无死株和明显空缺。（每季度考查1次3条，自选1条，抽查2条）</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20</w:t>
            </w:r>
          </w:p>
        </w:tc>
        <w:tc>
          <w:tcPr>
            <w:tcW w:w="46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行道树（1公里内）缺株、死株3株扣1分，乔木、灌木缺株、死株3株扣0.5分，草坪地被有明显空缺（2㎡以上）扣0.3分，有明显的杂草、垃圾，发现一处扣</w:t>
            </w:r>
            <w:r>
              <w:rPr>
                <w:rFonts w:hint="default" w:ascii="Calibri" w:hAnsi="Calibri" w:eastAsia="宋体" w:cs="Times New Roman"/>
                <w:kern w:val="2"/>
                <w:sz w:val="21"/>
                <w:szCs w:val="22"/>
                <w:lang w:val="en-US" w:eastAsia="zh-CN" w:bidi="ar-SA"/>
              </w:rPr>
              <w:t>0.5分，扣分上限20分。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宋体" w:cs="Times New Roman"/>
                <w:kern w:val="2"/>
                <w:sz w:val="21"/>
                <w:szCs w:val="22"/>
                <w:lang w:val="en-US" w:eastAsia="zh-CN" w:bidi="ar-SA"/>
              </w:rPr>
            </w:pP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alibri" w:hAnsi="Calibri" w:eastAsia="宋体" w:cs="Times New Roman"/>
                <w:kern w:val="2"/>
                <w:sz w:val="21"/>
                <w:szCs w:val="22"/>
                <w:lang w:val="en-US" w:eastAsia="zh-CN" w:bidi="ar-SA"/>
              </w:rPr>
            </w:pPr>
          </w:p>
        </w:tc>
        <w:tc>
          <w:tcPr>
            <w:tcW w:w="12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alibri" w:hAnsi="Calibri" w:eastAsia="宋体" w:cs="Times New Roman"/>
                <w:kern w:val="2"/>
                <w:sz w:val="21"/>
                <w:szCs w:val="22"/>
                <w:lang w:val="en-US" w:eastAsia="zh-CN" w:bidi="ar-SA"/>
              </w:rPr>
            </w:pPr>
          </w:p>
        </w:tc>
      </w:tr>
      <w:tr>
        <w:tblPrEx>
          <w:tblCellMar>
            <w:top w:w="0" w:type="dxa"/>
            <w:left w:w="108" w:type="dxa"/>
            <w:bottom w:w="0" w:type="dxa"/>
            <w:right w:w="108" w:type="dxa"/>
          </w:tblCellMar>
        </w:tblPrEx>
        <w:trPr>
          <w:trHeight w:val="1323"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r>
              <w:rPr>
                <w:rFonts w:hint="eastAsia"/>
                <w:kern w:val="0"/>
              </w:rPr>
              <w:t>3</w:t>
            </w:r>
          </w:p>
        </w:tc>
        <w:tc>
          <w:tcPr>
            <w:tcW w:w="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kern w:val="0"/>
              </w:rPr>
              <w:t>公园、绿地</w:t>
            </w:r>
          </w:p>
        </w:tc>
        <w:tc>
          <w:tcPr>
            <w:tcW w:w="321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kern w:val="0"/>
              </w:rPr>
              <w:t>行道树定时修剪，有加固防风、防寒保暖措施、无死树、倾斜、倒伏。乔木、灌木、草坪地被无死株和明显空缺、无杂草、垃圾。（每季度考查1次3条，自选1条，抽查2条）</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r>
              <w:rPr>
                <w:rFonts w:hint="eastAsia"/>
                <w:kern w:val="0"/>
              </w:rPr>
              <w:t>10</w:t>
            </w:r>
          </w:p>
        </w:tc>
        <w:tc>
          <w:tcPr>
            <w:tcW w:w="461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kern w:val="0"/>
              </w:rPr>
              <w:t>行道树每缺株、死株一株扣1分，乔木、灌木每缺株死株一株扣0.5分，草坪地被有明显空缺（0.5㎡以上）扣0.3分，有明显的杂草、垃圾，发现一处扣0.5分扣分上限5</w:t>
            </w:r>
            <w:r>
              <w:rPr>
                <w:rStyle w:val="16"/>
                <w:rFonts w:hint="default"/>
                <w:color w:val="auto"/>
                <w:sz w:val="21"/>
                <w:szCs w:val="21"/>
              </w:rPr>
              <w:t>分。</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2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CellMar>
            <w:top w:w="0" w:type="dxa"/>
            <w:left w:w="108" w:type="dxa"/>
            <w:bottom w:w="0" w:type="dxa"/>
            <w:right w:w="108" w:type="dxa"/>
          </w:tblCellMar>
        </w:tblPrEx>
        <w:trPr>
          <w:trHeight w:val="834"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r>
              <w:rPr>
                <w:rFonts w:hint="eastAsia"/>
                <w:kern w:val="0"/>
              </w:rPr>
              <w:t>4</w:t>
            </w:r>
          </w:p>
        </w:tc>
        <w:tc>
          <w:tcPr>
            <w:tcW w:w="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kern w:val="0"/>
              </w:rPr>
              <w:t>人员配置</w:t>
            </w:r>
          </w:p>
        </w:tc>
        <w:tc>
          <w:tcPr>
            <w:tcW w:w="321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kern w:val="0"/>
              </w:rPr>
              <w:t>有专人负责和专业养护队伍（含抢险应急队伍），专业着装。</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kern w:val="0"/>
              </w:rPr>
              <w:t>5</w:t>
            </w:r>
          </w:p>
        </w:tc>
        <w:tc>
          <w:tcPr>
            <w:tcW w:w="461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kern w:val="0"/>
              </w:rPr>
              <w:t>无养护人员表扣2分，每发现一次员工未着装上岗扣0.5分，扣分上限5分。</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2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CellMar>
            <w:top w:w="0" w:type="dxa"/>
            <w:left w:w="108" w:type="dxa"/>
            <w:bottom w:w="0" w:type="dxa"/>
            <w:right w:w="108" w:type="dxa"/>
          </w:tblCellMar>
        </w:tblPrEx>
        <w:trPr>
          <w:trHeight w:val="691"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r>
              <w:rPr>
                <w:rFonts w:hint="eastAsia"/>
                <w:kern w:val="0"/>
              </w:rPr>
              <w:t>5</w:t>
            </w:r>
          </w:p>
        </w:tc>
        <w:tc>
          <w:tcPr>
            <w:tcW w:w="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kern w:val="0"/>
              </w:rPr>
              <w:t>日常巡查</w:t>
            </w:r>
          </w:p>
        </w:tc>
        <w:tc>
          <w:tcPr>
            <w:tcW w:w="321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kern w:val="0"/>
              </w:rPr>
              <w:t>有专业巡查人员制度和每天巡查记录，周巡查覆盖率100%。巡查发现问题有后续处置措施。</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kern w:val="0"/>
              </w:rPr>
              <w:t>5</w:t>
            </w:r>
          </w:p>
        </w:tc>
        <w:tc>
          <w:tcPr>
            <w:tcW w:w="461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kern w:val="0"/>
              </w:rPr>
              <w:t>无人员制度扣2分，巡查记录缺1天扣0.5分，周覆盖率未达到100%扣1分，扣分上限5分。</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2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CellMar>
            <w:top w:w="0" w:type="dxa"/>
            <w:left w:w="108" w:type="dxa"/>
            <w:bottom w:w="0" w:type="dxa"/>
            <w:right w:w="108" w:type="dxa"/>
          </w:tblCellMar>
        </w:tblPrEx>
        <w:trPr>
          <w:trHeight w:val="103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r>
              <w:rPr>
                <w:rFonts w:hint="eastAsia"/>
                <w:kern w:val="0"/>
              </w:rPr>
              <w:t>6</w:t>
            </w:r>
          </w:p>
        </w:tc>
        <w:tc>
          <w:tcPr>
            <w:tcW w:w="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kern w:val="0"/>
              </w:rPr>
              <w:t>养护计划</w:t>
            </w:r>
          </w:p>
        </w:tc>
        <w:tc>
          <w:tcPr>
            <w:tcW w:w="321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kern w:val="0"/>
              </w:rPr>
              <w:t>有年度养护计划方案并按照实施。</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kern w:val="0"/>
              </w:rPr>
              <w:t>5</w:t>
            </w:r>
          </w:p>
        </w:tc>
        <w:tc>
          <w:tcPr>
            <w:tcW w:w="461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kern w:val="0"/>
              </w:rPr>
              <w:t>无养护计划方案扣2分，未按时实施每一项扣1分，扣分上限5分。</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2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CellMar>
            <w:top w:w="0" w:type="dxa"/>
            <w:left w:w="108" w:type="dxa"/>
            <w:bottom w:w="0" w:type="dxa"/>
            <w:right w:w="108" w:type="dxa"/>
          </w:tblCellMar>
        </w:tblPrEx>
        <w:trPr>
          <w:trHeight w:val="897"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r>
              <w:rPr>
                <w:rFonts w:hint="eastAsia"/>
                <w:kern w:val="0"/>
              </w:rPr>
              <w:t>7</w:t>
            </w:r>
          </w:p>
        </w:tc>
        <w:tc>
          <w:tcPr>
            <w:tcW w:w="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kern w:val="0"/>
              </w:rPr>
              <w:t>机械物资</w:t>
            </w:r>
          </w:p>
        </w:tc>
        <w:tc>
          <w:tcPr>
            <w:tcW w:w="321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kern w:val="0"/>
              </w:rPr>
              <w:t>机械设备按规范配备，抢险备用物资品种齐全、数量充足。</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kern w:val="0"/>
              </w:rPr>
              <w:t>5</w:t>
            </w:r>
          </w:p>
        </w:tc>
        <w:tc>
          <w:tcPr>
            <w:tcW w:w="461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kern w:val="0"/>
              </w:rPr>
              <w:t>无固定仓储用房扣2分，抢险应急物资缺一项扣0.5分，扣分上限5分。</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2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CellMar>
            <w:top w:w="0" w:type="dxa"/>
            <w:left w:w="108" w:type="dxa"/>
            <w:bottom w:w="0" w:type="dxa"/>
            <w:right w:w="108" w:type="dxa"/>
          </w:tblCellMar>
        </w:tblPrEx>
        <w:trPr>
          <w:trHeight w:val="853"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r>
              <w:rPr>
                <w:rFonts w:hint="eastAsia"/>
                <w:kern w:val="0"/>
              </w:rPr>
              <w:t>8</w:t>
            </w:r>
          </w:p>
        </w:tc>
        <w:tc>
          <w:tcPr>
            <w:tcW w:w="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kern w:val="0"/>
              </w:rPr>
              <w:t>投诉反馈</w:t>
            </w:r>
          </w:p>
        </w:tc>
        <w:tc>
          <w:tcPr>
            <w:tcW w:w="3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r>
              <w:rPr>
                <w:rFonts w:hint="eastAsia"/>
                <w:kern w:val="0"/>
              </w:rPr>
              <w:t>建立投诉反馈响应机制，及时处理网格、热线投诉事件</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kern w:val="0"/>
              </w:rPr>
              <w:t>20</w:t>
            </w:r>
          </w:p>
        </w:tc>
        <w:tc>
          <w:tcPr>
            <w:tcW w:w="461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kern w:val="0"/>
              </w:rPr>
              <w:t>加强巡查、及时发现、及时销案，“12345”市民热线、网格化案件、信访案件，每发生一起，经查实，每次扣0.1分，扣分上限20分。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2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CellMar>
            <w:top w:w="0" w:type="dxa"/>
            <w:left w:w="108" w:type="dxa"/>
            <w:bottom w:w="0" w:type="dxa"/>
            <w:right w:w="108" w:type="dxa"/>
          </w:tblCellMar>
        </w:tblPrEx>
        <w:trPr>
          <w:trHeight w:val="1124"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r>
              <w:rPr>
                <w:rFonts w:hint="eastAsia"/>
                <w:kern w:val="0"/>
              </w:rPr>
              <w:t>9</w:t>
            </w:r>
          </w:p>
        </w:tc>
        <w:tc>
          <w:tcPr>
            <w:tcW w:w="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133" w:type="dxa"/>
            <w:vMerge w:val="restart"/>
            <w:tcBorders>
              <w:top w:val="nil"/>
              <w:left w:val="single" w:color="000000" w:sz="4" w:space="0"/>
              <w:bottom w:val="single" w:color="000000" w:sz="4" w:space="0"/>
              <w:right w:val="single" w:color="000000" w:sz="4" w:space="0"/>
            </w:tcBorders>
            <w:shd w:val="clear" w:color="auto" w:fill="auto"/>
            <w:vAlign w:val="center"/>
          </w:tcPr>
          <w:p>
            <w:r>
              <w:rPr>
                <w:rFonts w:hint="eastAsia"/>
                <w:kern w:val="0"/>
              </w:rPr>
              <w:t>响应机制</w:t>
            </w:r>
          </w:p>
        </w:tc>
        <w:tc>
          <w:tcPr>
            <w:tcW w:w="3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r>
              <w:rPr>
                <w:rFonts w:hint="eastAsia"/>
                <w:kern w:val="0"/>
              </w:rPr>
              <w:t>积极响应并认真完成上级领导、有关部门交办的各项工作任务</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kern w:val="0"/>
              </w:rPr>
              <w:t>10</w:t>
            </w:r>
          </w:p>
        </w:tc>
        <w:tc>
          <w:tcPr>
            <w:tcW w:w="461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kern w:val="0"/>
              </w:rPr>
              <w:t>分值由考核单位综合评定（未按规定要求完成任务一次扣1分）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2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CellMar>
            <w:top w:w="0" w:type="dxa"/>
            <w:left w:w="108" w:type="dxa"/>
            <w:bottom w:w="0" w:type="dxa"/>
            <w:right w:w="108" w:type="dxa"/>
          </w:tblCellMar>
        </w:tblPrEx>
        <w:trPr>
          <w:trHeight w:val="6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r>
              <w:rPr>
                <w:rFonts w:hint="eastAsia"/>
                <w:kern w:val="0"/>
              </w:rPr>
              <w:t>10</w:t>
            </w:r>
          </w:p>
        </w:tc>
        <w:tc>
          <w:tcPr>
            <w:tcW w:w="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133" w:type="dxa"/>
            <w:vMerge w:val="continue"/>
            <w:tcBorders>
              <w:top w:val="nil"/>
              <w:left w:val="single" w:color="000000" w:sz="4" w:space="0"/>
              <w:bottom w:val="single" w:color="000000" w:sz="4" w:space="0"/>
              <w:right w:val="single" w:color="000000" w:sz="4" w:space="0"/>
            </w:tcBorders>
            <w:shd w:val="clear" w:color="auto" w:fill="auto"/>
            <w:vAlign w:val="center"/>
          </w:tcPr>
          <w:p/>
        </w:tc>
        <w:tc>
          <w:tcPr>
            <w:tcW w:w="3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r>
              <w:rPr>
                <w:rFonts w:hint="eastAsia"/>
                <w:kern w:val="0"/>
              </w:rPr>
              <w:t>按照通知要求，按时参加各类工作会议</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kern w:val="0"/>
              </w:rPr>
              <w:t>10</w:t>
            </w:r>
          </w:p>
        </w:tc>
        <w:tc>
          <w:tcPr>
            <w:tcW w:w="461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kern w:val="0"/>
              </w:rPr>
              <w:t>分值由考核单位综合评定（未按通知要求参加会议一次扣1分）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2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CellMar>
            <w:top w:w="0" w:type="dxa"/>
            <w:left w:w="108" w:type="dxa"/>
            <w:bottom w:w="0" w:type="dxa"/>
            <w:right w:w="108" w:type="dxa"/>
          </w:tblCellMar>
        </w:tblPrEx>
        <w:trPr>
          <w:trHeight w:val="578" w:hRule="atLeast"/>
        </w:trPr>
        <w:tc>
          <w:tcPr>
            <w:tcW w:w="23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kern w:val="0"/>
              </w:rPr>
              <w:t>合计</w:t>
            </w:r>
          </w:p>
        </w:tc>
        <w:tc>
          <w:tcPr>
            <w:tcW w:w="3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kern w:val="0"/>
              </w:rPr>
              <w:t>100</w:t>
            </w:r>
          </w:p>
        </w:tc>
        <w:tc>
          <w:tcPr>
            <w:tcW w:w="4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tc>
      </w:tr>
    </w:tbl>
    <w:p/>
    <w:p>
      <w:pPr>
        <w:sectPr>
          <w:pgSz w:w="16838" w:h="11906" w:orient="landscape"/>
          <w:pgMar w:top="567" w:right="1440" w:bottom="1803" w:left="1440" w:header="851" w:footer="992" w:gutter="0"/>
          <w:cols w:space="0" w:num="1"/>
          <w:docGrid w:linePitch="319" w:charSpace="0"/>
        </w:sectPr>
      </w:pPr>
      <w:bookmarkStart w:id="0" w:name="_GoBack"/>
      <w:bookmarkEnd w:id="0"/>
    </w:p>
    <w:p>
      <w:pPr>
        <w:pStyle w:val="2"/>
        <w:ind w:left="0" w:leftChars="0" w:firstLine="0" w:firstLineChars="0"/>
      </w:pPr>
    </w:p>
    <w:sectPr>
      <w:pgSz w:w="11906" w:h="16838"/>
      <w:pgMar w:top="1440" w:right="1803" w:bottom="1440" w:left="1803" w:header="851" w:footer="992" w:gutter="0"/>
      <w:cols w:space="0" w:num="1"/>
      <w:docGrid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140"/>
      </w:pPr>
      <w:r>
        <w:separator/>
      </w:r>
    </w:p>
  </w:endnote>
  <w:endnote w:type="continuationSeparator" w:id="1">
    <w:p>
      <w:pPr>
        <w:spacing w:line="240" w:lineRule="auto"/>
        <w:ind w:firstLine="1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121"/>
    </w:pPr>
    <w:r>
      <w:fldChar w:fldCharType="begin"/>
    </w:r>
    <w:r>
      <w:instrText xml:space="preserve"> PAGE   \* MERGEFORMAT </w:instrText>
    </w:r>
    <w:r>
      <w:fldChar w:fldCharType="separate"/>
    </w:r>
    <w:r>
      <w:rPr>
        <w:lang w:val="zh-CN"/>
      </w:rPr>
      <w:t>12</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12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12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140"/>
      </w:pPr>
      <w:r>
        <w:separator/>
      </w:r>
    </w:p>
  </w:footnote>
  <w:footnote w:type="continuationSeparator" w:id="1">
    <w:p>
      <w:pPr>
        <w:spacing w:line="240" w:lineRule="auto"/>
        <w:ind w:firstLine="1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12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12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12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319"/>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GNiZDU5MmMxMjE4MDlmNTFkZjRjYmM1MDU3ZDY4ZDAifQ=="/>
  </w:docVars>
  <w:rsids>
    <w:rsidRoot w:val="587F4CB7"/>
    <w:rsid w:val="00004F48"/>
    <w:rsid w:val="00006940"/>
    <w:rsid w:val="00017768"/>
    <w:rsid w:val="00026246"/>
    <w:rsid w:val="00054C11"/>
    <w:rsid w:val="00061A2C"/>
    <w:rsid w:val="00061DD3"/>
    <w:rsid w:val="00092DF5"/>
    <w:rsid w:val="000B04FA"/>
    <w:rsid w:val="000B7A55"/>
    <w:rsid w:val="000C60A6"/>
    <w:rsid w:val="000D1B13"/>
    <w:rsid w:val="000E4756"/>
    <w:rsid w:val="000E7A53"/>
    <w:rsid w:val="0011591E"/>
    <w:rsid w:val="00120C5B"/>
    <w:rsid w:val="00123995"/>
    <w:rsid w:val="001341B4"/>
    <w:rsid w:val="001727E7"/>
    <w:rsid w:val="001B7582"/>
    <w:rsid w:val="001C3B83"/>
    <w:rsid w:val="001F26BD"/>
    <w:rsid w:val="001F65F2"/>
    <w:rsid w:val="001F6F09"/>
    <w:rsid w:val="00211F57"/>
    <w:rsid w:val="00217797"/>
    <w:rsid w:val="00267B9C"/>
    <w:rsid w:val="002A1698"/>
    <w:rsid w:val="002D202B"/>
    <w:rsid w:val="002E2F18"/>
    <w:rsid w:val="002E3253"/>
    <w:rsid w:val="002E372B"/>
    <w:rsid w:val="002E7DD2"/>
    <w:rsid w:val="003022EC"/>
    <w:rsid w:val="00317AAA"/>
    <w:rsid w:val="00386808"/>
    <w:rsid w:val="0038697A"/>
    <w:rsid w:val="003C34C8"/>
    <w:rsid w:val="003E5D49"/>
    <w:rsid w:val="0041577B"/>
    <w:rsid w:val="00467361"/>
    <w:rsid w:val="00467ADA"/>
    <w:rsid w:val="004724A4"/>
    <w:rsid w:val="004B1099"/>
    <w:rsid w:val="004B388C"/>
    <w:rsid w:val="004B4186"/>
    <w:rsid w:val="004F5C9E"/>
    <w:rsid w:val="00515C70"/>
    <w:rsid w:val="005206FA"/>
    <w:rsid w:val="00522C0B"/>
    <w:rsid w:val="00533B6B"/>
    <w:rsid w:val="0055276E"/>
    <w:rsid w:val="005920AB"/>
    <w:rsid w:val="005A15BC"/>
    <w:rsid w:val="005A2541"/>
    <w:rsid w:val="005B3097"/>
    <w:rsid w:val="005C5A26"/>
    <w:rsid w:val="005D0316"/>
    <w:rsid w:val="005D6DFB"/>
    <w:rsid w:val="005E574C"/>
    <w:rsid w:val="005F1E90"/>
    <w:rsid w:val="006065AC"/>
    <w:rsid w:val="0061110A"/>
    <w:rsid w:val="00682A56"/>
    <w:rsid w:val="00682F64"/>
    <w:rsid w:val="006B0574"/>
    <w:rsid w:val="006C47DB"/>
    <w:rsid w:val="006F2D06"/>
    <w:rsid w:val="00715CDB"/>
    <w:rsid w:val="00791B7E"/>
    <w:rsid w:val="007C2595"/>
    <w:rsid w:val="007C3D7B"/>
    <w:rsid w:val="007F1180"/>
    <w:rsid w:val="0080419B"/>
    <w:rsid w:val="0082239F"/>
    <w:rsid w:val="00846657"/>
    <w:rsid w:val="00851125"/>
    <w:rsid w:val="008742FE"/>
    <w:rsid w:val="0088207E"/>
    <w:rsid w:val="008973B9"/>
    <w:rsid w:val="008A1D74"/>
    <w:rsid w:val="008E11C8"/>
    <w:rsid w:val="00922EB4"/>
    <w:rsid w:val="009404F6"/>
    <w:rsid w:val="00962D54"/>
    <w:rsid w:val="00966EAE"/>
    <w:rsid w:val="00992651"/>
    <w:rsid w:val="009D338A"/>
    <w:rsid w:val="009F1B1E"/>
    <w:rsid w:val="009F5347"/>
    <w:rsid w:val="00A056C8"/>
    <w:rsid w:val="00A300CD"/>
    <w:rsid w:val="00A55174"/>
    <w:rsid w:val="00A56DCB"/>
    <w:rsid w:val="00A907F2"/>
    <w:rsid w:val="00A93254"/>
    <w:rsid w:val="00AB105E"/>
    <w:rsid w:val="00AD1AB6"/>
    <w:rsid w:val="00AD3650"/>
    <w:rsid w:val="00AF4C9F"/>
    <w:rsid w:val="00B239D3"/>
    <w:rsid w:val="00B2671C"/>
    <w:rsid w:val="00B311B6"/>
    <w:rsid w:val="00B5363C"/>
    <w:rsid w:val="00B769D9"/>
    <w:rsid w:val="00BA0554"/>
    <w:rsid w:val="00BC50CE"/>
    <w:rsid w:val="00BD4ADD"/>
    <w:rsid w:val="00C02875"/>
    <w:rsid w:val="00C13522"/>
    <w:rsid w:val="00C25B5D"/>
    <w:rsid w:val="00C357F9"/>
    <w:rsid w:val="00C40D7C"/>
    <w:rsid w:val="00C544C6"/>
    <w:rsid w:val="00C72634"/>
    <w:rsid w:val="00C82140"/>
    <w:rsid w:val="00CA275E"/>
    <w:rsid w:val="00CE36F8"/>
    <w:rsid w:val="00CE511E"/>
    <w:rsid w:val="00D538CE"/>
    <w:rsid w:val="00D8583D"/>
    <w:rsid w:val="00D861D4"/>
    <w:rsid w:val="00D863AB"/>
    <w:rsid w:val="00D91B01"/>
    <w:rsid w:val="00DD3DA8"/>
    <w:rsid w:val="00E406E5"/>
    <w:rsid w:val="00E4558C"/>
    <w:rsid w:val="00E525B2"/>
    <w:rsid w:val="00E7166B"/>
    <w:rsid w:val="00ED4464"/>
    <w:rsid w:val="00EE0B5A"/>
    <w:rsid w:val="00EE2796"/>
    <w:rsid w:val="00EE70AC"/>
    <w:rsid w:val="00EF61A9"/>
    <w:rsid w:val="00F013A4"/>
    <w:rsid w:val="00F60668"/>
    <w:rsid w:val="00F64483"/>
    <w:rsid w:val="00F75ED8"/>
    <w:rsid w:val="00FB58DF"/>
    <w:rsid w:val="00FC39FD"/>
    <w:rsid w:val="00FD23B5"/>
    <w:rsid w:val="09316EE8"/>
    <w:rsid w:val="0A5C0451"/>
    <w:rsid w:val="0FCE7A9D"/>
    <w:rsid w:val="1B2034E2"/>
    <w:rsid w:val="20696138"/>
    <w:rsid w:val="342060E0"/>
    <w:rsid w:val="3F1861F4"/>
    <w:rsid w:val="44AA5AF5"/>
    <w:rsid w:val="4D7744E3"/>
    <w:rsid w:val="51A125B9"/>
    <w:rsid w:val="51F67A6B"/>
    <w:rsid w:val="520E2B36"/>
    <w:rsid w:val="587F4CB7"/>
    <w:rsid w:val="5ACF7B0F"/>
    <w:rsid w:val="5F422F03"/>
    <w:rsid w:val="65E70ADC"/>
    <w:rsid w:val="675039C2"/>
    <w:rsid w:val="73FA12B8"/>
    <w:rsid w:val="79FC3E9A"/>
    <w:rsid w:val="7A1E026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34"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560" w:lineRule="exact"/>
      <w:ind w:firstLine="141" w:firstLineChars="67"/>
    </w:pPr>
    <w:rPr>
      <w:rFonts w:ascii="Calibri" w:hAnsi="Calibri" w:eastAsia="宋体" w:cs="Times New Roman"/>
      <w:kern w:val="2"/>
      <w:sz w:val="21"/>
      <w:szCs w:val="22"/>
      <w:lang w:val="en-US" w:eastAsia="zh-CN" w:bidi="ar-SA"/>
    </w:rPr>
  </w:style>
  <w:style w:type="paragraph" w:styleId="3">
    <w:name w:val="heading 1"/>
    <w:basedOn w:val="1"/>
    <w:next w:val="1"/>
    <w:link w:val="18"/>
    <w:autoRedefine/>
    <w:qFormat/>
    <w:uiPriority w:val="0"/>
    <w:pPr>
      <w:keepNext/>
      <w:keepLines/>
      <w:spacing w:before="340" w:after="330" w:line="578" w:lineRule="auto"/>
      <w:ind w:firstLine="296"/>
      <w:jc w:val="center"/>
      <w:outlineLvl w:val="0"/>
    </w:pPr>
    <w:rPr>
      <w:b/>
      <w:bCs/>
      <w:kern w:val="44"/>
      <w:sz w:val="44"/>
      <w:szCs w:val="44"/>
    </w:rPr>
  </w:style>
  <w:style w:type="paragraph" w:styleId="4">
    <w:name w:val="heading 2"/>
    <w:basedOn w:val="1"/>
    <w:next w:val="1"/>
    <w:autoRedefine/>
    <w:qFormat/>
    <w:uiPriority w:val="9"/>
    <w:pPr>
      <w:keepNext/>
      <w:keepLines/>
      <w:spacing w:before="260" w:after="260" w:line="416" w:lineRule="auto"/>
      <w:jc w:val="center"/>
      <w:outlineLvl w:val="1"/>
    </w:pPr>
    <w:rPr>
      <w:rFonts w:ascii="Cambria" w:hAnsi="Cambria"/>
      <w:b/>
      <w:bCs/>
      <w:sz w:val="24"/>
      <w:szCs w:val="32"/>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5"/>
    <w:autoRedefine/>
    <w:qFormat/>
    <w:uiPriority w:val="0"/>
    <w:pPr>
      <w:spacing w:after="120"/>
    </w:pPr>
  </w:style>
  <w:style w:type="paragraph" w:styleId="5">
    <w:name w:val="Plain Text"/>
    <w:basedOn w:val="1"/>
    <w:autoRedefine/>
    <w:qFormat/>
    <w:uiPriority w:val="0"/>
    <w:rPr>
      <w:rFonts w:ascii="宋体" w:hAnsi="Courier New"/>
      <w:szCs w:val="20"/>
    </w:rPr>
  </w:style>
  <w:style w:type="paragraph" w:styleId="6">
    <w:name w:val="footer"/>
    <w:basedOn w:val="1"/>
    <w:autoRedefine/>
    <w:unhideWhenUsed/>
    <w:qFormat/>
    <w:uiPriority w:val="99"/>
    <w:pPr>
      <w:tabs>
        <w:tab w:val="center" w:pos="4153"/>
        <w:tab w:val="right" w:pos="8306"/>
      </w:tabs>
      <w:snapToGrid w:val="0"/>
    </w:pPr>
    <w:rPr>
      <w:rFonts w:ascii="Times New Roman" w:hAnsi="Times New Roman"/>
      <w:sz w:val="18"/>
      <w:szCs w:val="18"/>
    </w:rPr>
  </w:style>
  <w:style w:type="paragraph" w:styleId="7">
    <w:name w:val="header"/>
    <w:basedOn w:val="1"/>
    <w:link w:val="12"/>
    <w:autoRedefine/>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34"/>
    <w:pPr>
      <w:widowControl/>
      <w:spacing w:before="100" w:beforeAutospacing="1" w:after="100" w:afterAutospacing="1"/>
    </w:pPr>
    <w:rPr>
      <w:rFonts w:ascii="宋体" w:hAnsi="宋体"/>
      <w:kern w:val="0"/>
      <w:sz w:val="24"/>
    </w:rPr>
  </w:style>
  <w:style w:type="table" w:styleId="10">
    <w:name w:val="Table Grid"/>
    <w:basedOn w:val="9"/>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页眉 Char"/>
    <w:basedOn w:val="11"/>
    <w:link w:val="7"/>
    <w:autoRedefine/>
    <w:qFormat/>
    <w:uiPriority w:val="99"/>
    <w:rPr>
      <w:rFonts w:ascii="Calibri" w:hAnsi="Calibri" w:eastAsia="宋体" w:cs="Times New Roman"/>
      <w:kern w:val="2"/>
      <w:sz w:val="18"/>
      <w:szCs w:val="18"/>
    </w:rPr>
  </w:style>
  <w:style w:type="paragraph" w:styleId="13">
    <w:name w:val="List Paragraph"/>
    <w:basedOn w:val="1"/>
    <w:autoRedefine/>
    <w:unhideWhenUsed/>
    <w:qFormat/>
    <w:uiPriority w:val="34"/>
    <w:pPr>
      <w:ind w:firstLine="420" w:firstLineChars="200"/>
    </w:pPr>
  </w:style>
  <w:style w:type="paragraph" w:customStyle="1" w:styleId="14">
    <w:name w:val="表格文字"/>
    <w:autoRedefine/>
    <w:qFormat/>
    <w:uiPriority w:val="0"/>
    <w:pPr>
      <w:widowControl w:val="0"/>
      <w:adjustRightInd w:val="0"/>
      <w:spacing w:line="420" w:lineRule="atLeast"/>
      <w:textAlignment w:val="baseline"/>
    </w:pPr>
    <w:rPr>
      <w:rFonts w:ascii="Times New Roman" w:hAnsi="Times New Roman" w:eastAsia="宋体" w:cs="Times New Roman"/>
      <w:sz w:val="21"/>
      <w:lang w:val="en-US" w:eastAsia="zh-CN" w:bidi="ar-SA"/>
    </w:rPr>
  </w:style>
  <w:style w:type="character" w:customStyle="1" w:styleId="15">
    <w:name w:val="正文文本 Char"/>
    <w:basedOn w:val="11"/>
    <w:link w:val="2"/>
    <w:autoRedefine/>
    <w:qFormat/>
    <w:uiPriority w:val="0"/>
    <w:rPr>
      <w:rFonts w:ascii="Calibri" w:hAnsi="Calibri" w:eastAsia="宋体" w:cs="Times New Roman"/>
      <w:kern w:val="2"/>
      <w:sz w:val="21"/>
      <w:szCs w:val="22"/>
    </w:rPr>
  </w:style>
  <w:style w:type="character" w:customStyle="1" w:styleId="16">
    <w:name w:val="font21"/>
    <w:basedOn w:val="11"/>
    <w:autoRedefine/>
    <w:qFormat/>
    <w:uiPriority w:val="0"/>
    <w:rPr>
      <w:rFonts w:hint="eastAsia" w:ascii="宋体" w:hAnsi="宋体" w:eastAsia="宋体" w:cs="宋体"/>
      <w:color w:val="000000"/>
      <w:sz w:val="24"/>
      <w:szCs w:val="24"/>
      <w:u w:val="none"/>
    </w:rPr>
  </w:style>
  <w:style w:type="paragraph" w:styleId="17">
    <w:name w:val="No Spacing"/>
    <w:basedOn w:val="1"/>
    <w:autoRedefine/>
    <w:qFormat/>
    <w:uiPriority w:val="1"/>
    <w:pPr>
      <w:widowControl/>
    </w:pPr>
    <w:rPr>
      <w:rFonts w:ascii="Cambria" w:hAnsi="Cambria"/>
      <w:kern w:val="0"/>
      <w:sz w:val="22"/>
    </w:rPr>
  </w:style>
  <w:style w:type="character" w:customStyle="1" w:styleId="18">
    <w:name w:val="标题 1 Char"/>
    <w:basedOn w:val="11"/>
    <w:link w:val="3"/>
    <w:autoRedefine/>
    <w:qFormat/>
    <w:uiPriority w:val="0"/>
    <w:rPr>
      <w:rFonts w:ascii="Calibri" w:hAnsi="Calibri"/>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F7499-63E2-4521-91D0-7DEE5057902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26</Pages>
  <Words>2132</Words>
  <Characters>12159</Characters>
  <Lines>101</Lines>
  <Paragraphs>28</Paragraphs>
  <TotalTime>128</TotalTime>
  <ScaleCrop>false</ScaleCrop>
  <LinksUpToDate>false</LinksUpToDate>
  <CharactersWithSpaces>14263</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2024-03-05T08:53:00Z</dcterms:created>
  <dc:creator>淡淡的微笑</dc:creator>
  <cp:lastModifiedBy>Administrator</cp:lastModifiedBy>
  <cp:lastPrinted>2024-02-18T06:47:00Z</cp:lastPrinted>
  <dcterms:modified xsi:type="dcterms:W3CDTF">2024-03-22T09:34:07Z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A60CC5CCE72E4271963C70D32451344D_13</vt:lpwstr>
  </property>
</Properties>
</file>