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42B19C9">
      <w:pPr>
        <w:pStyle w:val="201"/>
        <w:ind w:firstLine="480"/>
      </w:pPr>
    </w:p>
    <w:p w14:paraId="66CB84CF">
      <w:pPr>
        <w:pStyle w:val="201"/>
        <w:ind w:firstLine="480"/>
      </w:pPr>
    </w:p>
    <w:p w14:paraId="2D13E977">
      <w:pPr>
        <w:pStyle w:val="201"/>
        <w:ind w:firstLine="480"/>
      </w:pPr>
    </w:p>
    <w:p w14:paraId="1D0D2981">
      <w:pPr>
        <w:pStyle w:val="201"/>
        <w:ind w:firstLine="480"/>
        <w:rPr>
          <w:rFonts w:hint="eastAsia"/>
        </w:rPr>
      </w:pPr>
    </w:p>
    <w:p w14:paraId="60ECCBDC">
      <w:pPr>
        <w:pStyle w:val="201"/>
        <w:ind w:firstLine="480"/>
      </w:pPr>
    </w:p>
    <w:p w14:paraId="36539655">
      <w:pPr>
        <w:pStyle w:val="201"/>
        <w:ind w:firstLine="480"/>
        <w:rPr>
          <w:rFonts w:hint="eastAsia"/>
        </w:rPr>
      </w:pPr>
    </w:p>
    <w:p w14:paraId="6436D286">
      <w:pPr>
        <w:pStyle w:val="201"/>
        <w:ind w:firstLine="0" w:firstLineChars="0"/>
        <w:jc w:val="center"/>
        <w:rPr>
          <w:rFonts w:hint="eastAsia" w:ascii="宋体" w:hAnsi="宋体" w:eastAsia="宋体" w:cs="Times New Roman"/>
          <w:b/>
          <w:bCs/>
          <w:sz w:val="44"/>
          <w:szCs w:val="44"/>
        </w:rPr>
      </w:pPr>
      <w:r>
        <w:rPr>
          <w:rFonts w:hint="eastAsia" w:ascii="宋体" w:hAnsi="宋体" w:eastAsia="宋体" w:cs="Times New Roman"/>
          <w:b/>
          <w:bCs/>
          <w:sz w:val="44"/>
          <w:szCs w:val="44"/>
        </w:rPr>
        <w:t>青浦区融媒体中心安全播出智慧运维及</w:t>
      </w:r>
    </w:p>
    <w:p w14:paraId="4A79BEF7">
      <w:pPr>
        <w:pStyle w:val="201"/>
        <w:ind w:firstLine="0" w:firstLineChars="0"/>
        <w:jc w:val="center"/>
        <w:rPr>
          <w:rFonts w:hint="eastAsia" w:ascii="宋体" w:hAnsi="宋体" w:eastAsia="宋体" w:cs="Times New Roman"/>
          <w:b/>
          <w:bCs/>
          <w:sz w:val="44"/>
          <w:szCs w:val="44"/>
          <w:lang w:eastAsia="zh-CN"/>
        </w:rPr>
      </w:pPr>
      <w:r>
        <w:rPr>
          <w:rFonts w:hint="eastAsia" w:ascii="宋体" w:hAnsi="宋体" w:eastAsia="宋体" w:cs="Times New Roman"/>
          <w:b/>
          <w:bCs/>
          <w:sz w:val="44"/>
          <w:szCs w:val="44"/>
        </w:rPr>
        <w:t>应急系统平台项目</w:t>
      </w:r>
    </w:p>
    <w:p w14:paraId="00938163">
      <w:pPr>
        <w:pStyle w:val="201"/>
        <w:ind w:firstLine="883"/>
        <w:jc w:val="center"/>
        <w:rPr>
          <w:b/>
          <w:bCs/>
          <w:kern w:val="44"/>
          <w:sz w:val="44"/>
          <w:szCs w:val="44"/>
        </w:rPr>
      </w:pPr>
    </w:p>
    <w:p w14:paraId="254F2559">
      <w:pPr>
        <w:pStyle w:val="201"/>
        <w:ind w:firstLine="141" w:firstLineChars="32"/>
        <w:jc w:val="center"/>
        <w:rPr>
          <w:rFonts w:hint="eastAsia"/>
          <w:b/>
          <w:bCs/>
          <w:kern w:val="44"/>
          <w:sz w:val="44"/>
          <w:szCs w:val="44"/>
        </w:rPr>
      </w:pPr>
    </w:p>
    <w:p w14:paraId="1EBE171F">
      <w:pPr>
        <w:pStyle w:val="201"/>
        <w:ind w:firstLine="0" w:firstLineChars="0"/>
        <w:jc w:val="center"/>
        <w:rPr>
          <w:b/>
          <w:bCs/>
          <w:sz w:val="44"/>
          <w:szCs w:val="44"/>
        </w:rPr>
      </w:pPr>
      <w:r>
        <w:rPr>
          <w:b/>
          <w:bCs/>
          <w:sz w:val="44"/>
          <w:szCs w:val="44"/>
        </w:rPr>
        <w:t>招标</w:t>
      </w:r>
      <w:r>
        <w:rPr>
          <w:rFonts w:hint="eastAsia"/>
          <w:b/>
          <w:bCs/>
          <w:sz w:val="44"/>
          <w:szCs w:val="44"/>
        </w:rPr>
        <w:t>需求</w:t>
      </w:r>
    </w:p>
    <w:p w14:paraId="7FA3902B">
      <w:pPr>
        <w:pStyle w:val="201"/>
        <w:ind w:firstLine="883"/>
        <w:jc w:val="center"/>
        <w:rPr>
          <w:b/>
          <w:bCs/>
          <w:sz w:val="44"/>
          <w:szCs w:val="44"/>
        </w:rPr>
      </w:pPr>
    </w:p>
    <w:p w14:paraId="39B4E369">
      <w:pPr>
        <w:pStyle w:val="201"/>
        <w:ind w:firstLine="883"/>
        <w:jc w:val="center"/>
        <w:rPr>
          <w:b/>
          <w:bCs/>
          <w:sz w:val="44"/>
          <w:szCs w:val="44"/>
        </w:rPr>
      </w:pPr>
    </w:p>
    <w:p w14:paraId="783E8467">
      <w:pPr>
        <w:pStyle w:val="201"/>
        <w:ind w:firstLine="883"/>
        <w:jc w:val="center"/>
        <w:rPr>
          <w:b/>
          <w:bCs/>
          <w:sz w:val="44"/>
          <w:szCs w:val="44"/>
        </w:rPr>
      </w:pPr>
    </w:p>
    <w:p w14:paraId="433652DA">
      <w:pPr>
        <w:pStyle w:val="201"/>
        <w:ind w:firstLine="883"/>
        <w:jc w:val="center"/>
        <w:rPr>
          <w:b/>
          <w:bCs/>
          <w:sz w:val="44"/>
          <w:szCs w:val="44"/>
        </w:rPr>
      </w:pPr>
    </w:p>
    <w:p w14:paraId="4A175C10">
      <w:pPr>
        <w:pStyle w:val="201"/>
        <w:ind w:firstLine="883"/>
        <w:jc w:val="center"/>
        <w:rPr>
          <w:b/>
          <w:bCs/>
          <w:sz w:val="44"/>
          <w:szCs w:val="44"/>
        </w:rPr>
      </w:pPr>
    </w:p>
    <w:p w14:paraId="77823474">
      <w:pPr>
        <w:pStyle w:val="201"/>
        <w:ind w:firstLine="0" w:firstLineChars="0"/>
        <w:jc w:val="center"/>
        <w:rPr>
          <w:rFonts w:hint="eastAsia"/>
          <w:b/>
          <w:bCs/>
          <w:sz w:val="44"/>
          <w:szCs w:val="44"/>
        </w:rPr>
      </w:pPr>
    </w:p>
    <w:p w14:paraId="352A4B40">
      <w:pPr>
        <w:pStyle w:val="201"/>
        <w:ind w:firstLine="0" w:firstLineChars="0"/>
        <w:jc w:val="center"/>
        <w:rPr>
          <w:rFonts w:hint="eastAsia"/>
          <w:b/>
          <w:bCs/>
          <w:sz w:val="32"/>
          <w:szCs w:val="32"/>
        </w:rPr>
      </w:pPr>
      <w:r>
        <w:rPr>
          <w:rFonts w:hint="eastAsia"/>
          <w:b/>
          <w:bCs/>
          <w:sz w:val="32"/>
          <w:szCs w:val="32"/>
        </w:rPr>
        <w:t>青浦区融媒体中心</w:t>
      </w:r>
    </w:p>
    <w:p w14:paraId="22FC41D5">
      <w:pPr>
        <w:pStyle w:val="201"/>
        <w:ind w:firstLine="0" w:firstLineChars="0"/>
        <w:jc w:val="center"/>
        <w:rPr>
          <w:b/>
          <w:bCs/>
          <w:kern w:val="44"/>
          <w:sz w:val="32"/>
          <w:szCs w:val="32"/>
        </w:rPr>
      </w:pPr>
      <w:r>
        <w:rPr>
          <w:rFonts w:hint="eastAsia"/>
          <w:b/>
          <w:bCs/>
          <w:sz w:val="32"/>
          <w:szCs w:val="32"/>
        </w:rPr>
        <w:t>202</w:t>
      </w:r>
      <w:r>
        <w:rPr>
          <w:rFonts w:hint="eastAsia"/>
          <w:b/>
          <w:bCs/>
          <w:sz w:val="32"/>
          <w:szCs w:val="32"/>
          <w:lang w:val="en-US" w:eastAsia="zh-CN"/>
        </w:rPr>
        <w:t>4</w:t>
      </w:r>
      <w:r>
        <w:rPr>
          <w:rFonts w:hint="eastAsia"/>
          <w:b/>
          <w:bCs/>
          <w:sz w:val="32"/>
          <w:szCs w:val="32"/>
        </w:rPr>
        <w:t>年</w:t>
      </w:r>
      <w:r>
        <w:rPr>
          <w:rFonts w:hint="eastAsia"/>
          <w:b/>
          <w:bCs/>
          <w:sz w:val="32"/>
          <w:szCs w:val="32"/>
          <w:lang w:val="en-US" w:eastAsia="zh-CN"/>
        </w:rPr>
        <w:t>7</w:t>
      </w:r>
      <w:r>
        <w:rPr>
          <w:rFonts w:hint="eastAsia"/>
          <w:b/>
          <w:bCs/>
          <w:sz w:val="32"/>
          <w:szCs w:val="32"/>
        </w:rPr>
        <w:t>月</w:t>
      </w:r>
    </w:p>
    <w:p w14:paraId="2FC09B2F">
      <w:pPr>
        <w:keepNext/>
        <w:keepLines/>
        <w:widowControl/>
        <w:spacing w:before="340" w:after="330" w:line="360" w:lineRule="auto"/>
        <w:jc w:val="center"/>
        <w:outlineLvl w:val="0"/>
        <w:rPr>
          <w:rFonts w:hint="eastAsia" w:ascii="宋体" w:hAnsi="宋体" w:eastAsia="宋体"/>
          <w:b/>
          <w:bCs/>
          <w:kern w:val="44"/>
          <w:sz w:val="32"/>
          <w:szCs w:val="32"/>
          <w:lang w:eastAsia="zh-CN"/>
        </w:rPr>
      </w:pPr>
      <w:bookmarkStart w:id="0" w:name="_Toc33270698"/>
      <w:bookmarkStart w:id="1" w:name="OLE_LINK47"/>
      <w:r>
        <w:rPr>
          <w:rFonts w:hint="eastAsia" w:ascii="宋体" w:hAnsi="宋体"/>
          <w:b/>
          <w:bCs/>
          <w:kern w:val="44"/>
          <w:sz w:val="32"/>
          <w:szCs w:val="32"/>
        </w:rPr>
        <w:t>第一节 项目背景</w:t>
      </w:r>
      <w:bookmarkEnd w:id="0"/>
    </w:p>
    <w:p w14:paraId="1F23C746">
      <w:pPr>
        <w:autoSpaceDE w:val="0"/>
        <w:autoSpaceDN w:val="0"/>
        <w:adjustRightInd w:val="0"/>
        <w:spacing w:line="360" w:lineRule="auto"/>
        <w:ind w:firstLine="420" w:firstLineChars="200"/>
        <w:jc w:val="left"/>
        <w:rPr>
          <w:rFonts w:hint="eastAsia" w:ascii="宋体" w:hAnsi="宋体" w:cs="华文细黑"/>
          <w:color w:val="000000"/>
          <w:kern w:val="0"/>
          <w:szCs w:val="21"/>
        </w:rPr>
      </w:pPr>
      <w:r>
        <w:rPr>
          <w:rFonts w:hint="eastAsia" w:ascii="宋体" w:hAnsi="宋体" w:cs="华文细黑"/>
          <w:color w:val="000000"/>
          <w:kern w:val="0"/>
          <w:szCs w:val="21"/>
        </w:rPr>
        <w:t>随着融媒体中心向着数字化、网络化、智能化方向发展，单纯依靠人力保证安全优质播出已不能适应当今时代广播电视迅速发展的要求，通过对全链路各路由信号的全面监测、综合分析，自动进行故障分析、预警、智能应急切换，缩短故障停播时间，降低人为因素导致的劣播、停播已成为播出发射工作中的迫切任务。为此，针对安全播出保障，我们提出了适应于数字化、网络化、智能化播出，而本身也是数字化、网络化、智能化的智慧安播监管系统。</w:t>
      </w:r>
    </w:p>
    <w:p w14:paraId="15722EC4">
      <w:pPr>
        <w:autoSpaceDE w:val="0"/>
        <w:autoSpaceDN w:val="0"/>
        <w:adjustRightInd w:val="0"/>
        <w:spacing w:line="360" w:lineRule="auto"/>
        <w:ind w:firstLine="420" w:firstLineChars="200"/>
        <w:jc w:val="left"/>
        <w:rPr>
          <w:rFonts w:ascii="宋体" w:hAnsi="宋体" w:cs="华文细黑"/>
          <w:color w:val="000000"/>
          <w:kern w:val="0"/>
          <w:szCs w:val="21"/>
        </w:rPr>
      </w:pPr>
      <w:r>
        <w:rPr>
          <w:rFonts w:hint="eastAsia" w:ascii="宋体" w:hAnsi="宋体" w:cs="华文细黑"/>
          <w:color w:val="000000"/>
          <w:kern w:val="0"/>
          <w:szCs w:val="21"/>
        </w:rPr>
        <w:t>青浦区融媒体中心的技术部门，承担本区广播、电视在节目生产、制作、播出、存储以及日常管理过程中所涉及的IT基础架构、信息系统、生产业务系统及信息安全等方面的安播技术运维工作,按照更新的管理细则需要进一步提升播出应急及运维的能力。</w:t>
      </w:r>
    </w:p>
    <w:p w14:paraId="0AC51569">
      <w:pPr>
        <w:keepNext/>
        <w:keepLines/>
        <w:widowControl/>
        <w:spacing w:before="340" w:after="330" w:line="360" w:lineRule="auto"/>
        <w:jc w:val="center"/>
        <w:outlineLvl w:val="0"/>
        <w:rPr>
          <w:rFonts w:hint="eastAsia" w:ascii="宋体" w:hAnsi="宋体" w:eastAsia="宋体"/>
          <w:b/>
          <w:bCs/>
          <w:kern w:val="44"/>
          <w:sz w:val="32"/>
          <w:szCs w:val="32"/>
          <w:lang w:eastAsia="zh-CN"/>
        </w:rPr>
      </w:pPr>
      <w:bookmarkStart w:id="2" w:name="_Toc33270699"/>
      <w:r>
        <w:rPr>
          <w:rFonts w:hint="eastAsia" w:ascii="宋体" w:hAnsi="宋体"/>
          <w:b/>
          <w:bCs/>
          <w:kern w:val="44"/>
          <w:sz w:val="32"/>
          <w:szCs w:val="32"/>
        </w:rPr>
        <w:t>第二节 项目概况</w:t>
      </w:r>
      <w:bookmarkEnd w:id="2"/>
    </w:p>
    <w:p w14:paraId="70B93929">
      <w:pPr>
        <w:autoSpaceDE w:val="0"/>
        <w:autoSpaceDN w:val="0"/>
        <w:adjustRightInd w:val="0"/>
        <w:spacing w:line="360" w:lineRule="auto"/>
        <w:ind w:firstLine="482" w:firstLineChars="200"/>
        <w:jc w:val="left"/>
        <w:rPr>
          <w:rFonts w:ascii="宋体" w:hAnsi="宋体" w:cs="华文细黑"/>
          <w:b/>
          <w:color w:val="000000"/>
          <w:kern w:val="0"/>
          <w:sz w:val="24"/>
        </w:rPr>
      </w:pPr>
      <w:bookmarkStart w:id="3" w:name="_Toc17731518"/>
      <w:r>
        <w:rPr>
          <w:rFonts w:hint="eastAsia" w:ascii="宋体" w:hAnsi="宋体" w:cs="华文细黑"/>
          <w:b/>
          <w:color w:val="000000"/>
          <w:kern w:val="0"/>
          <w:sz w:val="24"/>
        </w:rPr>
        <w:t>一、建设目标</w:t>
      </w:r>
      <w:bookmarkEnd w:id="3"/>
    </w:p>
    <w:p w14:paraId="0907C496">
      <w:pPr>
        <w:autoSpaceDE w:val="0"/>
        <w:autoSpaceDN w:val="0"/>
        <w:adjustRightInd w:val="0"/>
        <w:spacing w:line="360" w:lineRule="auto"/>
        <w:ind w:firstLine="420" w:firstLineChars="200"/>
        <w:jc w:val="left"/>
        <w:rPr>
          <w:rFonts w:hint="eastAsia"/>
        </w:rPr>
      </w:pPr>
      <w:r>
        <w:rPr>
          <w:rFonts w:hint="eastAsia" w:ascii="宋体" w:hAnsi="宋体" w:cs="华文细黑"/>
          <w:bCs/>
          <w:color w:val="000000"/>
          <w:kern w:val="0"/>
          <w:szCs w:val="21"/>
        </w:rPr>
        <w:t>本项目要求</w:t>
      </w:r>
      <w:r>
        <w:rPr>
          <w:rFonts w:hint="eastAsia" w:ascii="宋体" w:hAnsi="宋体" w:cs="华文细黑"/>
          <w:bCs/>
          <w:color w:val="000000"/>
          <w:kern w:val="0"/>
          <w:szCs w:val="21"/>
          <w:lang w:val="en-US" w:eastAsia="zh-CN"/>
        </w:rPr>
        <w:t>建设</w:t>
      </w:r>
      <w:r>
        <w:rPr>
          <w:rFonts w:hint="eastAsia" w:ascii="宋体" w:hAnsi="宋体" w:cs="华文细黑"/>
          <w:bCs/>
          <w:color w:val="000000"/>
          <w:kern w:val="0"/>
          <w:szCs w:val="21"/>
        </w:rPr>
        <w:t>完成智慧运维系统平台、智能安播应急切换平台。</w:t>
      </w:r>
    </w:p>
    <w:p w14:paraId="19DC222C">
      <w:pPr>
        <w:autoSpaceDE w:val="0"/>
        <w:autoSpaceDN w:val="0"/>
        <w:adjustRightInd w:val="0"/>
        <w:spacing w:line="360" w:lineRule="auto"/>
        <w:ind w:firstLine="422" w:firstLineChars="200"/>
        <w:jc w:val="left"/>
        <w:rPr>
          <w:rFonts w:hint="eastAsia" w:ascii="宋体" w:hAnsi="宋体" w:cs="华文细黑"/>
          <w:bCs/>
          <w:color w:val="000000"/>
          <w:kern w:val="0"/>
          <w:szCs w:val="21"/>
        </w:rPr>
      </w:pPr>
      <w:r>
        <w:rPr>
          <w:rFonts w:hint="eastAsia" w:ascii="宋体" w:hAnsi="宋体" w:cs="华文细黑"/>
          <w:b/>
          <w:bCs w:val="0"/>
          <w:color w:val="000000"/>
          <w:kern w:val="0"/>
          <w:szCs w:val="21"/>
          <w:lang w:val="en-US" w:eastAsia="zh-CN"/>
        </w:rPr>
        <w:t>1.</w:t>
      </w:r>
      <w:r>
        <w:rPr>
          <w:rFonts w:hint="eastAsia" w:ascii="宋体" w:hAnsi="宋体" w:cs="华文细黑"/>
          <w:b/>
          <w:bCs w:val="0"/>
          <w:color w:val="000000"/>
          <w:kern w:val="0"/>
          <w:szCs w:val="21"/>
        </w:rPr>
        <w:t>广播电视播出系统智慧运维系统平台</w:t>
      </w:r>
    </w:p>
    <w:p w14:paraId="7BDB316A">
      <w:pPr>
        <w:autoSpaceDE w:val="0"/>
        <w:autoSpaceDN w:val="0"/>
        <w:adjustRightInd w:val="0"/>
        <w:spacing w:line="360" w:lineRule="auto"/>
        <w:ind w:firstLine="420" w:firstLineChars="200"/>
        <w:jc w:val="left"/>
        <w:rPr>
          <w:rFonts w:hint="eastAsia" w:ascii="宋体" w:hAnsi="宋体" w:cs="华文细黑"/>
          <w:bCs/>
          <w:color w:val="000000"/>
          <w:kern w:val="0"/>
          <w:szCs w:val="21"/>
        </w:rPr>
      </w:pPr>
      <w:r>
        <w:rPr>
          <w:rFonts w:hint="eastAsia" w:ascii="宋体" w:hAnsi="宋体" w:cs="华文细黑"/>
          <w:bCs/>
          <w:color w:val="000000"/>
          <w:kern w:val="0"/>
          <w:szCs w:val="21"/>
        </w:rPr>
        <w:t>1）构建电视播出、广播播出运维数据中心，制定数据标准化规范，实现广播播出系统、电视播出系统广播电视播出关键设备网管数据与业务标准化采集、汇聚、管理，方便后续便捷设备扩展、智能数据分析能力升级、充分发挥数据挖掘分析优势。</w:t>
      </w:r>
    </w:p>
    <w:p w14:paraId="4CFA60D7">
      <w:pPr>
        <w:autoSpaceDE w:val="0"/>
        <w:autoSpaceDN w:val="0"/>
        <w:adjustRightInd w:val="0"/>
        <w:spacing w:line="360" w:lineRule="auto"/>
        <w:ind w:firstLine="420" w:firstLineChars="200"/>
        <w:jc w:val="left"/>
        <w:rPr>
          <w:rFonts w:hint="eastAsia" w:ascii="宋体" w:hAnsi="宋体" w:cs="华文细黑"/>
          <w:bCs/>
          <w:color w:val="000000"/>
          <w:kern w:val="0"/>
          <w:szCs w:val="21"/>
        </w:rPr>
      </w:pPr>
      <w:r>
        <w:rPr>
          <w:rFonts w:hint="eastAsia" w:ascii="宋体" w:hAnsi="宋体" w:cs="华文细黑"/>
          <w:bCs/>
          <w:color w:val="000000"/>
          <w:kern w:val="0"/>
          <w:szCs w:val="21"/>
        </w:rPr>
        <w:t>2）</w:t>
      </w:r>
      <w:r>
        <w:rPr>
          <w:rFonts w:hint="eastAsia" w:ascii="宋体" w:hAnsi="宋体" w:cs="华文细黑"/>
          <w:bCs/>
          <w:color w:val="000000"/>
          <w:kern w:val="0"/>
          <w:szCs w:val="21"/>
          <w:lang w:val="en-US" w:eastAsia="zh-CN"/>
        </w:rPr>
        <w:t>青浦</w:t>
      </w:r>
      <w:r>
        <w:rPr>
          <w:rFonts w:hint="eastAsia" w:ascii="宋体" w:hAnsi="宋体" w:cs="华文细黑"/>
          <w:bCs/>
          <w:color w:val="000000"/>
          <w:kern w:val="0"/>
          <w:szCs w:val="21"/>
        </w:rPr>
        <w:t>区融媒体电视播出、广播播出设备监管采集，通过数据</w:t>
      </w:r>
      <w:r>
        <w:rPr>
          <w:rFonts w:hint="eastAsia" w:ascii="宋体" w:hAnsi="宋体" w:cs="华文细黑"/>
          <w:bCs/>
          <w:color w:val="000000"/>
          <w:kern w:val="0"/>
          <w:szCs w:val="21"/>
          <w:lang w:val="en-US" w:eastAsia="zh-CN"/>
        </w:rPr>
        <w:t>采集</w:t>
      </w:r>
      <w:r>
        <w:rPr>
          <w:rFonts w:hint="eastAsia" w:ascii="宋体" w:hAnsi="宋体" w:cs="华文细黑"/>
          <w:bCs/>
          <w:color w:val="000000"/>
          <w:kern w:val="0"/>
          <w:szCs w:val="21"/>
        </w:rPr>
        <w:t>处理</w:t>
      </w:r>
      <w:r>
        <w:rPr>
          <w:rFonts w:hint="eastAsia" w:ascii="宋体" w:hAnsi="宋体" w:cs="华文细黑"/>
          <w:bCs/>
          <w:color w:val="000000"/>
          <w:kern w:val="0"/>
          <w:szCs w:val="21"/>
          <w:lang w:val="en-US" w:eastAsia="zh-CN"/>
        </w:rPr>
        <w:t>等</w:t>
      </w:r>
      <w:r>
        <w:rPr>
          <w:rFonts w:hint="eastAsia" w:ascii="宋体" w:hAnsi="宋体" w:cs="华文细黑"/>
          <w:bCs/>
          <w:color w:val="000000"/>
          <w:kern w:val="0"/>
          <w:szCs w:val="21"/>
        </w:rPr>
        <w:t>方式完成新设备接入，方便系统便捷扩容。</w:t>
      </w:r>
    </w:p>
    <w:p w14:paraId="7874A003">
      <w:pPr>
        <w:autoSpaceDE w:val="0"/>
        <w:autoSpaceDN w:val="0"/>
        <w:adjustRightInd w:val="0"/>
        <w:spacing w:line="360" w:lineRule="auto"/>
        <w:ind w:firstLine="420" w:firstLineChars="200"/>
        <w:jc w:val="left"/>
        <w:rPr>
          <w:rFonts w:hint="eastAsia" w:ascii="宋体" w:hAnsi="宋体" w:cs="华文细黑"/>
          <w:bCs/>
          <w:color w:val="000000"/>
          <w:kern w:val="0"/>
          <w:szCs w:val="21"/>
        </w:rPr>
      </w:pPr>
      <w:r>
        <w:rPr>
          <w:rFonts w:hint="eastAsia" w:ascii="宋体" w:hAnsi="宋体" w:cs="华文细黑"/>
          <w:bCs/>
          <w:color w:val="000000"/>
          <w:kern w:val="0"/>
          <w:szCs w:val="21"/>
        </w:rPr>
        <w:t>3）采用web前端架构，更好交互管理体验与数据展示效果；大屏可视化展示：告警数据可视化展示、链路拓扑展示；</w:t>
      </w:r>
    </w:p>
    <w:p w14:paraId="52E7C4CA">
      <w:pPr>
        <w:autoSpaceDE w:val="0"/>
        <w:autoSpaceDN w:val="0"/>
        <w:adjustRightInd w:val="0"/>
        <w:spacing w:line="360" w:lineRule="auto"/>
        <w:ind w:firstLine="422" w:firstLineChars="200"/>
        <w:jc w:val="left"/>
        <w:rPr>
          <w:rFonts w:hint="eastAsia" w:ascii="宋体" w:hAnsi="宋体" w:cs="华文细黑"/>
          <w:b/>
          <w:bCs w:val="0"/>
          <w:color w:val="000000"/>
          <w:kern w:val="0"/>
          <w:szCs w:val="21"/>
        </w:rPr>
      </w:pPr>
      <w:r>
        <w:rPr>
          <w:rFonts w:hint="eastAsia" w:ascii="宋体" w:hAnsi="宋体" w:cs="华文细黑"/>
          <w:b/>
          <w:bCs w:val="0"/>
          <w:color w:val="000000"/>
          <w:kern w:val="0"/>
          <w:szCs w:val="21"/>
          <w:lang w:val="en-US" w:eastAsia="zh-CN"/>
        </w:rPr>
        <w:t>2.</w:t>
      </w:r>
      <w:r>
        <w:rPr>
          <w:rFonts w:hint="eastAsia" w:ascii="宋体" w:hAnsi="宋体" w:cs="华文细黑"/>
          <w:b/>
          <w:bCs w:val="0"/>
          <w:color w:val="000000"/>
          <w:kern w:val="0"/>
          <w:szCs w:val="21"/>
        </w:rPr>
        <w:t>广播电视播出系统智能应急切换平台</w:t>
      </w:r>
    </w:p>
    <w:p w14:paraId="54B06512">
      <w:pPr>
        <w:autoSpaceDE w:val="0"/>
        <w:autoSpaceDN w:val="0"/>
        <w:adjustRightInd w:val="0"/>
        <w:spacing w:line="360" w:lineRule="auto"/>
        <w:ind w:firstLine="420" w:firstLineChars="200"/>
        <w:jc w:val="left"/>
        <w:rPr>
          <w:rFonts w:hint="eastAsia" w:ascii="宋体" w:hAnsi="宋体" w:cs="华文细黑"/>
          <w:bCs/>
          <w:color w:val="000000"/>
          <w:kern w:val="0"/>
          <w:szCs w:val="21"/>
        </w:rPr>
      </w:pPr>
      <w:r>
        <w:rPr>
          <w:rFonts w:hint="eastAsia" w:ascii="宋体" w:hAnsi="宋体" w:cs="华文细黑"/>
          <w:bCs/>
          <w:color w:val="000000"/>
          <w:kern w:val="0"/>
          <w:szCs w:val="21"/>
        </w:rPr>
        <w:t>为实现“降低安全播出差错率和事故等级，提高安全播出运行与管理水平”的目标，实现三方面内容。</w:t>
      </w:r>
    </w:p>
    <w:p w14:paraId="033349F1">
      <w:pPr>
        <w:autoSpaceDE w:val="0"/>
        <w:autoSpaceDN w:val="0"/>
        <w:adjustRightInd w:val="0"/>
        <w:spacing w:line="360" w:lineRule="auto"/>
        <w:ind w:firstLine="420" w:firstLineChars="200"/>
        <w:jc w:val="left"/>
        <w:rPr>
          <w:rFonts w:hint="eastAsia" w:ascii="宋体" w:hAnsi="宋体" w:cs="华文细黑"/>
          <w:bCs/>
          <w:color w:val="000000"/>
          <w:kern w:val="0"/>
          <w:szCs w:val="21"/>
        </w:rPr>
      </w:pPr>
      <w:r>
        <w:rPr>
          <w:rFonts w:hint="eastAsia" w:ascii="宋体" w:hAnsi="宋体" w:cs="华文细黑"/>
          <w:bCs/>
          <w:color w:val="000000"/>
          <w:kern w:val="0"/>
          <w:szCs w:val="21"/>
        </w:rPr>
        <w:t>1）智能应急信源选择</w:t>
      </w:r>
    </w:p>
    <w:p w14:paraId="0FE3693A">
      <w:pPr>
        <w:autoSpaceDE w:val="0"/>
        <w:autoSpaceDN w:val="0"/>
        <w:adjustRightInd w:val="0"/>
        <w:spacing w:line="360" w:lineRule="auto"/>
        <w:ind w:firstLine="420" w:firstLineChars="200"/>
        <w:jc w:val="left"/>
        <w:rPr>
          <w:rFonts w:hint="eastAsia" w:ascii="宋体" w:hAnsi="宋体" w:cs="华文细黑"/>
          <w:bCs/>
          <w:color w:val="000000"/>
          <w:kern w:val="0"/>
          <w:szCs w:val="21"/>
        </w:rPr>
      </w:pPr>
      <w:r>
        <w:rPr>
          <w:rFonts w:hint="eastAsia" w:ascii="宋体" w:hAnsi="宋体" w:cs="华文细黑"/>
          <w:bCs/>
          <w:color w:val="000000"/>
          <w:kern w:val="0"/>
          <w:szCs w:val="21"/>
        </w:rPr>
        <w:t>通过合理的采集点设置，通过比对监测及逻辑算法判断，实现节目异态（断流、黑场、静帧、无声、无声静帧在1秒内实现自动切换）</w:t>
      </w:r>
    </w:p>
    <w:p w14:paraId="79EFB8C6">
      <w:pPr>
        <w:autoSpaceDE w:val="0"/>
        <w:autoSpaceDN w:val="0"/>
        <w:adjustRightInd w:val="0"/>
        <w:spacing w:line="360" w:lineRule="auto"/>
        <w:ind w:firstLine="420" w:firstLineChars="200"/>
        <w:jc w:val="left"/>
        <w:rPr>
          <w:rFonts w:hint="eastAsia" w:ascii="宋体" w:hAnsi="宋体" w:cs="华文细黑"/>
          <w:bCs/>
          <w:color w:val="000000"/>
          <w:kern w:val="0"/>
          <w:szCs w:val="21"/>
        </w:rPr>
      </w:pPr>
      <w:r>
        <w:rPr>
          <w:rFonts w:hint="eastAsia" w:ascii="宋体" w:hAnsi="宋体" w:cs="华文细黑"/>
          <w:bCs/>
          <w:color w:val="000000"/>
          <w:kern w:val="0"/>
          <w:szCs w:val="21"/>
        </w:rPr>
        <w:t>2）漏报提示和误报过滤技术</w:t>
      </w:r>
    </w:p>
    <w:p w14:paraId="2EC4381A">
      <w:pPr>
        <w:autoSpaceDE w:val="0"/>
        <w:autoSpaceDN w:val="0"/>
        <w:adjustRightInd w:val="0"/>
        <w:spacing w:line="360" w:lineRule="auto"/>
        <w:ind w:firstLine="420" w:firstLineChars="200"/>
        <w:jc w:val="left"/>
        <w:rPr>
          <w:rFonts w:hint="eastAsia" w:ascii="宋体" w:hAnsi="宋体" w:cs="华文细黑"/>
          <w:bCs/>
          <w:color w:val="000000"/>
          <w:kern w:val="0"/>
          <w:szCs w:val="21"/>
        </w:rPr>
      </w:pPr>
      <w:r>
        <w:rPr>
          <w:rFonts w:hint="eastAsia" w:ascii="宋体" w:hAnsi="宋体" w:cs="华文细黑"/>
          <w:bCs/>
          <w:color w:val="000000"/>
          <w:kern w:val="0"/>
          <w:szCs w:val="21"/>
        </w:rPr>
        <w:t>通过分布在前后级和主备路的各个采集点的数据综合分析，除去其中的</w:t>
      </w:r>
      <w:r>
        <w:rPr>
          <w:rFonts w:hint="eastAsia" w:ascii="宋体" w:hAnsi="宋体" w:cs="华文细黑"/>
          <w:bCs/>
          <w:color w:val="000000"/>
          <w:kern w:val="0"/>
          <w:szCs w:val="21"/>
          <w:lang w:val="en-US" w:eastAsia="zh-CN"/>
        </w:rPr>
        <w:t>虚警</w:t>
      </w:r>
      <w:r>
        <w:rPr>
          <w:rFonts w:hint="eastAsia" w:ascii="宋体" w:hAnsi="宋体" w:cs="华文细黑"/>
          <w:bCs/>
          <w:color w:val="000000"/>
          <w:kern w:val="0"/>
          <w:szCs w:val="21"/>
        </w:rPr>
        <w:t>误报信息，并且实现漏报提示，提高的报警准确性。</w:t>
      </w:r>
    </w:p>
    <w:p w14:paraId="14C75130">
      <w:pPr>
        <w:autoSpaceDE w:val="0"/>
        <w:autoSpaceDN w:val="0"/>
        <w:adjustRightInd w:val="0"/>
        <w:spacing w:line="360" w:lineRule="auto"/>
        <w:ind w:firstLine="420" w:firstLineChars="200"/>
        <w:jc w:val="left"/>
        <w:rPr>
          <w:rFonts w:hint="eastAsia" w:ascii="宋体" w:hAnsi="宋体" w:cs="华文细黑"/>
          <w:bCs/>
          <w:color w:val="000000"/>
          <w:kern w:val="0"/>
          <w:szCs w:val="21"/>
        </w:rPr>
      </w:pPr>
      <w:r>
        <w:rPr>
          <w:rFonts w:hint="eastAsia" w:ascii="宋体" w:hAnsi="宋体" w:cs="华文细黑"/>
          <w:bCs/>
          <w:color w:val="000000"/>
          <w:kern w:val="0"/>
          <w:szCs w:val="21"/>
        </w:rPr>
        <w:t>3）所见即所得的人机交互操作</w:t>
      </w:r>
    </w:p>
    <w:p w14:paraId="78EB6B59">
      <w:pPr>
        <w:autoSpaceDE w:val="0"/>
        <w:autoSpaceDN w:val="0"/>
        <w:adjustRightInd w:val="0"/>
        <w:spacing w:line="360" w:lineRule="auto"/>
        <w:ind w:firstLine="420" w:firstLineChars="200"/>
        <w:jc w:val="left"/>
        <w:rPr>
          <w:rFonts w:ascii="宋体" w:hAnsi="宋体" w:cs="华文细黑"/>
          <w:bCs/>
          <w:color w:val="000000"/>
          <w:kern w:val="0"/>
          <w:szCs w:val="21"/>
        </w:rPr>
      </w:pPr>
      <w:r>
        <w:rPr>
          <w:rFonts w:hint="eastAsia" w:ascii="宋体" w:hAnsi="宋体" w:cs="华文细黑"/>
          <w:bCs/>
          <w:color w:val="000000"/>
          <w:kern w:val="0"/>
          <w:szCs w:val="21"/>
        </w:rPr>
        <w:t>在同一个操作面板上实现节目监看和应急操作的有机结合，同时支持手动切换、一键切换和全自动切换功能。</w:t>
      </w:r>
    </w:p>
    <w:p w14:paraId="6A6DCAE0">
      <w:pPr>
        <w:autoSpaceDE w:val="0"/>
        <w:autoSpaceDN w:val="0"/>
        <w:adjustRightInd w:val="0"/>
        <w:spacing w:line="360" w:lineRule="auto"/>
        <w:ind w:firstLine="420" w:firstLineChars="200"/>
        <w:jc w:val="left"/>
        <w:rPr>
          <w:rFonts w:hint="eastAsia" w:ascii="宋体" w:hAnsi="宋体" w:cs="华文细黑"/>
          <w:bCs/>
          <w:color w:val="000000"/>
          <w:kern w:val="0"/>
          <w:szCs w:val="21"/>
        </w:rPr>
      </w:pPr>
    </w:p>
    <w:p w14:paraId="18BD805F">
      <w:pPr>
        <w:numPr>
          <w:ilvl w:val="0"/>
          <w:numId w:val="12"/>
        </w:numPr>
        <w:autoSpaceDE w:val="0"/>
        <w:autoSpaceDN w:val="0"/>
        <w:adjustRightInd w:val="0"/>
        <w:spacing w:line="360" w:lineRule="auto"/>
        <w:ind w:firstLine="482" w:firstLineChars="200"/>
        <w:jc w:val="left"/>
        <w:rPr>
          <w:rFonts w:hint="eastAsia" w:ascii="宋体" w:hAnsi="宋体" w:cs="华文细黑"/>
          <w:b/>
          <w:color w:val="000000"/>
          <w:kern w:val="0"/>
          <w:sz w:val="24"/>
        </w:rPr>
      </w:pPr>
      <w:bookmarkStart w:id="4" w:name="_Toc17731519"/>
      <w:r>
        <w:rPr>
          <w:rFonts w:hint="eastAsia" w:ascii="宋体" w:hAnsi="宋体" w:cs="华文细黑"/>
          <w:b/>
          <w:color w:val="000000"/>
          <w:kern w:val="0"/>
          <w:sz w:val="24"/>
        </w:rPr>
        <w:t>主要建设内容</w:t>
      </w:r>
      <w:bookmarkEnd w:id="4"/>
    </w:p>
    <w:p w14:paraId="20840EA6">
      <w:pPr>
        <w:pStyle w:val="29"/>
        <w:numPr>
          <w:ilvl w:val="0"/>
          <w:numId w:val="0"/>
        </w:numPr>
        <w:ind w:leftChars="-200"/>
        <w:rPr>
          <w:rFonts w:hint="default"/>
          <w:lang w:val="en-US" w:eastAsia="zh-CN"/>
        </w:rPr>
      </w:pPr>
    </w:p>
    <w:p w14:paraId="0679EBD9">
      <w:pPr>
        <w:pStyle w:val="13"/>
        <w:spacing w:line="360" w:lineRule="auto"/>
        <w:ind w:firstLine="420" w:firstLineChars="200"/>
        <w:rPr>
          <w:rFonts w:ascii="宋体" w:hAnsi="宋体" w:cs="华文细黑"/>
          <w:bCs/>
          <w:color w:val="000000"/>
          <w:sz w:val="21"/>
          <w:szCs w:val="21"/>
          <w:highlight w:val="none"/>
        </w:rPr>
      </w:pPr>
      <w:r>
        <w:rPr>
          <w:rFonts w:hint="eastAsia" w:ascii="宋体" w:hAnsi="宋体" w:cs="华文细黑"/>
          <w:bCs/>
          <w:color w:val="000000"/>
          <w:sz w:val="21"/>
          <w:szCs w:val="21"/>
          <w:highlight w:val="none"/>
          <w:lang w:val="en-US" w:eastAsia="zh-CN"/>
        </w:rPr>
        <w:t>本</w:t>
      </w:r>
      <w:r>
        <w:rPr>
          <w:rFonts w:hint="eastAsia" w:ascii="宋体" w:hAnsi="宋体" w:cs="华文细黑"/>
          <w:bCs/>
          <w:color w:val="000000"/>
          <w:sz w:val="21"/>
          <w:szCs w:val="21"/>
          <w:highlight w:val="none"/>
        </w:rPr>
        <w:t>项目建设内容：</w:t>
      </w:r>
    </w:p>
    <w:p w14:paraId="69EAFB2F">
      <w:pPr>
        <w:pStyle w:val="13"/>
        <w:spacing w:line="360" w:lineRule="auto"/>
        <w:ind w:firstLine="422" w:firstLineChars="200"/>
        <w:rPr>
          <w:rFonts w:ascii="宋体" w:hAnsi="宋体" w:cs="华文细黑"/>
          <w:b/>
          <w:bCs w:val="0"/>
          <w:color w:val="000000"/>
          <w:sz w:val="21"/>
          <w:szCs w:val="21"/>
          <w:highlight w:val="none"/>
        </w:rPr>
      </w:pPr>
      <w:r>
        <w:rPr>
          <w:rFonts w:hint="eastAsia" w:ascii="宋体" w:hAnsi="宋体" w:cs="华文细黑"/>
          <w:b/>
          <w:bCs w:val="0"/>
          <w:color w:val="000000"/>
          <w:sz w:val="21"/>
          <w:szCs w:val="21"/>
          <w:highlight w:val="none"/>
        </w:rPr>
        <w:t>1</w:t>
      </w:r>
      <w:r>
        <w:rPr>
          <w:rFonts w:hint="eastAsia" w:ascii="宋体" w:hAnsi="宋体" w:cs="华文细黑"/>
          <w:b/>
          <w:bCs w:val="0"/>
          <w:color w:val="000000"/>
          <w:sz w:val="21"/>
          <w:szCs w:val="21"/>
          <w:highlight w:val="none"/>
          <w:lang w:eastAsia="zh-CN"/>
        </w:rPr>
        <w:t>.</w:t>
      </w:r>
      <w:r>
        <w:rPr>
          <w:rFonts w:hint="eastAsia" w:ascii="宋体" w:hAnsi="宋体" w:cs="华文细黑"/>
          <w:b/>
          <w:bCs w:val="0"/>
          <w:color w:val="000000"/>
          <w:sz w:val="21"/>
          <w:szCs w:val="21"/>
          <w:highlight w:val="none"/>
        </w:rPr>
        <w:t>智慧运维系统平台</w:t>
      </w:r>
    </w:p>
    <w:p w14:paraId="4AACCB97">
      <w:pPr>
        <w:pStyle w:val="13"/>
        <w:spacing w:line="360" w:lineRule="auto"/>
        <w:ind w:firstLine="420" w:firstLineChars="200"/>
        <w:rPr>
          <w:rFonts w:hint="default" w:ascii="宋体" w:hAnsi="宋体" w:eastAsia="宋体" w:cs="华文细黑"/>
          <w:bCs/>
          <w:color w:val="000000"/>
          <w:sz w:val="21"/>
          <w:szCs w:val="21"/>
          <w:highlight w:val="none"/>
          <w:lang w:val="en-US" w:eastAsia="zh-CN"/>
        </w:rPr>
      </w:pPr>
      <w:r>
        <w:rPr>
          <w:rFonts w:hint="eastAsia" w:ascii="宋体" w:hAnsi="宋体" w:cs="华文细黑"/>
          <w:bCs/>
          <w:color w:val="000000"/>
          <w:sz w:val="21"/>
          <w:szCs w:val="21"/>
          <w:highlight w:val="none"/>
        </w:rPr>
        <w:t>（1）</w:t>
      </w:r>
      <w:r>
        <w:rPr>
          <w:rFonts w:hint="eastAsia" w:ascii="宋体" w:hAnsi="宋体" w:cs="华文细黑"/>
          <w:bCs/>
          <w:color w:val="000000"/>
          <w:sz w:val="21"/>
          <w:szCs w:val="21"/>
          <w:highlight w:val="none"/>
          <w:lang w:val="en-US" w:eastAsia="zh-CN"/>
        </w:rPr>
        <w:t>数据采集</w:t>
      </w:r>
    </w:p>
    <w:p w14:paraId="37D86403">
      <w:pPr>
        <w:pStyle w:val="13"/>
        <w:spacing w:line="360" w:lineRule="auto"/>
        <w:ind w:firstLine="420" w:firstLineChars="200"/>
        <w:rPr>
          <w:rFonts w:hint="default" w:ascii="宋体" w:hAnsi="宋体" w:eastAsia="宋体" w:cs="华文细黑"/>
          <w:bCs/>
          <w:color w:val="000000"/>
          <w:sz w:val="21"/>
          <w:szCs w:val="21"/>
          <w:highlight w:val="none"/>
          <w:lang w:val="en-US" w:eastAsia="zh-CN"/>
        </w:rPr>
      </w:pPr>
      <w:r>
        <w:rPr>
          <w:rFonts w:hint="eastAsia" w:ascii="宋体" w:hAnsi="宋体" w:cs="华文细黑"/>
          <w:bCs/>
          <w:color w:val="000000"/>
          <w:sz w:val="21"/>
          <w:szCs w:val="21"/>
          <w:highlight w:val="none"/>
        </w:rPr>
        <w:t>（2）</w:t>
      </w:r>
      <w:r>
        <w:rPr>
          <w:rFonts w:hint="eastAsia" w:ascii="宋体" w:hAnsi="宋体" w:cs="华文细黑"/>
          <w:bCs/>
          <w:color w:val="000000"/>
          <w:sz w:val="21"/>
          <w:szCs w:val="21"/>
          <w:highlight w:val="none"/>
          <w:lang w:val="en-US" w:eastAsia="zh-CN"/>
        </w:rPr>
        <w:t>运维分析</w:t>
      </w:r>
    </w:p>
    <w:p w14:paraId="144C3488">
      <w:pPr>
        <w:pStyle w:val="13"/>
        <w:spacing w:line="360" w:lineRule="auto"/>
        <w:ind w:firstLine="420" w:firstLineChars="200"/>
        <w:rPr>
          <w:rFonts w:hint="default" w:ascii="宋体" w:hAnsi="宋体" w:eastAsia="宋体" w:cs="华文细黑"/>
          <w:bCs/>
          <w:color w:val="000000"/>
          <w:sz w:val="21"/>
          <w:szCs w:val="21"/>
          <w:highlight w:val="none"/>
          <w:lang w:val="en-US" w:eastAsia="zh-CN"/>
        </w:rPr>
      </w:pPr>
      <w:r>
        <w:rPr>
          <w:rFonts w:hint="eastAsia" w:ascii="宋体" w:hAnsi="宋体" w:cs="华文细黑"/>
          <w:bCs/>
          <w:color w:val="000000"/>
          <w:sz w:val="21"/>
          <w:szCs w:val="21"/>
          <w:highlight w:val="none"/>
        </w:rPr>
        <w:t>（</w:t>
      </w:r>
      <w:r>
        <w:rPr>
          <w:rFonts w:hint="eastAsia" w:ascii="宋体" w:hAnsi="宋体" w:cs="华文细黑"/>
          <w:bCs/>
          <w:color w:val="000000"/>
          <w:sz w:val="21"/>
          <w:szCs w:val="21"/>
          <w:highlight w:val="none"/>
          <w:lang w:val="en-US" w:eastAsia="zh-CN"/>
        </w:rPr>
        <w:t>3</w:t>
      </w:r>
      <w:r>
        <w:rPr>
          <w:rFonts w:hint="eastAsia" w:ascii="宋体" w:hAnsi="宋体" w:cs="华文细黑"/>
          <w:bCs/>
          <w:color w:val="000000"/>
          <w:sz w:val="21"/>
          <w:szCs w:val="21"/>
          <w:highlight w:val="none"/>
        </w:rPr>
        <w:t>）</w:t>
      </w:r>
      <w:r>
        <w:rPr>
          <w:rFonts w:hint="eastAsia" w:ascii="宋体" w:hAnsi="宋体" w:cs="华文细黑"/>
          <w:bCs/>
          <w:color w:val="000000"/>
          <w:sz w:val="21"/>
          <w:szCs w:val="21"/>
          <w:highlight w:val="none"/>
          <w:lang w:val="en-US" w:eastAsia="zh-CN"/>
        </w:rPr>
        <w:t>可视化</w:t>
      </w:r>
    </w:p>
    <w:p w14:paraId="0BD9E566">
      <w:pPr>
        <w:pStyle w:val="13"/>
        <w:spacing w:line="360" w:lineRule="auto"/>
        <w:ind w:firstLine="422" w:firstLineChars="200"/>
        <w:rPr>
          <w:rFonts w:hint="default" w:ascii="宋体" w:hAnsi="宋体" w:eastAsia="宋体" w:cs="华文细黑"/>
          <w:bCs/>
          <w:color w:val="000000"/>
          <w:sz w:val="21"/>
          <w:szCs w:val="21"/>
          <w:highlight w:val="none"/>
          <w:lang w:val="en-US" w:eastAsia="zh-CN"/>
        </w:rPr>
      </w:pPr>
      <w:r>
        <w:rPr>
          <w:rFonts w:hint="eastAsia" w:ascii="宋体" w:hAnsi="宋体" w:cs="华文细黑"/>
          <w:b/>
          <w:bCs w:val="0"/>
          <w:color w:val="000000"/>
          <w:sz w:val="21"/>
          <w:szCs w:val="21"/>
          <w:highlight w:val="none"/>
        </w:rPr>
        <w:t>2</w:t>
      </w:r>
      <w:r>
        <w:rPr>
          <w:rFonts w:hint="eastAsia" w:ascii="宋体" w:hAnsi="宋体" w:cs="华文细黑"/>
          <w:b/>
          <w:bCs w:val="0"/>
          <w:color w:val="000000"/>
          <w:sz w:val="21"/>
          <w:szCs w:val="21"/>
          <w:highlight w:val="none"/>
          <w:lang w:eastAsia="zh-CN"/>
        </w:rPr>
        <w:t>.</w:t>
      </w:r>
      <w:r>
        <w:rPr>
          <w:rFonts w:hint="eastAsia" w:ascii="宋体" w:hAnsi="宋体" w:cs="华文细黑"/>
          <w:b/>
          <w:bCs w:val="0"/>
          <w:color w:val="000000"/>
          <w:sz w:val="21"/>
          <w:szCs w:val="21"/>
          <w:highlight w:val="none"/>
          <w:lang w:val="en-US" w:eastAsia="zh-CN"/>
        </w:rPr>
        <w:t>智能安播应急切换平台</w:t>
      </w:r>
    </w:p>
    <w:p w14:paraId="25DB5C6C">
      <w:pPr>
        <w:pStyle w:val="13"/>
        <w:spacing w:line="360" w:lineRule="auto"/>
        <w:ind w:firstLine="420" w:firstLineChars="200"/>
        <w:rPr>
          <w:rFonts w:ascii="宋体" w:hAnsi="宋体" w:cs="华文细黑"/>
          <w:bCs/>
          <w:color w:val="000000"/>
          <w:sz w:val="21"/>
          <w:szCs w:val="21"/>
          <w:highlight w:val="none"/>
        </w:rPr>
      </w:pPr>
      <w:r>
        <w:rPr>
          <w:rFonts w:hint="eastAsia" w:ascii="宋体" w:hAnsi="宋体" w:cs="华文细黑"/>
          <w:bCs/>
          <w:color w:val="000000"/>
          <w:sz w:val="21"/>
          <w:szCs w:val="21"/>
          <w:highlight w:val="none"/>
        </w:rPr>
        <w:t>（1）多源节目相关性分析</w:t>
      </w:r>
    </w:p>
    <w:p w14:paraId="397AE880">
      <w:pPr>
        <w:pStyle w:val="13"/>
        <w:spacing w:line="360" w:lineRule="auto"/>
        <w:ind w:firstLine="420" w:firstLineChars="200"/>
        <w:rPr>
          <w:rFonts w:ascii="宋体" w:hAnsi="宋体" w:cs="华文细黑"/>
          <w:bCs/>
          <w:color w:val="000000"/>
          <w:sz w:val="21"/>
          <w:szCs w:val="21"/>
          <w:highlight w:val="none"/>
        </w:rPr>
      </w:pPr>
      <w:r>
        <w:rPr>
          <w:rFonts w:hint="eastAsia" w:ascii="宋体" w:hAnsi="宋体" w:cs="华文细黑"/>
          <w:bCs/>
          <w:color w:val="000000"/>
          <w:sz w:val="21"/>
          <w:szCs w:val="21"/>
          <w:highlight w:val="none"/>
        </w:rPr>
        <w:t>（2）智能逻辑分析</w:t>
      </w:r>
    </w:p>
    <w:p w14:paraId="4E252CA4">
      <w:pPr>
        <w:pStyle w:val="13"/>
        <w:spacing w:line="360" w:lineRule="auto"/>
        <w:ind w:firstLine="420" w:firstLineChars="200"/>
        <w:rPr>
          <w:rFonts w:ascii="宋体" w:hAnsi="宋体" w:cs="华文细黑"/>
          <w:bCs/>
          <w:color w:val="000000"/>
          <w:sz w:val="21"/>
          <w:szCs w:val="21"/>
          <w:highlight w:val="none"/>
        </w:rPr>
      </w:pPr>
      <w:r>
        <w:rPr>
          <w:rFonts w:hint="eastAsia" w:ascii="宋体" w:hAnsi="宋体" w:cs="华文细黑"/>
          <w:bCs/>
          <w:color w:val="000000"/>
          <w:sz w:val="21"/>
          <w:szCs w:val="21"/>
          <w:highlight w:val="none"/>
        </w:rPr>
        <w:t>（3）触控应急切换</w:t>
      </w:r>
    </w:p>
    <w:p w14:paraId="79E7A4C1">
      <w:pPr>
        <w:pStyle w:val="13"/>
        <w:spacing w:line="360" w:lineRule="auto"/>
        <w:ind w:firstLine="420" w:firstLineChars="200"/>
        <w:rPr>
          <w:rFonts w:ascii="宋体" w:hAnsi="宋体" w:cs="华文细黑"/>
          <w:bCs/>
          <w:color w:val="000000"/>
          <w:sz w:val="21"/>
          <w:szCs w:val="21"/>
          <w:highlight w:val="none"/>
        </w:rPr>
      </w:pPr>
      <w:r>
        <w:rPr>
          <w:rFonts w:hint="eastAsia" w:ascii="宋体" w:hAnsi="宋体" w:cs="华文细黑"/>
          <w:bCs/>
          <w:color w:val="000000"/>
          <w:sz w:val="21"/>
          <w:szCs w:val="21"/>
          <w:highlight w:val="none"/>
        </w:rPr>
        <w:t>（4）多画面监看预警</w:t>
      </w:r>
    </w:p>
    <w:p w14:paraId="1A9B3606">
      <w:pPr>
        <w:pStyle w:val="13"/>
        <w:spacing w:line="360" w:lineRule="auto"/>
        <w:ind w:firstLine="420" w:firstLineChars="200"/>
        <w:rPr>
          <w:rFonts w:ascii="宋体" w:hAnsi="宋体" w:cs="华文细黑"/>
          <w:bCs/>
          <w:color w:val="000000"/>
          <w:sz w:val="21"/>
          <w:szCs w:val="21"/>
          <w:highlight w:val="none"/>
        </w:rPr>
      </w:pPr>
      <w:r>
        <w:rPr>
          <w:rFonts w:hint="eastAsia" w:ascii="宋体" w:hAnsi="宋体" w:cs="华文细黑"/>
          <w:bCs/>
          <w:color w:val="000000"/>
          <w:sz w:val="21"/>
          <w:szCs w:val="21"/>
          <w:highlight w:val="none"/>
        </w:rPr>
        <w:t>（5）</w:t>
      </w:r>
      <w:r>
        <w:rPr>
          <w:rFonts w:hint="eastAsia" w:ascii="宋体" w:hAnsi="宋体" w:cs="华文细黑"/>
          <w:bCs/>
          <w:color w:val="000000"/>
          <w:sz w:val="21"/>
          <w:szCs w:val="21"/>
          <w:highlight w:val="none"/>
          <w:lang w:val="en-US" w:eastAsia="zh-CN"/>
        </w:rPr>
        <w:t>节目异态</w:t>
      </w:r>
      <w:r>
        <w:rPr>
          <w:rFonts w:hint="eastAsia" w:ascii="宋体" w:hAnsi="宋体" w:cs="华文细黑"/>
          <w:bCs/>
          <w:color w:val="000000"/>
          <w:sz w:val="21"/>
          <w:szCs w:val="21"/>
          <w:highlight w:val="none"/>
        </w:rPr>
        <w:t>收录</w:t>
      </w:r>
    </w:p>
    <w:p w14:paraId="3BACA60C">
      <w:pPr>
        <w:autoSpaceDE w:val="0"/>
        <w:autoSpaceDN w:val="0"/>
        <w:adjustRightInd w:val="0"/>
        <w:spacing w:line="360" w:lineRule="auto"/>
        <w:ind w:firstLine="420" w:firstLineChars="200"/>
        <w:jc w:val="left"/>
        <w:rPr>
          <w:rFonts w:ascii="宋体" w:hAnsi="宋体" w:cs="华文细黑"/>
          <w:bCs/>
          <w:color w:val="000000"/>
          <w:kern w:val="0"/>
          <w:szCs w:val="21"/>
        </w:rPr>
      </w:pPr>
    </w:p>
    <w:p w14:paraId="420DA24A">
      <w:pPr>
        <w:autoSpaceDE w:val="0"/>
        <w:autoSpaceDN w:val="0"/>
        <w:adjustRightInd w:val="0"/>
        <w:spacing w:line="360" w:lineRule="auto"/>
        <w:ind w:firstLine="482" w:firstLineChars="200"/>
        <w:jc w:val="left"/>
        <w:rPr>
          <w:rFonts w:ascii="宋体" w:hAnsi="宋体" w:cs="华文细黑"/>
          <w:b/>
          <w:color w:val="000000"/>
          <w:kern w:val="0"/>
          <w:sz w:val="24"/>
        </w:rPr>
      </w:pPr>
      <w:bookmarkStart w:id="5" w:name="_Toc17731520"/>
      <w:r>
        <w:rPr>
          <w:rFonts w:hint="eastAsia" w:ascii="宋体" w:hAnsi="宋体" w:cs="华文细黑"/>
          <w:b/>
          <w:color w:val="000000"/>
          <w:kern w:val="0"/>
          <w:sz w:val="24"/>
        </w:rPr>
        <w:t>三、建设周期</w:t>
      </w:r>
      <w:bookmarkEnd w:id="5"/>
    </w:p>
    <w:p w14:paraId="1DF5FFE6">
      <w:pPr>
        <w:autoSpaceDE w:val="0"/>
        <w:autoSpaceDN w:val="0"/>
        <w:adjustRightInd w:val="0"/>
        <w:spacing w:line="360" w:lineRule="auto"/>
        <w:ind w:firstLine="420" w:firstLineChars="200"/>
        <w:jc w:val="left"/>
        <w:rPr>
          <w:rFonts w:ascii="宋体" w:hAnsi="宋体" w:cs="华文细黑"/>
          <w:color w:val="000000"/>
          <w:kern w:val="0"/>
          <w:szCs w:val="21"/>
        </w:rPr>
      </w:pPr>
      <w:r>
        <w:rPr>
          <w:rFonts w:hint="eastAsia" w:ascii="宋体" w:hAnsi="宋体" w:cs="华文细黑"/>
          <w:color w:val="000000"/>
          <w:kern w:val="0"/>
          <w:szCs w:val="21"/>
        </w:rPr>
        <w:t>本项目建设周期为</w:t>
      </w:r>
      <w:r>
        <w:rPr>
          <w:rFonts w:ascii="宋体" w:hAnsi="宋体" w:cs="华文细黑"/>
          <w:color w:val="000000"/>
          <w:kern w:val="0"/>
          <w:szCs w:val="21"/>
        </w:rPr>
        <w:t>6</w:t>
      </w:r>
      <w:r>
        <w:rPr>
          <w:rFonts w:hint="eastAsia" w:ascii="宋体" w:hAnsi="宋体" w:cs="华文细黑"/>
          <w:color w:val="000000"/>
          <w:kern w:val="0"/>
          <w:szCs w:val="21"/>
        </w:rPr>
        <w:t>个月。</w:t>
      </w:r>
    </w:p>
    <w:p w14:paraId="36EE6001">
      <w:pPr>
        <w:keepNext/>
        <w:keepLines/>
        <w:widowControl/>
        <w:spacing w:before="340" w:after="330" w:line="360" w:lineRule="auto"/>
        <w:jc w:val="center"/>
        <w:outlineLvl w:val="0"/>
        <w:rPr>
          <w:rFonts w:hint="eastAsia" w:ascii="宋体" w:hAnsi="宋体" w:eastAsia="宋体"/>
          <w:b/>
          <w:bCs/>
          <w:kern w:val="44"/>
          <w:sz w:val="32"/>
          <w:szCs w:val="32"/>
          <w:lang w:eastAsia="zh-CN"/>
        </w:rPr>
      </w:pPr>
      <w:bookmarkStart w:id="6" w:name="_Toc33270700"/>
      <w:r>
        <w:rPr>
          <w:rFonts w:hint="eastAsia" w:ascii="宋体" w:hAnsi="宋体"/>
          <w:b/>
          <w:bCs/>
          <w:kern w:val="44"/>
          <w:sz w:val="32"/>
          <w:szCs w:val="32"/>
        </w:rPr>
        <w:t>第三节 功能需求</w:t>
      </w:r>
      <w:bookmarkEnd w:id="6"/>
    </w:p>
    <w:p w14:paraId="6D0435C8">
      <w:pPr>
        <w:autoSpaceDE w:val="0"/>
        <w:autoSpaceDN w:val="0"/>
        <w:adjustRightInd w:val="0"/>
        <w:spacing w:line="360" w:lineRule="auto"/>
        <w:ind w:firstLine="482" w:firstLineChars="200"/>
        <w:jc w:val="left"/>
        <w:rPr>
          <w:rFonts w:hint="default" w:ascii="宋体" w:hAnsi="宋体" w:cs="华文细黑"/>
          <w:b/>
          <w:color w:val="auto"/>
          <w:kern w:val="0"/>
          <w:sz w:val="24"/>
          <w:szCs w:val="24"/>
          <w:highlight w:val="none"/>
          <w:lang w:val="en-US" w:eastAsia="zh-CN"/>
        </w:rPr>
      </w:pPr>
      <w:bookmarkStart w:id="7" w:name="_Toc32919253"/>
      <w:r>
        <w:rPr>
          <w:rFonts w:hint="eastAsia" w:ascii="宋体" w:hAnsi="宋体" w:cs="华文细黑"/>
          <w:b/>
          <w:color w:val="auto"/>
          <w:kern w:val="0"/>
          <w:sz w:val="24"/>
          <w:szCs w:val="24"/>
          <w:highlight w:val="none"/>
          <w:lang w:val="en-US" w:eastAsia="zh-CN"/>
        </w:rPr>
        <w:t>一、融媒体中心系统现状</w:t>
      </w:r>
    </w:p>
    <w:p w14:paraId="7D99A959">
      <w:pPr>
        <w:pStyle w:val="2"/>
        <w:spacing w:line="360" w:lineRule="auto"/>
        <w:rPr>
          <w:rFonts w:hint="eastAsia" w:ascii="宋体" w:hAnsi="宋体" w:eastAsia="宋体" w:cs="宋体"/>
          <w:color w:val="auto"/>
          <w:kern w:val="0"/>
          <w:sz w:val="21"/>
          <w:szCs w:val="22"/>
          <w:highlight w:val="none"/>
          <w:lang w:val="en-US" w:eastAsia="zh-CN" w:bidi="en-US"/>
        </w:rPr>
      </w:pPr>
      <w:r>
        <w:rPr>
          <w:rFonts w:hint="eastAsia" w:ascii="宋体" w:hAnsi="宋体" w:eastAsia="宋体" w:cs="宋体"/>
          <w:color w:val="auto"/>
          <w:kern w:val="0"/>
          <w:sz w:val="21"/>
          <w:szCs w:val="22"/>
          <w:highlight w:val="none"/>
          <w:lang w:val="en-US" w:eastAsia="zh-CN" w:bidi="en-US"/>
        </w:rPr>
        <w:t>青浦区融媒体中心建有基于数字化、网络化高标清兼容的电视播出及总控系统，提供电视播出信号传输、网络控制及调度管理等功能。广播播出总控系统采用数字音频矩阵和网络矩阵相结合的智能化双矩阵结构，提供全台直播室、外转、转播等信号的汇集、调度、分配、传输等功能。</w:t>
      </w:r>
    </w:p>
    <w:p w14:paraId="4005C25D">
      <w:pPr>
        <w:pStyle w:val="2"/>
        <w:spacing w:line="360" w:lineRule="auto"/>
        <w:rPr>
          <w:rFonts w:hint="default" w:ascii="宋体" w:hAnsi="宋体" w:eastAsia="宋体" w:cs="宋体"/>
          <w:color w:val="auto"/>
          <w:kern w:val="0"/>
          <w:sz w:val="21"/>
          <w:szCs w:val="22"/>
          <w:highlight w:val="none"/>
          <w:lang w:val="en-US" w:eastAsia="zh-CN" w:bidi="en-US"/>
        </w:rPr>
      </w:pPr>
      <w:r>
        <w:rPr>
          <w:rFonts w:hint="default" w:ascii="宋体" w:hAnsi="宋体" w:eastAsia="宋体" w:cs="宋体"/>
          <w:color w:val="auto"/>
          <w:kern w:val="0"/>
          <w:sz w:val="21"/>
          <w:szCs w:val="22"/>
          <w:highlight w:val="none"/>
          <w:lang w:val="en-US" w:eastAsia="zh-CN" w:bidi="en-US"/>
        </w:rPr>
        <w:t>本项目建设完成将采集、汇聚、管理、分析广播播出系统、电视播出系统的设备基本信息，作为</w:t>
      </w:r>
      <w:r>
        <w:rPr>
          <w:rFonts w:hint="eastAsia" w:ascii="宋体" w:hAnsi="宋体" w:eastAsia="宋体" w:cs="宋体"/>
          <w:color w:val="auto"/>
          <w:kern w:val="0"/>
          <w:sz w:val="21"/>
          <w:szCs w:val="22"/>
          <w:highlight w:val="none"/>
          <w:lang w:val="en-US" w:eastAsia="zh-CN" w:bidi="en-US"/>
        </w:rPr>
        <w:t>台站</w:t>
      </w:r>
      <w:r>
        <w:rPr>
          <w:rFonts w:hint="default" w:ascii="宋体" w:hAnsi="宋体" w:eastAsia="宋体" w:cs="宋体"/>
          <w:color w:val="auto"/>
          <w:kern w:val="0"/>
          <w:sz w:val="21"/>
          <w:szCs w:val="22"/>
          <w:highlight w:val="none"/>
          <w:lang w:val="en-US" w:eastAsia="zh-CN" w:bidi="en-US"/>
        </w:rPr>
        <w:t>技术运维数据基础。</w:t>
      </w:r>
      <w:r>
        <w:rPr>
          <w:rFonts w:hint="eastAsia" w:ascii="宋体" w:hAnsi="宋体" w:eastAsia="宋体" w:cs="宋体"/>
          <w:color w:val="auto"/>
          <w:kern w:val="0"/>
          <w:sz w:val="21"/>
          <w:szCs w:val="22"/>
          <w:highlight w:val="none"/>
          <w:lang w:val="en-US" w:eastAsia="zh-CN" w:bidi="en-US"/>
        </w:rPr>
        <w:t>并</w:t>
      </w:r>
      <w:r>
        <w:rPr>
          <w:rFonts w:hint="default" w:ascii="宋体" w:hAnsi="宋体" w:eastAsia="宋体" w:cs="宋体"/>
          <w:color w:val="auto"/>
          <w:kern w:val="0"/>
          <w:sz w:val="21"/>
          <w:szCs w:val="22"/>
          <w:highlight w:val="none"/>
          <w:lang w:val="en-US" w:eastAsia="zh-CN" w:bidi="en-US"/>
        </w:rPr>
        <w:t>在广播、电视播出系统的架构基础上，我们采集前后级、主备路的音视频播出信号，使用相关性分析技术得到智能优选的应急策略，做到准确快速的自动应急。</w:t>
      </w:r>
    </w:p>
    <w:p w14:paraId="65ECA4AC">
      <w:pPr>
        <w:autoSpaceDE w:val="0"/>
        <w:autoSpaceDN w:val="0"/>
        <w:adjustRightInd w:val="0"/>
        <w:spacing w:line="360" w:lineRule="auto"/>
        <w:ind w:firstLine="482" w:firstLineChars="200"/>
        <w:jc w:val="left"/>
        <w:rPr>
          <w:rFonts w:hint="default" w:ascii="宋体" w:hAnsi="宋体" w:eastAsia="宋体" w:cs="华文细黑"/>
          <w:b/>
          <w:color w:val="000000"/>
          <w:kern w:val="0"/>
          <w:sz w:val="24"/>
          <w:szCs w:val="24"/>
          <w:lang w:val="en-US" w:eastAsia="zh-CN"/>
        </w:rPr>
      </w:pPr>
      <w:r>
        <w:rPr>
          <w:rFonts w:hint="eastAsia" w:ascii="宋体" w:hAnsi="宋体" w:cs="华文细黑"/>
          <w:b/>
          <w:color w:val="000000"/>
          <w:kern w:val="0"/>
          <w:sz w:val="24"/>
          <w:szCs w:val="24"/>
          <w:lang w:val="en-US" w:eastAsia="zh-CN"/>
        </w:rPr>
        <w:t>二</w:t>
      </w:r>
      <w:r>
        <w:rPr>
          <w:rFonts w:hint="eastAsia" w:ascii="宋体" w:hAnsi="宋体" w:cs="华文细黑"/>
          <w:b/>
          <w:color w:val="000000"/>
          <w:kern w:val="0"/>
          <w:sz w:val="24"/>
          <w:szCs w:val="24"/>
        </w:rPr>
        <w:t>、</w:t>
      </w:r>
      <w:bookmarkEnd w:id="7"/>
      <w:r>
        <w:rPr>
          <w:rFonts w:hint="eastAsia" w:ascii="宋体" w:hAnsi="宋体" w:cs="华文细黑"/>
          <w:b/>
          <w:color w:val="000000"/>
          <w:kern w:val="0"/>
          <w:sz w:val="24"/>
          <w:szCs w:val="24"/>
          <w:lang w:val="en-US" w:eastAsia="zh-CN"/>
        </w:rPr>
        <w:t>智慧运维系统平台</w:t>
      </w:r>
    </w:p>
    <w:p w14:paraId="7456DC91">
      <w:pPr>
        <w:autoSpaceDE w:val="0"/>
        <w:autoSpaceDN w:val="0"/>
        <w:adjustRightInd w:val="0"/>
        <w:spacing w:line="360" w:lineRule="auto"/>
        <w:ind w:firstLine="422" w:firstLineChars="200"/>
        <w:jc w:val="left"/>
        <w:rPr>
          <w:rFonts w:hint="eastAsia" w:ascii="宋体" w:hAnsi="宋体" w:cs="华文细黑"/>
          <w:b/>
          <w:color w:val="000000"/>
          <w:kern w:val="0"/>
          <w:szCs w:val="21"/>
        </w:rPr>
      </w:pPr>
      <w:r>
        <w:rPr>
          <w:rFonts w:hint="eastAsia" w:ascii="宋体" w:hAnsi="宋体" w:cs="华文细黑"/>
          <w:b/>
          <w:color w:val="000000"/>
          <w:kern w:val="0"/>
          <w:szCs w:val="21"/>
        </w:rPr>
        <w:t>1</w:t>
      </w:r>
      <w:r>
        <w:rPr>
          <w:rFonts w:hint="eastAsia" w:ascii="宋体" w:hAnsi="宋体" w:cs="华文细黑"/>
          <w:b/>
          <w:color w:val="000000"/>
          <w:kern w:val="0"/>
          <w:szCs w:val="21"/>
          <w:lang w:eastAsia="zh-CN"/>
        </w:rPr>
        <w:t>.</w:t>
      </w:r>
      <w:r>
        <w:rPr>
          <w:rFonts w:hint="eastAsia" w:ascii="宋体" w:hAnsi="宋体" w:cs="华文细黑"/>
          <w:b/>
          <w:color w:val="000000"/>
          <w:kern w:val="0"/>
          <w:szCs w:val="21"/>
        </w:rPr>
        <w:t>数据采集</w:t>
      </w:r>
    </w:p>
    <w:p w14:paraId="16D09DA7">
      <w:pPr>
        <w:pStyle w:val="229"/>
        <w:spacing w:line="360" w:lineRule="auto"/>
        <w:ind w:firstLine="420"/>
        <w:jc w:val="both"/>
        <w:rPr>
          <w:rFonts w:hint="eastAsia" w:ascii="宋体" w:hAnsi="宋体" w:eastAsia="宋体" w:cs="宋体"/>
          <w:sz w:val="21"/>
          <w:szCs w:val="22"/>
          <w:lang w:eastAsia="zh-CN"/>
        </w:rPr>
      </w:pPr>
      <w:r>
        <w:rPr>
          <w:rFonts w:hint="eastAsia" w:ascii="宋体" w:hAnsi="宋体" w:eastAsia="宋体" w:cs="宋体"/>
          <w:sz w:val="21"/>
          <w:szCs w:val="22"/>
          <w:lang w:eastAsia="zh-CN"/>
        </w:rPr>
        <w:t>基于复杂的青浦区融媒体中心的广播电视播出系统结构和业务形态，数据采集工作是数据中心面临的首要任务，通过多种方式采集，将需要的数据汇总，采用边缘计算完成初步的加工和归纳。</w:t>
      </w:r>
    </w:p>
    <w:p w14:paraId="1608442A">
      <w:pPr>
        <w:pStyle w:val="229"/>
        <w:spacing w:line="360" w:lineRule="auto"/>
        <w:ind w:firstLine="363"/>
        <w:jc w:val="both"/>
        <w:rPr>
          <w:rFonts w:hint="eastAsia" w:ascii="宋体" w:hAnsi="宋体" w:eastAsia="宋体" w:cs="宋体"/>
          <w:sz w:val="21"/>
          <w:szCs w:val="22"/>
          <w:lang w:eastAsia="zh-CN"/>
        </w:rPr>
      </w:pPr>
      <w:r>
        <w:rPr>
          <w:rFonts w:hint="eastAsia" w:ascii="宋体" w:hAnsi="宋体" w:eastAsia="宋体" w:cs="宋体"/>
          <w:sz w:val="21"/>
          <w:szCs w:val="22"/>
          <w:lang w:eastAsia="zh-CN"/>
        </w:rPr>
        <w:t>通过广播、电视播出系统设备数据采集汇总的数据存入数据仓库，数据仓库的数据形成元数据，主要包括以下几类：</w:t>
      </w:r>
    </w:p>
    <w:tbl>
      <w:tblPr>
        <w:tblStyle w:val="37"/>
        <w:tblW w:w="4812" w:type="pct"/>
        <w:tblInd w:w="1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8"/>
        <w:gridCol w:w="1581"/>
        <w:gridCol w:w="5480"/>
        <w:gridCol w:w="1755"/>
      </w:tblGrid>
      <w:tr w14:paraId="11E66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352" w:type="pct"/>
            <w:noWrap w:val="0"/>
            <w:vAlign w:val="center"/>
          </w:tcPr>
          <w:p w14:paraId="7AF7067F">
            <w:pPr>
              <w:spacing w:line="360" w:lineRule="auto"/>
              <w:jc w:val="center"/>
              <w:rPr>
                <w:rFonts w:hint="eastAsia" w:ascii="仿宋" w:hAnsi="仿宋" w:cs="仿宋"/>
                <w:b/>
                <w:lang w:val="zh-CN"/>
              </w:rPr>
            </w:pPr>
            <w:r>
              <w:rPr>
                <w:rFonts w:hint="eastAsia" w:ascii="仿宋" w:hAnsi="仿宋" w:cs="仿宋"/>
                <w:b/>
                <w:lang w:val="zh-CN"/>
              </w:rPr>
              <w:t>序号</w:t>
            </w:r>
          </w:p>
        </w:tc>
        <w:tc>
          <w:tcPr>
            <w:tcW w:w="833" w:type="pct"/>
            <w:noWrap w:val="0"/>
            <w:vAlign w:val="center"/>
          </w:tcPr>
          <w:p w14:paraId="4C140194">
            <w:pPr>
              <w:spacing w:line="360" w:lineRule="auto"/>
              <w:jc w:val="center"/>
              <w:rPr>
                <w:rFonts w:hint="eastAsia" w:ascii="仿宋" w:hAnsi="仿宋" w:cs="仿宋"/>
                <w:b/>
                <w:lang w:val="zh-CN"/>
              </w:rPr>
            </w:pPr>
            <w:r>
              <w:rPr>
                <w:rFonts w:hint="eastAsia" w:ascii="仿宋" w:hAnsi="仿宋" w:cs="仿宋"/>
                <w:b/>
                <w:lang w:val="zh-CN"/>
              </w:rPr>
              <w:t>数据类型</w:t>
            </w:r>
          </w:p>
        </w:tc>
        <w:tc>
          <w:tcPr>
            <w:tcW w:w="2888" w:type="pct"/>
            <w:noWrap w:val="0"/>
            <w:vAlign w:val="center"/>
          </w:tcPr>
          <w:p w14:paraId="203F97DD">
            <w:pPr>
              <w:spacing w:line="360" w:lineRule="auto"/>
              <w:jc w:val="center"/>
              <w:rPr>
                <w:rFonts w:hint="eastAsia" w:ascii="仿宋" w:hAnsi="仿宋" w:cs="仿宋"/>
                <w:b/>
                <w:lang w:val="zh-CN"/>
              </w:rPr>
            </w:pPr>
            <w:r>
              <w:rPr>
                <w:rFonts w:hint="eastAsia" w:ascii="仿宋" w:hAnsi="仿宋" w:cs="仿宋"/>
                <w:b/>
                <w:lang w:val="zh-CN"/>
              </w:rPr>
              <w:t>数据名称</w:t>
            </w:r>
          </w:p>
        </w:tc>
        <w:tc>
          <w:tcPr>
            <w:tcW w:w="925" w:type="pct"/>
            <w:noWrap w:val="0"/>
            <w:vAlign w:val="center"/>
          </w:tcPr>
          <w:p w14:paraId="025DC772">
            <w:pPr>
              <w:spacing w:line="360" w:lineRule="auto"/>
              <w:jc w:val="center"/>
              <w:rPr>
                <w:rFonts w:hint="eastAsia" w:ascii="仿宋" w:hAnsi="仿宋" w:cs="仿宋"/>
                <w:b/>
                <w:lang w:val="zh-CN"/>
              </w:rPr>
            </w:pPr>
            <w:r>
              <w:rPr>
                <w:rFonts w:hint="eastAsia" w:ascii="仿宋" w:hAnsi="仿宋" w:cs="仿宋"/>
                <w:b/>
                <w:lang w:val="zh-CN"/>
              </w:rPr>
              <w:t>数据作用</w:t>
            </w:r>
          </w:p>
        </w:tc>
      </w:tr>
      <w:tr w14:paraId="378B4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noWrap w:val="0"/>
            <w:vAlign w:val="center"/>
          </w:tcPr>
          <w:p w14:paraId="63445A08">
            <w:pPr>
              <w:pStyle w:val="94"/>
              <w:ind w:left="0" w:leftChars="0" w:firstLine="0" w:firstLineChars="0"/>
              <w:jc w:val="center"/>
              <w:rPr>
                <w:rFonts w:hint="eastAsia" w:ascii="仿宋" w:hAnsi="仿宋" w:eastAsia="仿宋" w:cs="仿宋"/>
              </w:rPr>
            </w:pPr>
            <w:r>
              <w:rPr>
                <w:rFonts w:hint="eastAsia" w:ascii="仿宋" w:hAnsi="仿宋" w:eastAsia="仿宋" w:cs="仿宋"/>
              </w:rPr>
              <w:t>1</w:t>
            </w:r>
          </w:p>
        </w:tc>
        <w:tc>
          <w:tcPr>
            <w:tcW w:w="833" w:type="pct"/>
            <w:noWrap w:val="0"/>
            <w:vAlign w:val="center"/>
          </w:tcPr>
          <w:p w14:paraId="76BC28DD">
            <w:pPr>
              <w:jc w:val="center"/>
              <w:rPr>
                <w:rFonts w:hint="eastAsia" w:ascii="仿宋" w:hAnsi="仿宋" w:cs="仿宋"/>
                <w:lang w:val="zh-CN"/>
              </w:rPr>
            </w:pPr>
            <w:r>
              <w:rPr>
                <w:rFonts w:hint="eastAsia" w:ascii="仿宋" w:hAnsi="仿宋" w:cs="仿宋"/>
                <w:lang w:val="zh-CN"/>
              </w:rPr>
              <w:t>设备基础数据</w:t>
            </w:r>
          </w:p>
        </w:tc>
        <w:tc>
          <w:tcPr>
            <w:tcW w:w="2888" w:type="pct"/>
            <w:noWrap w:val="0"/>
            <w:vAlign w:val="center"/>
          </w:tcPr>
          <w:p w14:paraId="1914FEB8">
            <w:pPr>
              <w:rPr>
                <w:rFonts w:hint="eastAsia" w:ascii="仿宋" w:hAnsi="仿宋" w:cs="仿宋"/>
                <w:lang w:val="zh-CN"/>
              </w:rPr>
            </w:pPr>
            <w:r>
              <w:rPr>
                <w:rFonts w:hint="eastAsia" w:ascii="仿宋" w:hAnsi="仿宋" w:cs="仿宋"/>
                <w:lang w:val="zh-CN"/>
              </w:rPr>
              <w:t>各设备的品牌、型号、制造商、供应商、出厂时间、启用日期、累计工作时间、报废时间、在用状态、故障记录、维修记录等</w:t>
            </w:r>
          </w:p>
        </w:tc>
        <w:tc>
          <w:tcPr>
            <w:tcW w:w="925" w:type="pct"/>
            <w:noWrap w:val="0"/>
            <w:vAlign w:val="center"/>
          </w:tcPr>
          <w:p w14:paraId="4614DA62">
            <w:pPr>
              <w:jc w:val="left"/>
              <w:rPr>
                <w:rFonts w:hint="eastAsia" w:ascii="仿宋" w:hAnsi="仿宋" w:cs="仿宋"/>
                <w:lang w:val="zh-CN"/>
              </w:rPr>
            </w:pPr>
            <w:r>
              <w:rPr>
                <w:rFonts w:hint="eastAsia" w:ascii="仿宋" w:hAnsi="仿宋" w:cs="仿宋"/>
                <w:lang w:val="zh-CN"/>
              </w:rPr>
              <w:t>展示、提醒、维护参考</w:t>
            </w:r>
          </w:p>
        </w:tc>
      </w:tr>
      <w:tr w14:paraId="6E3FF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noWrap w:val="0"/>
            <w:vAlign w:val="center"/>
          </w:tcPr>
          <w:p w14:paraId="2A7F846B">
            <w:pPr>
              <w:pStyle w:val="94"/>
              <w:ind w:left="0" w:leftChars="0" w:firstLine="0" w:firstLineChars="0"/>
              <w:jc w:val="center"/>
              <w:rPr>
                <w:rFonts w:hint="eastAsia" w:ascii="仿宋" w:hAnsi="仿宋" w:eastAsia="仿宋" w:cs="仿宋"/>
              </w:rPr>
            </w:pPr>
            <w:r>
              <w:rPr>
                <w:rFonts w:hint="eastAsia" w:ascii="仿宋" w:hAnsi="仿宋" w:eastAsia="仿宋" w:cs="仿宋"/>
              </w:rPr>
              <w:t>2</w:t>
            </w:r>
          </w:p>
        </w:tc>
        <w:tc>
          <w:tcPr>
            <w:tcW w:w="833" w:type="pct"/>
            <w:noWrap w:val="0"/>
            <w:vAlign w:val="center"/>
          </w:tcPr>
          <w:p w14:paraId="215499C2">
            <w:pPr>
              <w:jc w:val="center"/>
              <w:rPr>
                <w:rFonts w:hint="eastAsia" w:ascii="仿宋" w:hAnsi="仿宋" w:cs="仿宋"/>
                <w:lang w:val="zh-CN"/>
              </w:rPr>
            </w:pPr>
            <w:r>
              <w:rPr>
                <w:rFonts w:hint="eastAsia" w:ascii="仿宋" w:hAnsi="仿宋" w:cs="仿宋"/>
                <w:lang w:val="zh-CN"/>
              </w:rPr>
              <w:t>资源数据</w:t>
            </w:r>
          </w:p>
        </w:tc>
        <w:tc>
          <w:tcPr>
            <w:tcW w:w="2888" w:type="pct"/>
            <w:noWrap w:val="0"/>
            <w:vAlign w:val="center"/>
          </w:tcPr>
          <w:p w14:paraId="3665DD91">
            <w:pPr>
              <w:rPr>
                <w:rFonts w:hint="eastAsia" w:ascii="仿宋" w:hAnsi="仿宋" w:cs="仿宋"/>
                <w:lang w:val="zh-CN"/>
              </w:rPr>
            </w:pPr>
            <w:r>
              <w:rPr>
                <w:rFonts w:hint="eastAsia" w:ascii="仿宋" w:hAnsi="仿宋" w:cs="仿宋"/>
                <w:lang w:val="zh-CN"/>
              </w:rPr>
              <w:t>通信资源、场地资源、动力资源、备品备件</w:t>
            </w:r>
          </w:p>
        </w:tc>
        <w:tc>
          <w:tcPr>
            <w:tcW w:w="925" w:type="pct"/>
            <w:noWrap w:val="0"/>
            <w:vAlign w:val="center"/>
          </w:tcPr>
          <w:p w14:paraId="7357A38D">
            <w:pPr>
              <w:jc w:val="left"/>
              <w:rPr>
                <w:rFonts w:hint="eastAsia" w:ascii="仿宋" w:hAnsi="仿宋" w:cs="仿宋"/>
                <w:lang w:val="zh-CN"/>
              </w:rPr>
            </w:pPr>
            <w:r>
              <w:rPr>
                <w:rFonts w:hint="eastAsia" w:ascii="仿宋" w:hAnsi="仿宋" w:cs="仿宋"/>
                <w:lang w:val="zh-CN"/>
              </w:rPr>
              <w:t>展示、统计、分析</w:t>
            </w:r>
          </w:p>
        </w:tc>
      </w:tr>
      <w:tr w14:paraId="22CB9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noWrap w:val="0"/>
            <w:vAlign w:val="center"/>
          </w:tcPr>
          <w:p w14:paraId="39143E7A">
            <w:pPr>
              <w:pStyle w:val="94"/>
              <w:ind w:left="0" w:leftChars="0" w:firstLine="0" w:firstLineChars="0"/>
              <w:jc w:val="center"/>
              <w:rPr>
                <w:rFonts w:hint="eastAsia" w:ascii="仿宋" w:hAnsi="仿宋" w:eastAsia="仿宋" w:cs="仿宋"/>
              </w:rPr>
            </w:pPr>
            <w:r>
              <w:rPr>
                <w:rFonts w:hint="eastAsia" w:ascii="仿宋" w:hAnsi="仿宋" w:eastAsia="仿宋" w:cs="仿宋"/>
              </w:rPr>
              <w:t>3</w:t>
            </w:r>
          </w:p>
        </w:tc>
        <w:tc>
          <w:tcPr>
            <w:tcW w:w="833" w:type="pct"/>
            <w:noWrap w:val="0"/>
            <w:vAlign w:val="center"/>
          </w:tcPr>
          <w:p w14:paraId="10F7021E">
            <w:pPr>
              <w:jc w:val="center"/>
              <w:rPr>
                <w:rFonts w:hint="eastAsia" w:ascii="仿宋" w:hAnsi="仿宋" w:cs="仿宋"/>
                <w:lang w:val="zh-CN"/>
              </w:rPr>
            </w:pPr>
            <w:r>
              <w:rPr>
                <w:rFonts w:hint="eastAsia" w:ascii="仿宋" w:hAnsi="仿宋" w:cs="仿宋"/>
                <w:lang w:val="zh-CN"/>
              </w:rPr>
              <w:t>能源数据</w:t>
            </w:r>
          </w:p>
        </w:tc>
        <w:tc>
          <w:tcPr>
            <w:tcW w:w="2888" w:type="pct"/>
            <w:noWrap w:val="0"/>
            <w:vAlign w:val="center"/>
          </w:tcPr>
          <w:p w14:paraId="07FB9A97">
            <w:pPr>
              <w:rPr>
                <w:rFonts w:hint="eastAsia" w:ascii="仿宋" w:hAnsi="仿宋" w:cs="仿宋"/>
                <w:lang w:val="zh-CN"/>
              </w:rPr>
            </w:pPr>
            <w:r>
              <w:rPr>
                <w:rFonts w:hint="eastAsia" w:ascii="仿宋" w:hAnsi="仿宋" w:cs="仿宋"/>
                <w:lang w:val="zh-CN"/>
              </w:rPr>
              <w:t>UPS、 市电、柴油发电机、蓄电池等动力的耗能数据（电流、电压、有功无功等）</w:t>
            </w:r>
          </w:p>
        </w:tc>
        <w:tc>
          <w:tcPr>
            <w:tcW w:w="925" w:type="pct"/>
            <w:noWrap w:val="0"/>
            <w:vAlign w:val="center"/>
          </w:tcPr>
          <w:p w14:paraId="2385F56C">
            <w:pPr>
              <w:jc w:val="left"/>
              <w:rPr>
                <w:rFonts w:hint="eastAsia" w:ascii="仿宋" w:hAnsi="仿宋" w:cs="仿宋"/>
                <w:lang w:val="zh-CN"/>
              </w:rPr>
            </w:pPr>
            <w:r>
              <w:rPr>
                <w:rFonts w:hint="eastAsia" w:ascii="仿宋" w:hAnsi="仿宋" w:cs="仿宋"/>
                <w:lang w:val="zh-CN"/>
              </w:rPr>
              <w:t>展示、统计、分析、告警</w:t>
            </w:r>
          </w:p>
        </w:tc>
      </w:tr>
      <w:tr w14:paraId="20B6D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352" w:type="pct"/>
            <w:vMerge w:val="restart"/>
            <w:noWrap w:val="0"/>
            <w:vAlign w:val="center"/>
          </w:tcPr>
          <w:p w14:paraId="03350699">
            <w:pPr>
              <w:pStyle w:val="94"/>
              <w:spacing w:line="360" w:lineRule="auto"/>
              <w:ind w:left="0" w:leftChars="0" w:firstLine="0" w:firstLineChars="0"/>
              <w:jc w:val="center"/>
              <w:rPr>
                <w:rFonts w:hint="eastAsia" w:ascii="仿宋" w:hAnsi="仿宋" w:eastAsia="仿宋" w:cs="仿宋"/>
              </w:rPr>
            </w:pPr>
            <w:r>
              <w:rPr>
                <w:rFonts w:hint="eastAsia" w:ascii="仿宋" w:hAnsi="仿宋" w:eastAsia="仿宋" w:cs="仿宋"/>
              </w:rPr>
              <w:t>4</w:t>
            </w:r>
          </w:p>
        </w:tc>
        <w:tc>
          <w:tcPr>
            <w:tcW w:w="833" w:type="pct"/>
            <w:vMerge w:val="restart"/>
            <w:noWrap w:val="0"/>
            <w:vAlign w:val="center"/>
          </w:tcPr>
          <w:p w14:paraId="5743FD69">
            <w:pPr>
              <w:jc w:val="center"/>
              <w:rPr>
                <w:rFonts w:hint="eastAsia" w:ascii="仿宋" w:hAnsi="仿宋" w:cs="仿宋"/>
                <w:lang w:val="zh-CN"/>
              </w:rPr>
            </w:pPr>
            <w:r>
              <w:rPr>
                <w:rFonts w:hint="eastAsia" w:ascii="仿宋" w:hAnsi="仿宋" w:cs="仿宋"/>
                <w:lang w:val="zh-CN"/>
              </w:rPr>
              <w:t>业务逻辑数据</w:t>
            </w:r>
          </w:p>
        </w:tc>
        <w:tc>
          <w:tcPr>
            <w:tcW w:w="2888" w:type="pct"/>
            <w:noWrap w:val="0"/>
            <w:vAlign w:val="center"/>
          </w:tcPr>
          <w:p w14:paraId="15FE2409">
            <w:pPr>
              <w:rPr>
                <w:rFonts w:hint="eastAsia" w:ascii="仿宋" w:hAnsi="仿宋" w:cs="仿宋"/>
                <w:lang w:val="zh-CN"/>
              </w:rPr>
            </w:pPr>
            <w:r>
              <w:rPr>
                <w:rFonts w:hint="eastAsia" w:ascii="仿宋" w:hAnsi="仿宋" w:cs="仿宋"/>
                <w:lang w:val="zh-CN"/>
              </w:rPr>
              <w:t>发射功率、发射功率、工作频率、调制度、驻波比、激励器指标、功放指标等</w:t>
            </w:r>
          </w:p>
        </w:tc>
        <w:tc>
          <w:tcPr>
            <w:tcW w:w="925" w:type="pct"/>
            <w:vMerge w:val="restart"/>
            <w:noWrap w:val="0"/>
            <w:vAlign w:val="center"/>
          </w:tcPr>
          <w:p w14:paraId="65E1D7CD">
            <w:pPr>
              <w:jc w:val="left"/>
              <w:rPr>
                <w:rFonts w:hint="eastAsia" w:ascii="仿宋" w:hAnsi="仿宋" w:cs="仿宋"/>
                <w:lang w:val="zh-CN"/>
              </w:rPr>
            </w:pPr>
            <w:r>
              <w:rPr>
                <w:rFonts w:hint="eastAsia" w:ascii="仿宋" w:hAnsi="仿宋" w:cs="仿宋"/>
                <w:lang w:val="zh-CN"/>
              </w:rPr>
              <w:t>展示、统计、分析、告警</w:t>
            </w:r>
          </w:p>
        </w:tc>
      </w:tr>
      <w:tr w14:paraId="29838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52" w:type="pct"/>
            <w:vMerge w:val="continue"/>
            <w:noWrap w:val="0"/>
            <w:vAlign w:val="center"/>
          </w:tcPr>
          <w:p w14:paraId="471E0535">
            <w:pPr>
              <w:pStyle w:val="94"/>
              <w:widowControl/>
              <w:numPr>
                <w:ilvl w:val="0"/>
                <w:numId w:val="13"/>
              </w:numPr>
              <w:spacing w:before="100" w:beforeAutospacing="1" w:after="100" w:afterAutospacing="1" w:line="360" w:lineRule="auto"/>
              <w:ind w:firstLineChars="0"/>
              <w:jc w:val="center"/>
              <w:rPr>
                <w:rFonts w:hint="eastAsia" w:ascii="仿宋" w:hAnsi="仿宋" w:eastAsia="仿宋" w:cs="仿宋"/>
              </w:rPr>
            </w:pPr>
          </w:p>
        </w:tc>
        <w:tc>
          <w:tcPr>
            <w:tcW w:w="833" w:type="pct"/>
            <w:vMerge w:val="continue"/>
            <w:noWrap w:val="0"/>
            <w:vAlign w:val="center"/>
          </w:tcPr>
          <w:p w14:paraId="4979B956">
            <w:pPr>
              <w:rPr>
                <w:rFonts w:hint="eastAsia" w:ascii="仿宋" w:hAnsi="仿宋" w:cs="仿宋"/>
                <w:lang w:val="zh-CN"/>
              </w:rPr>
            </w:pPr>
          </w:p>
        </w:tc>
        <w:tc>
          <w:tcPr>
            <w:tcW w:w="2888" w:type="pct"/>
            <w:noWrap w:val="0"/>
            <w:vAlign w:val="center"/>
          </w:tcPr>
          <w:p w14:paraId="63468285">
            <w:pPr>
              <w:rPr>
                <w:rFonts w:hint="eastAsia" w:ascii="仿宋" w:hAnsi="仿宋" w:cs="仿宋"/>
                <w:lang w:val="zh-CN"/>
              </w:rPr>
            </w:pPr>
            <w:r>
              <w:rPr>
                <w:rFonts w:hint="eastAsia" w:ascii="仿宋" w:hAnsi="仿宋" w:cs="仿宋"/>
                <w:lang w:val="zh-CN"/>
              </w:rPr>
              <w:t>天线监测指标、馈线监测指标、天调室监测指标</w:t>
            </w:r>
          </w:p>
        </w:tc>
        <w:tc>
          <w:tcPr>
            <w:tcW w:w="925" w:type="pct"/>
            <w:vMerge w:val="continue"/>
            <w:noWrap w:val="0"/>
            <w:vAlign w:val="center"/>
          </w:tcPr>
          <w:p w14:paraId="2C9E1BFE">
            <w:pPr>
              <w:spacing w:line="360" w:lineRule="auto"/>
              <w:jc w:val="left"/>
              <w:rPr>
                <w:rFonts w:hint="eastAsia" w:ascii="仿宋" w:hAnsi="仿宋" w:cs="仿宋"/>
                <w:lang w:val="zh-CN"/>
              </w:rPr>
            </w:pPr>
          </w:p>
        </w:tc>
      </w:tr>
      <w:tr w14:paraId="2CC60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vMerge w:val="continue"/>
            <w:noWrap w:val="0"/>
            <w:vAlign w:val="center"/>
          </w:tcPr>
          <w:p w14:paraId="5B099EDD">
            <w:pPr>
              <w:spacing w:line="360" w:lineRule="auto"/>
              <w:rPr>
                <w:rFonts w:hint="eastAsia" w:ascii="仿宋" w:hAnsi="仿宋" w:cs="仿宋"/>
                <w:lang w:val="zh-CN"/>
              </w:rPr>
            </w:pPr>
          </w:p>
        </w:tc>
        <w:tc>
          <w:tcPr>
            <w:tcW w:w="833" w:type="pct"/>
            <w:vMerge w:val="continue"/>
            <w:noWrap w:val="0"/>
            <w:vAlign w:val="center"/>
          </w:tcPr>
          <w:p w14:paraId="27398A00">
            <w:pPr>
              <w:rPr>
                <w:rFonts w:hint="eastAsia" w:ascii="仿宋" w:hAnsi="仿宋" w:cs="仿宋"/>
                <w:lang w:val="zh-CN"/>
              </w:rPr>
            </w:pPr>
          </w:p>
        </w:tc>
        <w:tc>
          <w:tcPr>
            <w:tcW w:w="2888" w:type="pct"/>
            <w:noWrap w:val="0"/>
            <w:vAlign w:val="center"/>
          </w:tcPr>
          <w:p w14:paraId="34AE0DE4">
            <w:pPr>
              <w:rPr>
                <w:rFonts w:hint="eastAsia" w:ascii="仿宋" w:hAnsi="仿宋" w:cs="仿宋"/>
                <w:lang w:val="zh-CN"/>
              </w:rPr>
            </w:pPr>
            <w:r>
              <w:rPr>
                <w:rFonts w:hint="eastAsia" w:ascii="仿宋" w:hAnsi="仿宋" w:cs="仿宋"/>
                <w:lang w:val="zh-CN"/>
              </w:rPr>
              <w:t>发射机开/关机时间、正常播出时长、劣播/停播时长、覆盖监测指标等</w:t>
            </w:r>
          </w:p>
        </w:tc>
        <w:tc>
          <w:tcPr>
            <w:tcW w:w="925" w:type="pct"/>
            <w:vMerge w:val="continue"/>
            <w:noWrap w:val="0"/>
            <w:vAlign w:val="center"/>
          </w:tcPr>
          <w:p w14:paraId="50C850C1">
            <w:pPr>
              <w:spacing w:line="360" w:lineRule="auto"/>
              <w:jc w:val="left"/>
              <w:rPr>
                <w:rFonts w:hint="eastAsia" w:ascii="仿宋" w:hAnsi="仿宋" w:cs="仿宋"/>
                <w:lang w:val="zh-CN"/>
              </w:rPr>
            </w:pPr>
          </w:p>
        </w:tc>
      </w:tr>
      <w:tr w14:paraId="59F13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noWrap w:val="0"/>
            <w:vAlign w:val="center"/>
          </w:tcPr>
          <w:p w14:paraId="2C736182">
            <w:pPr>
              <w:pStyle w:val="94"/>
              <w:spacing w:line="360" w:lineRule="auto"/>
              <w:ind w:left="0" w:leftChars="0" w:firstLine="0" w:firstLineChars="0"/>
              <w:jc w:val="center"/>
              <w:rPr>
                <w:rFonts w:hint="eastAsia" w:ascii="仿宋" w:hAnsi="仿宋" w:eastAsia="仿宋" w:cs="仿宋"/>
              </w:rPr>
            </w:pPr>
            <w:r>
              <w:rPr>
                <w:rFonts w:hint="eastAsia" w:ascii="仿宋" w:hAnsi="仿宋" w:eastAsia="仿宋" w:cs="仿宋"/>
              </w:rPr>
              <w:t>5</w:t>
            </w:r>
          </w:p>
        </w:tc>
        <w:tc>
          <w:tcPr>
            <w:tcW w:w="833" w:type="pct"/>
            <w:noWrap w:val="0"/>
            <w:vAlign w:val="center"/>
          </w:tcPr>
          <w:p w14:paraId="1F126948">
            <w:pPr>
              <w:jc w:val="center"/>
              <w:rPr>
                <w:rFonts w:hint="eastAsia" w:ascii="仿宋" w:hAnsi="仿宋" w:cs="仿宋"/>
                <w:lang w:val="zh-CN"/>
              </w:rPr>
            </w:pPr>
            <w:r>
              <w:rPr>
                <w:rFonts w:hint="eastAsia" w:ascii="仿宋" w:hAnsi="仿宋" w:cs="仿宋"/>
                <w:lang w:val="zh-CN"/>
              </w:rPr>
              <w:t>环境数据</w:t>
            </w:r>
          </w:p>
        </w:tc>
        <w:tc>
          <w:tcPr>
            <w:tcW w:w="2888" w:type="pct"/>
            <w:noWrap w:val="0"/>
            <w:vAlign w:val="center"/>
          </w:tcPr>
          <w:p w14:paraId="23D94E16">
            <w:pPr>
              <w:rPr>
                <w:rFonts w:hint="eastAsia" w:ascii="仿宋" w:hAnsi="仿宋" w:cs="仿宋"/>
                <w:lang w:val="zh-CN"/>
              </w:rPr>
            </w:pPr>
            <w:r>
              <w:rPr>
                <w:rFonts w:hint="eastAsia" w:ascii="仿宋" w:hAnsi="仿宋" w:cs="仿宋"/>
                <w:lang w:val="zh-CN"/>
              </w:rPr>
              <w:t>各监测点的温湿度、烟雾、水浸以及气象发布信息</w:t>
            </w:r>
          </w:p>
        </w:tc>
        <w:tc>
          <w:tcPr>
            <w:tcW w:w="925" w:type="pct"/>
            <w:noWrap w:val="0"/>
            <w:vAlign w:val="center"/>
          </w:tcPr>
          <w:p w14:paraId="7EFB2FE6">
            <w:pPr>
              <w:jc w:val="left"/>
              <w:rPr>
                <w:rFonts w:hint="eastAsia" w:ascii="仿宋" w:hAnsi="仿宋" w:cs="仿宋"/>
                <w:lang w:val="zh-CN"/>
              </w:rPr>
            </w:pPr>
            <w:r>
              <w:rPr>
                <w:rFonts w:hint="eastAsia" w:ascii="仿宋" w:hAnsi="仿宋" w:cs="仿宋"/>
                <w:lang w:val="zh-CN"/>
              </w:rPr>
              <w:t>展示、统计、分析、告警</w:t>
            </w:r>
          </w:p>
        </w:tc>
      </w:tr>
      <w:tr w14:paraId="2FD9B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noWrap w:val="0"/>
            <w:vAlign w:val="center"/>
          </w:tcPr>
          <w:p w14:paraId="7683FADA">
            <w:pPr>
              <w:pStyle w:val="94"/>
              <w:spacing w:line="360" w:lineRule="auto"/>
              <w:ind w:left="0" w:leftChars="0" w:firstLine="0" w:firstLineChars="0"/>
              <w:jc w:val="center"/>
              <w:rPr>
                <w:rFonts w:hint="eastAsia" w:ascii="仿宋" w:hAnsi="仿宋" w:eastAsia="仿宋" w:cs="仿宋"/>
              </w:rPr>
            </w:pPr>
            <w:r>
              <w:rPr>
                <w:rFonts w:hint="eastAsia" w:ascii="仿宋" w:hAnsi="仿宋" w:eastAsia="仿宋" w:cs="仿宋"/>
              </w:rPr>
              <w:t>6</w:t>
            </w:r>
          </w:p>
        </w:tc>
        <w:tc>
          <w:tcPr>
            <w:tcW w:w="833" w:type="pct"/>
            <w:noWrap w:val="0"/>
            <w:vAlign w:val="center"/>
          </w:tcPr>
          <w:p w14:paraId="00F6F44E">
            <w:pPr>
              <w:jc w:val="center"/>
              <w:rPr>
                <w:rFonts w:hint="eastAsia" w:ascii="仿宋" w:hAnsi="仿宋" w:cs="仿宋"/>
                <w:lang w:val="zh-CN"/>
              </w:rPr>
            </w:pPr>
            <w:r>
              <w:rPr>
                <w:rFonts w:hint="eastAsia" w:ascii="仿宋" w:hAnsi="仿宋" w:cs="仿宋"/>
                <w:lang w:val="zh-CN"/>
              </w:rPr>
              <w:t>告警数据</w:t>
            </w:r>
          </w:p>
        </w:tc>
        <w:tc>
          <w:tcPr>
            <w:tcW w:w="2888" w:type="pct"/>
            <w:noWrap w:val="0"/>
            <w:vAlign w:val="center"/>
          </w:tcPr>
          <w:p w14:paraId="777D1BC8">
            <w:pPr>
              <w:rPr>
                <w:rFonts w:hint="eastAsia" w:ascii="仿宋" w:hAnsi="仿宋" w:cs="仿宋"/>
                <w:lang w:val="zh-CN"/>
              </w:rPr>
            </w:pPr>
            <w:r>
              <w:rPr>
                <w:rFonts w:hint="eastAsia" w:ascii="仿宋" w:hAnsi="仿宋" w:cs="仿宋"/>
                <w:lang w:val="zh-CN"/>
              </w:rPr>
              <w:t>设备、系统自身的告警、事件、参数阀值越限</w:t>
            </w:r>
          </w:p>
        </w:tc>
        <w:tc>
          <w:tcPr>
            <w:tcW w:w="925" w:type="pct"/>
            <w:noWrap w:val="0"/>
            <w:vAlign w:val="center"/>
          </w:tcPr>
          <w:p w14:paraId="413FDA8A">
            <w:pPr>
              <w:jc w:val="left"/>
              <w:rPr>
                <w:rFonts w:hint="eastAsia" w:ascii="仿宋" w:hAnsi="仿宋" w:cs="仿宋"/>
                <w:lang w:val="zh-CN"/>
              </w:rPr>
            </w:pPr>
            <w:r>
              <w:rPr>
                <w:rFonts w:hint="eastAsia" w:ascii="仿宋" w:hAnsi="仿宋" w:cs="仿宋"/>
                <w:lang w:val="zh-CN"/>
              </w:rPr>
              <w:t>展示、统计、分析、告警</w:t>
            </w:r>
          </w:p>
        </w:tc>
      </w:tr>
      <w:tr w14:paraId="53E1A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noWrap w:val="0"/>
            <w:vAlign w:val="center"/>
          </w:tcPr>
          <w:p w14:paraId="72F75E67">
            <w:pPr>
              <w:pStyle w:val="94"/>
              <w:spacing w:line="360" w:lineRule="auto"/>
              <w:ind w:left="0" w:leftChars="0" w:firstLine="0" w:firstLineChars="0"/>
              <w:jc w:val="center"/>
              <w:rPr>
                <w:rFonts w:hint="eastAsia" w:ascii="仿宋" w:hAnsi="仿宋" w:eastAsia="仿宋" w:cs="仿宋"/>
              </w:rPr>
            </w:pPr>
            <w:r>
              <w:rPr>
                <w:rFonts w:hint="eastAsia" w:ascii="仿宋" w:hAnsi="仿宋" w:eastAsia="仿宋" w:cs="仿宋"/>
              </w:rPr>
              <w:t>7</w:t>
            </w:r>
          </w:p>
        </w:tc>
        <w:tc>
          <w:tcPr>
            <w:tcW w:w="833" w:type="pct"/>
            <w:noWrap w:val="0"/>
            <w:vAlign w:val="center"/>
          </w:tcPr>
          <w:p w14:paraId="3DF1C1C3">
            <w:pPr>
              <w:jc w:val="center"/>
              <w:rPr>
                <w:rFonts w:hint="eastAsia" w:ascii="仿宋" w:hAnsi="仿宋" w:cs="仿宋"/>
                <w:lang w:val="zh-CN"/>
              </w:rPr>
            </w:pPr>
            <w:r>
              <w:rPr>
                <w:rFonts w:hint="eastAsia" w:ascii="仿宋" w:hAnsi="仿宋" w:cs="仿宋"/>
                <w:lang w:val="zh-CN"/>
              </w:rPr>
              <w:t>故障异态数据</w:t>
            </w:r>
          </w:p>
        </w:tc>
        <w:tc>
          <w:tcPr>
            <w:tcW w:w="2888" w:type="pct"/>
            <w:noWrap w:val="0"/>
            <w:vAlign w:val="center"/>
          </w:tcPr>
          <w:p w14:paraId="3D7F9EE8">
            <w:pPr>
              <w:rPr>
                <w:rFonts w:hint="eastAsia" w:ascii="仿宋" w:hAnsi="仿宋" w:cs="仿宋"/>
                <w:lang w:val="zh-CN"/>
              </w:rPr>
            </w:pPr>
            <w:r>
              <w:rPr>
                <w:rFonts w:hint="eastAsia" w:ascii="仿宋" w:hAnsi="仿宋" w:cs="仿宋"/>
                <w:lang w:val="zh-CN"/>
              </w:rPr>
              <w:t>业务区的设备故障告警的抓拍，录像、应急处置的操作抓拍、录像</w:t>
            </w:r>
          </w:p>
        </w:tc>
        <w:tc>
          <w:tcPr>
            <w:tcW w:w="925" w:type="pct"/>
            <w:noWrap w:val="0"/>
            <w:vAlign w:val="center"/>
          </w:tcPr>
          <w:p w14:paraId="14450A62">
            <w:pPr>
              <w:jc w:val="left"/>
              <w:rPr>
                <w:rFonts w:hint="eastAsia" w:ascii="仿宋" w:hAnsi="仿宋" w:cs="仿宋"/>
                <w:lang w:val="zh-CN"/>
              </w:rPr>
            </w:pPr>
            <w:r>
              <w:rPr>
                <w:rFonts w:hint="eastAsia" w:ascii="仿宋" w:hAnsi="仿宋" w:cs="仿宋"/>
                <w:lang w:val="zh-CN"/>
              </w:rPr>
              <w:t>展示、分析</w:t>
            </w:r>
          </w:p>
        </w:tc>
      </w:tr>
      <w:tr w14:paraId="418AF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noWrap w:val="0"/>
            <w:vAlign w:val="center"/>
          </w:tcPr>
          <w:p w14:paraId="40C91D71">
            <w:pPr>
              <w:pStyle w:val="94"/>
              <w:spacing w:line="360" w:lineRule="auto"/>
              <w:ind w:left="0" w:leftChars="0" w:firstLine="0" w:firstLineChars="0"/>
              <w:jc w:val="center"/>
              <w:rPr>
                <w:rFonts w:hint="eastAsia" w:ascii="仿宋" w:hAnsi="仿宋" w:eastAsia="仿宋" w:cs="仿宋"/>
              </w:rPr>
            </w:pPr>
            <w:r>
              <w:rPr>
                <w:rFonts w:hint="eastAsia" w:ascii="仿宋" w:hAnsi="仿宋" w:eastAsia="仿宋" w:cs="仿宋"/>
              </w:rPr>
              <w:t>8</w:t>
            </w:r>
          </w:p>
        </w:tc>
        <w:tc>
          <w:tcPr>
            <w:tcW w:w="833" w:type="pct"/>
            <w:noWrap w:val="0"/>
            <w:vAlign w:val="center"/>
          </w:tcPr>
          <w:p w14:paraId="1B3637EC">
            <w:pPr>
              <w:jc w:val="center"/>
              <w:rPr>
                <w:rFonts w:hint="eastAsia" w:ascii="仿宋" w:hAnsi="仿宋" w:cs="仿宋"/>
                <w:lang w:val="zh-CN"/>
              </w:rPr>
            </w:pPr>
            <w:r>
              <w:rPr>
                <w:rFonts w:hint="eastAsia" w:ascii="仿宋" w:hAnsi="仿宋" w:cs="仿宋"/>
                <w:lang w:val="zh-CN"/>
              </w:rPr>
              <w:t>地理信息数据</w:t>
            </w:r>
          </w:p>
        </w:tc>
        <w:tc>
          <w:tcPr>
            <w:tcW w:w="2888" w:type="pct"/>
            <w:noWrap w:val="0"/>
            <w:vAlign w:val="center"/>
          </w:tcPr>
          <w:p w14:paraId="1EEE22EC">
            <w:pPr>
              <w:rPr>
                <w:rFonts w:hint="eastAsia" w:ascii="仿宋" w:hAnsi="仿宋" w:cs="仿宋"/>
                <w:lang w:val="zh-CN"/>
              </w:rPr>
            </w:pPr>
            <w:r>
              <w:rPr>
                <w:rFonts w:hint="eastAsia" w:ascii="仿宋" w:hAnsi="仿宋" w:cs="仿宋"/>
                <w:lang w:val="zh-CN"/>
              </w:rPr>
              <w:t>融媒体中心基础地理信息，地理框架数据、专题数据、模型数据和元数据</w:t>
            </w:r>
          </w:p>
        </w:tc>
        <w:tc>
          <w:tcPr>
            <w:tcW w:w="925" w:type="pct"/>
            <w:noWrap w:val="0"/>
            <w:vAlign w:val="center"/>
          </w:tcPr>
          <w:p w14:paraId="5329EEFB">
            <w:pPr>
              <w:jc w:val="left"/>
              <w:rPr>
                <w:rFonts w:hint="eastAsia" w:ascii="仿宋" w:hAnsi="仿宋" w:cs="仿宋"/>
                <w:lang w:val="zh-CN"/>
              </w:rPr>
            </w:pPr>
            <w:r>
              <w:rPr>
                <w:rFonts w:hint="eastAsia" w:ascii="仿宋" w:hAnsi="仿宋" w:cs="仿宋"/>
                <w:lang w:val="zh-CN"/>
              </w:rPr>
              <w:t>展示</w:t>
            </w:r>
          </w:p>
        </w:tc>
      </w:tr>
    </w:tbl>
    <w:p w14:paraId="074E495C">
      <w:pPr>
        <w:rPr>
          <w:rFonts w:hint="eastAsia" w:ascii="仿宋" w:hAnsi="仿宋" w:cs="仿宋"/>
        </w:rPr>
      </w:pPr>
    </w:p>
    <w:p w14:paraId="26EDA6F7">
      <w:pPr>
        <w:pStyle w:val="229"/>
        <w:spacing w:line="360" w:lineRule="auto"/>
        <w:ind w:firstLine="363"/>
        <w:jc w:val="both"/>
        <w:rPr>
          <w:rFonts w:hint="default" w:ascii="宋体" w:hAnsi="宋体" w:eastAsia="宋体" w:cs="宋体"/>
          <w:sz w:val="21"/>
          <w:szCs w:val="22"/>
          <w:lang w:val="en-US" w:eastAsia="zh-CN"/>
        </w:rPr>
      </w:pPr>
      <w:r>
        <w:rPr>
          <w:rFonts w:hint="eastAsia" w:ascii="宋体" w:hAnsi="宋体" w:eastAsia="宋体" w:cs="宋体"/>
          <w:sz w:val="21"/>
          <w:szCs w:val="22"/>
          <w:lang w:eastAsia="zh-CN"/>
        </w:rPr>
        <w:t>数据的</w:t>
      </w:r>
      <w:r>
        <w:rPr>
          <w:rFonts w:hint="eastAsia" w:ascii="宋体" w:hAnsi="宋体" w:eastAsia="宋体" w:cs="宋体"/>
          <w:sz w:val="21"/>
          <w:szCs w:val="22"/>
          <w:lang w:val="en-US" w:eastAsia="zh-CN"/>
        </w:rPr>
        <w:t>采集分析</w:t>
      </w:r>
      <w:r>
        <w:rPr>
          <w:rFonts w:hint="eastAsia" w:ascii="宋体" w:hAnsi="宋体" w:eastAsia="宋体" w:cs="宋体"/>
          <w:sz w:val="21"/>
          <w:szCs w:val="22"/>
          <w:lang w:eastAsia="zh-CN"/>
        </w:rPr>
        <w:t>利用</w:t>
      </w:r>
      <w:r>
        <w:rPr>
          <w:rFonts w:hint="eastAsia" w:ascii="宋体" w:hAnsi="宋体" w:eastAsia="宋体" w:cs="宋体"/>
          <w:sz w:val="21"/>
          <w:szCs w:val="22"/>
          <w:lang w:val="en-US" w:eastAsia="zh-CN"/>
        </w:rPr>
        <w:t>后，</w:t>
      </w:r>
      <w:r>
        <w:rPr>
          <w:rFonts w:hint="eastAsia" w:ascii="宋体" w:hAnsi="宋体" w:eastAsia="宋体" w:cs="宋体"/>
          <w:sz w:val="21"/>
          <w:szCs w:val="22"/>
          <w:lang w:eastAsia="zh-CN"/>
        </w:rPr>
        <w:t>主用于提供全面的数据服务：</w:t>
      </w:r>
    </w:p>
    <w:p w14:paraId="0D1AC5DB">
      <w:pPr>
        <w:pStyle w:val="229"/>
        <w:widowControl w:val="0"/>
        <w:numPr>
          <w:ilvl w:val="0"/>
          <w:numId w:val="0"/>
        </w:numPr>
        <w:adjustRightInd/>
        <w:spacing w:after="0" w:line="360" w:lineRule="auto"/>
        <w:ind w:right="0" w:rightChars="0" w:firstLine="420" w:firstLineChars="200"/>
        <w:jc w:val="both"/>
        <w:textAlignment w:val="auto"/>
        <w:rPr>
          <w:rFonts w:hint="eastAsia" w:ascii="宋体" w:hAnsi="宋体" w:eastAsia="宋体" w:cs="仿宋"/>
          <w:sz w:val="21"/>
          <w:szCs w:val="21"/>
          <w:lang w:eastAsia="zh-CN"/>
        </w:rPr>
      </w:pPr>
      <w:r>
        <w:rPr>
          <w:rFonts w:hint="eastAsia" w:ascii="宋体" w:hAnsi="宋体" w:eastAsia="宋体" w:cs="仿宋"/>
          <w:sz w:val="21"/>
          <w:szCs w:val="21"/>
          <w:lang w:eastAsia="zh-CN"/>
        </w:rPr>
        <w:t>从技术层面的运维人员来说，监控机房的大屏可监看；通过终端主动检索、平台主动推送，平台内部对数据关联的有机整合，为技术人员提供有力的决策分析数据和手段。</w:t>
      </w:r>
    </w:p>
    <w:p w14:paraId="362E5370">
      <w:pPr>
        <w:pStyle w:val="229"/>
        <w:widowControl w:val="0"/>
        <w:numPr>
          <w:ilvl w:val="0"/>
          <w:numId w:val="14"/>
        </w:numPr>
        <w:adjustRightInd/>
        <w:spacing w:after="0" w:line="360" w:lineRule="auto"/>
        <w:ind w:right="0"/>
        <w:jc w:val="both"/>
        <w:textAlignment w:val="auto"/>
        <w:rPr>
          <w:rFonts w:hint="eastAsia" w:ascii="宋体" w:hAnsi="宋体" w:eastAsia="宋体" w:cs="仿宋"/>
          <w:sz w:val="21"/>
          <w:szCs w:val="21"/>
        </w:rPr>
      </w:pPr>
      <w:r>
        <w:rPr>
          <w:rFonts w:hint="eastAsia" w:ascii="宋体" w:hAnsi="宋体" w:eastAsia="宋体" w:cs="仿宋"/>
          <w:sz w:val="21"/>
          <w:szCs w:val="21"/>
        </w:rPr>
        <w:t>数据共享</w:t>
      </w:r>
    </w:p>
    <w:p w14:paraId="0393E769">
      <w:pPr>
        <w:pStyle w:val="229"/>
        <w:widowControl w:val="0"/>
        <w:numPr>
          <w:ilvl w:val="0"/>
          <w:numId w:val="0"/>
        </w:numPr>
        <w:adjustRightInd/>
        <w:spacing w:after="0" w:line="360" w:lineRule="auto"/>
        <w:ind w:right="0" w:rightChars="0" w:firstLine="420" w:firstLineChars="200"/>
        <w:jc w:val="both"/>
        <w:textAlignment w:val="auto"/>
        <w:rPr>
          <w:rFonts w:hint="eastAsia" w:ascii="宋体" w:hAnsi="宋体" w:eastAsia="宋体" w:cs="仿宋"/>
          <w:sz w:val="21"/>
          <w:szCs w:val="21"/>
          <w:lang w:eastAsia="zh-CN"/>
        </w:rPr>
      </w:pPr>
      <w:r>
        <w:rPr>
          <w:rFonts w:hint="eastAsia" w:ascii="宋体" w:hAnsi="宋体" w:eastAsia="宋体" w:cs="仿宋"/>
          <w:sz w:val="21"/>
          <w:szCs w:val="21"/>
          <w:lang w:eastAsia="zh-CN"/>
        </w:rPr>
        <w:t>通过统一的标准数据接口，为各个设备厂家开放对应设备数据、告警历史以及日志，方便厂家对设备进行维护和诊断，提高售后服务质量，改进设备性能。</w:t>
      </w:r>
    </w:p>
    <w:p w14:paraId="11B17CBF">
      <w:pPr>
        <w:pStyle w:val="229"/>
        <w:widowControl w:val="0"/>
        <w:numPr>
          <w:ilvl w:val="0"/>
          <w:numId w:val="14"/>
        </w:numPr>
        <w:adjustRightInd/>
        <w:spacing w:after="0" w:line="360" w:lineRule="auto"/>
        <w:ind w:right="0"/>
        <w:jc w:val="both"/>
        <w:textAlignment w:val="auto"/>
        <w:rPr>
          <w:rFonts w:hint="eastAsia" w:ascii="宋体" w:hAnsi="宋体" w:eastAsia="宋体" w:cs="仿宋"/>
          <w:sz w:val="21"/>
          <w:szCs w:val="21"/>
        </w:rPr>
      </w:pPr>
      <w:r>
        <w:rPr>
          <w:rFonts w:hint="eastAsia" w:ascii="宋体" w:hAnsi="宋体" w:eastAsia="宋体" w:cs="仿宋"/>
          <w:sz w:val="21"/>
          <w:szCs w:val="21"/>
        </w:rPr>
        <w:t>资源共享</w:t>
      </w:r>
    </w:p>
    <w:p w14:paraId="4A04D6AF">
      <w:pPr>
        <w:pStyle w:val="229"/>
        <w:widowControl w:val="0"/>
        <w:numPr>
          <w:ilvl w:val="0"/>
          <w:numId w:val="0"/>
        </w:numPr>
        <w:adjustRightInd/>
        <w:spacing w:after="0" w:line="360" w:lineRule="auto"/>
        <w:ind w:right="0" w:rightChars="0" w:firstLine="420" w:firstLineChars="200"/>
        <w:jc w:val="both"/>
        <w:textAlignment w:val="auto"/>
        <w:rPr>
          <w:rFonts w:hint="eastAsia" w:ascii="宋体" w:hAnsi="宋体" w:eastAsia="宋体" w:cs="仿宋"/>
          <w:sz w:val="21"/>
          <w:szCs w:val="21"/>
          <w:lang w:eastAsia="zh-CN"/>
        </w:rPr>
      </w:pPr>
      <w:r>
        <w:rPr>
          <w:rFonts w:hint="eastAsia" w:ascii="宋体" w:hAnsi="宋体" w:eastAsia="宋体" w:cs="仿宋"/>
          <w:sz w:val="21"/>
          <w:szCs w:val="21"/>
          <w:lang w:eastAsia="zh-CN"/>
        </w:rPr>
        <w:t>技术资源：形成统一的技术</w:t>
      </w:r>
      <w:r>
        <w:rPr>
          <w:rFonts w:hint="eastAsia" w:ascii="宋体" w:hAnsi="宋体" w:eastAsia="宋体" w:cs="仿宋"/>
          <w:sz w:val="21"/>
          <w:szCs w:val="21"/>
          <w:lang w:val="en-US" w:eastAsia="zh-CN"/>
        </w:rPr>
        <w:t>知识</w:t>
      </w:r>
      <w:r>
        <w:rPr>
          <w:rFonts w:hint="eastAsia" w:ascii="宋体" w:hAnsi="宋体" w:eastAsia="宋体" w:cs="仿宋"/>
          <w:sz w:val="21"/>
          <w:szCs w:val="21"/>
          <w:lang w:eastAsia="zh-CN"/>
        </w:rPr>
        <w:t>库，在不同场景的故障和应急处置过程中，根据技能专长、经验提供专家资源；通过建立故障和应急处置经验，分享和检索相关的解决方案和预案。</w:t>
      </w:r>
    </w:p>
    <w:p w14:paraId="0122F41D">
      <w:pPr>
        <w:pStyle w:val="229"/>
        <w:widowControl w:val="0"/>
        <w:numPr>
          <w:ilvl w:val="0"/>
          <w:numId w:val="0"/>
        </w:numPr>
        <w:adjustRightInd/>
        <w:spacing w:after="0" w:line="360" w:lineRule="auto"/>
        <w:ind w:right="0" w:rightChars="0" w:firstLine="422" w:firstLineChars="200"/>
        <w:jc w:val="both"/>
        <w:textAlignment w:val="auto"/>
        <w:rPr>
          <w:rFonts w:hint="eastAsia" w:ascii="宋体" w:hAnsi="宋体" w:cs="华文细黑"/>
          <w:b/>
          <w:color w:val="000000"/>
          <w:kern w:val="0"/>
          <w:sz w:val="21"/>
          <w:szCs w:val="21"/>
        </w:rPr>
      </w:pPr>
      <w:r>
        <w:rPr>
          <w:rFonts w:hint="eastAsia" w:ascii="宋体" w:hAnsi="宋体" w:eastAsia="宋体" w:cs="宋体"/>
          <w:b/>
          <w:color w:val="000000"/>
          <w:kern w:val="0"/>
          <w:sz w:val="21"/>
          <w:szCs w:val="21"/>
        </w:rPr>
        <w:t>2</w:t>
      </w:r>
      <w:r>
        <w:rPr>
          <w:rFonts w:hint="eastAsia" w:ascii="宋体" w:hAnsi="宋体" w:eastAsia="宋体" w:cs="宋体"/>
          <w:b/>
          <w:color w:val="000000"/>
          <w:kern w:val="0"/>
          <w:sz w:val="21"/>
          <w:szCs w:val="21"/>
          <w:lang w:eastAsia="zh-CN"/>
        </w:rPr>
        <w:t>.</w:t>
      </w:r>
      <w:r>
        <w:rPr>
          <w:rFonts w:hint="eastAsia" w:ascii="宋体" w:hAnsi="宋体" w:eastAsia="宋体" w:cs="宋体"/>
          <w:b/>
          <w:color w:val="000000"/>
          <w:kern w:val="0"/>
          <w:sz w:val="21"/>
          <w:szCs w:val="21"/>
        </w:rPr>
        <w:t>运维分析</w:t>
      </w:r>
      <w:r>
        <w:rPr>
          <w:rFonts w:hint="eastAsia" w:ascii="宋体" w:hAnsi="宋体" w:cs="华文细黑"/>
          <w:b/>
          <w:color w:val="000000"/>
          <w:kern w:val="0"/>
          <w:sz w:val="21"/>
          <w:szCs w:val="21"/>
        </w:rPr>
        <w:tab/>
      </w:r>
    </w:p>
    <w:p w14:paraId="3C6E889F">
      <w:pPr>
        <w:autoSpaceDE w:val="0"/>
        <w:autoSpaceDN w:val="0"/>
        <w:adjustRightInd w:val="0"/>
        <w:spacing w:line="360" w:lineRule="auto"/>
        <w:ind w:firstLine="420" w:firstLineChars="200"/>
        <w:jc w:val="left"/>
        <w:rPr>
          <w:rFonts w:hint="eastAsia" w:ascii="宋体" w:hAnsi="宋体" w:cs="华文细黑"/>
          <w:b w:val="0"/>
          <w:bCs/>
          <w:color w:val="000000"/>
          <w:kern w:val="0"/>
          <w:szCs w:val="21"/>
        </w:rPr>
      </w:pPr>
      <w:r>
        <w:rPr>
          <w:rFonts w:ascii="宋体" w:hAnsi="宋体" w:cs="华文细黑"/>
          <w:b w:val="0"/>
          <w:bCs/>
          <w:color w:val="000000"/>
          <w:kern w:val="0"/>
          <w:szCs w:val="21"/>
        </w:rPr>
        <w:t>1</w:t>
      </w:r>
      <w:r>
        <w:rPr>
          <w:rFonts w:hint="eastAsia" w:ascii="宋体" w:hAnsi="宋体" w:cs="华文细黑"/>
          <w:b w:val="0"/>
          <w:bCs/>
          <w:color w:val="000000"/>
          <w:kern w:val="0"/>
          <w:szCs w:val="21"/>
        </w:rPr>
        <w:t>）设备指标监测</w:t>
      </w:r>
    </w:p>
    <w:p w14:paraId="0EF7C53C">
      <w:pPr>
        <w:pStyle w:val="229"/>
        <w:spacing w:line="360" w:lineRule="auto"/>
        <w:ind w:firstLine="420"/>
        <w:jc w:val="left"/>
        <w:rPr>
          <w:rFonts w:hint="eastAsia" w:ascii="仿宋" w:hAnsi="仿宋" w:eastAsia="宋体" w:cs="仿宋"/>
          <w:kern w:val="2"/>
          <w:sz w:val="21"/>
          <w:szCs w:val="28"/>
          <w:lang w:val="en-US" w:eastAsia="zh-CN" w:bidi="ar-SA"/>
        </w:rPr>
      </w:pPr>
      <w:r>
        <w:rPr>
          <w:rFonts w:hint="eastAsia" w:ascii="仿宋" w:hAnsi="仿宋" w:eastAsia="宋体" w:cs="仿宋"/>
          <w:kern w:val="2"/>
          <w:sz w:val="21"/>
          <w:szCs w:val="28"/>
          <w:lang w:val="en-US" w:eastAsia="zh-CN" w:bidi="ar-SA"/>
        </w:rPr>
        <w:t>设备指标监视、指标数据分析以及各类设备关键指标信息的收集、统计、存储，指标数据库的维护，管理阈值的设置与超出阈值报告，产生所需的监测数据报告，以曲线图、数据表格方式展现设备关键指标数据。</w:t>
      </w:r>
    </w:p>
    <w:p w14:paraId="358AF52A">
      <w:pPr>
        <w:autoSpaceDE w:val="0"/>
        <w:autoSpaceDN w:val="0"/>
        <w:adjustRightInd w:val="0"/>
        <w:spacing w:line="360" w:lineRule="auto"/>
        <w:ind w:firstLine="420" w:firstLineChars="200"/>
        <w:jc w:val="left"/>
        <w:rPr>
          <w:rFonts w:hint="eastAsia" w:ascii="宋体" w:hAnsi="宋体" w:cs="华文细黑"/>
          <w:b w:val="0"/>
          <w:bCs/>
          <w:color w:val="000000"/>
          <w:kern w:val="0"/>
          <w:szCs w:val="21"/>
        </w:rPr>
      </w:pPr>
      <w:r>
        <w:rPr>
          <w:rFonts w:hint="eastAsia" w:ascii="宋体" w:hAnsi="宋体" w:cs="华文细黑"/>
          <w:b w:val="0"/>
          <w:bCs/>
          <w:color w:val="000000"/>
          <w:kern w:val="0"/>
          <w:szCs w:val="21"/>
        </w:rPr>
        <w:t>2）巡检管理</w:t>
      </w:r>
    </w:p>
    <w:p w14:paraId="35B736DE">
      <w:pPr>
        <w:pStyle w:val="229"/>
        <w:spacing w:line="360" w:lineRule="auto"/>
        <w:ind w:firstLine="420"/>
        <w:jc w:val="left"/>
        <w:rPr>
          <w:rFonts w:hint="eastAsia" w:ascii="仿宋" w:hAnsi="仿宋" w:eastAsia="宋体" w:cs="仿宋"/>
          <w:kern w:val="2"/>
          <w:sz w:val="21"/>
          <w:szCs w:val="28"/>
          <w:lang w:val="en-US" w:eastAsia="zh-CN" w:bidi="ar-SA"/>
        </w:rPr>
      </w:pPr>
      <w:r>
        <w:rPr>
          <w:rFonts w:hint="eastAsia" w:ascii="仿宋" w:hAnsi="仿宋" w:eastAsia="宋体" w:cs="仿宋"/>
          <w:kern w:val="2"/>
          <w:sz w:val="21"/>
          <w:szCs w:val="28"/>
          <w:lang w:val="en-US" w:eastAsia="zh-CN" w:bidi="ar-SA"/>
        </w:rPr>
        <w:t>基于融媒体中心管理平台的数据为基础，在平台监视和管理的范围内，制定智能巡检方案，巡检的过程通过软件自动完成，并记录巡检的虚拟轨迹、巡检结果。</w:t>
      </w:r>
    </w:p>
    <w:p w14:paraId="52B459C5">
      <w:pPr>
        <w:autoSpaceDE w:val="0"/>
        <w:autoSpaceDN w:val="0"/>
        <w:adjustRightInd w:val="0"/>
        <w:spacing w:line="360" w:lineRule="auto"/>
        <w:ind w:firstLine="420" w:firstLineChars="200"/>
        <w:jc w:val="left"/>
        <w:rPr>
          <w:rFonts w:hint="eastAsia" w:ascii="宋体" w:hAnsi="宋体" w:cs="华文细黑"/>
          <w:b w:val="0"/>
          <w:bCs/>
          <w:color w:val="000000"/>
          <w:kern w:val="0"/>
          <w:szCs w:val="21"/>
        </w:rPr>
      </w:pPr>
      <w:r>
        <w:rPr>
          <w:rFonts w:hint="eastAsia" w:ascii="宋体" w:hAnsi="宋体" w:cs="华文细黑"/>
          <w:b w:val="0"/>
          <w:bCs/>
          <w:color w:val="000000"/>
          <w:kern w:val="0"/>
          <w:szCs w:val="21"/>
        </w:rPr>
        <w:t>3）告警管理</w:t>
      </w:r>
    </w:p>
    <w:p w14:paraId="71A34D81">
      <w:pPr>
        <w:spacing w:line="360" w:lineRule="auto"/>
        <w:ind w:firstLine="420"/>
        <w:rPr>
          <w:rFonts w:hint="eastAsia" w:ascii="仿宋" w:hAnsi="仿宋" w:cs="仿宋"/>
        </w:rPr>
      </w:pPr>
      <w:r>
        <w:rPr>
          <w:rFonts w:hint="eastAsia" w:ascii="仿宋" w:hAnsi="仿宋" w:cs="仿宋"/>
          <w:kern w:val="0"/>
          <w:szCs w:val="28"/>
          <w:lang w:bidi="en-US"/>
        </w:rPr>
        <w:t>故障管理模块具有准确、快捷的故障自诊断能力和定位能力；通过语音告警、图标颜色等多种方式通知故障。实现对数据网内所有设备的告警监测和故障定位；收集和处理各种类型故障、告警及设备状态异常信息；并具有对实时和历史数据各种分类统计和指导分析的功能。网管维护人员可以对相关告警设备进行告警确认、清除和统计分析等操作。把运维人员从繁重琐碎的大量工作中解放出来，可以更好的对设备进行维护，最大限度提高障碍解决效率</w:t>
      </w:r>
      <w:r>
        <w:rPr>
          <w:rFonts w:hint="eastAsia" w:ascii="仿宋" w:hAnsi="仿宋" w:cs="仿宋"/>
          <w:kern w:val="0"/>
          <w:szCs w:val="28"/>
          <w:lang w:eastAsia="zh-Hans" w:bidi="en-US"/>
        </w:rPr>
        <w:t>。</w:t>
      </w:r>
    </w:p>
    <w:p w14:paraId="06F34BA6">
      <w:pPr>
        <w:autoSpaceDE w:val="0"/>
        <w:autoSpaceDN w:val="0"/>
        <w:adjustRightInd w:val="0"/>
        <w:spacing w:line="360" w:lineRule="auto"/>
        <w:ind w:firstLine="420" w:firstLineChars="200"/>
        <w:jc w:val="left"/>
        <w:rPr>
          <w:rFonts w:hint="eastAsia" w:ascii="宋体" w:hAnsi="宋体" w:cs="华文细黑"/>
          <w:b w:val="0"/>
          <w:bCs/>
          <w:color w:val="000000"/>
          <w:kern w:val="0"/>
          <w:szCs w:val="21"/>
        </w:rPr>
      </w:pPr>
      <w:r>
        <w:rPr>
          <w:rFonts w:hint="eastAsia" w:ascii="宋体" w:hAnsi="宋体" w:cs="华文细黑"/>
          <w:b w:val="0"/>
          <w:bCs/>
          <w:color w:val="000000"/>
          <w:kern w:val="0"/>
          <w:szCs w:val="21"/>
        </w:rPr>
        <w:t>4）统计报表</w:t>
      </w:r>
    </w:p>
    <w:p w14:paraId="708B4EC1">
      <w:pPr>
        <w:spacing w:before="156" w:beforeLines="50" w:line="360" w:lineRule="auto"/>
        <w:ind w:firstLine="420" w:firstLineChars="200"/>
        <w:jc w:val="left"/>
        <w:rPr>
          <w:rFonts w:hint="eastAsia" w:ascii="仿宋" w:hAnsi="仿宋" w:cs="仿宋"/>
        </w:rPr>
      </w:pPr>
      <w:r>
        <w:rPr>
          <w:rFonts w:hint="eastAsia" w:ascii="仿宋" w:hAnsi="仿宋" w:cs="仿宋"/>
          <w:szCs w:val="28"/>
        </w:rPr>
        <w:t>主要进行报表的统一管理，根据汇总的可靠数据，为优化和调整设备监测参数提供依据。主要功能有故障报表、关键指标报表、设备运维报表等信息统计。可以根据需求进行小时、日、周和月等各种周期进行统计。便于调整、及时添加更新设备监测配置。</w:t>
      </w:r>
    </w:p>
    <w:p w14:paraId="22279AAD">
      <w:pPr>
        <w:autoSpaceDE w:val="0"/>
        <w:autoSpaceDN w:val="0"/>
        <w:adjustRightInd w:val="0"/>
        <w:spacing w:line="360" w:lineRule="auto"/>
        <w:ind w:firstLine="420" w:firstLineChars="200"/>
        <w:jc w:val="left"/>
        <w:rPr>
          <w:rFonts w:ascii="仿宋" w:hAnsi="仿宋" w:cs="仿宋"/>
          <w:b w:val="0"/>
          <w:bCs/>
        </w:rPr>
      </w:pPr>
      <w:r>
        <w:rPr>
          <w:rFonts w:hint="eastAsia" w:ascii="宋体" w:hAnsi="宋体" w:cs="华文细黑"/>
          <w:b w:val="0"/>
          <w:bCs/>
          <w:color w:val="000000"/>
          <w:kern w:val="0"/>
          <w:szCs w:val="21"/>
        </w:rPr>
        <w:t>5）知识库</w:t>
      </w:r>
    </w:p>
    <w:p w14:paraId="13346405">
      <w:pPr>
        <w:spacing w:before="156" w:beforeLines="50" w:line="360" w:lineRule="auto"/>
        <w:ind w:firstLine="420" w:firstLineChars="200"/>
        <w:rPr>
          <w:rFonts w:hint="eastAsia" w:ascii="仿宋" w:hAnsi="仿宋" w:cs="仿宋"/>
          <w:szCs w:val="28"/>
        </w:rPr>
      </w:pPr>
      <w:r>
        <w:rPr>
          <w:rFonts w:hint="eastAsia" w:ascii="仿宋" w:hAnsi="仿宋" w:cs="仿宋"/>
          <w:szCs w:val="28"/>
          <w:lang w:val="en-US" w:eastAsia="zh-CN"/>
        </w:rPr>
        <w:t>支持提供</w:t>
      </w:r>
      <w:r>
        <w:rPr>
          <w:rFonts w:hint="eastAsia" w:ascii="仿宋" w:hAnsi="仿宋" w:cs="仿宋"/>
          <w:szCs w:val="28"/>
        </w:rPr>
        <w:t>对系统的可能遇到的情况进行分析，并针对一些异常情况定出相应的系统关联性判断标准，同时制定相关的预案，作为这些异常情况的应急处理策略。另外，同时可以提供异常情况发生的原因的分析等。</w:t>
      </w:r>
    </w:p>
    <w:p w14:paraId="75456E26">
      <w:pPr>
        <w:spacing w:before="156" w:beforeLines="50" w:line="360" w:lineRule="auto"/>
        <w:ind w:firstLine="420" w:firstLineChars="200"/>
        <w:rPr>
          <w:rFonts w:hint="eastAsia" w:ascii="仿宋" w:hAnsi="仿宋" w:cs="仿宋"/>
          <w:szCs w:val="28"/>
        </w:rPr>
      </w:pPr>
      <w:r>
        <w:rPr>
          <w:rFonts w:hint="eastAsia" w:ascii="仿宋" w:hAnsi="仿宋" w:cs="仿宋"/>
          <w:szCs w:val="28"/>
        </w:rPr>
        <w:t>在发生异常情况时，系统自动根据报警和状态的及时信息，检查是否出现预先设定的异常情况。如果发生这些登记的异常情况，系统自动提醒工作人员，并提示应采取的措施。在可能的情况下，更可以在得到工作人员的确认后自动执行预案。</w:t>
      </w:r>
    </w:p>
    <w:p w14:paraId="16E8B0C5">
      <w:pPr>
        <w:spacing w:before="156" w:beforeLines="50" w:line="360" w:lineRule="auto"/>
        <w:ind w:firstLine="420" w:firstLineChars="200"/>
        <w:rPr>
          <w:rFonts w:hint="eastAsia" w:ascii="仿宋" w:hAnsi="仿宋" w:cs="仿宋"/>
        </w:rPr>
      </w:pPr>
      <w:r>
        <w:rPr>
          <w:rFonts w:hint="eastAsia" w:ascii="仿宋" w:hAnsi="仿宋" w:cs="仿宋"/>
          <w:szCs w:val="28"/>
        </w:rPr>
        <w:t>在完成应急后，还可以根据专家库</w:t>
      </w:r>
      <w:r>
        <w:rPr>
          <w:rFonts w:hint="eastAsia" w:ascii="仿宋" w:hAnsi="仿宋" w:cs="仿宋"/>
          <w:szCs w:val="28"/>
          <w:lang w:val="en-US" w:eastAsia="zh-CN"/>
        </w:rPr>
        <w:t>知识</w:t>
      </w:r>
      <w:r>
        <w:rPr>
          <w:rFonts w:hint="eastAsia" w:ascii="仿宋" w:hAnsi="仿宋" w:cs="仿宋"/>
          <w:szCs w:val="28"/>
        </w:rPr>
        <w:t>中的原因分析，结合系统报警和定位信息，对异常系统部分进行检查和修复。在实际使用中，如发生一些在策略库中不存在的异常情况，也可以根据要求把相应的判断条件和应急操作增加为新的策略，备以后参考使用。</w:t>
      </w:r>
    </w:p>
    <w:p w14:paraId="521028B7">
      <w:pPr>
        <w:numPr>
          <w:ilvl w:val="0"/>
          <w:numId w:val="15"/>
        </w:numPr>
        <w:spacing w:before="156" w:beforeLines="50" w:line="360" w:lineRule="auto"/>
        <w:ind w:firstLine="420" w:firstLineChars="200"/>
        <w:jc w:val="left"/>
        <w:rPr>
          <w:rFonts w:hint="eastAsia" w:ascii="宋体" w:hAnsi="宋体" w:cs="华文细黑"/>
          <w:b w:val="0"/>
          <w:bCs/>
          <w:color w:val="000000"/>
          <w:kern w:val="0"/>
          <w:szCs w:val="21"/>
        </w:rPr>
      </w:pPr>
      <w:r>
        <w:rPr>
          <w:rFonts w:hint="eastAsia" w:ascii="宋体" w:hAnsi="宋体" w:cs="华文细黑"/>
          <w:b w:val="0"/>
          <w:bCs/>
          <w:color w:val="000000"/>
          <w:kern w:val="0"/>
          <w:szCs w:val="21"/>
        </w:rPr>
        <w:t>运维数据分析</w:t>
      </w:r>
    </w:p>
    <w:p w14:paraId="1D15AFDF">
      <w:pPr>
        <w:numPr>
          <w:ilvl w:val="0"/>
          <w:numId w:val="0"/>
        </w:numPr>
        <w:spacing w:before="156" w:beforeLines="50" w:line="360" w:lineRule="auto"/>
        <w:ind w:firstLine="420" w:firstLineChars="0"/>
        <w:jc w:val="left"/>
        <w:rPr>
          <w:rFonts w:hint="eastAsia" w:ascii="仿宋" w:hAnsi="仿宋" w:cs="仿宋"/>
          <w:szCs w:val="28"/>
        </w:rPr>
      </w:pPr>
      <w:r>
        <w:rPr>
          <w:rFonts w:hint="eastAsia" w:ascii="仿宋" w:hAnsi="仿宋" w:cs="仿宋"/>
          <w:szCs w:val="28"/>
        </w:rPr>
        <w:t>对某一参数，按以下变量进行分布统计：按年、按月、按周、按日、按温度、按湿度，等等。以寻找参数与变量之间的某种联系。</w:t>
      </w:r>
    </w:p>
    <w:p w14:paraId="1BEDA6AC">
      <w:pPr>
        <w:spacing w:before="156" w:beforeLines="50" w:line="360" w:lineRule="auto"/>
        <w:ind w:firstLine="420" w:firstLineChars="200"/>
        <w:jc w:val="left"/>
        <w:rPr>
          <w:rFonts w:hint="eastAsia" w:ascii="仿宋" w:hAnsi="仿宋" w:cs="仿宋"/>
          <w:szCs w:val="28"/>
        </w:rPr>
      </w:pPr>
      <w:r>
        <w:rPr>
          <w:rFonts w:hint="eastAsia" w:ascii="仿宋" w:hAnsi="仿宋" w:cs="仿宋"/>
          <w:szCs w:val="28"/>
        </w:rPr>
        <w:t>根据系统各级提取的信号，对系统传输函数进行分析。以图标、表格等多种形式展示</w:t>
      </w:r>
      <w:r>
        <w:rPr>
          <w:rFonts w:hint="eastAsia" w:ascii="仿宋" w:hAnsi="仿宋" w:cs="仿宋"/>
          <w:szCs w:val="28"/>
          <w:lang w:eastAsia="zh-CN"/>
        </w:rPr>
        <w:t>告警数据、设备性能、设备健康度等数据分析结果</w:t>
      </w:r>
      <w:r>
        <w:rPr>
          <w:rFonts w:hint="eastAsia" w:ascii="仿宋" w:hAnsi="仿宋" w:cs="仿宋"/>
          <w:szCs w:val="28"/>
        </w:rPr>
        <w:t>。并掌握其趋势，以便在问题发生前发现、解除隐患。</w:t>
      </w:r>
    </w:p>
    <w:p w14:paraId="0CE9D0CD">
      <w:pPr>
        <w:spacing w:before="156" w:beforeLines="50" w:line="360" w:lineRule="auto"/>
        <w:ind w:firstLine="422" w:firstLineChars="200"/>
        <w:jc w:val="left"/>
        <w:rPr>
          <w:rFonts w:hint="eastAsia" w:ascii="宋体" w:hAnsi="宋体" w:cs="华文细黑"/>
          <w:b/>
          <w:color w:val="000000"/>
          <w:kern w:val="0"/>
          <w:szCs w:val="21"/>
        </w:rPr>
      </w:pPr>
      <w:r>
        <w:rPr>
          <w:rFonts w:ascii="宋体" w:hAnsi="宋体" w:cs="华文细黑"/>
          <w:b/>
          <w:color w:val="000000"/>
          <w:kern w:val="0"/>
          <w:szCs w:val="21"/>
        </w:rPr>
        <w:t>3</w:t>
      </w:r>
      <w:r>
        <w:rPr>
          <w:rFonts w:hint="eastAsia" w:ascii="宋体" w:hAnsi="宋体" w:cs="华文细黑"/>
          <w:b/>
          <w:color w:val="000000"/>
          <w:kern w:val="0"/>
          <w:szCs w:val="21"/>
          <w:lang w:eastAsia="zh-CN"/>
        </w:rPr>
        <w:t>.</w:t>
      </w:r>
      <w:r>
        <w:rPr>
          <w:rFonts w:hint="eastAsia" w:ascii="宋体" w:hAnsi="宋体" w:cs="华文细黑"/>
          <w:b/>
          <w:color w:val="000000"/>
          <w:kern w:val="0"/>
          <w:szCs w:val="21"/>
        </w:rPr>
        <w:t>可视化</w:t>
      </w:r>
      <w:r>
        <w:rPr>
          <w:rFonts w:hint="eastAsia" w:ascii="宋体" w:hAnsi="宋体" w:cs="华文细黑"/>
          <w:b/>
          <w:color w:val="000000"/>
          <w:kern w:val="0"/>
          <w:szCs w:val="21"/>
        </w:rPr>
        <w:tab/>
      </w:r>
    </w:p>
    <w:p w14:paraId="15686C38">
      <w:pPr>
        <w:autoSpaceDE w:val="0"/>
        <w:autoSpaceDN w:val="0"/>
        <w:adjustRightInd w:val="0"/>
        <w:spacing w:line="360" w:lineRule="auto"/>
        <w:ind w:firstLine="420" w:firstLineChars="0"/>
        <w:jc w:val="left"/>
        <w:rPr>
          <w:rFonts w:hint="eastAsia" w:ascii="宋体" w:hAnsi="宋体" w:eastAsia="宋体" w:cs="宋体"/>
          <w:b w:val="0"/>
          <w:bCs/>
          <w:sz w:val="21"/>
          <w:szCs w:val="21"/>
        </w:rPr>
      </w:pPr>
      <w:r>
        <w:rPr>
          <w:rFonts w:hint="eastAsia" w:ascii="宋体" w:hAnsi="宋体" w:eastAsia="宋体" w:cs="宋体"/>
          <w:b w:val="0"/>
          <w:bCs/>
          <w:color w:val="000000"/>
          <w:kern w:val="0"/>
          <w:sz w:val="21"/>
          <w:szCs w:val="21"/>
        </w:rPr>
        <w:t>1）业务数据可视化</w:t>
      </w:r>
    </w:p>
    <w:p w14:paraId="5AF4EF2A">
      <w:pPr>
        <w:pStyle w:val="229"/>
        <w:spacing w:line="360" w:lineRule="auto"/>
        <w:ind w:firstLine="42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对各类数据进行清洗、加工、编码、统计，按类别、按级别、分区域并以不同的展现样式，如柱状图、饼状图、曲线等进行综合显示，直观了然的反应系统运行的状态、业务指标的优劣。</w:t>
      </w:r>
    </w:p>
    <w:p w14:paraId="60A2F80D">
      <w:pPr>
        <w:autoSpaceDE w:val="0"/>
        <w:autoSpaceDN w:val="0"/>
        <w:adjustRightInd w:val="0"/>
        <w:spacing w:line="360" w:lineRule="auto"/>
        <w:ind w:firstLine="420" w:firstLineChars="200"/>
        <w:jc w:val="left"/>
        <w:rPr>
          <w:rFonts w:hint="eastAsia" w:ascii="宋体" w:hAnsi="宋体" w:eastAsia="宋体" w:cs="宋体"/>
          <w:b w:val="0"/>
          <w:bCs/>
          <w:sz w:val="21"/>
          <w:szCs w:val="21"/>
        </w:rPr>
      </w:pPr>
      <w:r>
        <w:rPr>
          <w:rFonts w:hint="eastAsia" w:ascii="宋体" w:hAnsi="宋体" w:eastAsia="宋体" w:cs="宋体"/>
          <w:b w:val="0"/>
          <w:bCs/>
          <w:color w:val="000000"/>
          <w:kern w:val="0"/>
          <w:sz w:val="21"/>
          <w:szCs w:val="21"/>
        </w:rPr>
        <w:t>2）</w:t>
      </w:r>
      <w:r>
        <w:rPr>
          <w:rFonts w:hint="eastAsia" w:ascii="宋体" w:hAnsi="宋体" w:eastAsia="宋体" w:cs="宋体"/>
          <w:b w:val="0"/>
          <w:bCs/>
          <w:color w:val="000000"/>
          <w:kern w:val="0"/>
          <w:sz w:val="21"/>
          <w:szCs w:val="21"/>
          <w:lang w:val="en-US" w:eastAsia="zh-CN"/>
        </w:rPr>
        <w:t>业务</w:t>
      </w:r>
      <w:r>
        <w:rPr>
          <w:rFonts w:hint="eastAsia" w:ascii="宋体" w:hAnsi="宋体" w:eastAsia="宋体" w:cs="宋体"/>
          <w:b w:val="0"/>
          <w:bCs/>
          <w:color w:val="000000"/>
          <w:kern w:val="0"/>
          <w:sz w:val="21"/>
          <w:szCs w:val="21"/>
        </w:rPr>
        <w:t>逻辑可视化</w:t>
      </w:r>
    </w:p>
    <w:p w14:paraId="11EB1D21">
      <w:pPr>
        <w:pStyle w:val="229"/>
        <w:spacing w:line="360" w:lineRule="auto"/>
        <w:ind w:firstLine="42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系统网络拓扑视图构建了简洁直观，提供设备、链路统一的维护操作界面。系统分层显示网络拓扑结构，并能动态反映网络及设备在性能、告警、配置等方面的变化。可自动或手工生成，具有对网络拓扑的浏览、监视和编辑等功能。包括设备中继链路端口编辑、链路管理等，从而掌握整个网络的运行情况。各个网元类型、中继链路、网络互连以及端口信息等从拓扑视图上一目了然</w:t>
      </w:r>
      <w:r>
        <w:rPr>
          <w:rFonts w:hint="eastAsia" w:ascii="宋体" w:hAnsi="宋体" w:eastAsia="宋体" w:cs="宋体"/>
          <w:sz w:val="21"/>
          <w:szCs w:val="21"/>
          <w:lang w:eastAsia="zh-Hans"/>
        </w:rPr>
        <w:t>。</w:t>
      </w:r>
    </w:p>
    <w:p w14:paraId="0A1E963E">
      <w:pPr>
        <w:pStyle w:val="229"/>
        <w:spacing w:line="360" w:lineRule="auto"/>
        <w:ind w:firstLine="420"/>
        <w:jc w:val="left"/>
        <w:rPr>
          <w:rFonts w:ascii="宋体" w:hAnsi="宋体" w:cs="华文细黑"/>
          <w:bCs/>
          <w:color w:val="000000"/>
          <w:kern w:val="0"/>
          <w:szCs w:val="21"/>
        </w:rPr>
      </w:pPr>
      <w:r>
        <w:rPr>
          <w:rFonts w:hint="eastAsia" w:ascii="宋体" w:hAnsi="宋体" w:eastAsia="宋体" w:cs="宋体"/>
          <w:sz w:val="21"/>
          <w:szCs w:val="21"/>
          <w:lang w:eastAsia="zh-CN"/>
        </w:rPr>
        <w:t>对融媒体中心的业务逻辑进行拓扑展现，从业务的源头到业务的出口，对整个环节中分散的设备进行逻辑串联，并结合数据标签，直观地体现业务的流程，了解业务的传输状态。</w:t>
      </w:r>
    </w:p>
    <w:p w14:paraId="44B8AC90">
      <w:pPr>
        <w:autoSpaceDE w:val="0"/>
        <w:autoSpaceDN w:val="0"/>
        <w:adjustRightInd w:val="0"/>
        <w:spacing w:line="360" w:lineRule="auto"/>
        <w:ind w:firstLine="482" w:firstLineChars="200"/>
        <w:jc w:val="left"/>
        <w:rPr>
          <w:rFonts w:hint="default" w:ascii="宋体" w:hAnsi="宋体" w:eastAsia="宋体" w:cs="华文细黑"/>
          <w:b/>
          <w:color w:val="000000"/>
          <w:kern w:val="0"/>
          <w:sz w:val="24"/>
          <w:szCs w:val="24"/>
          <w:lang w:val="en-US" w:eastAsia="zh-CN"/>
        </w:rPr>
      </w:pPr>
      <w:r>
        <w:rPr>
          <w:rFonts w:hint="eastAsia" w:ascii="宋体" w:hAnsi="宋体" w:eastAsia="宋体" w:cs="华文细黑"/>
          <w:b/>
          <w:color w:val="000000"/>
          <w:kern w:val="0"/>
          <w:sz w:val="24"/>
          <w:szCs w:val="24"/>
          <w:lang w:val="en-US" w:eastAsia="zh-CN"/>
        </w:rPr>
        <w:t>三、智能安播应急切换平台</w:t>
      </w:r>
    </w:p>
    <w:p w14:paraId="687A1DB1">
      <w:pPr>
        <w:autoSpaceDE w:val="0"/>
        <w:autoSpaceDN w:val="0"/>
        <w:adjustRightInd w:val="0"/>
        <w:spacing w:line="360" w:lineRule="auto"/>
        <w:ind w:firstLine="420" w:firstLineChars="200"/>
        <w:jc w:val="left"/>
        <w:rPr>
          <w:rFonts w:hint="eastAsia" w:ascii="宋体" w:hAnsi="宋体" w:cs="华文细黑"/>
          <w:bCs/>
          <w:color w:val="000000"/>
          <w:kern w:val="0"/>
          <w:szCs w:val="21"/>
        </w:rPr>
      </w:pPr>
      <w:r>
        <w:rPr>
          <w:rFonts w:hint="eastAsia" w:ascii="宋体" w:hAnsi="宋体" w:cs="华文细黑"/>
          <w:bCs/>
          <w:color w:val="000000"/>
          <w:kern w:val="0"/>
          <w:szCs w:val="21"/>
        </w:rPr>
        <w:t>通过嵌入式信源采集模块对输入信源进行采集监测，采集模块将音视频内容送入比对分析多画面进行一致性实时比对量化评估和实时异态量化评估，量化评估数据汇总至综合逻辑分析模块进行综合报警判定，最终依据台方制定好的应急处置逻辑策略控制信源切换器进行自动应急或给值班人员提供应急操作提示。</w:t>
      </w:r>
    </w:p>
    <w:p w14:paraId="6407780F">
      <w:pPr>
        <w:autoSpaceDE w:val="0"/>
        <w:autoSpaceDN w:val="0"/>
        <w:adjustRightInd w:val="0"/>
        <w:spacing w:line="360" w:lineRule="auto"/>
        <w:ind w:firstLine="420" w:firstLineChars="200"/>
        <w:jc w:val="left"/>
        <w:rPr>
          <w:rFonts w:hint="eastAsia" w:ascii="宋体" w:hAnsi="宋体" w:cs="华文细黑"/>
          <w:bCs/>
          <w:color w:val="000000"/>
          <w:kern w:val="0"/>
          <w:szCs w:val="21"/>
        </w:rPr>
      </w:pPr>
      <w:r>
        <w:rPr>
          <w:rFonts w:hint="eastAsia" w:ascii="宋体" w:hAnsi="宋体" w:cs="华文细黑"/>
          <w:bCs/>
          <w:color w:val="000000"/>
          <w:kern w:val="0"/>
          <w:szCs w:val="21"/>
        </w:rPr>
        <w:t>系统支持与</w:t>
      </w:r>
      <w:r>
        <w:rPr>
          <w:rFonts w:hint="eastAsia" w:ascii="宋体" w:hAnsi="宋体" w:cs="华文细黑"/>
          <w:bCs/>
          <w:color w:val="000000"/>
          <w:kern w:val="0"/>
          <w:szCs w:val="21"/>
          <w:lang w:val="en-US" w:eastAsia="zh-CN"/>
        </w:rPr>
        <w:t>融媒体中心</w:t>
      </w:r>
      <w:r>
        <w:rPr>
          <w:rFonts w:hint="eastAsia" w:ascii="宋体" w:hAnsi="宋体" w:cs="华文细黑"/>
          <w:bCs/>
          <w:color w:val="000000"/>
          <w:kern w:val="0"/>
          <w:szCs w:val="21"/>
        </w:rPr>
        <w:t>信源切换器进行对接，</w:t>
      </w:r>
      <w:r>
        <w:rPr>
          <w:rFonts w:hint="eastAsia" w:ascii="宋体" w:hAnsi="宋体" w:cs="华文细黑"/>
          <w:bCs/>
          <w:color w:val="000000"/>
          <w:kern w:val="0"/>
          <w:szCs w:val="21"/>
          <w:lang w:val="en-US" w:eastAsia="zh-CN"/>
        </w:rPr>
        <w:t>同时</w:t>
      </w:r>
      <w:r>
        <w:rPr>
          <w:rFonts w:hint="eastAsia" w:ascii="宋体" w:hAnsi="宋体" w:cs="华文细黑"/>
          <w:bCs/>
          <w:color w:val="000000"/>
          <w:kern w:val="0"/>
          <w:szCs w:val="21"/>
        </w:rPr>
        <w:t>与GPIO按键切换面板关联，通过触控屏终端和按键控制面板进行应急切换操作</w:t>
      </w:r>
      <w:r>
        <w:rPr>
          <w:rFonts w:hint="eastAsia" w:ascii="宋体" w:hAnsi="宋体" w:cs="华文细黑"/>
          <w:bCs/>
          <w:color w:val="000000"/>
          <w:kern w:val="0"/>
          <w:szCs w:val="21"/>
          <w:lang w:eastAsia="zh-CN"/>
        </w:rPr>
        <w:t>，</w:t>
      </w:r>
      <w:r>
        <w:rPr>
          <w:rFonts w:hint="eastAsia" w:ascii="宋体" w:hAnsi="宋体" w:cs="华文细黑"/>
          <w:bCs/>
          <w:color w:val="000000"/>
          <w:kern w:val="0"/>
          <w:szCs w:val="21"/>
          <w:highlight w:val="none"/>
          <w:lang w:val="en-US" w:eastAsia="zh-CN"/>
        </w:rPr>
        <w:t>支持且不限于</w:t>
      </w:r>
      <w:r>
        <w:rPr>
          <w:rFonts w:hint="eastAsia"/>
          <w:highlight w:val="none"/>
          <w:lang w:val="en-US" w:eastAsia="zh-CN"/>
        </w:rPr>
        <w:t>融媒体在播出系统使用的</w:t>
      </w:r>
      <w:r>
        <w:rPr>
          <w:highlight w:val="none"/>
        </w:rPr>
        <w:t>E</w:t>
      </w:r>
      <w:r>
        <w:rPr>
          <w:rFonts w:hint="eastAsia"/>
          <w:highlight w:val="none"/>
        </w:rPr>
        <w:t>vertz</w:t>
      </w:r>
      <w:r>
        <w:rPr>
          <w:rFonts w:hint="eastAsia"/>
          <w:highlight w:val="none"/>
          <w:lang w:eastAsia="zh-CN"/>
        </w:rPr>
        <w:t>、</w:t>
      </w:r>
      <w:r>
        <w:rPr>
          <w:rFonts w:hint="eastAsia"/>
          <w:highlight w:val="none"/>
          <w:lang w:val="en-US" w:eastAsia="zh-CN"/>
        </w:rPr>
        <w:t>GV等切换开关</w:t>
      </w:r>
      <w:r>
        <w:rPr>
          <w:rFonts w:hint="eastAsia" w:ascii="宋体" w:hAnsi="宋体" w:cs="华文细黑"/>
          <w:bCs/>
          <w:color w:val="000000"/>
          <w:kern w:val="0"/>
          <w:szCs w:val="21"/>
          <w:highlight w:val="none"/>
        </w:rPr>
        <w:t>。</w:t>
      </w:r>
    </w:p>
    <w:p w14:paraId="48B0F396">
      <w:pPr>
        <w:autoSpaceDE w:val="0"/>
        <w:autoSpaceDN w:val="0"/>
        <w:adjustRightInd w:val="0"/>
        <w:spacing w:line="360" w:lineRule="auto"/>
        <w:ind w:firstLine="420" w:firstLineChars="200"/>
        <w:jc w:val="left"/>
        <w:rPr>
          <w:rFonts w:hint="eastAsia" w:eastAsia="宋体"/>
          <w:color w:val="auto"/>
          <w:highlight w:val="none"/>
          <w:lang w:eastAsia="zh-CN"/>
        </w:rPr>
      </w:pPr>
      <w:r>
        <w:rPr>
          <w:rFonts w:hint="eastAsia"/>
          <w:highlight w:val="none"/>
        </w:rPr>
        <w:t>智能安播应急切换系统作为播出传输的重要应急保障环节，</w:t>
      </w:r>
      <w:r>
        <w:rPr>
          <w:rFonts w:hint="eastAsia"/>
          <w:highlight w:val="none"/>
          <w:lang w:val="en-US" w:eastAsia="zh-CN"/>
        </w:rPr>
        <w:t>应</w:t>
      </w:r>
      <w:r>
        <w:rPr>
          <w:rFonts w:hint="eastAsia"/>
          <w:highlight w:val="none"/>
        </w:rPr>
        <w:t>具备</w:t>
      </w:r>
      <w:r>
        <w:rPr>
          <w:rFonts w:hint="eastAsia"/>
          <w:highlight w:val="none"/>
          <w:lang w:val="en-US" w:eastAsia="zh-CN"/>
        </w:rPr>
        <w:t>满足广电</w:t>
      </w:r>
      <w:r>
        <w:rPr>
          <w:rFonts w:hint="eastAsia"/>
          <w:highlight w:val="none"/>
        </w:rPr>
        <w:t>总局</w:t>
      </w:r>
      <w:r>
        <w:rPr>
          <w:rFonts w:hint="eastAsia"/>
          <w:highlight w:val="none"/>
          <w:lang w:val="en-US" w:eastAsia="zh-CN"/>
        </w:rPr>
        <w:t>重点时段</w:t>
      </w:r>
      <w:r>
        <w:rPr>
          <w:rFonts w:hint="eastAsia"/>
          <w:highlight w:val="none"/>
        </w:rPr>
        <w:t>保障</w:t>
      </w:r>
      <w:r>
        <w:rPr>
          <w:rFonts w:hint="eastAsia"/>
          <w:highlight w:val="none"/>
          <w:lang w:val="en-US" w:eastAsia="zh-CN"/>
        </w:rPr>
        <w:t>要求</w:t>
      </w:r>
      <w:r>
        <w:rPr>
          <w:rFonts w:hint="eastAsia"/>
          <w:highlight w:val="none"/>
        </w:rPr>
        <w:t>的应急响应速度。</w:t>
      </w:r>
      <w:r>
        <w:rPr>
          <w:rFonts w:hint="eastAsia"/>
          <w:color w:val="auto"/>
          <w:highlight w:val="none"/>
        </w:rPr>
        <w:t>根据国家广电总局</w:t>
      </w:r>
      <w:r>
        <w:rPr>
          <w:rFonts w:hint="eastAsia"/>
          <w:color w:val="auto"/>
          <w:highlight w:val="none"/>
          <w:lang w:eastAsia="zh-CN"/>
        </w:rPr>
        <w:t>《</w:t>
      </w:r>
      <w:r>
        <w:rPr>
          <w:rFonts w:hint="eastAsia"/>
          <w:color w:val="auto"/>
          <w:highlight w:val="none"/>
          <w:lang w:val="en-US" w:eastAsia="zh-CN"/>
        </w:rPr>
        <w:t>广播电视安全播出管理规定〈</w:t>
      </w:r>
      <w:r>
        <w:rPr>
          <w:rFonts w:hint="eastAsia"/>
          <w:color w:val="auto"/>
          <w:highlight w:val="none"/>
        </w:rPr>
        <w:t>安全播出事件事故管理实施细则</w:t>
      </w: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定</w:t>
      </w:r>
      <w:r>
        <w:rPr>
          <w:rFonts w:hint="eastAsia"/>
          <w:color w:val="auto"/>
          <w:highlight w:val="none"/>
        </w:rPr>
        <w:t>义重大广播电视安全播出事故的标准：各级各类台站，如在重要时政节目发生＞3秒钟的安全播出事故均属于重大安全播出事故</w:t>
      </w:r>
      <w:r>
        <w:rPr>
          <w:rFonts w:hint="eastAsia"/>
          <w:color w:val="auto"/>
          <w:highlight w:val="none"/>
          <w:lang w:eastAsia="zh-CN"/>
        </w:rPr>
        <w:t>。</w:t>
      </w:r>
      <w:r>
        <w:rPr>
          <w:rFonts w:hint="eastAsia"/>
          <w:color w:val="auto"/>
          <w:highlight w:val="none"/>
          <w:lang w:val="en-US" w:eastAsia="zh-CN"/>
        </w:rPr>
        <w:t>因此</w:t>
      </w:r>
      <w:r>
        <w:rPr>
          <w:rFonts w:hint="eastAsia"/>
          <w:color w:val="auto"/>
          <w:highlight w:val="none"/>
        </w:rPr>
        <w:t>要求系统从信号采集</w:t>
      </w:r>
      <w:r>
        <w:rPr>
          <w:rFonts w:hint="eastAsia"/>
          <w:color w:val="auto"/>
          <w:highlight w:val="none"/>
          <w:lang w:val="en-US" w:eastAsia="zh-CN"/>
        </w:rPr>
        <w:t>分析</w:t>
      </w:r>
      <w:r>
        <w:rPr>
          <w:rFonts w:hint="eastAsia"/>
          <w:color w:val="auto"/>
          <w:highlight w:val="none"/>
        </w:rPr>
        <w:t>、</w:t>
      </w:r>
      <w:r>
        <w:rPr>
          <w:rFonts w:hint="eastAsia"/>
          <w:color w:val="auto"/>
          <w:highlight w:val="none"/>
          <w:lang w:val="en-US" w:eastAsia="zh-CN"/>
        </w:rPr>
        <w:t>逻辑</w:t>
      </w:r>
      <w:r>
        <w:rPr>
          <w:rFonts w:hint="eastAsia"/>
          <w:color w:val="auto"/>
          <w:highlight w:val="none"/>
        </w:rPr>
        <w:t>判断</w:t>
      </w:r>
      <w:r>
        <w:rPr>
          <w:rFonts w:hint="eastAsia"/>
          <w:color w:val="auto"/>
          <w:highlight w:val="none"/>
          <w:lang w:val="en-US" w:eastAsia="zh-CN"/>
        </w:rPr>
        <w:t>异态故障</w:t>
      </w:r>
      <w:r>
        <w:rPr>
          <w:rFonts w:hint="eastAsia"/>
          <w:color w:val="auto"/>
          <w:highlight w:val="none"/>
        </w:rPr>
        <w:t>、</w:t>
      </w:r>
      <w:r>
        <w:rPr>
          <w:rFonts w:hint="eastAsia"/>
          <w:color w:val="auto"/>
          <w:highlight w:val="none"/>
          <w:lang w:val="en-US" w:eastAsia="zh-CN"/>
        </w:rPr>
        <w:t>自动切换动作生效的</w:t>
      </w:r>
      <w:r>
        <w:rPr>
          <w:rFonts w:hint="eastAsia"/>
          <w:color w:val="auto"/>
          <w:highlight w:val="none"/>
        </w:rPr>
        <w:t>总体响应时间不高于</w:t>
      </w:r>
      <w:r>
        <w:rPr>
          <w:rFonts w:hint="eastAsia"/>
          <w:color w:val="auto"/>
          <w:highlight w:val="none"/>
          <w:lang w:val="en-US" w:eastAsia="zh-CN"/>
        </w:rPr>
        <w:t>3</w:t>
      </w:r>
      <w:r>
        <w:rPr>
          <w:rFonts w:hint="eastAsia"/>
          <w:color w:val="auto"/>
          <w:highlight w:val="none"/>
        </w:rPr>
        <w:t>秒钟。</w:t>
      </w:r>
    </w:p>
    <w:p w14:paraId="1FCDAF4F">
      <w:pPr>
        <w:pStyle w:val="29"/>
        <w:rPr>
          <w:rFonts w:hint="eastAsia"/>
        </w:rPr>
      </w:pPr>
    </w:p>
    <w:p w14:paraId="59601CE8">
      <w:pPr>
        <w:autoSpaceDE w:val="0"/>
        <w:autoSpaceDN w:val="0"/>
        <w:adjustRightInd w:val="0"/>
        <w:spacing w:line="360" w:lineRule="auto"/>
        <w:ind w:firstLine="422" w:firstLineChars="200"/>
        <w:jc w:val="left"/>
        <w:rPr>
          <w:rFonts w:hint="eastAsia" w:ascii="仿宋" w:hAnsi="仿宋" w:cs="仿宋"/>
          <w:b/>
          <w:bCs w:val="0"/>
          <w:szCs w:val="24"/>
          <w:lang w:val="zh-CN"/>
        </w:rPr>
      </w:pPr>
      <w:r>
        <w:rPr>
          <w:rFonts w:hint="eastAsia" w:ascii="宋体" w:hAnsi="宋体" w:cs="华文细黑"/>
          <w:b/>
          <w:bCs w:val="0"/>
          <w:color w:val="000000"/>
          <w:kern w:val="0"/>
          <w:szCs w:val="21"/>
        </w:rPr>
        <w:t>1</w:t>
      </w:r>
      <w:r>
        <w:rPr>
          <w:rFonts w:hint="eastAsia" w:ascii="宋体" w:hAnsi="宋体" w:cs="华文细黑"/>
          <w:b/>
          <w:bCs w:val="0"/>
          <w:color w:val="000000"/>
          <w:kern w:val="0"/>
          <w:szCs w:val="21"/>
          <w:lang w:eastAsia="zh-CN"/>
        </w:rPr>
        <w:t>.</w:t>
      </w:r>
      <w:r>
        <w:rPr>
          <w:rFonts w:hint="eastAsia" w:ascii="宋体" w:hAnsi="宋体" w:cs="华文细黑"/>
          <w:b/>
          <w:bCs w:val="0"/>
          <w:color w:val="000000"/>
          <w:kern w:val="0"/>
          <w:szCs w:val="21"/>
        </w:rPr>
        <w:t>多源节目相关性分析</w:t>
      </w:r>
    </w:p>
    <w:p w14:paraId="229524F7">
      <w:pPr>
        <w:spacing w:line="360" w:lineRule="auto"/>
        <w:ind w:firstLine="420"/>
        <w:jc w:val="left"/>
        <w:rPr>
          <w:rFonts w:hint="eastAsia" w:ascii="仿宋" w:hAnsi="仿宋" w:cs="仿宋"/>
          <w:szCs w:val="24"/>
          <w:lang w:val="zh-CN"/>
        </w:rPr>
      </w:pPr>
      <w:r>
        <w:rPr>
          <w:rFonts w:hint="eastAsia" w:ascii="仿宋" w:hAnsi="仿宋" w:cs="仿宋"/>
          <w:szCs w:val="24"/>
          <w:lang w:val="zh-CN"/>
        </w:rPr>
        <w:t>根据节目传输链路相关性配置监测节目逐帧相关性分析，在相关性分析算法中，首先进行智能帧同步，以弥补各路信号因经过各种编解码设备而造成的延时，实时智能帧同步后进行逐帧相关性分析，给出二者的相似度量化评估。</w:t>
      </w:r>
    </w:p>
    <w:p w14:paraId="3DDA19B5">
      <w:pPr>
        <w:spacing w:line="360" w:lineRule="auto"/>
        <w:ind w:firstLine="420"/>
        <w:jc w:val="left"/>
        <w:rPr>
          <w:rFonts w:hint="eastAsia" w:ascii="仿宋" w:hAnsi="仿宋" w:cs="仿宋"/>
          <w:szCs w:val="24"/>
          <w:lang w:val="zh-CN"/>
        </w:rPr>
      </w:pPr>
      <w:r>
        <w:rPr>
          <w:rFonts w:hint="eastAsia" w:ascii="仿宋" w:hAnsi="仿宋" w:cs="仿宋"/>
          <w:szCs w:val="24"/>
          <w:lang w:val="zh-CN"/>
        </w:rPr>
        <w:t>基于实时智能同步算法，允许在输入一致性比对分析信号存在延时的情况下，自动同步后进行相关性分析给出准确可靠的分析结果。</w:t>
      </w:r>
    </w:p>
    <w:p w14:paraId="7D66AF2E">
      <w:pPr>
        <w:spacing w:line="360" w:lineRule="auto"/>
        <w:ind w:firstLine="420"/>
        <w:rPr>
          <w:rFonts w:hint="eastAsia" w:ascii="仿宋" w:hAnsi="仿宋" w:cs="仿宋"/>
          <w:szCs w:val="24"/>
        </w:rPr>
      </w:pPr>
      <w:r>
        <w:rPr>
          <w:rFonts w:hint="eastAsia" w:ascii="仿宋" w:hAnsi="仿宋" w:cs="仿宋"/>
          <w:szCs w:val="24"/>
          <w:lang w:val="zh-CN"/>
        </w:rPr>
        <w:t>支持用户自定义图像比对分析区域，在不同链路节目存在不同图文包装方式的情况下，避开图文</w:t>
      </w:r>
      <w:r>
        <w:rPr>
          <w:rFonts w:hint="eastAsia" w:ascii="仿宋" w:hAnsi="仿宋" w:cs="仿宋"/>
          <w:szCs w:val="24"/>
        </w:rPr>
        <w:t>包装区域、字幕区域、台标区域以实现对于原始节目一致性进行准确。</w:t>
      </w:r>
      <w:r>
        <w:rPr>
          <w:rFonts w:hint="eastAsia" w:ascii="仿宋" w:hAnsi="仿宋" w:cs="仿宋"/>
          <w:szCs w:val="24"/>
          <w:lang w:val="en-US" w:eastAsia="zh-CN"/>
        </w:rPr>
        <w:t>实现</w:t>
      </w:r>
      <w:r>
        <w:rPr>
          <w:rFonts w:hint="eastAsia" w:ascii="仿宋" w:hAnsi="仿宋" w:cs="仿宋"/>
          <w:szCs w:val="24"/>
        </w:rPr>
        <w:t>对于播出链路上编码器、复用器、调制器等重要设备前后级信号进行采集实时比对分析，当检测到</w:t>
      </w:r>
      <w:r>
        <w:rPr>
          <w:rFonts w:hint="eastAsia" w:ascii="仿宋" w:hAnsi="仿宋" w:cs="仿宋"/>
          <w:szCs w:val="24"/>
          <w:lang w:val="en-US" w:eastAsia="zh-CN"/>
        </w:rPr>
        <w:t>相关</w:t>
      </w:r>
      <w:r>
        <w:rPr>
          <w:rFonts w:hint="eastAsia" w:ascii="仿宋" w:hAnsi="仿宋" w:cs="仿宋"/>
          <w:szCs w:val="24"/>
        </w:rPr>
        <w:t>性分析量化数据降低至指定门限时候，快速提示值班人员，并依据监看链路图快速定位疑似故障环节，便于技术人员快速处置问题，避免造成重大播出事故。</w:t>
      </w:r>
    </w:p>
    <w:p w14:paraId="5EEFBAC0">
      <w:pPr>
        <w:autoSpaceDE w:val="0"/>
        <w:autoSpaceDN w:val="0"/>
        <w:adjustRightInd w:val="0"/>
        <w:spacing w:line="360" w:lineRule="auto"/>
        <w:ind w:firstLine="422" w:firstLineChars="200"/>
        <w:jc w:val="left"/>
        <w:rPr>
          <w:rFonts w:hint="eastAsia" w:ascii="宋体" w:hAnsi="宋体" w:cs="华文细黑"/>
          <w:b/>
          <w:bCs w:val="0"/>
          <w:color w:val="000000"/>
          <w:kern w:val="0"/>
          <w:szCs w:val="21"/>
        </w:rPr>
      </w:pPr>
      <w:r>
        <w:rPr>
          <w:rFonts w:hint="eastAsia" w:ascii="宋体" w:hAnsi="宋体" w:cs="华文细黑"/>
          <w:b/>
          <w:bCs w:val="0"/>
          <w:color w:val="000000"/>
          <w:kern w:val="0"/>
          <w:szCs w:val="21"/>
          <w:lang w:val="en-US" w:eastAsia="zh-CN"/>
        </w:rPr>
        <w:t>2.</w:t>
      </w:r>
      <w:r>
        <w:rPr>
          <w:rFonts w:hint="eastAsia" w:ascii="宋体" w:hAnsi="宋体" w:cs="华文细黑"/>
          <w:b/>
          <w:bCs w:val="0"/>
          <w:color w:val="000000"/>
          <w:kern w:val="0"/>
          <w:szCs w:val="21"/>
        </w:rPr>
        <w:t>智能逻辑分析</w:t>
      </w:r>
    </w:p>
    <w:p w14:paraId="2D3779F1">
      <w:pPr>
        <w:pStyle w:val="2"/>
        <w:spacing w:line="360" w:lineRule="auto"/>
        <w:ind w:left="0" w:leftChars="0" w:firstLine="420" w:firstLineChars="0"/>
        <w:rPr>
          <w:rFonts w:hint="eastAsia" w:ascii="仿宋" w:hAnsi="仿宋" w:eastAsia="宋体" w:cs="仿宋"/>
          <w:kern w:val="2"/>
          <w:sz w:val="21"/>
          <w:szCs w:val="24"/>
          <w:lang w:val="zh-CN" w:eastAsia="zh-CN" w:bidi="ar-SA"/>
        </w:rPr>
      </w:pPr>
      <w:r>
        <w:rPr>
          <w:rFonts w:hint="eastAsia" w:ascii="仿宋" w:hAnsi="仿宋" w:eastAsia="宋体" w:cs="仿宋"/>
          <w:kern w:val="2"/>
          <w:sz w:val="21"/>
          <w:szCs w:val="24"/>
          <w:lang w:val="zh-CN" w:eastAsia="zh-CN" w:bidi="ar-SA"/>
        </w:rPr>
        <w:t>集中接收节目实时异态量化评估数据和相关性量化评估数据，进行全面综合分析，依据优秀安播技术团队编辑的逻辑策略给出准确的监管判定。任意一组节目一致性比对分析数据可以在多个逻辑分析组中应用，基于不同逻辑策略提供综合分析依据，</w:t>
      </w:r>
      <w:r>
        <w:rPr>
          <w:rFonts w:hint="eastAsia" w:ascii="仿宋" w:hAnsi="仿宋" w:eastAsia="宋体" w:cs="仿宋"/>
          <w:kern w:val="2"/>
          <w:sz w:val="21"/>
          <w:szCs w:val="24"/>
          <w:lang w:val="en-US" w:eastAsia="zh-CN" w:bidi="ar-SA"/>
        </w:rPr>
        <w:t>指导</w:t>
      </w:r>
      <w:r>
        <w:rPr>
          <w:rFonts w:hint="eastAsia" w:ascii="仿宋" w:hAnsi="仿宋" w:eastAsia="宋体" w:cs="仿宋"/>
          <w:kern w:val="2"/>
          <w:sz w:val="21"/>
          <w:szCs w:val="24"/>
          <w:lang w:val="zh-CN" w:eastAsia="zh-CN" w:bidi="ar-SA"/>
        </w:rPr>
        <w:t>不同环节应急切换逻辑实现。技术部门针对各种情况下的应急策略作为部门集体经验与智慧固化为逻辑数据，确保系统24小时高度警惕、缜密分析、准确处置各种突发情况。串联播出链路前后级各个环节，数据互通综合分析，指导应急。</w:t>
      </w:r>
    </w:p>
    <w:p w14:paraId="74269D1D">
      <w:pPr>
        <w:autoSpaceDE w:val="0"/>
        <w:autoSpaceDN w:val="0"/>
        <w:adjustRightInd w:val="0"/>
        <w:spacing w:line="360" w:lineRule="auto"/>
        <w:ind w:firstLine="422" w:firstLineChars="200"/>
        <w:jc w:val="left"/>
        <w:rPr>
          <w:rFonts w:hint="eastAsia" w:ascii="宋体" w:hAnsi="宋体" w:cs="华文细黑"/>
          <w:b/>
          <w:bCs w:val="0"/>
          <w:color w:val="000000"/>
          <w:kern w:val="0"/>
          <w:szCs w:val="21"/>
        </w:rPr>
      </w:pPr>
      <w:r>
        <w:rPr>
          <w:rFonts w:hint="eastAsia" w:ascii="宋体" w:hAnsi="宋体" w:cs="华文细黑"/>
          <w:b/>
          <w:bCs w:val="0"/>
          <w:color w:val="000000"/>
          <w:kern w:val="0"/>
          <w:szCs w:val="21"/>
          <w:lang w:val="en-US" w:eastAsia="zh-CN"/>
        </w:rPr>
        <w:t>3.</w:t>
      </w:r>
      <w:r>
        <w:rPr>
          <w:rFonts w:hint="eastAsia" w:ascii="宋体" w:hAnsi="宋体" w:cs="华文细黑"/>
          <w:b/>
          <w:bCs w:val="0"/>
          <w:color w:val="000000"/>
          <w:kern w:val="0"/>
          <w:szCs w:val="21"/>
        </w:rPr>
        <w:t>触控应急切换</w:t>
      </w:r>
    </w:p>
    <w:p w14:paraId="62BC0677">
      <w:pPr>
        <w:spacing w:line="360" w:lineRule="auto"/>
        <w:ind w:firstLine="420"/>
        <w:jc w:val="left"/>
        <w:rPr>
          <w:rFonts w:hint="eastAsia" w:ascii="仿宋" w:hAnsi="仿宋" w:cs="仿宋"/>
          <w:szCs w:val="24"/>
        </w:rPr>
      </w:pPr>
      <w:r>
        <w:rPr>
          <w:rFonts w:hint="eastAsia" w:ascii="仿宋" w:hAnsi="仿宋" w:cs="仿宋"/>
          <w:szCs w:val="24"/>
          <w:lang w:val="en-US" w:eastAsia="zh-CN"/>
        </w:rPr>
        <w:t>智能应急</w:t>
      </w:r>
      <w:r>
        <w:rPr>
          <w:rFonts w:hint="eastAsia" w:ascii="仿宋" w:hAnsi="仿宋" w:cs="仿宋"/>
          <w:szCs w:val="24"/>
        </w:rPr>
        <w:t>系统交互操作界面，主要以简洁而快捷的方式向最终用户展示系统的运行状态、报警时的错误定位，以及应急恢复时的操作提示，在一些确定的操作下，直接实现自动切换。</w:t>
      </w:r>
    </w:p>
    <w:p w14:paraId="0F996566">
      <w:pPr>
        <w:spacing w:line="360" w:lineRule="auto"/>
        <w:ind w:firstLine="420"/>
        <w:rPr>
          <w:rFonts w:hint="eastAsia" w:ascii="仿宋" w:hAnsi="仿宋" w:cs="仿宋"/>
          <w:szCs w:val="24"/>
        </w:rPr>
      </w:pPr>
      <w:r>
        <w:rPr>
          <w:rFonts w:hint="eastAsia" w:ascii="仿宋" w:hAnsi="仿宋" w:cs="仿宋"/>
          <w:szCs w:val="24"/>
        </w:rPr>
        <w:t>对于每个频道监看模块可以实现节目质量报警、一致性比对报警综合报警展示，可以根据用户配置提供单独故障报警或组合故障报警展示方式，同时提供个性化语音报警，针对应急提示、疑似故障、回切提示等多种情况提供不同的语音报警内容，方便技术部门快速准确定位问题，报警语音支持用户手动静音。</w:t>
      </w:r>
    </w:p>
    <w:p w14:paraId="2ED0AD5E">
      <w:pPr>
        <w:spacing w:line="360" w:lineRule="auto"/>
        <w:ind w:firstLine="420"/>
        <w:jc w:val="left"/>
        <w:rPr>
          <w:rFonts w:hint="eastAsia" w:ascii="仿宋" w:hAnsi="仿宋" w:cs="仿宋"/>
          <w:szCs w:val="24"/>
        </w:rPr>
      </w:pPr>
      <w:r>
        <w:rPr>
          <w:rFonts w:hint="eastAsia" w:ascii="仿宋" w:hAnsi="仿宋" w:cs="仿宋"/>
          <w:szCs w:val="24"/>
        </w:rPr>
        <w:t>同时有效减少对于每一个频道需要监看的画面数量，以显著的方式显示出多选一“输出”和通过“逻辑分析”模块选出的“最优应急”信号的状态和内容。这样做的最大好处是最终的界面由“切哪一个”简化为“切与不切”。采用触摸屏显示方式，集图像展示、切换操作于一身，这时的值机员只需要在这一个触摸屏上就可以同时操作多个频道的所有各路信号。</w:t>
      </w:r>
    </w:p>
    <w:p w14:paraId="272EF0BF">
      <w:pPr>
        <w:autoSpaceDE w:val="0"/>
        <w:autoSpaceDN w:val="0"/>
        <w:adjustRightInd w:val="0"/>
        <w:spacing w:line="360" w:lineRule="auto"/>
        <w:ind w:firstLine="422" w:firstLineChars="200"/>
        <w:jc w:val="left"/>
        <w:rPr>
          <w:rFonts w:hint="eastAsia" w:ascii="宋体" w:hAnsi="宋体" w:eastAsia="宋体" w:cs="华文细黑"/>
          <w:b/>
          <w:bCs w:val="0"/>
          <w:color w:val="000000"/>
          <w:kern w:val="0"/>
          <w:szCs w:val="21"/>
          <w:lang w:val="en-US" w:eastAsia="zh-CN"/>
        </w:rPr>
      </w:pPr>
      <w:r>
        <w:rPr>
          <w:rFonts w:hint="eastAsia" w:ascii="宋体" w:hAnsi="宋体" w:cs="华文细黑"/>
          <w:b/>
          <w:bCs w:val="0"/>
          <w:color w:val="000000"/>
          <w:kern w:val="0"/>
          <w:szCs w:val="21"/>
          <w:lang w:val="en-US" w:eastAsia="zh-CN"/>
        </w:rPr>
        <w:t>4.</w:t>
      </w:r>
      <w:r>
        <w:rPr>
          <w:rFonts w:hint="eastAsia" w:ascii="宋体" w:hAnsi="宋体" w:cs="华文细黑"/>
          <w:b/>
          <w:bCs w:val="0"/>
          <w:color w:val="000000"/>
          <w:kern w:val="0"/>
          <w:szCs w:val="21"/>
        </w:rPr>
        <w:t>多画面监看</w:t>
      </w:r>
      <w:r>
        <w:rPr>
          <w:rFonts w:hint="eastAsia" w:ascii="宋体" w:hAnsi="宋体" w:cs="华文细黑"/>
          <w:b/>
          <w:bCs w:val="0"/>
          <w:color w:val="000000"/>
          <w:kern w:val="0"/>
          <w:szCs w:val="21"/>
          <w:lang w:val="en-US" w:eastAsia="zh-CN"/>
        </w:rPr>
        <w:t>预警</w:t>
      </w:r>
    </w:p>
    <w:p w14:paraId="226C2866">
      <w:pPr>
        <w:spacing w:line="360" w:lineRule="auto"/>
        <w:ind w:firstLine="420"/>
        <w:jc w:val="left"/>
        <w:rPr>
          <w:rFonts w:hint="eastAsia" w:ascii="仿宋" w:hAnsi="仿宋" w:cs="仿宋"/>
          <w:szCs w:val="24"/>
        </w:rPr>
      </w:pPr>
      <w:r>
        <w:rPr>
          <w:rFonts w:hint="eastAsia" w:ascii="仿宋" w:hAnsi="仿宋" w:cs="仿宋"/>
          <w:szCs w:val="24"/>
        </w:rPr>
        <w:t>多画面监测报警模块基于TS Over IP技术，提供了对</w:t>
      </w:r>
      <w:r>
        <w:rPr>
          <w:rFonts w:hint="eastAsia" w:ascii="仿宋" w:hAnsi="仿宋" w:cs="仿宋"/>
          <w:szCs w:val="24"/>
          <w:lang w:val="en-US" w:eastAsia="zh-CN"/>
        </w:rPr>
        <w:t>音</w:t>
      </w:r>
      <w:r>
        <w:rPr>
          <w:rFonts w:hint="eastAsia" w:ascii="仿宋" w:hAnsi="仿宋" w:cs="仿宋"/>
          <w:szCs w:val="24"/>
        </w:rPr>
        <w:t>视频节目内容监测、多画面组合显示、声光预警提示等功能，支持AVS+、AVS2、MPEG-2、H.264、H.265等格式视频解码；支持MP2、MP3、AC3、AAC、杜比等音频解码。系统可以针对重点节目实时监测、对普通节目轮询监测。系统支持将监看多画面进行编码推流输出，用户可指定编码输出区域和编码参数设置。</w:t>
      </w:r>
    </w:p>
    <w:p w14:paraId="0A0FFF74">
      <w:pPr>
        <w:autoSpaceDE w:val="0"/>
        <w:autoSpaceDN w:val="0"/>
        <w:adjustRightInd w:val="0"/>
        <w:spacing w:line="360" w:lineRule="auto"/>
        <w:ind w:firstLine="422" w:firstLineChars="200"/>
        <w:jc w:val="left"/>
        <w:rPr>
          <w:rFonts w:hint="eastAsia" w:ascii="宋体" w:hAnsi="宋体" w:eastAsia="宋体" w:cs="华文细黑"/>
          <w:b/>
          <w:bCs w:val="0"/>
          <w:color w:val="000000"/>
          <w:kern w:val="0"/>
          <w:szCs w:val="21"/>
        </w:rPr>
      </w:pPr>
      <w:r>
        <w:rPr>
          <w:rFonts w:hint="eastAsia" w:ascii="宋体" w:hAnsi="宋体" w:eastAsia="宋体" w:cs="华文细黑"/>
          <w:b/>
          <w:bCs w:val="0"/>
          <w:color w:val="000000"/>
          <w:kern w:val="0"/>
          <w:szCs w:val="21"/>
          <w:lang w:val="en-US" w:eastAsia="zh-CN"/>
        </w:rPr>
        <w:t>5.节目异态</w:t>
      </w:r>
      <w:r>
        <w:rPr>
          <w:rFonts w:hint="eastAsia" w:ascii="宋体" w:hAnsi="宋体" w:eastAsia="宋体" w:cs="华文细黑"/>
          <w:b/>
          <w:bCs w:val="0"/>
          <w:color w:val="000000"/>
          <w:kern w:val="0"/>
          <w:szCs w:val="21"/>
        </w:rPr>
        <w:t>收录</w:t>
      </w:r>
    </w:p>
    <w:p w14:paraId="6741D422">
      <w:pPr>
        <w:autoSpaceDE w:val="0"/>
        <w:autoSpaceDN w:val="0"/>
        <w:adjustRightInd w:val="0"/>
        <w:spacing w:line="360" w:lineRule="auto"/>
        <w:ind w:firstLine="420" w:firstLineChars="200"/>
        <w:jc w:val="left"/>
        <w:rPr>
          <w:rFonts w:hint="eastAsia" w:ascii="宋体" w:hAnsi="宋体" w:cs="华文细黑"/>
          <w:bCs/>
          <w:color w:val="000000"/>
          <w:kern w:val="0"/>
          <w:szCs w:val="21"/>
        </w:rPr>
      </w:pPr>
      <w:r>
        <w:rPr>
          <w:rFonts w:hint="eastAsia" w:ascii="宋体" w:hAnsi="宋体" w:cs="华文细黑"/>
          <w:bCs/>
          <w:color w:val="000000"/>
          <w:kern w:val="0"/>
          <w:szCs w:val="21"/>
        </w:rPr>
        <w:t>系统通过接受信源采集设备转发原始码流数据或经过转码平台重新编码后的数据，根据管理人员预设规则进行节目收录存储，同时为用户提供录像快速检索回看、下载。支持指定节目全程收录</w:t>
      </w:r>
      <w:r>
        <w:rPr>
          <w:rFonts w:hint="eastAsia" w:ascii="宋体" w:hAnsi="宋体" w:cs="华文细黑"/>
          <w:bCs/>
          <w:color w:val="000000"/>
          <w:kern w:val="0"/>
          <w:szCs w:val="21"/>
          <w:lang w:val="en-US" w:eastAsia="zh-CN"/>
        </w:rPr>
        <w:t>与</w:t>
      </w:r>
      <w:r>
        <w:rPr>
          <w:rFonts w:hint="eastAsia" w:ascii="宋体" w:hAnsi="宋体" w:cs="华文细黑"/>
          <w:bCs/>
          <w:color w:val="000000"/>
          <w:kern w:val="0"/>
          <w:szCs w:val="21"/>
        </w:rPr>
        <w:t>指定节目指定时间规则定时收录。根据保存周期进行过期素材自动删除，还可以设置依据存储设备剩余空间状态进行历史文件的删除。</w:t>
      </w:r>
    </w:p>
    <w:p w14:paraId="79391296">
      <w:pPr>
        <w:autoSpaceDE w:val="0"/>
        <w:autoSpaceDN w:val="0"/>
        <w:adjustRightInd w:val="0"/>
        <w:spacing w:line="360" w:lineRule="auto"/>
        <w:ind w:firstLine="482" w:firstLineChars="200"/>
        <w:jc w:val="left"/>
        <w:rPr>
          <w:rFonts w:hint="eastAsia" w:ascii="宋体" w:hAnsi="宋体" w:eastAsia="宋体" w:cs="华文细黑"/>
          <w:b/>
          <w:color w:val="auto"/>
          <w:kern w:val="0"/>
          <w:sz w:val="24"/>
          <w:szCs w:val="24"/>
          <w:highlight w:val="none"/>
          <w:lang w:val="en-US" w:eastAsia="zh-CN" w:bidi="ar-SA"/>
        </w:rPr>
      </w:pPr>
      <w:r>
        <w:rPr>
          <w:rFonts w:hint="eastAsia" w:ascii="宋体" w:hAnsi="宋体" w:eastAsia="宋体" w:cs="华文细黑"/>
          <w:b/>
          <w:color w:val="auto"/>
          <w:kern w:val="0"/>
          <w:sz w:val="24"/>
          <w:szCs w:val="24"/>
          <w:highlight w:val="none"/>
          <w:lang w:val="en-US" w:eastAsia="zh-CN" w:bidi="ar-SA"/>
        </w:rPr>
        <w:t>四、系统对接要求</w:t>
      </w:r>
    </w:p>
    <w:p w14:paraId="45A87334">
      <w:pPr>
        <w:autoSpaceDE w:val="0"/>
        <w:autoSpaceDN w:val="0"/>
        <w:adjustRightInd w:val="0"/>
        <w:spacing w:line="360" w:lineRule="auto"/>
        <w:ind w:firstLine="420" w:firstLineChars="200"/>
        <w:jc w:val="left"/>
        <w:rPr>
          <w:rFonts w:hint="default" w:ascii="宋体" w:hAnsi="宋体" w:eastAsia="宋体" w:cs="华文细黑"/>
          <w:bCs/>
          <w:color w:val="auto"/>
          <w:kern w:val="0"/>
          <w:szCs w:val="21"/>
          <w:highlight w:val="none"/>
          <w:lang w:val="en-US" w:eastAsia="zh-CN"/>
        </w:rPr>
      </w:pPr>
      <w:r>
        <w:rPr>
          <w:rFonts w:hint="eastAsia" w:ascii="宋体" w:hAnsi="宋体" w:eastAsia="宋体" w:cs="华文细黑"/>
          <w:bCs/>
          <w:color w:val="auto"/>
          <w:kern w:val="0"/>
          <w:szCs w:val="21"/>
          <w:highlight w:val="none"/>
          <w:lang w:val="en-US" w:eastAsia="zh-CN"/>
        </w:rPr>
        <w:t>本系统要求供应商提供的台站智慧运维应用系统与青浦区融媒体中心电视播出系统和广播播出系统的硬件设备对接，采集汇总存储播出系统设备的信息，并记录至系统数据库。</w:t>
      </w:r>
    </w:p>
    <w:p w14:paraId="32722624">
      <w:pPr>
        <w:autoSpaceDE w:val="0"/>
        <w:autoSpaceDN w:val="0"/>
        <w:adjustRightInd w:val="0"/>
        <w:spacing w:line="360" w:lineRule="auto"/>
        <w:ind w:firstLine="420" w:firstLineChars="200"/>
        <w:jc w:val="left"/>
        <w:rPr>
          <w:rFonts w:hint="default" w:ascii="宋体" w:hAnsi="宋体" w:eastAsia="宋体" w:cs="华文细黑"/>
          <w:bCs/>
          <w:color w:val="auto"/>
          <w:kern w:val="0"/>
          <w:szCs w:val="21"/>
          <w:highlight w:val="none"/>
          <w:lang w:val="en-US" w:eastAsia="zh-CN"/>
        </w:rPr>
      </w:pPr>
      <w:r>
        <w:rPr>
          <w:rFonts w:hint="eastAsia" w:ascii="宋体" w:hAnsi="宋体" w:eastAsia="宋体" w:cs="华文细黑"/>
          <w:bCs/>
          <w:color w:val="auto"/>
          <w:kern w:val="0"/>
          <w:szCs w:val="21"/>
          <w:highlight w:val="none"/>
          <w:lang w:val="en-US" w:eastAsia="zh-CN"/>
        </w:rPr>
        <w:t>台站智慧安播应急系统要求对接青浦区融媒体</w:t>
      </w:r>
      <w:r>
        <w:rPr>
          <w:rFonts w:hint="default" w:ascii="宋体" w:hAnsi="宋体" w:eastAsia="宋体" w:cs="华文细黑"/>
          <w:bCs/>
          <w:color w:val="auto"/>
          <w:kern w:val="0"/>
          <w:szCs w:val="21"/>
          <w:highlight w:val="none"/>
          <w:lang w:val="en-US" w:eastAsia="zh-CN"/>
        </w:rPr>
        <w:t>中心</w:t>
      </w:r>
      <w:r>
        <w:rPr>
          <w:rFonts w:hint="eastAsia" w:ascii="宋体" w:hAnsi="宋体" w:eastAsia="宋体" w:cs="华文细黑"/>
          <w:bCs/>
          <w:color w:val="auto"/>
          <w:kern w:val="0"/>
          <w:szCs w:val="21"/>
          <w:highlight w:val="none"/>
          <w:lang w:val="en-US" w:eastAsia="zh-CN"/>
        </w:rPr>
        <w:t>电视广播</w:t>
      </w:r>
      <w:r>
        <w:rPr>
          <w:rFonts w:hint="default" w:ascii="宋体" w:hAnsi="宋体" w:eastAsia="宋体" w:cs="华文细黑"/>
          <w:bCs/>
          <w:color w:val="auto"/>
          <w:kern w:val="0"/>
          <w:szCs w:val="21"/>
          <w:highlight w:val="none"/>
          <w:lang w:val="en-US" w:eastAsia="zh-CN"/>
        </w:rPr>
        <w:t>信源切换器</w:t>
      </w:r>
      <w:r>
        <w:rPr>
          <w:rFonts w:hint="eastAsia" w:ascii="宋体" w:hAnsi="宋体" w:eastAsia="宋体" w:cs="华文细黑"/>
          <w:bCs/>
          <w:color w:val="auto"/>
          <w:kern w:val="0"/>
          <w:szCs w:val="21"/>
          <w:highlight w:val="none"/>
          <w:lang w:val="en-US" w:eastAsia="zh-CN"/>
        </w:rPr>
        <w:t>，利用</w:t>
      </w:r>
      <w:r>
        <w:rPr>
          <w:rFonts w:hint="default" w:ascii="宋体" w:hAnsi="宋体" w:eastAsia="宋体" w:cs="华文细黑"/>
          <w:bCs/>
          <w:color w:val="auto"/>
          <w:kern w:val="0"/>
          <w:szCs w:val="21"/>
          <w:highlight w:val="none"/>
          <w:lang w:val="en-US" w:eastAsia="zh-CN"/>
        </w:rPr>
        <w:t>GPIO按键切换面板</w:t>
      </w:r>
      <w:r>
        <w:rPr>
          <w:rFonts w:hint="eastAsia" w:ascii="宋体" w:hAnsi="宋体" w:eastAsia="宋体" w:cs="华文细黑"/>
          <w:bCs/>
          <w:color w:val="auto"/>
          <w:kern w:val="0"/>
          <w:szCs w:val="21"/>
          <w:highlight w:val="none"/>
          <w:lang w:val="en-US" w:eastAsia="zh-CN"/>
        </w:rPr>
        <w:t>联动，经过逻辑判断后自动应急。</w:t>
      </w:r>
    </w:p>
    <w:p w14:paraId="3ECBF88C">
      <w:pPr>
        <w:autoSpaceDE w:val="0"/>
        <w:autoSpaceDN w:val="0"/>
        <w:adjustRightInd w:val="0"/>
        <w:spacing w:line="360" w:lineRule="auto"/>
        <w:ind w:firstLine="482" w:firstLineChars="200"/>
        <w:jc w:val="left"/>
        <w:rPr>
          <w:rFonts w:hint="eastAsia" w:ascii="宋体" w:hAnsi="宋体" w:eastAsia="宋体" w:cs="华文细黑"/>
          <w:b/>
          <w:color w:val="000000"/>
          <w:kern w:val="0"/>
          <w:sz w:val="24"/>
          <w:szCs w:val="24"/>
          <w:lang w:val="en-US" w:eastAsia="zh-CN"/>
        </w:rPr>
      </w:pPr>
      <w:r>
        <w:rPr>
          <w:rFonts w:hint="eastAsia" w:ascii="宋体" w:hAnsi="宋体" w:eastAsia="宋体" w:cs="华文细黑"/>
          <w:b/>
          <w:color w:val="000000"/>
          <w:kern w:val="0"/>
          <w:sz w:val="24"/>
          <w:szCs w:val="24"/>
          <w:lang w:val="en-US" w:eastAsia="zh-CN"/>
        </w:rPr>
        <w:t>五、其它需求</w:t>
      </w:r>
    </w:p>
    <w:p w14:paraId="245CEDDD">
      <w:pPr>
        <w:pStyle w:val="13"/>
        <w:spacing w:line="360" w:lineRule="auto"/>
        <w:ind w:left="0" w:leftChars="0" w:firstLine="422" w:firstLineChars="200"/>
        <w:rPr>
          <w:rFonts w:hint="default" w:ascii="宋体" w:hAnsi="宋体" w:eastAsia="宋体" w:cs="华文细黑"/>
          <w:b/>
          <w:bCs w:val="0"/>
          <w:color w:val="000000"/>
          <w:kern w:val="0"/>
          <w:sz w:val="21"/>
          <w:szCs w:val="21"/>
          <w:lang w:val="en-US" w:eastAsia="zh-CN" w:bidi="ar-SA"/>
        </w:rPr>
      </w:pPr>
      <w:r>
        <w:rPr>
          <w:rFonts w:hint="eastAsia" w:ascii="宋体" w:hAnsi="宋体" w:eastAsia="宋体" w:cs="华文细黑"/>
          <w:b/>
          <w:bCs w:val="0"/>
          <w:color w:val="000000"/>
          <w:kern w:val="0"/>
          <w:sz w:val="21"/>
          <w:szCs w:val="21"/>
          <w:lang w:val="en-US" w:eastAsia="zh-CN" w:bidi="ar-SA"/>
        </w:rPr>
        <w:t>1</w:t>
      </w:r>
      <w:bookmarkStart w:id="8" w:name="_Toc387735733"/>
      <w:r>
        <w:rPr>
          <w:rFonts w:hint="eastAsia" w:ascii="宋体" w:hAnsi="宋体" w:eastAsia="宋体" w:cs="华文细黑"/>
          <w:b/>
          <w:bCs w:val="0"/>
          <w:color w:val="000000"/>
          <w:kern w:val="0"/>
          <w:sz w:val="21"/>
          <w:szCs w:val="21"/>
          <w:lang w:val="en-US" w:eastAsia="zh-CN" w:bidi="ar-SA"/>
        </w:rPr>
        <w:t>.规范性引用</w:t>
      </w:r>
      <w:bookmarkEnd w:id="8"/>
      <w:bookmarkStart w:id="9" w:name="_Toc259455311"/>
      <w:bookmarkEnd w:id="9"/>
      <w:bookmarkStart w:id="10" w:name="_Toc276715494"/>
      <w:bookmarkEnd w:id="10"/>
      <w:bookmarkStart w:id="11" w:name="_Toc276715492"/>
      <w:bookmarkEnd w:id="11"/>
      <w:bookmarkStart w:id="12" w:name="_Toc247512804"/>
      <w:bookmarkEnd w:id="12"/>
      <w:bookmarkStart w:id="13" w:name="_Toc265960873"/>
      <w:r>
        <w:rPr>
          <w:rFonts w:hint="eastAsia" w:ascii="宋体" w:hAnsi="宋体" w:eastAsia="宋体" w:cs="华文细黑"/>
          <w:b/>
          <w:bCs w:val="0"/>
          <w:color w:val="000000"/>
          <w:kern w:val="0"/>
          <w:sz w:val="21"/>
          <w:szCs w:val="21"/>
          <w:lang w:val="en-US" w:eastAsia="zh-CN" w:bidi="ar-SA"/>
        </w:rPr>
        <w:t>要求</w:t>
      </w:r>
    </w:p>
    <w:bookmarkEnd w:id="13"/>
    <w:p w14:paraId="6E36D74F">
      <w:pPr>
        <w:pStyle w:val="2"/>
        <w:ind w:left="420" w:leftChars="200" w:firstLine="0" w:firstLineChars="0"/>
        <w:rPr>
          <w:rFonts w:hint="eastAsia" w:ascii="宋体" w:hAnsi="宋体" w:eastAsia="宋体" w:cs="华文细黑"/>
          <w:bCs/>
          <w:color w:val="000000"/>
          <w:kern w:val="0"/>
          <w:sz w:val="21"/>
          <w:szCs w:val="21"/>
          <w:lang w:val="en-US" w:eastAsia="zh-CN" w:bidi="ar-SA"/>
        </w:rPr>
      </w:pPr>
      <w:r>
        <w:rPr>
          <w:rFonts w:hint="eastAsia" w:ascii="宋体" w:hAnsi="宋体" w:eastAsia="宋体" w:cs="华文细黑"/>
          <w:bCs/>
          <w:color w:val="000000"/>
          <w:kern w:val="0"/>
          <w:sz w:val="21"/>
          <w:szCs w:val="21"/>
          <w:lang w:val="en-US" w:eastAsia="zh-CN" w:bidi="ar-SA"/>
        </w:rPr>
        <w:t>1）.《信息安全技术应用软件系统通用安全技术要求》GB/T 28452-2012</w:t>
      </w:r>
    </w:p>
    <w:p w14:paraId="39376E2F">
      <w:pPr>
        <w:pStyle w:val="2"/>
        <w:ind w:left="420" w:leftChars="200" w:firstLine="0" w:firstLineChars="0"/>
        <w:rPr>
          <w:rFonts w:hint="eastAsia" w:ascii="宋体" w:hAnsi="宋体" w:eastAsia="宋体" w:cs="华文细黑"/>
          <w:bCs/>
          <w:color w:val="000000"/>
          <w:kern w:val="0"/>
          <w:sz w:val="21"/>
          <w:szCs w:val="21"/>
          <w:lang w:val="en-US" w:eastAsia="zh-CN" w:bidi="ar-SA"/>
        </w:rPr>
      </w:pPr>
      <w:r>
        <w:rPr>
          <w:rFonts w:hint="eastAsia" w:ascii="宋体" w:hAnsi="宋体" w:eastAsia="宋体" w:cs="华文细黑"/>
          <w:bCs/>
          <w:color w:val="000000"/>
          <w:kern w:val="0"/>
          <w:sz w:val="21"/>
          <w:szCs w:val="21"/>
          <w:lang w:val="en-US" w:eastAsia="zh-CN" w:bidi="ar-SA"/>
        </w:rPr>
        <w:t>2）.《计算机软件测试规范》GB/T 15532-2008</w:t>
      </w:r>
    </w:p>
    <w:p w14:paraId="64051571">
      <w:pPr>
        <w:pStyle w:val="2"/>
        <w:ind w:left="420" w:leftChars="200" w:firstLine="0" w:firstLineChars="0"/>
        <w:rPr>
          <w:rFonts w:hint="eastAsia" w:ascii="宋体" w:hAnsi="宋体" w:eastAsia="宋体" w:cs="华文细黑"/>
          <w:bCs/>
          <w:color w:val="000000"/>
          <w:kern w:val="0"/>
          <w:sz w:val="21"/>
          <w:szCs w:val="21"/>
          <w:lang w:val="en-US" w:eastAsia="zh-CN" w:bidi="ar-SA"/>
        </w:rPr>
      </w:pPr>
      <w:r>
        <w:rPr>
          <w:rFonts w:hint="eastAsia" w:ascii="宋体" w:hAnsi="宋体" w:eastAsia="宋体" w:cs="华文细黑"/>
          <w:bCs/>
          <w:color w:val="000000"/>
          <w:kern w:val="0"/>
          <w:sz w:val="21"/>
          <w:szCs w:val="21"/>
          <w:lang w:val="en-US" w:eastAsia="zh-CN" w:bidi="ar-SA"/>
        </w:rPr>
        <w:t>3）.《计算机软件需求规格说明规范》GB/T 9385-2008</w:t>
      </w:r>
    </w:p>
    <w:p w14:paraId="7474A5AF">
      <w:pPr>
        <w:pStyle w:val="2"/>
        <w:ind w:left="420" w:leftChars="200" w:firstLine="0" w:firstLineChars="0"/>
        <w:rPr>
          <w:rFonts w:hint="eastAsia" w:ascii="宋体" w:hAnsi="宋体" w:eastAsia="宋体" w:cs="华文细黑"/>
          <w:bCs/>
          <w:color w:val="000000"/>
          <w:kern w:val="0"/>
          <w:sz w:val="21"/>
          <w:szCs w:val="21"/>
          <w:lang w:val="en-US" w:eastAsia="zh-CN" w:bidi="ar-SA"/>
        </w:rPr>
      </w:pPr>
      <w:r>
        <w:rPr>
          <w:rFonts w:hint="eastAsia" w:ascii="宋体" w:hAnsi="宋体" w:eastAsia="宋体" w:cs="华文细黑"/>
          <w:bCs/>
          <w:color w:val="000000"/>
          <w:kern w:val="0"/>
          <w:sz w:val="21"/>
          <w:szCs w:val="21"/>
          <w:lang w:val="en-US" w:eastAsia="zh-CN" w:bidi="ar-SA"/>
        </w:rPr>
        <w:t>4）.《计算机软件文档编制规范》GB/T 8567-2006</w:t>
      </w:r>
    </w:p>
    <w:p w14:paraId="774545AF">
      <w:pPr>
        <w:pStyle w:val="2"/>
        <w:ind w:left="420" w:leftChars="200" w:firstLine="0" w:firstLineChars="0"/>
        <w:rPr>
          <w:rFonts w:hint="eastAsia" w:ascii="宋体" w:hAnsi="宋体" w:eastAsia="宋体" w:cs="华文细黑"/>
          <w:bCs/>
          <w:color w:val="000000"/>
          <w:kern w:val="0"/>
          <w:sz w:val="21"/>
          <w:szCs w:val="21"/>
          <w:lang w:val="en-US" w:eastAsia="zh-CN" w:bidi="ar-SA"/>
        </w:rPr>
      </w:pPr>
      <w:r>
        <w:rPr>
          <w:rFonts w:hint="eastAsia" w:ascii="宋体" w:hAnsi="宋体" w:eastAsia="宋体" w:cs="华文细黑"/>
          <w:bCs/>
          <w:color w:val="000000"/>
          <w:kern w:val="0"/>
          <w:sz w:val="21"/>
          <w:szCs w:val="21"/>
          <w:lang w:val="en-US" w:eastAsia="zh-CN" w:bidi="ar-SA"/>
        </w:rPr>
        <w:t>5）.《书目信息交换用磁带格式，可用于数据交换》GB/T 2901-1992</w:t>
      </w:r>
    </w:p>
    <w:p w14:paraId="4C45B1D9">
      <w:pPr>
        <w:pStyle w:val="2"/>
        <w:ind w:left="420" w:leftChars="200" w:firstLine="0" w:firstLineChars="0"/>
        <w:rPr>
          <w:rFonts w:hint="eastAsia" w:ascii="宋体" w:hAnsi="宋体" w:eastAsia="宋体" w:cs="华文细黑"/>
          <w:bCs/>
          <w:color w:val="000000"/>
          <w:kern w:val="0"/>
          <w:sz w:val="21"/>
          <w:szCs w:val="21"/>
          <w:lang w:val="en-US" w:eastAsia="zh-CN" w:bidi="ar-SA"/>
        </w:rPr>
      </w:pPr>
      <w:r>
        <w:rPr>
          <w:rFonts w:hint="eastAsia" w:ascii="宋体" w:hAnsi="宋体" w:eastAsia="宋体" w:cs="华文细黑"/>
          <w:bCs/>
          <w:color w:val="000000"/>
          <w:kern w:val="0"/>
          <w:sz w:val="21"/>
          <w:szCs w:val="21"/>
          <w:lang w:val="en-US" w:eastAsia="zh-CN" w:bidi="ar-SA"/>
        </w:rPr>
        <w:t>6）.《信息与文献书目数据元目录》GB/T 19688-2005</w:t>
      </w:r>
    </w:p>
    <w:p w14:paraId="74F0D53F">
      <w:pPr>
        <w:pStyle w:val="2"/>
        <w:ind w:left="420" w:leftChars="200" w:firstLine="0" w:firstLineChars="0"/>
        <w:rPr>
          <w:rFonts w:hint="eastAsia" w:ascii="宋体" w:hAnsi="宋体" w:eastAsia="宋体" w:cs="华文细黑"/>
          <w:bCs/>
          <w:color w:val="000000"/>
          <w:kern w:val="0"/>
          <w:sz w:val="21"/>
          <w:szCs w:val="21"/>
          <w:lang w:val="en-US" w:eastAsia="zh-CN" w:bidi="ar-SA"/>
        </w:rPr>
      </w:pPr>
      <w:r>
        <w:rPr>
          <w:rFonts w:hint="eastAsia" w:ascii="宋体" w:hAnsi="宋体" w:eastAsia="宋体" w:cs="华文细黑"/>
          <w:bCs/>
          <w:color w:val="000000"/>
          <w:kern w:val="0"/>
          <w:sz w:val="21"/>
          <w:szCs w:val="21"/>
          <w:lang w:val="en-US" w:eastAsia="zh-CN" w:bidi="ar-SA"/>
        </w:rPr>
        <w:t>7）.《信息与文献交互式文本检索命令集》GB/T 19689-2005</w:t>
      </w:r>
    </w:p>
    <w:p w14:paraId="7B4ACDB4">
      <w:pPr>
        <w:pStyle w:val="2"/>
        <w:ind w:left="420" w:leftChars="200" w:firstLine="0" w:firstLineChars="0"/>
        <w:rPr>
          <w:rFonts w:hint="eastAsia" w:ascii="宋体" w:hAnsi="宋体" w:eastAsia="宋体" w:cs="华文细黑"/>
          <w:bCs/>
          <w:color w:val="000000"/>
          <w:kern w:val="0"/>
          <w:sz w:val="21"/>
          <w:szCs w:val="21"/>
          <w:lang w:val="en-US" w:eastAsia="zh-CN" w:bidi="ar-SA"/>
        </w:rPr>
      </w:pPr>
      <w:r>
        <w:rPr>
          <w:rFonts w:hint="eastAsia" w:ascii="宋体" w:hAnsi="宋体" w:eastAsia="宋体" w:cs="华文细黑"/>
          <w:bCs/>
          <w:color w:val="000000"/>
          <w:kern w:val="0"/>
          <w:sz w:val="21"/>
          <w:szCs w:val="21"/>
          <w:lang w:val="en-US" w:eastAsia="zh-CN" w:bidi="ar-SA"/>
        </w:rPr>
        <w:t>8）.《广播电视技术维护管理规定》</w:t>
      </w:r>
    </w:p>
    <w:p w14:paraId="63E78E1C">
      <w:pPr>
        <w:pStyle w:val="2"/>
        <w:ind w:left="420" w:leftChars="200" w:firstLine="0" w:firstLineChars="0"/>
        <w:rPr>
          <w:rFonts w:hint="eastAsia" w:ascii="宋体" w:hAnsi="宋体" w:eastAsia="宋体" w:cs="华文细黑"/>
          <w:bCs/>
          <w:color w:val="000000"/>
          <w:kern w:val="0"/>
          <w:sz w:val="21"/>
          <w:szCs w:val="21"/>
          <w:lang w:val="en-US" w:eastAsia="zh-CN" w:bidi="ar-SA"/>
        </w:rPr>
      </w:pPr>
      <w:r>
        <w:rPr>
          <w:rFonts w:hint="eastAsia" w:ascii="宋体" w:hAnsi="宋体" w:eastAsia="宋体" w:cs="华文细黑"/>
          <w:bCs/>
          <w:color w:val="000000"/>
          <w:kern w:val="0"/>
          <w:sz w:val="21"/>
          <w:szCs w:val="21"/>
          <w:lang w:val="en-US" w:eastAsia="zh-CN" w:bidi="ar-SA"/>
        </w:rPr>
        <w:t>9）.广电总局第62 号令《广播电视安全播出管理规定》</w:t>
      </w:r>
    </w:p>
    <w:p w14:paraId="6C6F084A">
      <w:pPr>
        <w:pStyle w:val="2"/>
        <w:ind w:left="420" w:leftChars="200" w:firstLine="0" w:firstLineChars="0"/>
        <w:rPr>
          <w:rFonts w:hint="eastAsia" w:ascii="宋体" w:hAnsi="宋体" w:eastAsia="宋体" w:cs="华文细黑"/>
          <w:bCs/>
          <w:color w:val="000000"/>
          <w:kern w:val="0"/>
          <w:sz w:val="21"/>
          <w:szCs w:val="21"/>
          <w:lang w:val="en-US" w:eastAsia="zh-CN" w:bidi="ar-SA"/>
        </w:rPr>
      </w:pPr>
      <w:r>
        <w:rPr>
          <w:rFonts w:hint="eastAsia" w:ascii="宋体" w:hAnsi="宋体" w:eastAsia="宋体" w:cs="华文细黑"/>
          <w:bCs/>
          <w:color w:val="000000"/>
          <w:kern w:val="0"/>
          <w:sz w:val="21"/>
          <w:szCs w:val="21"/>
          <w:lang w:val="en-US" w:eastAsia="zh-CN" w:bidi="ar-SA"/>
        </w:rPr>
        <w:t>10）.GY/Z 174-2001 《数字电视广播业务信息规范》</w:t>
      </w:r>
    </w:p>
    <w:p w14:paraId="0D61A64E">
      <w:pPr>
        <w:pStyle w:val="2"/>
        <w:ind w:left="420" w:leftChars="200" w:firstLine="0" w:firstLineChars="0"/>
        <w:rPr>
          <w:rFonts w:hint="eastAsia" w:ascii="宋体" w:hAnsi="宋体" w:eastAsia="宋体" w:cs="华文细黑"/>
          <w:bCs/>
          <w:color w:val="000000"/>
          <w:kern w:val="0"/>
          <w:sz w:val="21"/>
          <w:szCs w:val="21"/>
          <w:lang w:val="en-US" w:eastAsia="zh-CN" w:bidi="ar-SA"/>
        </w:rPr>
      </w:pPr>
      <w:r>
        <w:rPr>
          <w:rFonts w:hint="eastAsia" w:ascii="宋体" w:hAnsi="宋体" w:eastAsia="宋体" w:cs="华文细黑"/>
          <w:bCs/>
          <w:color w:val="000000"/>
          <w:kern w:val="0"/>
          <w:sz w:val="21"/>
          <w:szCs w:val="21"/>
          <w:lang w:val="en-US" w:eastAsia="zh-CN" w:bidi="ar-SA"/>
        </w:rPr>
        <w:t>11）.《发射台自动化建设实施指导意见》</w:t>
      </w:r>
    </w:p>
    <w:p w14:paraId="5830FD44">
      <w:pPr>
        <w:pStyle w:val="2"/>
        <w:ind w:left="420" w:leftChars="200" w:firstLine="0" w:firstLineChars="0"/>
        <w:rPr>
          <w:rFonts w:hint="eastAsia" w:ascii="宋体" w:hAnsi="宋体" w:eastAsia="宋体" w:cs="华文细黑"/>
          <w:bCs/>
          <w:color w:val="000000"/>
          <w:kern w:val="0"/>
          <w:sz w:val="21"/>
          <w:szCs w:val="21"/>
          <w:lang w:val="en-US" w:eastAsia="zh-CN" w:bidi="ar-SA"/>
        </w:rPr>
      </w:pPr>
      <w:r>
        <w:rPr>
          <w:rFonts w:hint="eastAsia" w:ascii="宋体" w:hAnsi="宋体" w:eastAsia="宋体" w:cs="华文细黑"/>
          <w:bCs/>
          <w:color w:val="000000"/>
          <w:kern w:val="0"/>
          <w:sz w:val="21"/>
          <w:szCs w:val="21"/>
          <w:lang w:val="en-US" w:eastAsia="zh-CN" w:bidi="ar-SA"/>
        </w:rPr>
        <w:t>12）.国家广电总局《广播电视监测台建设标准》；</w:t>
      </w:r>
    </w:p>
    <w:p w14:paraId="6AEC58AA">
      <w:pPr>
        <w:rPr>
          <w:rFonts w:hint="eastAsia"/>
        </w:rPr>
      </w:pPr>
    </w:p>
    <w:p w14:paraId="6CFA6A63">
      <w:pPr>
        <w:pStyle w:val="13"/>
        <w:spacing w:line="360" w:lineRule="auto"/>
        <w:ind w:left="0" w:leftChars="0" w:firstLine="422" w:firstLineChars="200"/>
        <w:rPr>
          <w:rFonts w:ascii="宋体" w:hAnsi="宋体" w:cs="华文细黑"/>
          <w:b/>
          <w:bCs w:val="0"/>
          <w:sz w:val="21"/>
          <w:szCs w:val="21"/>
        </w:rPr>
      </w:pPr>
      <w:r>
        <w:rPr>
          <w:rFonts w:hint="eastAsia" w:ascii="宋体" w:hAnsi="宋体" w:cs="华文细黑"/>
          <w:b/>
          <w:bCs w:val="0"/>
          <w:sz w:val="21"/>
          <w:szCs w:val="21"/>
        </w:rPr>
        <w:t>2</w:t>
      </w:r>
      <w:r>
        <w:rPr>
          <w:rFonts w:hint="eastAsia" w:ascii="宋体" w:hAnsi="宋体" w:cs="华文细黑"/>
          <w:b/>
          <w:bCs w:val="0"/>
          <w:sz w:val="21"/>
          <w:szCs w:val="21"/>
          <w:lang w:eastAsia="zh-CN"/>
        </w:rPr>
        <w:t>.</w:t>
      </w:r>
      <w:r>
        <w:rPr>
          <w:rFonts w:hint="eastAsia" w:ascii="宋体" w:hAnsi="宋体" w:cs="华文细黑"/>
          <w:b/>
          <w:bCs w:val="0"/>
          <w:sz w:val="21"/>
          <w:szCs w:val="21"/>
        </w:rPr>
        <w:t>对于本项目所有管理功能，投标方需承诺满足用户方合理的</w:t>
      </w:r>
      <w:r>
        <w:rPr>
          <w:rFonts w:hint="eastAsia" w:ascii="宋体" w:hAnsi="宋体" w:cs="华文细黑"/>
          <w:b/>
          <w:bCs w:val="0"/>
          <w:sz w:val="21"/>
          <w:szCs w:val="21"/>
          <w:lang w:val="en-US" w:eastAsia="zh-CN"/>
        </w:rPr>
        <w:t>需求</w:t>
      </w:r>
      <w:r>
        <w:rPr>
          <w:rFonts w:hint="eastAsia" w:ascii="宋体" w:hAnsi="宋体" w:cs="华文细黑"/>
          <w:b/>
          <w:bCs w:val="0"/>
          <w:sz w:val="21"/>
          <w:szCs w:val="21"/>
        </w:rPr>
        <w:t>更改。</w:t>
      </w:r>
    </w:p>
    <w:p w14:paraId="3C69A754">
      <w:pPr>
        <w:pStyle w:val="13"/>
        <w:numPr>
          <w:ilvl w:val="0"/>
          <w:numId w:val="0"/>
        </w:numPr>
        <w:spacing w:line="360" w:lineRule="auto"/>
        <w:jc w:val="both"/>
        <w:rPr>
          <w:rFonts w:hint="eastAsia" w:ascii="宋体" w:hAnsi="宋体"/>
          <w:b/>
          <w:bCs/>
          <w:kern w:val="44"/>
          <w:sz w:val="32"/>
          <w:szCs w:val="32"/>
          <w:highlight w:val="yellow"/>
          <w:lang w:val="en-US" w:eastAsia="zh-CN"/>
        </w:rPr>
      </w:pPr>
    </w:p>
    <w:p w14:paraId="68789900">
      <w:pPr>
        <w:keepNext/>
        <w:keepLines/>
        <w:widowControl/>
        <w:spacing w:before="340" w:after="330" w:line="360" w:lineRule="auto"/>
        <w:jc w:val="center"/>
        <w:outlineLvl w:val="0"/>
        <w:rPr>
          <w:rFonts w:hint="default" w:ascii="宋体" w:hAnsi="宋体" w:eastAsia="宋体"/>
          <w:b/>
          <w:bCs/>
          <w:kern w:val="44"/>
          <w:sz w:val="32"/>
          <w:szCs w:val="32"/>
          <w:lang w:val="en-US" w:eastAsia="zh-CN"/>
        </w:rPr>
      </w:pPr>
      <w:bookmarkStart w:id="14" w:name="_Toc32919262"/>
      <w:bookmarkStart w:id="15" w:name="_Toc33270702"/>
      <w:r>
        <w:rPr>
          <w:rFonts w:hint="eastAsia" w:ascii="宋体" w:hAnsi="宋体"/>
          <w:b/>
          <w:bCs/>
          <w:kern w:val="44"/>
          <w:sz w:val="32"/>
          <w:szCs w:val="32"/>
        </w:rPr>
        <w:t>第</w:t>
      </w:r>
      <w:r>
        <w:rPr>
          <w:rFonts w:hint="eastAsia" w:ascii="宋体" w:hAnsi="宋体"/>
          <w:b/>
          <w:bCs/>
          <w:kern w:val="44"/>
          <w:sz w:val="32"/>
          <w:szCs w:val="32"/>
          <w:lang w:val="en-US" w:eastAsia="zh-CN"/>
        </w:rPr>
        <w:t>四</w:t>
      </w:r>
      <w:r>
        <w:rPr>
          <w:rFonts w:hint="eastAsia" w:ascii="宋体" w:hAnsi="宋体"/>
          <w:b/>
          <w:bCs/>
          <w:kern w:val="44"/>
          <w:sz w:val="32"/>
          <w:szCs w:val="32"/>
        </w:rPr>
        <w:t>节 知识产权及保密要求</w:t>
      </w:r>
      <w:bookmarkEnd w:id="14"/>
      <w:bookmarkEnd w:id="15"/>
    </w:p>
    <w:p w14:paraId="7A78CBD2">
      <w:pPr>
        <w:spacing w:line="360" w:lineRule="auto"/>
        <w:ind w:firstLine="482" w:firstLineChars="200"/>
        <w:rPr>
          <w:rFonts w:ascii="宋体" w:hAnsi="宋体"/>
          <w:b/>
          <w:bCs/>
          <w:sz w:val="24"/>
        </w:rPr>
      </w:pPr>
      <w:r>
        <w:rPr>
          <w:rFonts w:hint="eastAsia" w:ascii="宋体" w:hAnsi="宋体"/>
          <w:b/>
          <w:bCs/>
          <w:sz w:val="24"/>
        </w:rPr>
        <w:t>一、投标人数据、文件、资料知识产权</w:t>
      </w:r>
    </w:p>
    <w:p w14:paraId="261562E3">
      <w:pPr>
        <w:spacing w:line="360" w:lineRule="auto"/>
        <w:ind w:firstLine="420" w:firstLineChars="200"/>
        <w:rPr>
          <w:rFonts w:ascii="宋体" w:hAnsi="宋体"/>
          <w:szCs w:val="21"/>
        </w:rPr>
      </w:pPr>
      <w:r>
        <w:rPr>
          <w:rFonts w:hint="eastAsia" w:ascii="宋体" w:hAnsi="宋体"/>
          <w:szCs w:val="21"/>
        </w:rPr>
        <w:t>投标人应确保其完成本合同要求所利用、提交的所有数据、文件、资料及为完成项目而实施的其它工作没有侵犯任何人的专利权、商标权及其他知识产权。投标人保证建设方均不会因其履行合同义务而引起的在专利权、商标权以及其他知识产权方面，发生针对建设方的任何第三方的索赔。如有发生，投标人将负责处理并承担由此引起的法律责任以及包括律师费用在内的一切费用及损害赔偿。</w:t>
      </w:r>
    </w:p>
    <w:p w14:paraId="378A2725">
      <w:pPr>
        <w:spacing w:line="360" w:lineRule="auto"/>
        <w:ind w:firstLine="482" w:firstLineChars="200"/>
        <w:rPr>
          <w:rFonts w:ascii="宋体" w:hAnsi="宋体"/>
          <w:b/>
          <w:bCs/>
          <w:sz w:val="24"/>
        </w:rPr>
      </w:pPr>
      <w:r>
        <w:rPr>
          <w:rFonts w:hint="eastAsia" w:ascii="宋体" w:hAnsi="宋体"/>
          <w:b/>
          <w:bCs/>
          <w:sz w:val="24"/>
        </w:rPr>
        <w:t>二、项目保密要求</w:t>
      </w:r>
    </w:p>
    <w:p w14:paraId="1D3248D5">
      <w:pPr>
        <w:spacing w:line="360" w:lineRule="auto"/>
        <w:ind w:firstLine="420" w:firstLineChars="200"/>
        <w:rPr>
          <w:rFonts w:ascii="宋体" w:hAnsi="宋体"/>
          <w:szCs w:val="21"/>
        </w:rPr>
      </w:pPr>
      <w:r>
        <w:rPr>
          <w:rFonts w:hint="eastAsia" w:ascii="宋体" w:hAnsi="宋体"/>
          <w:szCs w:val="21"/>
        </w:rPr>
        <w:t>投标人为履行本合同所形成的资料、数据、软件开发等成果及其他任何附加成果（包括但不限于工作中所取得的中间数据、资料等）</w:t>
      </w:r>
      <w:r>
        <w:rPr>
          <w:rFonts w:hint="eastAsia" w:ascii="宋体" w:hAnsi="宋体"/>
          <w:szCs w:val="21"/>
          <w:lang w:eastAsia="zh-CN"/>
        </w:rPr>
        <w:t>，</w:t>
      </w:r>
      <w:r>
        <w:rPr>
          <w:rFonts w:hint="eastAsia" w:ascii="宋体" w:hAnsi="宋体"/>
          <w:szCs w:val="21"/>
        </w:rPr>
        <w:t>投标人负有保密义务。投标人及其任何人员不得擅自处理、发表、引用或向第三方提供或泄漏与本项目、本合同的业务活动的任何有关的资料，以及在合同履行过程中形成的制作成果或文字资料。本项目投标人必须用户签订相关的保密安全协议。</w:t>
      </w:r>
    </w:p>
    <w:p w14:paraId="176555BA">
      <w:pPr>
        <w:pStyle w:val="13"/>
        <w:rPr>
          <w:rFonts w:hint="eastAsia"/>
        </w:rPr>
      </w:pPr>
    </w:p>
    <w:p w14:paraId="7B3A4EE1">
      <w:pPr>
        <w:keepNext/>
        <w:keepLines/>
        <w:widowControl/>
        <w:spacing w:before="340" w:after="330" w:line="360" w:lineRule="auto"/>
        <w:jc w:val="center"/>
        <w:outlineLvl w:val="0"/>
        <w:rPr>
          <w:rFonts w:hint="eastAsia" w:ascii="宋体" w:hAnsi="宋体" w:eastAsia="宋体"/>
          <w:b/>
          <w:bCs/>
          <w:kern w:val="44"/>
          <w:sz w:val="32"/>
          <w:szCs w:val="32"/>
          <w:lang w:eastAsia="zh-CN"/>
        </w:rPr>
      </w:pPr>
      <w:bookmarkStart w:id="16" w:name="_Toc32919263"/>
      <w:bookmarkStart w:id="17" w:name="_Toc33270703"/>
      <w:r>
        <w:rPr>
          <w:rFonts w:hint="eastAsia" w:ascii="宋体" w:hAnsi="宋体"/>
          <w:b/>
          <w:bCs/>
          <w:kern w:val="44"/>
          <w:sz w:val="32"/>
          <w:szCs w:val="32"/>
        </w:rPr>
        <w:t>第</w:t>
      </w:r>
      <w:r>
        <w:rPr>
          <w:rFonts w:hint="eastAsia" w:ascii="宋体" w:hAnsi="宋体"/>
          <w:b/>
          <w:bCs/>
          <w:kern w:val="44"/>
          <w:sz w:val="32"/>
          <w:szCs w:val="32"/>
          <w:lang w:val="en-US" w:eastAsia="zh-CN"/>
        </w:rPr>
        <w:t>五</w:t>
      </w:r>
      <w:r>
        <w:rPr>
          <w:rFonts w:hint="eastAsia" w:ascii="宋体" w:hAnsi="宋体"/>
          <w:b/>
          <w:bCs/>
          <w:kern w:val="44"/>
          <w:sz w:val="32"/>
          <w:szCs w:val="32"/>
        </w:rPr>
        <w:t>节 项目实施质量标准、验收及产品要求</w:t>
      </w:r>
      <w:bookmarkEnd w:id="16"/>
      <w:bookmarkEnd w:id="17"/>
    </w:p>
    <w:p w14:paraId="6601B22E">
      <w:pPr>
        <w:spacing w:line="360" w:lineRule="auto"/>
        <w:ind w:firstLine="482" w:firstLineChars="200"/>
        <w:rPr>
          <w:rFonts w:ascii="宋体" w:hAnsi="宋体"/>
          <w:b/>
          <w:sz w:val="24"/>
        </w:rPr>
      </w:pPr>
      <w:r>
        <w:rPr>
          <w:rFonts w:hint="eastAsia" w:ascii="宋体" w:hAnsi="宋体"/>
          <w:b/>
          <w:bCs/>
          <w:sz w:val="24"/>
        </w:rPr>
        <w:t>一、项目实施质量管控</w:t>
      </w:r>
    </w:p>
    <w:p w14:paraId="633FE8DA">
      <w:pPr>
        <w:spacing w:line="360" w:lineRule="auto"/>
        <w:ind w:firstLine="420" w:firstLineChars="200"/>
        <w:rPr>
          <w:rFonts w:hint="eastAsia" w:ascii="宋体" w:hAnsi="宋体"/>
          <w:szCs w:val="21"/>
        </w:rPr>
      </w:pPr>
      <w:r>
        <w:rPr>
          <w:rFonts w:hint="eastAsia" w:ascii="宋体" w:hAnsi="宋体"/>
          <w:szCs w:val="21"/>
        </w:rPr>
        <w:t>投标人负责项目总体管理、软硬件集成：包括系统搭建、软件开发部署等；配合建设方协调各个厂商的对接、测试、安装、调试完成建设方的总体项目目标。</w:t>
      </w:r>
    </w:p>
    <w:p w14:paraId="74F42CD7">
      <w:pPr>
        <w:spacing w:line="360" w:lineRule="auto"/>
        <w:ind w:firstLine="422" w:firstLineChars="200"/>
        <w:rPr>
          <w:rFonts w:ascii="宋体" w:hAnsi="宋体"/>
          <w:b/>
          <w:bCs/>
          <w:szCs w:val="21"/>
        </w:rPr>
      </w:pPr>
      <w:r>
        <w:rPr>
          <w:rFonts w:hint="eastAsia" w:ascii="宋体" w:hAnsi="宋体"/>
          <w:b/>
          <w:bCs/>
          <w:szCs w:val="21"/>
        </w:rPr>
        <w:t>1</w:t>
      </w:r>
      <w:r>
        <w:rPr>
          <w:rFonts w:hint="eastAsia" w:ascii="宋体" w:hAnsi="宋体"/>
          <w:b/>
          <w:bCs/>
          <w:szCs w:val="21"/>
          <w:lang w:eastAsia="zh-CN"/>
        </w:rPr>
        <w:t>.</w:t>
      </w:r>
      <w:r>
        <w:rPr>
          <w:rFonts w:hint="eastAsia" w:ascii="宋体" w:hAnsi="宋体"/>
          <w:b/>
          <w:bCs/>
          <w:szCs w:val="21"/>
        </w:rPr>
        <w:t>完成项目的整体组织，全过程项目管控</w:t>
      </w:r>
    </w:p>
    <w:p w14:paraId="16B6C5F1">
      <w:pPr>
        <w:spacing w:line="360" w:lineRule="auto"/>
        <w:ind w:firstLine="420" w:firstLineChars="200"/>
        <w:rPr>
          <w:rFonts w:ascii="宋体" w:hAnsi="宋体"/>
          <w:szCs w:val="21"/>
        </w:rPr>
      </w:pPr>
      <w:r>
        <w:rPr>
          <w:rFonts w:ascii="宋体" w:hAnsi="宋体"/>
          <w:szCs w:val="21"/>
        </w:rPr>
        <w:t>系统集成对项目的整体组织</w:t>
      </w:r>
      <w:r>
        <w:rPr>
          <w:rFonts w:hint="eastAsia" w:ascii="宋体" w:hAnsi="宋体"/>
          <w:szCs w:val="21"/>
        </w:rPr>
        <w:t>、技术进行规划，满足建设方</w:t>
      </w:r>
      <w:r>
        <w:rPr>
          <w:rFonts w:ascii="宋体" w:hAnsi="宋体"/>
          <w:szCs w:val="21"/>
        </w:rPr>
        <w:t>的建设要求</w:t>
      </w:r>
      <w:r>
        <w:rPr>
          <w:rFonts w:hint="eastAsia" w:ascii="宋体" w:hAnsi="宋体"/>
          <w:szCs w:val="21"/>
        </w:rPr>
        <w:t>，</w:t>
      </w:r>
      <w:r>
        <w:rPr>
          <w:rFonts w:ascii="宋体" w:hAnsi="宋体"/>
          <w:szCs w:val="21"/>
        </w:rPr>
        <w:t>按照项目约定</w:t>
      </w:r>
      <w:r>
        <w:rPr>
          <w:rFonts w:hint="eastAsia" w:ascii="宋体" w:hAnsi="宋体"/>
          <w:szCs w:val="21"/>
        </w:rPr>
        <w:t>，</w:t>
      </w:r>
      <w:r>
        <w:rPr>
          <w:rFonts w:ascii="宋体" w:hAnsi="宋体"/>
          <w:szCs w:val="21"/>
        </w:rPr>
        <w:t>按时完成项目建设</w:t>
      </w:r>
      <w:r>
        <w:rPr>
          <w:rFonts w:hint="eastAsia" w:ascii="宋体" w:hAnsi="宋体"/>
          <w:szCs w:val="21"/>
        </w:rPr>
        <w:t>，</w:t>
      </w:r>
      <w:r>
        <w:rPr>
          <w:rFonts w:ascii="宋体" w:hAnsi="宋体"/>
          <w:szCs w:val="21"/>
        </w:rPr>
        <w:t>提供足够的支持和督导</w:t>
      </w:r>
      <w:r>
        <w:rPr>
          <w:rFonts w:hint="eastAsia" w:ascii="宋体" w:hAnsi="宋体"/>
          <w:szCs w:val="21"/>
        </w:rPr>
        <w:t>。</w:t>
      </w:r>
    </w:p>
    <w:p w14:paraId="720057C4">
      <w:pPr>
        <w:spacing w:line="360" w:lineRule="auto"/>
        <w:ind w:firstLine="422" w:firstLineChars="200"/>
        <w:rPr>
          <w:rFonts w:ascii="宋体" w:hAnsi="宋体"/>
          <w:b/>
          <w:bCs/>
          <w:szCs w:val="21"/>
        </w:rPr>
      </w:pPr>
      <w:r>
        <w:rPr>
          <w:rFonts w:hint="eastAsia" w:ascii="宋体" w:hAnsi="宋体"/>
          <w:b/>
          <w:bCs/>
          <w:szCs w:val="21"/>
        </w:rPr>
        <w:t>2</w:t>
      </w:r>
      <w:r>
        <w:rPr>
          <w:rFonts w:hint="eastAsia" w:ascii="宋体" w:hAnsi="宋体"/>
          <w:b/>
          <w:bCs/>
          <w:szCs w:val="21"/>
          <w:lang w:eastAsia="zh-CN"/>
        </w:rPr>
        <w:t>.</w:t>
      </w:r>
      <w:r>
        <w:rPr>
          <w:rFonts w:hint="eastAsia" w:ascii="宋体" w:hAnsi="宋体"/>
          <w:b/>
          <w:bCs/>
          <w:szCs w:val="21"/>
        </w:rPr>
        <w:t>建立完善项目管控协调机制，确保项目进度和质量</w:t>
      </w:r>
    </w:p>
    <w:p w14:paraId="2009C44B">
      <w:pPr>
        <w:spacing w:line="360" w:lineRule="auto"/>
        <w:ind w:firstLine="420" w:firstLineChars="200"/>
        <w:rPr>
          <w:rFonts w:ascii="宋体" w:hAnsi="宋体"/>
          <w:szCs w:val="21"/>
        </w:rPr>
      </w:pPr>
      <w:r>
        <w:rPr>
          <w:rFonts w:ascii="宋体" w:hAnsi="宋体"/>
          <w:szCs w:val="21"/>
        </w:rPr>
        <w:t>系统集成在项目实施过程中</w:t>
      </w:r>
      <w:r>
        <w:rPr>
          <w:rFonts w:hint="eastAsia" w:ascii="宋体" w:hAnsi="宋体"/>
          <w:szCs w:val="21"/>
        </w:rPr>
        <w:t>，</w:t>
      </w:r>
      <w:r>
        <w:rPr>
          <w:rFonts w:ascii="宋体" w:hAnsi="宋体"/>
          <w:szCs w:val="21"/>
        </w:rPr>
        <w:t>应结合项目特点</w:t>
      </w:r>
      <w:r>
        <w:rPr>
          <w:rFonts w:hint="eastAsia" w:ascii="宋体" w:hAnsi="宋体"/>
          <w:szCs w:val="21"/>
        </w:rPr>
        <w:t>，</w:t>
      </w:r>
      <w:r>
        <w:rPr>
          <w:rFonts w:ascii="宋体" w:hAnsi="宋体"/>
          <w:szCs w:val="21"/>
        </w:rPr>
        <w:t>采用科学</w:t>
      </w:r>
      <w:r>
        <w:rPr>
          <w:rFonts w:hint="eastAsia" w:ascii="宋体" w:hAnsi="宋体"/>
          <w:szCs w:val="21"/>
        </w:rPr>
        <w:t>、</w:t>
      </w:r>
      <w:r>
        <w:rPr>
          <w:rFonts w:ascii="宋体" w:hAnsi="宋体"/>
          <w:szCs w:val="21"/>
        </w:rPr>
        <w:t>先进</w:t>
      </w:r>
      <w:r>
        <w:rPr>
          <w:rFonts w:hint="eastAsia" w:ascii="宋体" w:hAnsi="宋体"/>
          <w:szCs w:val="21"/>
        </w:rPr>
        <w:t>、合理的管理方法，对项目的各个层面进行全面的管理、控制和协调，使项目如期的完成，保证最大化的节约资源、提高效率。</w:t>
      </w:r>
    </w:p>
    <w:p w14:paraId="3D62C8A9">
      <w:pPr>
        <w:spacing w:line="360" w:lineRule="auto"/>
        <w:ind w:firstLine="422" w:firstLineChars="200"/>
        <w:rPr>
          <w:rFonts w:ascii="宋体" w:hAnsi="宋体"/>
          <w:b/>
          <w:bCs/>
          <w:szCs w:val="21"/>
        </w:rPr>
      </w:pPr>
      <w:r>
        <w:rPr>
          <w:rFonts w:hint="eastAsia" w:ascii="宋体" w:hAnsi="宋体"/>
          <w:b/>
          <w:bCs/>
          <w:szCs w:val="21"/>
        </w:rPr>
        <w:t>3</w:t>
      </w:r>
      <w:r>
        <w:rPr>
          <w:rFonts w:hint="eastAsia" w:ascii="宋体" w:hAnsi="宋体"/>
          <w:b/>
          <w:bCs/>
          <w:szCs w:val="21"/>
          <w:lang w:eastAsia="zh-CN"/>
        </w:rPr>
        <w:t>.</w:t>
      </w:r>
      <w:r>
        <w:rPr>
          <w:rFonts w:hint="eastAsia" w:ascii="宋体" w:hAnsi="宋体"/>
          <w:b/>
          <w:bCs/>
          <w:szCs w:val="21"/>
        </w:rPr>
        <w:t>配备强有力现场团队，消除不可控风险</w:t>
      </w:r>
    </w:p>
    <w:p w14:paraId="7ED18434">
      <w:pPr>
        <w:spacing w:line="360" w:lineRule="auto"/>
        <w:ind w:firstLine="420" w:firstLineChars="200"/>
        <w:rPr>
          <w:rFonts w:ascii="宋体" w:hAnsi="宋体"/>
          <w:szCs w:val="21"/>
        </w:rPr>
      </w:pPr>
      <w:r>
        <w:rPr>
          <w:rFonts w:hint="eastAsia" w:ascii="宋体" w:hAnsi="宋体"/>
          <w:szCs w:val="21"/>
        </w:rPr>
        <w:t>要求系统集成应具有的强大的技术实力和现场执行团队，消除一切不可控因素，避免项目风险，</w:t>
      </w:r>
      <w:r>
        <w:rPr>
          <w:rFonts w:ascii="宋体" w:hAnsi="宋体"/>
          <w:szCs w:val="21"/>
        </w:rPr>
        <w:t>保障项目</w:t>
      </w:r>
      <w:r>
        <w:rPr>
          <w:rFonts w:hint="eastAsia" w:ascii="宋体" w:hAnsi="宋体"/>
          <w:szCs w:val="21"/>
        </w:rPr>
        <w:t>顺利推进</w:t>
      </w:r>
      <w:r>
        <w:rPr>
          <w:rFonts w:ascii="宋体" w:hAnsi="宋体"/>
          <w:szCs w:val="21"/>
        </w:rPr>
        <w:t>，保</w:t>
      </w:r>
      <w:r>
        <w:rPr>
          <w:rFonts w:hint="eastAsia" w:ascii="宋体" w:hAnsi="宋体"/>
          <w:szCs w:val="21"/>
        </w:rPr>
        <w:t>证按照时间节点完成任务。</w:t>
      </w:r>
    </w:p>
    <w:p w14:paraId="15FBD8E2">
      <w:pPr>
        <w:spacing w:line="360" w:lineRule="auto"/>
        <w:ind w:firstLine="482" w:firstLineChars="200"/>
        <w:rPr>
          <w:rFonts w:hint="eastAsia" w:ascii="宋体" w:hAnsi="宋体" w:eastAsia="宋体"/>
          <w:b/>
          <w:bCs/>
          <w:color w:val="auto"/>
          <w:sz w:val="24"/>
          <w:highlight w:val="none"/>
          <w:lang w:eastAsia="zh-CN"/>
        </w:rPr>
      </w:pPr>
      <w:r>
        <w:rPr>
          <w:rFonts w:hint="eastAsia" w:ascii="宋体" w:hAnsi="宋体"/>
          <w:b/>
          <w:bCs/>
          <w:color w:val="auto"/>
          <w:sz w:val="24"/>
          <w:highlight w:val="none"/>
        </w:rPr>
        <w:t>二、产品要求</w:t>
      </w:r>
    </w:p>
    <w:p w14:paraId="6CE1217C">
      <w:pPr>
        <w:spacing w:line="360" w:lineRule="auto"/>
        <w:ind w:firstLine="420" w:firstLineChars="200"/>
        <w:rPr>
          <w:rFonts w:ascii="宋体" w:hAnsi="宋体"/>
          <w:b w:val="0"/>
          <w:bCs w:val="0"/>
          <w:color w:val="auto"/>
          <w:szCs w:val="21"/>
          <w:highlight w:val="none"/>
        </w:rPr>
      </w:pPr>
      <w:r>
        <w:rPr>
          <w:rFonts w:ascii="宋体" w:hAnsi="宋体"/>
          <w:b w:val="0"/>
          <w:bCs w:val="0"/>
          <w:color w:val="auto"/>
          <w:szCs w:val="21"/>
          <w:highlight w:val="none"/>
        </w:rPr>
        <w:t>1</w:t>
      </w: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所</w:t>
      </w:r>
      <w:r>
        <w:rPr>
          <w:rFonts w:hint="eastAsia" w:ascii="宋体" w:hAnsi="宋体"/>
          <w:b w:val="0"/>
          <w:bCs w:val="0"/>
          <w:color w:val="auto"/>
          <w:szCs w:val="21"/>
          <w:highlight w:val="none"/>
          <w:lang w:val="en-US" w:eastAsia="zh-CN"/>
        </w:rPr>
        <w:t>提供的本项目产品</w:t>
      </w:r>
      <w:r>
        <w:rPr>
          <w:rFonts w:hint="eastAsia" w:ascii="宋体" w:hAnsi="宋体"/>
          <w:b w:val="0"/>
          <w:bCs w:val="0"/>
          <w:color w:val="auto"/>
          <w:szCs w:val="21"/>
          <w:highlight w:val="none"/>
        </w:rPr>
        <w:t>性能应满足国家相关标准的要求。</w:t>
      </w:r>
    </w:p>
    <w:p w14:paraId="76A5ADB0">
      <w:pPr>
        <w:spacing w:line="360" w:lineRule="auto"/>
        <w:ind w:firstLine="420" w:firstLineChars="200"/>
        <w:rPr>
          <w:rFonts w:ascii="宋体" w:hAnsi="宋体"/>
          <w:b w:val="0"/>
          <w:bCs w:val="0"/>
          <w:color w:val="auto"/>
          <w:szCs w:val="21"/>
          <w:highlight w:val="none"/>
        </w:rPr>
      </w:pPr>
      <w:r>
        <w:rPr>
          <w:rFonts w:ascii="宋体" w:hAnsi="宋体"/>
          <w:b w:val="0"/>
          <w:bCs w:val="0"/>
          <w:color w:val="auto"/>
          <w:szCs w:val="21"/>
          <w:highlight w:val="none"/>
        </w:rPr>
        <w:t>2</w:t>
      </w: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所提供的</w:t>
      </w:r>
      <w:r>
        <w:rPr>
          <w:rFonts w:hint="eastAsia" w:ascii="宋体" w:hAnsi="宋体"/>
          <w:b w:val="0"/>
          <w:bCs w:val="0"/>
          <w:color w:val="auto"/>
          <w:szCs w:val="21"/>
          <w:highlight w:val="none"/>
          <w:lang w:val="en-US" w:eastAsia="zh-CN"/>
        </w:rPr>
        <w:t>本项目产品</w:t>
      </w:r>
      <w:r>
        <w:rPr>
          <w:rFonts w:hint="eastAsia" w:ascii="宋体" w:hAnsi="宋体"/>
          <w:b w:val="0"/>
          <w:bCs w:val="0"/>
          <w:color w:val="auto"/>
          <w:szCs w:val="21"/>
          <w:highlight w:val="none"/>
        </w:rPr>
        <w:t>必须满足招标文件的技术要求。</w:t>
      </w:r>
    </w:p>
    <w:p w14:paraId="79A22D51">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lang w:val="en-US" w:eastAsia="zh-CN"/>
        </w:rPr>
        <w:t>3.</w:t>
      </w:r>
      <w:r>
        <w:rPr>
          <w:rFonts w:hint="eastAsia" w:ascii="宋体" w:hAnsi="宋体"/>
          <w:b w:val="0"/>
          <w:bCs w:val="0"/>
          <w:color w:val="auto"/>
          <w:szCs w:val="21"/>
          <w:highlight w:val="none"/>
        </w:rPr>
        <w:t>所提供</w:t>
      </w:r>
      <w:r>
        <w:rPr>
          <w:rFonts w:hint="eastAsia" w:ascii="宋体" w:hAnsi="宋体"/>
          <w:b w:val="0"/>
          <w:bCs w:val="0"/>
          <w:color w:val="auto"/>
          <w:szCs w:val="21"/>
          <w:highlight w:val="none"/>
          <w:lang w:val="en-US" w:eastAsia="zh-CN"/>
        </w:rPr>
        <w:t>的本项目产品</w:t>
      </w:r>
      <w:r>
        <w:rPr>
          <w:rFonts w:hint="eastAsia" w:ascii="宋体" w:hAnsi="宋体"/>
          <w:b w:val="0"/>
          <w:bCs w:val="0"/>
          <w:color w:val="auto"/>
          <w:szCs w:val="21"/>
          <w:highlight w:val="none"/>
        </w:rPr>
        <w:t>制造、验收等须符合国家标准。须随设备装箱提供相关的产品检验合格证书、质量保证书等文件。</w:t>
      </w:r>
    </w:p>
    <w:p w14:paraId="358184C1">
      <w:pPr>
        <w:pStyle w:val="29"/>
        <w:ind w:left="420" w:leftChars="200" w:firstLine="0" w:firstLineChars="0"/>
        <w:rPr>
          <w:rFonts w:hint="default" w:eastAsia="宋体"/>
          <w:b w:val="0"/>
          <w:bCs w:val="0"/>
          <w:color w:val="auto"/>
          <w:highlight w:val="none"/>
          <w:lang w:val="en-US" w:eastAsia="zh-CN"/>
        </w:rPr>
      </w:pPr>
      <w:r>
        <w:rPr>
          <w:rFonts w:hint="eastAsia"/>
        </w:rPr>
        <w:t>★</w:t>
      </w:r>
      <w:r>
        <w:rPr>
          <w:rFonts w:hint="eastAsia" w:ascii="宋体" w:hAnsi="宋体"/>
          <w:b w:val="0"/>
          <w:bCs w:val="0"/>
          <w:color w:val="auto"/>
          <w:szCs w:val="21"/>
          <w:highlight w:val="none"/>
          <w:lang w:val="en-US" w:eastAsia="zh-CN"/>
        </w:rPr>
        <w:t>4.</w:t>
      </w:r>
      <w:r>
        <w:rPr>
          <w:rFonts w:hint="eastAsia" w:ascii="宋体" w:hAnsi="宋体"/>
          <w:b w:val="0"/>
          <w:bCs w:val="0"/>
          <w:color w:val="auto"/>
          <w:szCs w:val="21"/>
          <w:highlight w:val="none"/>
        </w:rPr>
        <w:t>所提供</w:t>
      </w:r>
      <w:r>
        <w:rPr>
          <w:rFonts w:hint="eastAsia" w:ascii="宋体" w:hAnsi="宋体"/>
          <w:b w:val="0"/>
          <w:bCs w:val="0"/>
          <w:color w:val="auto"/>
          <w:szCs w:val="21"/>
          <w:highlight w:val="none"/>
          <w:lang w:val="en-US" w:eastAsia="zh-CN"/>
        </w:rPr>
        <w:t>的本项目产品符合国产自主可控要求，及安全可靠测评要求。</w:t>
      </w:r>
      <w:bookmarkStart w:id="26" w:name="_GoBack"/>
      <w:bookmarkEnd w:id="26"/>
    </w:p>
    <w:p w14:paraId="7B7C64D3">
      <w:pPr>
        <w:spacing w:line="360" w:lineRule="auto"/>
        <w:ind w:firstLine="482" w:firstLineChars="200"/>
        <w:rPr>
          <w:rFonts w:hint="eastAsia" w:ascii="宋体" w:hAnsi="宋体"/>
          <w:b/>
          <w:sz w:val="24"/>
        </w:rPr>
      </w:pPr>
      <w:r>
        <w:rPr>
          <w:rFonts w:hint="eastAsia" w:ascii="宋体" w:hAnsi="宋体"/>
          <w:b/>
          <w:bCs/>
          <w:sz w:val="24"/>
        </w:rPr>
        <w:t>三、项目验收要求</w:t>
      </w:r>
    </w:p>
    <w:p w14:paraId="1B8AC65F">
      <w:pPr>
        <w:spacing w:line="360" w:lineRule="auto"/>
        <w:ind w:firstLine="420" w:firstLineChars="200"/>
        <w:rPr>
          <w:rFonts w:hint="eastAsia" w:ascii="宋体" w:hAnsi="宋体"/>
          <w:szCs w:val="21"/>
        </w:rPr>
      </w:pPr>
      <w:r>
        <w:rPr>
          <w:rFonts w:hint="eastAsia" w:ascii="宋体" w:hAnsi="宋体"/>
          <w:szCs w:val="21"/>
        </w:rPr>
        <w:t>1</w:t>
      </w:r>
      <w:r>
        <w:rPr>
          <w:rFonts w:hint="eastAsia" w:ascii="宋体" w:hAnsi="宋体"/>
          <w:szCs w:val="21"/>
          <w:lang w:eastAsia="zh-CN"/>
        </w:rPr>
        <w:t>.</w:t>
      </w:r>
      <w:r>
        <w:rPr>
          <w:rFonts w:hint="eastAsia" w:ascii="宋体" w:hAnsi="宋体"/>
          <w:szCs w:val="21"/>
        </w:rPr>
        <w:t>本项目采用现场运行、测试验收方式验收。</w:t>
      </w:r>
    </w:p>
    <w:p w14:paraId="4B0EC495">
      <w:pPr>
        <w:spacing w:line="360" w:lineRule="auto"/>
        <w:ind w:firstLine="420" w:firstLineChars="200"/>
        <w:rPr>
          <w:rFonts w:hint="eastAsia" w:ascii="宋体" w:hAnsi="宋体"/>
          <w:szCs w:val="21"/>
        </w:rPr>
      </w:pPr>
      <w:r>
        <w:rPr>
          <w:rFonts w:hint="eastAsia" w:ascii="宋体" w:hAnsi="宋体"/>
          <w:szCs w:val="21"/>
        </w:rPr>
        <w:t>2</w:t>
      </w:r>
      <w:r>
        <w:rPr>
          <w:rFonts w:hint="eastAsia" w:ascii="宋体" w:hAnsi="宋体"/>
          <w:szCs w:val="21"/>
          <w:lang w:eastAsia="zh-CN"/>
        </w:rPr>
        <w:t>.</w:t>
      </w:r>
      <w:r>
        <w:rPr>
          <w:rFonts w:hint="eastAsia" w:ascii="宋体" w:hAnsi="宋体"/>
          <w:szCs w:val="21"/>
        </w:rPr>
        <w:t>技术文档检查：检查技术文档资料的完整性、正确性，主要包括第三方检测报告、使用说明书、操作手册</w:t>
      </w:r>
      <w:r>
        <w:rPr>
          <w:rFonts w:hint="eastAsia" w:ascii="宋体" w:hAnsi="宋体"/>
          <w:szCs w:val="21"/>
          <w:lang w:eastAsia="zh-CN"/>
        </w:rPr>
        <w:t>、</w:t>
      </w:r>
      <w:r>
        <w:rPr>
          <w:rFonts w:hint="eastAsia" w:ascii="宋体" w:hAnsi="宋体"/>
          <w:szCs w:val="21"/>
        </w:rPr>
        <w:t>管理维护手册、安装调试时参数配置文档、工程竣工验收文档等。</w:t>
      </w:r>
    </w:p>
    <w:p w14:paraId="32547719">
      <w:pPr>
        <w:widowControl/>
        <w:spacing w:before="120" w:after="120" w:line="360" w:lineRule="auto"/>
        <w:ind w:firstLine="420" w:firstLineChars="200"/>
        <w:jc w:val="left"/>
        <w:rPr>
          <w:rFonts w:ascii="宋体" w:hAnsi="宋体" w:cs="华文细黑"/>
          <w:color w:val="000000"/>
          <w:kern w:val="0"/>
          <w:szCs w:val="21"/>
        </w:rPr>
      </w:pPr>
      <w:r>
        <w:rPr>
          <w:rFonts w:hint="eastAsia" w:ascii="宋体" w:hAnsi="宋体" w:cs="华文细黑"/>
          <w:color w:val="000000"/>
          <w:kern w:val="0"/>
          <w:szCs w:val="21"/>
          <w:lang w:val="en-US" w:eastAsia="zh-CN"/>
        </w:rPr>
        <w:t>3.</w:t>
      </w:r>
      <w:r>
        <w:rPr>
          <w:rFonts w:hint="eastAsia" w:ascii="宋体" w:hAnsi="宋体" w:cs="华文细黑"/>
          <w:color w:val="000000"/>
          <w:kern w:val="0"/>
          <w:szCs w:val="21"/>
        </w:rPr>
        <w:t>对本项目涉及到的所有应用系统，需提交相关功能、性能的第三方测试报告。</w:t>
      </w:r>
    </w:p>
    <w:p w14:paraId="485BC593">
      <w:pPr>
        <w:widowControl/>
        <w:spacing w:before="120" w:after="120" w:line="360" w:lineRule="auto"/>
        <w:ind w:firstLine="420" w:firstLineChars="200"/>
        <w:jc w:val="left"/>
        <w:rPr>
          <w:rFonts w:ascii="宋体" w:hAnsi="宋体" w:cs="华文细黑"/>
          <w:color w:val="000000"/>
          <w:kern w:val="0"/>
          <w:szCs w:val="21"/>
        </w:rPr>
      </w:pPr>
      <w:r>
        <w:rPr>
          <w:rFonts w:hint="eastAsia" w:ascii="宋体" w:hAnsi="宋体" w:cs="华文细黑"/>
          <w:color w:val="000000"/>
          <w:kern w:val="0"/>
          <w:szCs w:val="21"/>
          <w:lang w:val="en-US" w:eastAsia="zh-CN"/>
        </w:rPr>
        <w:t>4.</w:t>
      </w:r>
      <w:r>
        <w:rPr>
          <w:rFonts w:hint="eastAsia" w:ascii="宋体" w:hAnsi="宋体" w:cs="华文细黑"/>
          <w:color w:val="000000"/>
          <w:kern w:val="0"/>
          <w:szCs w:val="21"/>
        </w:rPr>
        <w:t>验收前投标人应向交付所有必需的文档资料（包括原始系统架构图、系统使用操作说明、设备移交清单等），并完成用户使用和维护培训。</w:t>
      </w:r>
    </w:p>
    <w:p w14:paraId="00578576">
      <w:pPr>
        <w:widowControl/>
        <w:spacing w:before="120" w:after="120" w:line="360" w:lineRule="auto"/>
        <w:ind w:firstLine="420" w:firstLineChars="200"/>
        <w:jc w:val="left"/>
        <w:rPr>
          <w:rFonts w:hint="eastAsia" w:ascii="宋体" w:hAnsi="宋体" w:cs="华文细黑"/>
          <w:color w:val="000000"/>
          <w:kern w:val="0"/>
          <w:szCs w:val="21"/>
        </w:rPr>
      </w:pPr>
      <w:r>
        <w:rPr>
          <w:rFonts w:hint="eastAsia" w:ascii="宋体" w:hAnsi="宋体" w:cs="华文细黑"/>
          <w:color w:val="000000"/>
          <w:kern w:val="0"/>
          <w:szCs w:val="21"/>
          <w:lang w:val="en-US" w:eastAsia="zh-CN"/>
        </w:rPr>
        <w:t>5.</w:t>
      </w:r>
      <w:r>
        <w:rPr>
          <w:rFonts w:hint="eastAsia" w:ascii="宋体" w:hAnsi="宋体" w:cs="华文细黑"/>
          <w:color w:val="000000"/>
          <w:kern w:val="0"/>
          <w:szCs w:val="21"/>
        </w:rPr>
        <w:t>本项目验收将由建设方组织进行，建设方也可委托第三方组织验收。</w:t>
      </w:r>
    </w:p>
    <w:p w14:paraId="5B5FCF39">
      <w:pPr>
        <w:spacing w:line="360" w:lineRule="auto"/>
        <w:ind w:firstLine="420" w:firstLineChars="200"/>
        <w:rPr>
          <w:rFonts w:hint="eastAsia" w:ascii="宋体" w:hAnsi="宋体"/>
          <w:szCs w:val="21"/>
        </w:rPr>
      </w:pPr>
    </w:p>
    <w:p w14:paraId="3E0A0993">
      <w:pPr>
        <w:keepNext/>
        <w:keepLines/>
        <w:widowControl/>
        <w:spacing w:before="340" w:after="330" w:line="360" w:lineRule="auto"/>
        <w:jc w:val="center"/>
        <w:outlineLvl w:val="0"/>
        <w:rPr>
          <w:rFonts w:hint="eastAsia" w:ascii="宋体" w:hAnsi="宋体" w:eastAsia="宋体"/>
          <w:b/>
          <w:bCs/>
          <w:kern w:val="44"/>
          <w:sz w:val="32"/>
          <w:szCs w:val="32"/>
          <w:lang w:eastAsia="zh-CN"/>
        </w:rPr>
      </w:pPr>
      <w:bookmarkStart w:id="18" w:name="_Toc32919264"/>
      <w:bookmarkStart w:id="19" w:name="_Toc33270704"/>
      <w:r>
        <w:rPr>
          <w:rFonts w:hint="eastAsia" w:ascii="宋体" w:hAnsi="宋体"/>
          <w:b/>
          <w:bCs/>
          <w:kern w:val="44"/>
          <w:sz w:val="32"/>
          <w:szCs w:val="32"/>
          <w:highlight w:val="none"/>
        </w:rPr>
        <w:t>第</w:t>
      </w:r>
      <w:r>
        <w:rPr>
          <w:rFonts w:hint="eastAsia" w:ascii="宋体" w:hAnsi="宋体"/>
          <w:b/>
          <w:bCs/>
          <w:kern w:val="44"/>
          <w:sz w:val="32"/>
          <w:szCs w:val="32"/>
          <w:highlight w:val="none"/>
          <w:lang w:val="en-US" w:eastAsia="zh-CN"/>
        </w:rPr>
        <w:t>六</w:t>
      </w:r>
      <w:r>
        <w:rPr>
          <w:rFonts w:hint="eastAsia" w:ascii="宋体" w:hAnsi="宋体"/>
          <w:b/>
          <w:bCs/>
          <w:kern w:val="44"/>
          <w:sz w:val="32"/>
          <w:szCs w:val="32"/>
          <w:highlight w:val="none"/>
        </w:rPr>
        <w:t>节 售后服务要求</w:t>
      </w:r>
      <w:bookmarkEnd w:id="18"/>
      <w:bookmarkEnd w:id="19"/>
    </w:p>
    <w:p w14:paraId="5F72B307">
      <w:pPr>
        <w:spacing w:line="360" w:lineRule="auto"/>
        <w:ind w:firstLine="422" w:firstLineChars="200"/>
        <w:rPr>
          <w:rFonts w:ascii="宋体" w:hAnsi="宋体"/>
          <w:b/>
          <w:szCs w:val="21"/>
        </w:rPr>
      </w:pPr>
      <w:bookmarkStart w:id="20" w:name="_Toc528327896"/>
      <w:r>
        <w:rPr>
          <w:rFonts w:hint="eastAsia" w:ascii="宋体" w:hAnsi="宋体"/>
          <w:b/>
          <w:szCs w:val="21"/>
        </w:rPr>
        <w:t>一、保障服务承诺</w:t>
      </w:r>
      <w:bookmarkEnd w:id="20"/>
    </w:p>
    <w:p w14:paraId="691A70DE">
      <w:pPr>
        <w:spacing w:line="360" w:lineRule="auto"/>
        <w:ind w:firstLine="420" w:firstLineChars="200"/>
        <w:rPr>
          <w:rFonts w:hint="eastAsia" w:ascii="宋体" w:hAnsi="宋体"/>
          <w:szCs w:val="21"/>
        </w:rPr>
      </w:pPr>
      <w:r>
        <w:rPr>
          <w:rFonts w:ascii="宋体" w:hAnsi="宋体"/>
          <w:szCs w:val="21"/>
        </w:rPr>
        <w:t>1</w:t>
      </w:r>
      <w:r>
        <w:rPr>
          <w:rFonts w:hint="eastAsia" w:ascii="宋体" w:hAnsi="宋体"/>
          <w:szCs w:val="21"/>
          <w:lang w:eastAsia="zh-CN"/>
        </w:rPr>
        <w:t>.</w:t>
      </w:r>
      <w:r>
        <w:rPr>
          <w:rFonts w:hint="eastAsia" w:ascii="宋体" w:hAnsi="宋体"/>
          <w:szCs w:val="21"/>
        </w:rPr>
        <w:t>投标人负责在保证工程质量与工期要求内，针对本项目组建专业运维团队，服务的内容主要包括为用户提供方案设计、安装调试、系统集成、专业培训等。免费培训用户技术人员；保持和用户的沟通与联系，及时解决用户在使用设备过程中所遇到的问题。</w:t>
      </w:r>
    </w:p>
    <w:p w14:paraId="5ACB0B11">
      <w:pPr>
        <w:spacing w:line="360" w:lineRule="auto"/>
        <w:ind w:firstLine="420" w:firstLineChars="200"/>
        <w:rPr>
          <w:rFonts w:ascii="宋体" w:hAnsi="宋体"/>
          <w:szCs w:val="21"/>
        </w:rPr>
      </w:pPr>
      <w:r>
        <w:rPr>
          <w:rFonts w:ascii="宋体" w:hAnsi="宋体"/>
          <w:szCs w:val="21"/>
        </w:rPr>
        <w:t>2</w:t>
      </w:r>
      <w:r>
        <w:rPr>
          <w:rFonts w:hint="eastAsia" w:ascii="宋体" w:hAnsi="宋体"/>
          <w:szCs w:val="21"/>
          <w:lang w:eastAsia="zh-CN"/>
        </w:rPr>
        <w:t>.</w:t>
      </w:r>
      <w:r>
        <w:rPr>
          <w:rFonts w:hint="eastAsia" w:ascii="宋体" w:hAnsi="宋体"/>
          <w:szCs w:val="21"/>
        </w:rPr>
        <w:t>投标人为保证设备或系统正常工作，提供应急预案，应急预案编制完成后双方协商确定，并经双方共同完成预案的测试和预演，并负责对维护人员进行应急预案的操作培训，以确保需要时可以立即启动。如遇设备或系统需要割接、业务演示、灾备演练等重大事件，将及时响应，必要时到现场协助操作和演练。</w:t>
      </w:r>
    </w:p>
    <w:p w14:paraId="3AB45DDF">
      <w:pPr>
        <w:spacing w:line="360" w:lineRule="auto"/>
        <w:ind w:firstLine="420" w:firstLineChars="200"/>
        <w:rPr>
          <w:rFonts w:ascii="宋体" w:hAnsi="宋体"/>
          <w:szCs w:val="21"/>
        </w:rPr>
      </w:pPr>
      <w:r>
        <w:rPr>
          <w:rFonts w:ascii="宋体" w:hAnsi="宋体"/>
          <w:szCs w:val="21"/>
        </w:rPr>
        <w:t>3</w:t>
      </w:r>
      <w:r>
        <w:rPr>
          <w:rFonts w:hint="eastAsia" w:ascii="宋体" w:hAnsi="宋体"/>
          <w:szCs w:val="21"/>
          <w:lang w:eastAsia="zh-CN"/>
        </w:rPr>
        <w:t>.</w:t>
      </w:r>
      <w:r>
        <w:rPr>
          <w:rFonts w:hint="eastAsia" w:ascii="宋体" w:hAnsi="宋体"/>
          <w:szCs w:val="21"/>
        </w:rPr>
        <w:t>服务受理</w:t>
      </w:r>
    </w:p>
    <w:p w14:paraId="47DC897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投标人需提供本</w:t>
      </w:r>
      <w:r>
        <w:rPr>
          <w:rFonts w:ascii="宋体" w:hAnsi="宋体"/>
          <w:color w:val="auto"/>
          <w:szCs w:val="21"/>
          <w:highlight w:val="none"/>
        </w:rPr>
        <w:t>地化</w:t>
      </w:r>
      <w:r>
        <w:rPr>
          <w:rFonts w:hint="eastAsia" w:ascii="宋体" w:hAnsi="宋体"/>
          <w:color w:val="auto"/>
          <w:szCs w:val="21"/>
          <w:highlight w:val="none"/>
        </w:rPr>
        <w:t>全年7×24小时电话及远程技术支持服务，并承诺按照</w:t>
      </w:r>
      <w:r>
        <w:rPr>
          <w:rFonts w:hint="eastAsia" w:ascii="宋体" w:hAnsi="宋体"/>
          <w:color w:val="auto"/>
          <w:szCs w:val="21"/>
          <w:highlight w:val="none"/>
          <w:lang w:val="en-US" w:eastAsia="zh-CN"/>
        </w:rPr>
        <w:t>保障</w:t>
      </w:r>
      <w:r>
        <w:rPr>
          <w:rFonts w:hint="eastAsia" w:ascii="宋体" w:hAnsi="宋体"/>
          <w:color w:val="auto"/>
          <w:szCs w:val="21"/>
          <w:highlight w:val="none"/>
        </w:rPr>
        <w:t>等级提供对应的技术支持及售后服务，</w:t>
      </w:r>
      <w:r>
        <w:rPr>
          <w:rFonts w:ascii="宋体" w:hAnsi="宋体"/>
          <w:color w:val="auto"/>
          <w:szCs w:val="21"/>
          <w:highlight w:val="none"/>
        </w:rPr>
        <w:t>投标人在收到招标方故障通知</w:t>
      </w:r>
      <w:r>
        <w:rPr>
          <w:rFonts w:hint="eastAsia" w:ascii="宋体" w:hAnsi="宋体"/>
          <w:color w:val="auto"/>
          <w:szCs w:val="21"/>
          <w:highlight w:val="none"/>
        </w:rPr>
        <w:t>立即做出有效响应，并提出故障解决办法，若1小时内无法解决，投标人将在2小时内派出技术专家赶赴现场进行技术支持服务，直到问题解决为止。</w:t>
      </w:r>
    </w:p>
    <w:p w14:paraId="66B35C0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具体</w:t>
      </w:r>
      <w:r>
        <w:rPr>
          <w:rFonts w:hint="eastAsia" w:ascii="宋体" w:hAnsi="宋体"/>
          <w:color w:val="auto"/>
          <w:szCs w:val="21"/>
          <w:highlight w:val="none"/>
          <w:lang w:val="en-US" w:eastAsia="zh-CN"/>
        </w:rPr>
        <w:t>要求</w:t>
      </w:r>
      <w:r>
        <w:rPr>
          <w:rFonts w:hint="eastAsia" w:ascii="宋体" w:hAnsi="宋体"/>
          <w:color w:val="auto"/>
          <w:szCs w:val="21"/>
          <w:highlight w:val="none"/>
        </w:rPr>
        <w:t>如下：</w:t>
      </w:r>
    </w:p>
    <w:tbl>
      <w:tblPr>
        <w:tblStyle w:val="37"/>
        <w:tblW w:w="9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2"/>
        <w:gridCol w:w="1559"/>
        <w:gridCol w:w="1984"/>
        <w:gridCol w:w="1985"/>
        <w:gridCol w:w="1984"/>
      </w:tblGrid>
      <w:tr w14:paraId="556AD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noWrap w:val="0"/>
            <w:vAlign w:val="center"/>
          </w:tcPr>
          <w:p w14:paraId="643859EA">
            <w:pPr>
              <w:spacing w:line="360" w:lineRule="auto"/>
              <w:jc w:val="center"/>
              <w:rPr>
                <w:rFonts w:hint="default" w:ascii="宋体" w:hAnsi="宋体" w:eastAsia="宋体"/>
                <w:b w:val="0"/>
                <w:bCs w:val="0"/>
                <w:color w:val="auto"/>
                <w:szCs w:val="21"/>
                <w:highlight w:val="none"/>
                <w:lang w:val="en-US" w:eastAsia="zh-CN"/>
              </w:rPr>
            </w:pPr>
            <w:r>
              <w:rPr>
                <w:rFonts w:hint="eastAsia" w:ascii="宋体" w:hAnsi="宋体"/>
                <w:b w:val="0"/>
                <w:bCs w:val="0"/>
                <w:color w:val="auto"/>
                <w:szCs w:val="21"/>
                <w:highlight w:val="none"/>
                <w:lang w:val="en-US" w:eastAsia="zh-CN"/>
              </w:rPr>
              <w:t>分类</w:t>
            </w:r>
          </w:p>
        </w:tc>
        <w:tc>
          <w:tcPr>
            <w:tcW w:w="1559" w:type="dxa"/>
            <w:noWrap w:val="0"/>
            <w:vAlign w:val="center"/>
          </w:tcPr>
          <w:p w14:paraId="73A29601">
            <w:pPr>
              <w:spacing w:line="360" w:lineRule="auto"/>
              <w:jc w:val="center"/>
              <w:rPr>
                <w:rFonts w:ascii="宋体" w:hAnsi="宋体"/>
                <w:b w:val="0"/>
                <w:bCs w:val="0"/>
                <w:color w:val="auto"/>
                <w:szCs w:val="21"/>
                <w:highlight w:val="none"/>
              </w:rPr>
            </w:pPr>
            <w:r>
              <w:rPr>
                <w:rFonts w:hint="eastAsia" w:ascii="宋体" w:hAnsi="宋体"/>
                <w:b w:val="0"/>
                <w:bCs w:val="0"/>
                <w:color w:val="auto"/>
                <w:szCs w:val="21"/>
                <w:highlight w:val="none"/>
              </w:rPr>
              <w:t>响应时间</w:t>
            </w:r>
          </w:p>
        </w:tc>
        <w:tc>
          <w:tcPr>
            <w:tcW w:w="1984" w:type="dxa"/>
            <w:noWrap w:val="0"/>
            <w:vAlign w:val="center"/>
          </w:tcPr>
          <w:p w14:paraId="20026A30">
            <w:pPr>
              <w:spacing w:line="360" w:lineRule="auto"/>
              <w:jc w:val="center"/>
              <w:rPr>
                <w:rFonts w:ascii="宋体" w:hAnsi="宋体"/>
                <w:b w:val="0"/>
                <w:bCs w:val="0"/>
                <w:color w:val="auto"/>
                <w:szCs w:val="21"/>
                <w:highlight w:val="none"/>
              </w:rPr>
            </w:pPr>
            <w:r>
              <w:rPr>
                <w:rFonts w:hint="eastAsia" w:ascii="宋体" w:hAnsi="宋体"/>
                <w:b w:val="0"/>
                <w:bCs w:val="0"/>
                <w:color w:val="auto"/>
                <w:szCs w:val="21"/>
                <w:highlight w:val="none"/>
              </w:rPr>
              <w:t>到达现场时间</w:t>
            </w:r>
          </w:p>
        </w:tc>
        <w:tc>
          <w:tcPr>
            <w:tcW w:w="1985" w:type="dxa"/>
            <w:noWrap w:val="0"/>
            <w:vAlign w:val="center"/>
          </w:tcPr>
          <w:p w14:paraId="692A52DC">
            <w:pPr>
              <w:spacing w:line="360" w:lineRule="auto"/>
              <w:jc w:val="center"/>
              <w:rPr>
                <w:rFonts w:ascii="宋体" w:hAnsi="宋体"/>
                <w:b w:val="0"/>
                <w:bCs w:val="0"/>
                <w:color w:val="auto"/>
                <w:szCs w:val="21"/>
                <w:highlight w:val="none"/>
              </w:rPr>
            </w:pPr>
            <w:r>
              <w:rPr>
                <w:rFonts w:hint="eastAsia" w:ascii="宋体" w:hAnsi="宋体"/>
                <w:b w:val="0"/>
                <w:bCs w:val="0"/>
                <w:color w:val="auto"/>
                <w:szCs w:val="21"/>
                <w:highlight w:val="none"/>
              </w:rPr>
              <w:t>故障定位时间</w:t>
            </w:r>
          </w:p>
        </w:tc>
        <w:tc>
          <w:tcPr>
            <w:tcW w:w="1984" w:type="dxa"/>
            <w:noWrap w:val="0"/>
            <w:vAlign w:val="center"/>
          </w:tcPr>
          <w:p w14:paraId="7FDBC992">
            <w:pPr>
              <w:spacing w:line="360" w:lineRule="auto"/>
              <w:jc w:val="center"/>
              <w:rPr>
                <w:rFonts w:ascii="宋体" w:hAnsi="宋体"/>
                <w:b w:val="0"/>
                <w:bCs w:val="0"/>
                <w:color w:val="auto"/>
                <w:szCs w:val="21"/>
                <w:highlight w:val="none"/>
              </w:rPr>
            </w:pPr>
            <w:r>
              <w:rPr>
                <w:rFonts w:hint="eastAsia" w:ascii="宋体" w:hAnsi="宋体"/>
                <w:b w:val="0"/>
                <w:bCs w:val="0"/>
                <w:color w:val="auto"/>
                <w:szCs w:val="21"/>
                <w:highlight w:val="none"/>
              </w:rPr>
              <w:t>故障排除时间</w:t>
            </w:r>
          </w:p>
        </w:tc>
      </w:tr>
      <w:tr w14:paraId="08CFA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02" w:type="dxa"/>
            <w:noWrap w:val="0"/>
            <w:vAlign w:val="center"/>
          </w:tcPr>
          <w:p w14:paraId="5DAC4EAC">
            <w:pPr>
              <w:spacing w:line="360" w:lineRule="auto"/>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日常时段</w:t>
            </w:r>
          </w:p>
        </w:tc>
        <w:tc>
          <w:tcPr>
            <w:tcW w:w="1559" w:type="dxa"/>
            <w:noWrap w:val="0"/>
            <w:vAlign w:val="center"/>
          </w:tcPr>
          <w:p w14:paraId="40B26BDE">
            <w:pPr>
              <w:spacing w:line="360" w:lineRule="auto"/>
              <w:jc w:val="center"/>
              <w:rPr>
                <w:rFonts w:ascii="宋体" w:hAnsi="宋体"/>
                <w:color w:val="auto"/>
                <w:szCs w:val="21"/>
                <w:highlight w:val="none"/>
              </w:rPr>
            </w:pPr>
            <w:r>
              <w:rPr>
                <w:rFonts w:hint="eastAsia" w:ascii="宋体" w:hAnsi="宋体"/>
                <w:color w:val="auto"/>
                <w:szCs w:val="21"/>
                <w:highlight w:val="none"/>
              </w:rPr>
              <w:t>立即响</w:t>
            </w:r>
            <w:r>
              <w:rPr>
                <w:rFonts w:ascii="宋体" w:hAnsi="宋体"/>
                <w:color w:val="auto"/>
                <w:szCs w:val="21"/>
                <w:highlight w:val="none"/>
              </w:rPr>
              <w:t>应</w:t>
            </w:r>
          </w:p>
        </w:tc>
        <w:tc>
          <w:tcPr>
            <w:tcW w:w="1984" w:type="dxa"/>
            <w:noWrap w:val="0"/>
            <w:vAlign w:val="center"/>
          </w:tcPr>
          <w:p w14:paraId="68B95036">
            <w:pPr>
              <w:spacing w:line="360" w:lineRule="auto"/>
              <w:jc w:val="center"/>
              <w:rPr>
                <w:rFonts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小时</w:t>
            </w:r>
          </w:p>
        </w:tc>
        <w:tc>
          <w:tcPr>
            <w:tcW w:w="1985" w:type="dxa"/>
            <w:noWrap w:val="0"/>
            <w:vAlign w:val="center"/>
          </w:tcPr>
          <w:p w14:paraId="11897884">
            <w:pPr>
              <w:spacing w:line="360" w:lineRule="auto"/>
              <w:jc w:val="center"/>
              <w:rPr>
                <w:rFonts w:ascii="宋体" w:hAnsi="宋体"/>
                <w:color w:val="auto"/>
                <w:szCs w:val="21"/>
                <w:highlight w:val="none"/>
              </w:rPr>
            </w:pPr>
            <w:r>
              <w:rPr>
                <w:rFonts w:hint="eastAsia" w:ascii="宋体" w:hAnsi="宋体"/>
                <w:color w:val="auto"/>
                <w:szCs w:val="21"/>
                <w:highlight w:val="none"/>
              </w:rPr>
              <w:t>1小时</w:t>
            </w:r>
          </w:p>
        </w:tc>
        <w:tc>
          <w:tcPr>
            <w:tcW w:w="1984" w:type="dxa"/>
            <w:noWrap w:val="0"/>
            <w:vAlign w:val="center"/>
          </w:tcPr>
          <w:p w14:paraId="7A636763">
            <w:pPr>
              <w:spacing w:line="360" w:lineRule="auto"/>
              <w:jc w:val="center"/>
              <w:rPr>
                <w:rFonts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小时</w:t>
            </w:r>
          </w:p>
        </w:tc>
      </w:tr>
      <w:tr w14:paraId="6A823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noWrap w:val="0"/>
            <w:vAlign w:val="center"/>
          </w:tcPr>
          <w:p w14:paraId="6886073A">
            <w:pPr>
              <w:spacing w:line="360" w:lineRule="auto"/>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重保时段</w:t>
            </w:r>
          </w:p>
        </w:tc>
        <w:tc>
          <w:tcPr>
            <w:tcW w:w="1559" w:type="dxa"/>
            <w:noWrap w:val="0"/>
            <w:vAlign w:val="center"/>
          </w:tcPr>
          <w:p w14:paraId="552F6762">
            <w:pPr>
              <w:spacing w:line="360" w:lineRule="auto"/>
              <w:jc w:val="center"/>
              <w:rPr>
                <w:rFonts w:ascii="宋体" w:hAnsi="宋体"/>
                <w:color w:val="auto"/>
                <w:szCs w:val="21"/>
                <w:highlight w:val="none"/>
              </w:rPr>
            </w:pPr>
            <w:r>
              <w:rPr>
                <w:rFonts w:hint="eastAsia" w:ascii="宋体" w:hAnsi="宋体"/>
                <w:color w:val="auto"/>
                <w:szCs w:val="21"/>
                <w:highlight w:val="none"/>
              </w:rPr>
              <w:t>立即响</w:t>
            </w:r>
            <w:r>
              <w:rPr>
                <w:rFonts w:ascii="宋体" w:hAnsi="宋体"/>
                <w:color w:val="auto"/>
                <w:szCs w:val="21"/>
                <w:highlight w:val="none"/>
              </w:rPr>
              <w:t>应</w:t>
            </w:r>
          </w:p>
        </w:tc>
        <w:tc>
          <w:tcPr>
            <w:tcW w:w="1984" w:type="dxa"/>
            <w:noWrap w:val="0"/>
            <w:vAlign w:val="center"/>
          </w:tcPr>
          <w:p w14:paraId="1B257024">
            <w:pPr>
              <w:spacing w:line="360" w:lineRule="auto"/>
              <w:jc w:val="center"/>
              <w:rPr>
                <w:rFonts w:ascii="宋体" w:hAnsi="宋体"/>
                <w:color w:val="auto"/>
                <w:szCs w:val="21"/>
                <w:highlight w:val="none"/>
              </w:rPr>
            </w:pPr>
            <w:r>
              <w:rPr>
                <w:rFonts w:hint="eastAsia" w:ascii="宋体" w:hAnsi="宋体"/>
                <w:color w:val="auto"/>
                <w:szCs w:val="21"/>
                <w:highlight w:val="none"/>
                <w:lang w:val="en-US" w:eastAsia="zh-CN"/>
              </w:rPr>
              <w:t>1</w:t>
            </w:r>
            <w:r>
              <w:rPr>
                <w:rFonts w:hint="eastAsia" w:ascii="宋体" w:hAnsi="宋体"/>
                <w:color w:val="auto"/>
                <w:szCs w:val="21"/>
                <w:highlight w:val="none"/>
              </w:rPr>
              <w:t>小时</w:t>
            </w:r>
          </w:p>
        </w:tc>
        <w:tc>
          <w:tcPr>
            <w:tcW w:w="1985" w:type="dxa"/>
            <w:noWrap w:val="0"/>
            <w:vAlign w:val="center"/>
          </w:tcPr>
          <w:p w14:paraId="3B4AB3FA">
            <w:pPr>
              <w:spacing w:line="360" w:lineRule="auto"/>
              <w:jc w:val="center"/>
              <w:rPr>
                <w:rFonts w:ascii="宋体" w:hAnsi="宋体"/>
                <w:color w:val="auto"/>
                <w:szCs w:val="21"/>
                <w:highlight w:val="none"/>
              </w:rPr>
            </w:pPr>
            <w:r>
              <w:rPr>
                <w:rFonts w:hint="eastAsia" w:ascii="宋体" w:hAnsi="宋体"/>
                <w:color w:val="auto"/>
                <w:szCs w:val="21"/>
                <w:highlight w:val="none"/>
              </w:rPr>
              <w:t>1小时</w:t>
            </w:r>
          </w:p>
        </w:tc>
        <w:tc>
          <w:tcPr>
            <w:tcW w:w="1984" w:type="dxa"/>
            <w:noWrap w:val="0"/>
            <w:vAlign w:val="center"/>
          </w:tcPr>
          <w:p w14:paraId="790D51C5">
            <w:pPr>
              <w:spacing w:line="360" w:lineRule="auto"/>
              <w:jc w:val="center"/>
              <w:rPr>
                <w:rFonts w:ascii="宋体" w:hAnsi="宋体"/>
                <w:color w:val="auto"/>
                <w:szCs w:val="21"/>
                <w:highlight w:val="none"/>
              </w:rPr>
            </w:pPr>
            <w:r>
              <w:rPr>
                <w:rFonts w:hint="eastAsia" w:ascii="宋体" w:hAnsi="宋体"/>
                <w:color w:val="auto"/>
                <w:szCs w:val="21"/>
                <w:highlight w:val="none"/>
                <w:lang w:val="en-US" w:eastAsia="zh-CN"/>
              </w:rPr>
              <w:t>1</w:t>
            </w:r>
            <w:r>
              <w:rPr>
                <w:rFonts w:hint="eastAsia" w:ascii="宋体" w:hAnsi="宋体"/>
                <w:color w:val="auto"/>
                <w:szCs w:val="21"/>
                <w:highlight w:val="none"/>
              </w:rPr>
              <w:t>小时</w:t>
            </w:r>
          </w:p>
        </w:tc>
      </w:tr>
    </w:tbl>
    <w:p w14:paraId="39BDDEF7">
      <w:pPr>
        <w:spacing w:line="360" w:lineRule="auto"/>
        <w:ind w:firstLine="420" w:firstLineChars="200"/>
        <w:rPr>
          <w:rFonts w:ascii="宋体" w:hAnsi="宋体"/>
          <w:szCs w:val="21"/>
        </w:rPr>
      </w:pPr>
      <w:r>
        <w:rPr>
          <w:rFonts w:hint="eastAsia" w:ascii="宋体" w:hAnsi="宋体"/>
          <w:szCs w:val="21"/>
        </w:rPr>
        <w:t>4</w:t>
      </w:r>
      <w:r>
        <w:rPr>
          <w:rFonts w:hint="eastAsia" w:ascii="宋体" w:hAnsi="宋体"/>
          <w:szCs w:val="21"/>
          <w:lang w:eastAsia="zh-CN"/>
        </w:rPr>
        <w:t>.</w:t>
      </w:r>
      <w:r>
        <w:rPr>
          <w:rFonts w:hint="eastAsia" w:ascii="宋体" w:hAnsi="宋体"/>
          <w:szCs w:val="21"/>
        </w:rPr>
        <w:t>技术资料服务：</w:t>
      </w:r>
    </w:p>
    <w:p w14:paraId="639560C7">
      <w:pPr>
        <w:spacing w:line="360" w:lineRule="auto"/>
        <w:ind w:firstLine="420" w:firstLineChars="200"/>
        <w:rPr>
          <w:rFonts w:ascii="宋体" w:hAnsi="宋体"/>
          <w:szCs w:val="21"/>
        </w:rPr>
      </w:pPr>
      <w:r>
        <w:rPr>
          <w:rFonts w:hint="eastAsia" w:ascii="宋体" w:hAnsi="宋体"/>
          <w:szCs w:val="21"/>
        </w:rPr>
        <w:t>投标人需</w:t>
      </w:r>
      <w:r>
        <w:rPr>
          <w:rFonts w:ascii="宋体" w:hAnsi="宋体"/>
          <w:szCs w:val="21"/>
        </w:rPr>
        <w:t>提供</w:t>
      </w:r>
      <w:r>
        <w:rPr>
          <w:rFonts w:hint="eastAsia" w:ascii="宋体" w:hAnsi="宋体"/>
          <w:szCs w:val="21"/>
        </w:rPr>
        <w:t>保证系统</w:t>
      </w:r>
      <w:r>
        <w:rPr>
          <w:rFonts w:ascii="宋体" w:hAnsi="宋体"/>
          <w:szCs w:val="21"/>
        </w:rPr>
        <w:t>正常运行的</w:t>
      </w:r>
      <w:r>
        <w:rPr>
          <w:rFonts w:hint="eastAsia" w:ascii="宋体" w:hAnsi="宋体"/>
          <w:szCs w:val="21"/>
        </w:rPr>
        <w:t>技术</w:t>
      </w:r>
      <w:r>
        <w:rPr>
          <w:rFonts w:ascii="宋体" w:hAnsi="宋体"/>
          <w:szCs w:val="21"/>
        </w:rPr>
        <w:t>资料，包括但不限于：技术</w:t>
      </w:r>
      <w:r>
        <w:rPr>
          <w:rFonts w:hint="eastAsia" w:ascii="宋体" w:hAnsi="宋体"/>
          <w:szCs w:val="21"/>
        </w:rPr>
        <w:t>方案</w:t>
      </w:r>
      <w:r>
        <w:rPr>
          <w:rFonts w:ascii="宋体" w:hAnsi="宋体"/>
          <w:szCs w:val="21"/>
        </w:rPr>
        <w:t>、测试方案、验收方案、操作手册、应急</w:t>
      </w:r>
      <w:r>
        <w:rPr>
          <w:rFonts w:hint="eastAsia" w:ascii="宋体" w:hAnsi="宋体"/>
          <w:szCs w:val="21"/>
        </w:rPr>
        <w:t>处理</w:t>
      </w:r>
      <w:r>
        <w:rPr>
          <w:rFonts w:ascii="宋体" w:hAnsi="宋体"/>
          <w:szCs w:val="21"/>
        </w:rPr>
        <w:t>手册等</w:t>
      </w:r>
      <w:r>
        <w:rPr>
          <w:rFonts w:hint="eastAsia" w:ascii="宋体" w:hAnsi="宋体"/>
          <w:szCs w:val="21"/>
        </w:rPr>
        <w:t>，以</w:t>
      </w:r>
      <w:r>
        <w:rPr>
          <w:rFonts w:ascii="宋体" w:hAnsi="宋体"/>
          <w:szCs w:val="21"/>
        </w:rPr>
        <w:t>纸质方式提供，同时，</w:t>
      </w:r>
      <w:r>
        <w:rPr>
          <w:rFonts w:hint="eastAsia" w:ascii="宋体" w:hAnsi="宋体"/>
          <w:szCs w:val="21"/>
        </w:rPr>
        <w:t>就</w:t>
      </w:r>
      <w:r>
        <w:rPr>
          <w:rFonts w:ascii="宋体" w:hAnsi="宋体"/>
          <w:szCs w:val="21"/>
        </w:rPr>
        <w:t>不同岗位</w:t>
      </w:r>
      <w:r>
        <w:rPr>
          <w:rFonts w:hint="eastAsia" w:ascii="宋体" w:hAnsi="宋体"/>
          <w:szCs w:val="21"/>
        </w:rPr>
        <w:t>工作人员</w:t>
      </w:r>
      <w:r>
        <w:rPr>
          <w:rFonts w:ascii="宋体" w:hAnsi="宋体"/>
          <w:szCs w:val="21"/>
        </w:rPr>
        <w:t>进行专业化、系统化的培训。</w:t>
      </w:r>
    </w:p>
    <w:p w14:paraId="57E296AC">
      <w:pPr>
        <w:spacing w:line="360" w:lineRule="auto"/>
        <w:ind w:firstLine="422" w:firstLineChars="200"/>
        <w:rPr>
          <w:rFonts w:hint="eastAsia" w:ascii="宋体" w:hAnsi="宋体" w:eastAsia="宋体"/>
          <w:b/>
          <w:szCs w:val="21"/>
          <w:lang w:eastAsia="zh-CN"/>
        </w:rPr>
      </w:pPr>
      <w:r>
        <w:rPr>
          <w:rFonts w:hint="eastAsia" w:ascii="宋体" w:hAnsi="宋体"/>
          <w:b/>
          <w:szCs w:val="21"/>
        </w:rPr>
        <w:t>二、</w:t>
      </w:r>
      <w:r>
        <w:rPr>
          <w:rFonts w:hint="eastAsia" w:ascii="宋体" w:hAnsi="宋体"/>
          <w:b/>
          <w:szCs w:val="21"/>
          <w:lang w:eastAsia="zh-CN"/>
        </w:rPr>
        <w:t>质量保证期</w:t>
      </w:r>
    </w:p>
    <w:p w14:paraId="0146D2A7">
      <w:pPr>
        <w:spacing w:line="360" w:lineRule="auto"/>
        <w:ind w:firstLine="420" w:firstLineChars="200"/>
        <w:rPr>
          <w:rFonts w:ascii="宋体" w:hAnsi="宋体"/>
          <w:szCs w:val="21"/>
        </w:rPr>
      </w:pPr>
      <w:r>
        <w:rPr>
          <w:rFonts w:hint="eastAsia" w:ascii="宋体" w:hAnsi="宋体"/>
          <w:szCs w:val="21"/>
        </w:rPr>
        <w:t>本项目</w:t>
      </w:r>
      <w:r>
        <w:rPr>
          <w:rFonts w:hint="eastAsia" w:ascii="宋体" w:hAnsi="宋体"/>
          <w:szCs w:val="21"/>
          <w:lang w:eastAsia="zh-CN"/>
        </w:rPr>
        <w:t>质量保证期：自验收合格后一年</w:t>
      </w:r>
      <w:r>
        <w:rPr>
          <w:rFonts w:hint="eastAsia" w:ascii="宋体" w:hAnsi="宋体"/>
          <w:szCs w:val="21"/>
        </w:rPr>
        <w:t>。</w:t>
      </w:r>
    </w:p>
    <w:p w14:paraId="417777E3">
      <w:pPr>
        <w:keepNext/>
        <w:keepLines/>
        <w:widowControl/>
        <w:spacing w:before="340" w:after="330" w:line="360" w:lineRule="auto"/>
        <w:jc w:val="center"/>
        <w:outlineLvl w:val="0"/>
        <w:rPr>
          <w:rFonts w:hint="default" w:ascii="宋体" w:hAnsi="宋体" w:eastAsia="宋体"/>
          <w:b/>
          <w:bCs/>
          <w:kern w:val="44"/>
          <w:sz w:val="32"/>
          <w:szCs w:val="32"/>
          <w:lang w:val="en-US" w:eastAsia="zh-CN"/>
        </w:rPr>
      </w:pPr>
      <w:bookmarkStart w:id="21" w:name="_Toc32919265"/>
      <w:bookmarkStart w:id="22" w:name="_Toc33270705"/>
      <w:r>
        <w:rPr>
          <w:rFonts w:hint="eastAsia" w:ascii="宋体" w:hAnsi="宋体"/>
          <w:b/>
          <w:bCs/>
          <w:kern w:val="44"/>
          <w:sz w:val="32"/>
          <w:szCs w:val="32"/>
        </w:rPr>
        <w:t>第</w:t>
      </w:r>
      <w:r>
        <w:rPr>
          <w:rFonts w:hint="eastAsia" w:ascii="宋体" w:hAnsi="宋体"/>
          <w:b/>
          <w:bCs/>
          <w:kern w:val="44"/>
          <w:sz w:val="32"/>
          <w:szCs w:val="32"/>
          <w:lang w:val="en-US" w:eastAsia="zh-CN"/>
        </w:rPr>
        <w:t>七</w:t>
      </w:r>
      <w:r>
        <w:rPr>
          <w:rFonts w:hint="eastAsia" w:ascii="宋体" w:hAnsi="宋体"/>
          <w:b/>
          <w:bCs/>
          <w:kern w:val="44"/>
          <w:sz w:val="32"/>
          <w:szCs w:val="32"/>
        </w:rPr>
        <w:t>节 投标人项目人员配备</w:t>
      </w:r>
      <w:bookmarkEnd w:id="21"/>
      <w:bookmarkEnd w:id="22"/>
    </w:p>
    <w:p w14:paraId="25D2D0EC">
      <w:pPr>
        <w:spacing w:line="360" w:lineRule="auto"/>
        <w:ind w:firstLine="420" w:firstLineChars="200"/>
        <w:rPr>
          <w:rFonts w:ascii="宋体" w:hAnsi="宋体"/>
          <w:color w:val="auto"/>
          <w:szCs w:val="21"/>
        </w:rPr>
      </w:pPr>
      <w:r>
        <w:rPr>
          <w:rFonts w:hint="eastAsia" w:ascii="宋体" w:hAnsi="宋体"/>
          <w:color w:val="auto"/>
          <w:szCs w:val="21"/>
          <w:highlight w:val="none"/>
        </w:rPr>
        <w:t>投标人承诺针对本项目组建专业管理团队。项目管理团队成员必须具有三年及以上项目管理工作经验和项目实施经验。</w:t>
      </w:r>
    </w:p>
    <w:p w14:paraId="33F53773">
      <w:pPr>
        <w:spacing w:line="360" w:lineRule="auto"/>
        <w:ind w:firstLine="420" w:firstLineChars="200"/>
        <w:rPr>
          <w:rFonts w:hint="eastAsia" w:ascii="宋体" w:hAnsi="宋体"/>
          <w:b/>
          <w:bCs/>
          <w:color w:val="auto"/>
          <w:szCs w:val="21"/>
        </w:rPr>
      </w:pPr>
      <w:r>
        <w:rPr>
          <w:rFonts w:hint="eastAsia" w:ascii="宋体" w:hAnsi="宋体"/>
          <w:color w:val="auto"/>
          <w:szCs w:val="21"/>
        </w:rPr>
        <w:t>根据项目进展需要，可以定期召开项目管理委员会、项目专项小组主要成员会议，对项目中出现的各种问题进行研究、决策，并总体上推进项目的顺利实施。</w:t>
      </w:r>
    </w:p>
    <w:p w14:paraId="53CCA167">
      <w:pPr>
        <w:spacing w:line="360" w:lineRule="auto"/>
        <w:ind w:firstLine="420" w:firstLineChars="200"/>
        <w:rPr>
          <w:rFonts w:ascii="宋体" w:hAnsi="宋体"/>
          <w:szCs w:val="21"/>
        </w:rPr>
      </w:pPr>
      <w:r>
        <w:rPr>
          <w:rFonts w:hint="eastAsia" w:ascii="宋体" w:hAnsi="宋体"/>
          <w:szCs w:val="21"/>
        </w:rPr>
        <w:t>一、投标人须制订项目实施的详细设计和质量保证计划，经业主、咨询单位和监理单位审定后组织实施。</w:t>
      </w:r>
    </w:p>
    <w:p w14:paraId="1232E49C">
      <w:pPr>
        <w:spacing w:line="360" w:lineRule="auto"/>
        <w:ind w:firstLine="420" w:firstLineChars="200"/>
        <w:rPr>
          <w:rFonts w:ascii="宋体" w:hAnsi="宋体"/>
          <w:szCs w:val="21"/>
        </w:rPr>
      </w:pPr>
      <w:r>
        <w:rPr>
          <w:rFonts w:hint="eastAsia" w:ascii="宋体" w:hAnsi="宋体"/>
          <w:szCs w:val="21"/>
        </w:rPr>
        <w:t>二、项目实施期间，认真组织好人力、物力等资源的投入，并向监理单位提供月、周进度报告及相应进度统计报表。</w:t>
      </w:r>
    </w:p>
    <w:p w14:paraId="26C89698">
      <w:pPr>
        <w:spacing w:line="360" w:lineRule="auto"/>
        <w:ind w:firstLine="420" w:firstLineChars="200"/>
        <w:rPr>
          <w:rFonts w:ascii="宋体" w:hAnsi="宋体"/>
          <w:szCs w:val="21"/>
        </w:rPr>
      </w:pPr>
      <w:r>
        <w:rPr>
          <w:rFonts w:hint="eastAsia" w:ascii="宋体" w:hAnsi="宋体"/>
          <w:szCs w:val="21"/>
        </w:rPr>
        <w:t>三、按合同要求在工程进度、成本、质量方面进行过程控制，发现不合格项及时纠正。</w:t>
      </w:r>
    </w:p>
    <w:p w14:paraId="127888CD">
      <w:pPr>
        <w:spacing w:line="360" w:lineRule="auto"/>
        <w:ind w:firstLine="420" w:firstLineChars="200"/>
        <w:rPr>
          <w:rFonts w:ascii="宋体" w:hAnsi="宋体"/>
          <w:szCs w:val="21"/>
        </w:rPr>
      </w:pPr>
      <w:r>
        <w:rPr>
          <w:rFonts w:hint="eastAsia" w:ascii="宋体" w:hAnsi="宋体"/>
          <w:szCs w:val="21"/>
        </w:rPr>
        <w:t>四、在项目实施过程中按规定程序及时、主动、自觉接受监理单位的监督检查；提供业主、咨询单位和监理单位需要的各种统计数据的报表。</w:t>
      </w:r>
    </w:p>
    <w:p w14:paraId="58416404">
      <w:pPr>
        <w:spacing w:line="360" w:lineRule="auto"/>
        <w:ind w:firstLine="420" w:firstLineChars="200"/>
        <w:rPr>
          <w:rFonts w:ascii="宋体" w:hAnsi="宋体"/>
          <w:szCs w:val="21"/>
        </w:rPr>
      </w:pPr>
      <w:r>
        <w:rPr>
          <w:rFonts w:hint="eastAsia" w:ascii="宋体" w:hAnsi="宋体"/>
          <w:szCs w:val="21"/>
        </w:rPr>
        <w:t>五、项目实施完成后，及时向业主提交项目测试申请报告，对测试中发现的问题及时进行改进。</w:t>
      </w:r>
    </w:p>
    <w:p w14:paraId="26C5CB09">
      <w:pPr>
        <w:spacing w:line="360" w:lineRule="auto"/>
        <w:ind w:firstLine="420" w:firstLineChars="200"/>
        <w:rPr>
          <w:rFonts w:ascii="宋体" w:hAnsi="宋体"/>
          <w:szCs w:val="21"/>
        </w:rPr>
      </w:pPr>
      <w:r>
        <w:rPr>
          <w:rFonts w:hint="eastAsia" w:ascii="宋体" w:hAnsi="宋体"/>
          <w:szCs w:val="21"/>
        </w:rPr>
        <w:t>六、投标人负责已完工程的保护工作。</w:t>
      </w:r>
    </w:p>
    <w:p w14:paraId="01AE9C62">
      <w:pPr>
        <w:spacing w:line="360" w:lineRule="auto"/>
        <w:ind w:firstLine="420" w:firstLineChars="200"/>
        <w:rPr>
          <w:rFonts w:hint="eastAsia" w:ascii="宋体" w:hAnsi="宋体"/>
          <w:szCs w:val="21"/>
        </w:rPr>
      </w:pPr>
      <w:r>
        <w:rPr>
          <w:rFonts w:hint="eastAsia" w:ascii="宋体" w:hAnsi="宋体"/>
          <w:szCs w:val="21"/>
        </w:rPr>
        <w:t>七、投标人应保存好完整的项目资料档案，以便项目验收后移交业主单位。</w:t>
      </w:r>
    </w:p>
    <w:p w14:paraId="3C44FF3F">
      <w:pPr>
        <w:keepNext/>
        <w:keepLines/>
        <w:widowControl/>
        <w:spacing w:before="340" w:after="330" w:line="360" w:lineRule="auto"/>
        <w:jc w:val="center"/>
        <w:outlineLvl w:val="0"/>
        <w:rPr>
          <w:rFonts w:hint="eastAsia" w:ascii="宋体" w:hAnsi="宋体" w:eastAsia="宋体"/>
          <w:b/>
          <w:bCs/>
          <w:kern w:val="44"/>
          <w:sz w:val="32"/>
          <w:szCs w:val="32"/>
          <w:lang w:eastAsia="zh-CN"/>
        </w:rPr>
      </w:pPr>
      <w:bookmarkStart w:id="23" w:name="_Toc32919266"/>
      <w:bookmarkStart w:id="24" w:name="_Toc33270706"/>
      <w:r>
        <w:rPr>
          <w:rFonts w:hint="eastAsia" w:ascii="宋体" w:hAnsi="宋体"/>
          <w:b/>
          <w:bCs/>
          <w:kern w:val="44"/>
          <w:sz w:val="32"/>
          <w:szCs w:val="32"/>
        </w:rPr>
        <w:t>第</w:t>
      </w:r>
      <w:r>
        <w:rPr>
          <w:rFonts w:hint="eastAsia" w:ascii="宋体" w:hAnsi="宋体"/>
          <w:b/>
          <w:bCs/>
          <w:kern w:val="44"/>
          <w:sz w:val="32"/>
          <w:szCs w:val="32"/>
          <w:lang w:val="en-US" w:eastAsia="zh-CN"/>
        </w:rPr>
        <w:t>八</w:t>
      </w:r>
      <w:r>
        <w:rPr>
          <w:rFonts w:hint="eastAsia" w:ascii="宋体" w:hAnsi="宋体"/>
          <w:b/>
          <w:bCs/>
          <w:kern w:val="44"/>
          <w:sz w:val="32"/>
          <w:szCs w:val="32"/>
        </w:rPr>
        <w:t>节 工程实施周期要求</w:t>
      </w:r>
      <w:bookmarkEnd w:id="23"/>
      <w:bookmarkEnd w:id="24"/>
    </w:p>
    <w:p w14:paraId="35C73777">
      <w:pPr>
        <w:spacing w:line="360" w:lineRule="auto"/>
        <w:ind w:firstLine="420" w:firstLineChars="200"/>
        <w:rPr>
          <w:rFonts w:ascii="宋体" w:hAnsi="宋体"/>
          <w:bCs/>
          <w:color w:val="000000"/>
          <w:szCs w:val="21"/>
          <w:highlight w:val="none"/>
        </w:rPr>
      </w:pPr>
      <w:r>
        <w:rPr>
          <w:rFonts w:hint="eastAsia" w:ascii="宋体" w:hAnsi="宋体"/>
          <w:bCs/>
          <w:color w:val="000000"/>
          <w:szCs w:val="21"/>
        </w:rPr>
        <w:t>整个项目需在合同签订后</w:t>
      </w:r>
      <w:r>
        <w:rPr>
          <w:rFonts w:ascii="宋体" w:hAnsi="宋体"/>
          <w:bCs/>
          <w:color w:val="000000"/>
          <w:szCs w:val="21"/>
        </w:rPr>
        <w:t>6</w:t>
      </w:r>
      <w:r>
        <w:rPr>
          <w:rFonts w:hint="eastAsia" w:ascii="宋体" w:hAnsi="宋体"/>
          <w:bCs/>
          <w:color w:val="000000"/>
          <w:szCs w:val="21"/>
        </w:rPr>
        <w:t>个月内完成。</w:t>
      </w:r>
      <w:r>
        <w:rPr>
          <w:rFonts w:hint="eastAsia" w:ascii="宋体" w:hAnsi="宋体"/>
          <w:bCs/>
          <w:color w:val="000000"/>
          <w:szCs w:val="21"/>
          <w:highlight w:val="none"/>
        </w:rPr>
        <w:t>投标人</w:t>
      </w:r>
      <w:r>
        <w:rPr>
          <w:rFonts w:hint="eastAsia" w:ascii="宋体" w:hAnsi="宋体"/>
          <w:bCs/>
          <w:color w:val="000000"/>
          <w:szCs w:val="21"/>
          <w:highlight w:val="none"/>
          <w:lang w:val="en-US" w:eastAsia="zh-CN"/>
        </w:rPr>
        <w:t>需要承诺在工期内及在播出机房内完成</w:t>
      </w:r>
      <w:r>
        <w:rPr>
          <w:rFonts w:hint="eastAsia" w:ascii="宋体" w:hAnsi="宋体"/>
          <w:bCs/>
          <w:color w:val="000000"/>
          <w:szCs w:val="21"/>
          <w:highlight w:val="none"/>
        </w:rPr>
        <w:t>设备部署</w:t>
      </w:r>
      <w:r>
        <w:rPr>
          <w:rFonts w:hint="eastAsia" w:ascii="宋体" w:hAnsi="宋体"/>
          <w:bCs/>
          <w:color w:val="000000"/>
          <w:szCs w:val="21"/>
          <w:highlight w:val="none"/>
          <w:lang w:eastAsia="zh-CN"/>
        </w:rPr>
        <w:t>，</w:t>
      </w:r>
      <w:r>
        <w:rPr>
          <w:rFonts w:hint="eastAsia" w:ascii="宋体" w:hAnsi="宋体"/>
          <w:bCs/>
          <w:color w:val="000000"/>
          <w:szCs w:val="21"/>
          <w:highlight w:val="none"/>
          <w:lang w:val="en-US" w:eastAsia="zh-CN"/>
        </w:rPr>
        <w:t>并承担</w:t>
      </w:r>
      <w:r>
        <w:rPr>
          <w:rFonts w:hint="eastAsia" w:ascii="宋体" w:hAnsi="宋体"/>
          <w:bCs/>
          <w:color w:val="000000"/>
          <w:szCs w:val="21"/>
          <w:highlight w:val="none"/>
        </w:rPr>
        <w:t>产生的</w:t>
      </w:r>
      <w:r>
        <w:rPr>
          <w:rFonts w:hint="eastAsia" w:ascii="宋体" w:hAnsi="宋体"/>
          <w:bCs/>
          <w:color w:val="000000"/>
          <w:szCs w:val="21"/>
          <w:highlight w:val="none"/>
          <w:lang w:val="en-US" w:eastAsia="zh-CN"/>
        </w:rPr>
        <w:t>辅材</w:t>
      </w:r>
      <w:r>
        <w:rPr>
          <w:rFonts w:hint="eastAsia" w:ascii="宋体" w:hAnsi="宋体"/>
          <w:bCs/>
          <w:color w:val="000000"/>
          <w:szCs w:val="21"/>
          <w:highlight w:val="none"/>
        </w:rPr>
        <w:t>等</w:t>
      </w:r>
      <w:r>
        <w:rPr>
          <w:rFonts w:hint="eastAsia" w:ascii="宋体" w:hAnsi="宋体"/>
          <w:bCs/>
          <w:color w:val="000000"/>
          <w:szCs w:val="21"/>
          <w:highlight w:val="none"/>
          <w:lang w:val="en-US" w:eastAsia="zh-CN"/>
        </w:rPr>
        <w:t>相关</w:t>
      </w:r>
      <w:r>
        <w:rPr>
          <w:rFonts w:hint="eastAsia" w:ascii="宋体" w:hAnsi="宋体"/>
          <w:bCs/>
          <w:color w:val="000000"/>
          <w:szCs w:val="21"/>
          <w:highlight w:val="none"/>
        </w:rPr>
        <w:t>费用。</w:t>
      </w:r>
    </w:p>
    <w:p w14:paraId="3BA9AB55">
      <w:pPr>
        <w:spacing w:line="360" w:lineRule="auto"/>
        <w:rPr>
          <w:rFonts w:hint="eastAsia" w:ascii="宋体" w:hAnsi="宋体"/>
          <w:bCs/>
          <w:color w:val="000000"/>
          <w:szCs w:val="21"/>
        </w:rPr>
      </w:pPr>
    </w:p>
    <w:bookmarkEnd w:id="1"/>
    <w:p w14:paraId="1A377870">
      <w:pPr>
        <w:keepNext/>
        <w:keepLines/>
        <w:widowControl/>
        <w:numPr>
          <w:ilvl w:val="0"/>
          <w:numId w:val="16"/>
        </w:numPr>
        <w:spacing w:before="340" w:after="330" w:line="360" w:lineRule="auto"/>
        <w:jc w:val="center"/>
        <w:outlineLvl w:val="0"/>
        <w:rPr>
          <w:rFonts w:hint="eastAsia" w:ascii="宋体" w:hAnsi="宋体"/>
          <w:b/>
          <w:bCs/>
          <w:color w:val="auto"/>
          <w:kern w:val="44"/>
          <w:sz w:val="32"/>
          <w:szCs w:val="32"/>
          <w:lang w:eastAsia="zh-CN"/>
        </w:rPr>
      </w:pPr>
      <w:r>
        <w:rPr>
          <w:rFonts w:hint="eastAsia" w:ascii="宋体" w:hAnsi="宋体"/>
          <w:b/>
          <w:bCs/>
          <w:color w:val="auto"/>
          <w:kern w:val="44"/>
          <w:sz w:val="32"/>
          <w:szCs w:val="32"/>
        </w:rPr>
        <w:t>招标清单</w:t>
      </w:r>
    </w:p>
    <w:p w14:paraId="5AC82699">
      <w:pPr>
        <w:numPr>
          <w:ilvl w:val="0"/>
          <w:numId w:val="17"/>
        </w:numPr>
        <w:spacing w:line="360" w:lineRule="auto"/>
        <w:rPr>
          <w:rFonts w:hint="default"/>
          <w:lang w:val="en-US" w:eastAsia="zh-CN"/>
        </w:rPr>
      </w:pPr>
      <w:r>
        <w:rPr>
          <w:rFonts w:hint="eastAsia" w:ascii="宋体" w:hAnsi="宋体"/>
          <w:b/>
          <w:szCs w:val="21"/>
          <w:lang w:val="en-US" w:eastAsia="zh-CN"/>
        </w:rPr>
        <w:t>应用系统需求清单</w:t>
      </w:r>
    </w:p>
    <w:tbl>
      <w:tblPr>
        <w:tblStyle w:val="37"/>
        <w:tblW w:w="4765" w:type="pct"/>
        <w:tblInd w:w="4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3023"/>
        <w:gridCol w:w="4468"/>
        <w:gridCol w:w="1193"/>
      </w:tblGrid>
      <w:tr w14:paraId="7990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77" w:type="pct"/>
            <w:vMerge w:val="restart"/>
            <w:tcBorders>
              <w:tl2br w:val="nil"/>
              <w:tr2bl w:val="nil"/>
            </w:tcBorders>
            <w:noWrap w:val="0"/>
            <w:vAlign w:val="center"/>
          </w:tcPr>
          <w:p w14:paraId="1FFA2A97">
            <w:pPr>
              <w:widowControl/>
              <w:jc w:val="center"/>
              <w:textAlignment w:val="center"/>
              <w:rPr>
                <w:rFonts w:ascii="仿宋" w:hAnsi="仿宋" w:cs="仿宋"/>
                <w:color w:val="auto"/>
                <w:sz w:val="22"/>
              </w:rPr>
            </w:pPr>
            <w:r>
              <w:rPr>
                <w:rFonts w:hint="eastAsia" w:ascii="仿宋" w:hAnsi="仿宋" w:cs="仿宋"/>
                <w:color w:val="auto"/>
                <w:kern w:val="0"/>
                <w:sz w:val="22"/>
                <w:lang w:bidi="ar"/>
              </w:rPr>
              <w:t>序号</w:t>
            </w:r>
          </w:p>
        </w:tc>
        <w:tc>
          <w:tcPr>
            <w:tcW w:w="1609" w:type="pct"/>
            <w:vMerge w:val="restart"/>
            <w:tcBorders>
              <w:tl2br w:val="nil"/>
              <w:tr2bl w:val="nil"/>
            </w:tcBorders>
            <w:noWrap w:val="0"/>
            <w:vAlign w:val="center"/>
          </w:tcPr>
          <w:p w14:paraId="7CE53FE4">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系统名称</w:t>
            </w:r>
          </w:p>
        </w:tc>
        <w:tc>
          <w:tcPr>
            <w:tcW w:w="2378" w:type="pct"/>
            <w:vMerge w:val="restart"/>
            <w:tcBorders>
              <w:tl2br w:val="nil"/>
              <w:tr2bl w:val="nil"/>
            </w:tcBorders>
            <w:noWrap w:val="0"/>
            <w:vAlign w:val="center"/>
          </w:tcPr>
          <w:p w14:paraId="2A87ACDB">
            <w:pPr>
              <w:widowControl/>
              <w:jc w:val="center"/>
              <w:textAlignment w:val="center"/>
              <w:rPr>
                <w:rFonts w:hint="eastAsia" w:ascii="仿宋" w:hAnsi="仿宋" w:eastAsia="宋体" w:cs="仿宋"/>
                <w:color w:val="auto"/>
                <w:sz w:val="22"/>
                <w:lang w:val="en-US" w:eastAsia="zh-CN"/>
              </w:rPr>
            </w:pPr>
            <w:r>
              <w:rPr>
                <w:rFonts w:hint="eastAsia" w:ascii="仿宋" w:hAnsi="仿宋" w:cs="仿宋"/>
                <w:color w:val="auto"/>
                <w:kern w:val="0"/>
                <w:sz w:val="22"/>
                <w:lang w:bidi="ar"/>
              </w:rPr>
              <w:t>子系统模块</w:t>
            </w:r>
            <w:r>
              <w:rPr>
                <w:rFonts w:hint="eastAsia" w:ascii="仿宋" w:hAnsi="仿宋" w:cs="仿宋"/>
                <w:color w:val="auto"/>
                <w:kern w:val="0"/>
                <w:sz w:val="22"/>
                <w:lang w:val="en-US" w:eastAsia="zh-CN" w:bidi="ar"/>
              </w:rPr>
              <w:t>内容</w:t>
            </w:r>
          </w:p>
        </w:tc>
        <w:tc>
          <w:tcPr>
            <w:tcW w:w="634" w:type="pct"/>
            <w:vMerge w:val="restart"/>
            <w:tcBorders>
              <w:tl2br w:val="nil"/>
              <w:tr2bl w:val="nil"/>
            </w:tcBorders>
            <w:noWrap w:val="0"/>
            <w:vAlign w:val="center"/>
          </w:tcPr>
          <w:p w14:paraId="1488A9E9">
            <w:pPr>
              <w:widowControl/>
              <w:jc w:val="center"/>
              <w:textAlignment w:val="center"/>
              <w:rPr>
                <w:rFonts w:hint="eastAsia" w:ascii="仿宋" w:hAnsi="仿宋" w:cs="仿宋"/>
                <w:color w:val="auto"/>
                <w:sz w:val="22"/>
              </w:rPr>
            </w:pPr>
            <w:r>
              <w:rPr>
                <w:rFonts w:hint="eastAsia" w:ascii="仿宋" w:hAnsi="仿宋" w:cs="仿宋"/>
                <w:color w:val="auto"/>
                <w:kern w:val="0"/>
                <w:sz w:val="22"/>
                <w:lang w:bidi="ar"/>
              </w:rPr>
              <w:t>单位</w:t>
            </w:r>
          </w:p>
        </w:tc>
      </w:tr>
      <w:tr w14:paraId="49B87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77" w:type="pct"/>
            <w:vMerge w:val="continue"/>
            <w:tcBorders>
              <w:tl2br w:val="nil"/>
              <w:tr2bl w:val="nil"/>
            </w:tcBorders>
            <w:noWrap w:val="0"/>
            <w:vAlign w:val="center"/>
          </w:tcPr>
          <w:p w14:paraId="1FA4A0AA">
            <w:pPr>
              <w:jc w:val="center"/>
              <w:rPr>
                <w:rFonts w:hint="eastAsia" w:ascii="仿宋" w:hAnsi="仿宋" w:cs="仿宋"/>
                <w:color w:val="auto"/>
                <w:sz w:val="22"/>
              </w:rPr>
            </w:pPr>
          </w:p>
        </w:tc>
        <w:tc>
          <w:tcPr>
            <w:tcW w:w="1609" w:type="pct"/>
            <w:vMerge w:val="continue"/>
            <w:tcBorders>
              <w:tl2br w:val="nil"/>
              <w:tr2bl w:val="nil"/>
            </w:tcBorders>
            <w:noWrap w:val="0"/>
            <w:vAlign w:val="center"/>
          </w:tcPr>
          <w:p w14:paraId="77067DE2">
            <w:pPr>
              <w:rPr>
                <w:rFonts w:hint="eastAsia" w:ascii="仿宋" w:hAnsi="仿宋" w:cs="仿宋"/>
                <w:color w:val="auto"/>
                <w:sz w:val="22"/>
              </w:rPr>
            </w:pPr>
          </w:p>
        </w:tc>
        <w:tc>
          <w:tcPr>
            <w:tcW w:w="2378" w:type="pct"/>
            <w:vMerge w:val="continue"/>
            <w:tcBorders>
              <w:tl2br w:val="nil"/>
              <w:tr2bl w:val="nil"/>
            </w:tcBorders>
            <w:noWrap w:val="0"/>
            <w:vAlign w:val="center"/>
          </w:tcPr>
          <w:p w14:paraId="1D0A2015">
            <w:pPr>
              <w:jc w:val="center"/>
              <w:rPr>
                <w:rFonts w:hint="eastAsia" w:ascii="仿宋" w:hAnsi="仿宋" w:cs="仿宋"/>
                <w:color w:val="auto"/>
                <w:sz w:val="22"/>
              </w:rPr>
            </w:pPr>
          </w:p>
        </w:tc>
        <w:tc>
          <w:tcPr>
            <w:tcW w:w="634" w:type="pct"/>
            <w:vMerge w:val="continue"/>
            <w:tcBorders>
              <w:tl2br w:val="nil"/>
              <w:tr2bl w:val="nil"/>
            </w:tcBorders>
            <w:noWrap w:val="0"/>
            <w:vAlign w:val="center"/>
          </w:tcPr>
          <w:p w14:paraId="0B817331">
            <w:pPr>
              <w:jc w:val="center"/>
              <w:rPr>
                <w:rFonts w:hint="eastAsia" w:ascii="仿宋" w:hAnsi="仿宋" w:cs="仿宋"/>
                <w:color w:val="auto"/>
                <w:sz w:val="22"/>
              </w:rPr>
            </w:pPr>
          </w:p>
        </w:tc>
      </w:tr>
      <w:tr w14:paraId="4A8A1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377" w:type="pct"/>
            <w:tcBorders>
              <w:tl2br w:val="nil"/>
              <w:tr2bl w:val="nil"/>
            </w:tcBorders>
            <w:noWrap w:val="0"/>
            <w:vAlign w:val="center"/>
          </w:tcPr>
          <w:p w14:paraId="576A0E93">
            <w:pPr>
              <w:widowControl/>
              <w:jc w:val="center"/>
              <w:textAlignment w:val="center"/>
              <w:rPr>
                <w:rFonts w:hint="eastAsia" w:ascii="仿宋" w:hAnsi="仿宋" w:cs="仿宋"/>
                <w:color w:val="auto"/>
                <w:sz w:val="22"/>
              </w:rPr>
            </w:pPr>
            <w:r>
              <w:rPr>
                <w:rFonts w:hint="eastAsia" w:ascii="仿宋" w:hAnsi="仿宋" w:cs="仿宋"/>
                <w:color w:val="auto"/>
                <w:kern w:val="0"/>
                <w:sz w:val="22"/>
                <w:lang w:bidi="ar"/>
              </w:rPr>
              <w:t>一</w:t>
            </w:r>
          </w:p>
        </w:tc>
        <w:tc>
          <w:tcPr>
            <w:tcW w:w="4622" w:type="pct"/>
            <w:gridSpan w:val="3"/>
            <w:tcBorders>
              <w:tl2br w:val="nil"/>
              <w:tr2bl w:val="nil"/>
            </w:tcBorders>
            <w:noWrap w:val="0"/>
            <w:vAlign w:val="center"/>
          </w:tcPr>
          <w:p w14:paraId="093D9073">
            <w:pPr>
              <w:widowControl/>
              <w:jc w:val="both"/>
              <w:textAlignment w:val="center"/>
              <w:rPr>
                <w:rFonts w:hint="eastAsia" w:ascii="仿宋" w:hAnsi="仿宋" w:cs="仿宋"/>
                <w:color w:val="auto"/>
                <w:kern w:val="0"/>
                <w:sz w:val="22"/>
                <w:lang w:bidi="ar"/>
              </w:rPr>
            </w:pPr>
            <w:r>
              <w:rPr>
                <w:rFonts w:hint="eastAsia" w:ascii="仿宋" w:hAnsi="仿宋" w:cs="仿宋"/>
                <w:color w:val="auto"/>
                <w:kern w:val="0"/>
                <w:sz w:val="22"/>
                <w:lang w:bidi="ar"/>
              </w:rPr>
              <w:t>智慧运维系统</w:t>
            </w:r>
            <w:r>
              <w:rPr>
                <w:rFonts w:hint="eastAsia" w:ascii="仿宋" w:hAnsi="仿宋" w:cs="仿宋"/>
                <w:color w:val="auto"/>
                <w:kern w:val="0"/>
                <w:sz w:val="22"/>
                <w:lang w:val="en-US" w:eastAsia="zh-CN" w:bidi="ar"/>
              </w:rPr>
              <w:t xml:space="preserve"> 1套</w:t>
            </w:r>
          </w:p>
        </w:tc>
      </w:tr>
      <w:tr w14:paraId="540DE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77" w:type="pct"/>
            <w:vMerge w:val="restart"/>
            <w:tcBorders>
              <w:tl2br w:val="nil"/>
              <w:tr2bl w:val="nil"/>
            </w:tcBorders>
            <w:noWrap w:val="0"/>
            <w:vAlign w:val="center"/>
          </w:tcPr>
          <w:p w14:paraId="777F89C6">
            <w:pPr>
              <w:widowControl/>
              <w:jc w:val="center"/>
              <w:textAlignment w:val="center"/>
              <w:rPr>
                <w:rFonts w:hint="eastAsia" w:ascii="仿宋" w:hAnsi="仿宋" w:eastAsia="宋体" w:cs="仿宋"/>
                <w:color w:val="auto"/>
                <w:sz w:val="22"/>
                <w:lang w:val="en-US" w:eastAsia="zh-CN"/>
              </w:rPr>
            </w:pPr>
            <w:r>
              <w:rPr>
                <w:rFonts w:hint="eastAsia" w:ascii="仿宋" w:hAnsi="仿宋" w:cs="仿宋"/>
                <w:color w:val="auto"/>
                <w:sz w:val="22"/>
                <w:lang w:val="en-US" w:eastAsia="zh-CN"/>
              </w:rPr>
              <w:t>1</w:t>
            </w:r>
          </w:p>
        </w:tc>
        <w:tc>
          <w:tcPr>
            <w:tcW w:w="1609" w:type="pct"/>
            <w:vMerge w:val="restart"/>
            <w:tcBorders>
              <w:tl2br w:val="nil"/>
              <w:tr2bl w:val="nil"/>
            </w:tcBorders>
            <w:noWrap w:val="0"/>
            <w:vAlign w:val="center"/>
          </w:tcPr>
          <w:p w14:paraId="57F9341D">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数据采集中心模块</w:t>
            </w:r>
          </w:p>
        </w:tc>
        <w:tc>
          <w:tcPr>
            <w:tcW w:w="2378" w:type="pct"/>
            <w:tcBorders>
              <w:tl2br w:val="nil"/>
              <w:tr2bl w:val="nil"/>
            </w:tcBorders>
            <w:noWrap w:val="0"/>
            <w:vAlign w:val="center"/>
          </w:tcPr>
          <w:p w14:paraId="46640650">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数据采集</w:t>
            </w:r>
          </w:p>
        </w:tc>
        <w:tc>
          <w:tcPr>
            <w:tcW w:w="634" w:type="pct"/>
            <w:vMerge w:val="restart"/>
            <w:tcBorders>
              <w:tl2br w:val="nil"/>
              <w:tr2bl w:val="nil"/>
            </w:tcBorders>
            <w:noWrap w:val="0"/>
            <w:vAlign w:val="center"/>
          </w:tcPr>
          <w:p w14:paraId="4EDECD57">
            <w:pPr>
              <w:widowControl/>
              <w:jc w:val="center"/>
              <w:textAlignment w:val="center"/>
              <w:rPr>
                <w:rFonts w:hint="eastAsia" w:ascii="仿宋" w:hAnsi="仿宋" w:cs="仿宋"/>
                <w:color w:val="auto"/>
                <w:sz w:val="22"/>
              </w:rPr>
            </w:pPr>
            <w:r>
              <w:rPr>
                <w:rFonts w:hint="eastAsia" w:ascii="仿宋" w:hAnsi="仿宋" w:cs="仿宋"/>
                <w:color w:val="auto"/>
                <w:kern w:val="0"/>
                <w:sz w:val="22"/>
                <w:lang w:bidi="ar"/>
              </w:rPr>
              <w:t>人月</w:t>
            </w:r>
          </w:p>
        </w:tc>
      </w:tr>
      <w:tr w14:paraId="22D06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77" w:type="pct"/>
            <w:vMerge w:val="continue"/>
            <w:tcBorders>
              <w:tl2br w:val="nil"/>
              <w:tr2bl w:val="nil"/>
            </w:tcBorders>
            <w:noWrap w:val="0"/>
            <w:vAlign w:val="center"/>
          </w:tcPr>
          <w:p w14:paraId="2C366ABF">
            <w:pPr>
              <w:jc w:val="center"/>
              <w:rPr>
                <w:rFonts w:hint="eastAsia" w:ascii="仿宋" w:hAnsi="仿宋" w:cs="仿宋"/>
                <w:color w:val="auto"/>
                <w:sz w:val="22"/>
              </w:rPr>
            </w:pPr>
          </w:p>
        </w:tc>
        <w:tc>
          <w:tcPr>
            <w:tcW w:w="1609" w:type="pct"/>
            <w:vMerge w:val="continue"/>
            <w:tcBorders>
              <w:tl2br w:val="nil"/>
              <w:tr2bl w:val="nil"/>
            </w:tcBorders>
            <w:noWrap w:val="0"/>
            <w:vAlign w:val="center"/>
          </w:tcPr>
          <w:p w14:paraId="6F21427A">
            <w:pPr>
              <w:rPr>
                <w:rFonts w:hint="eastAsia" w:ascii="仿宋" w:hAnsi="仿宋" w:cs="仿宋"/>
                <w:color w:val="auto"/>
                <w:sz w:val="22"/>
              </w:rPr>
            </w:pPr>
          </w:p>
        </w:tc>
        <w:tc>
          <w:tcPr>
            <w:tcW w:w="2378" w:type="pct"/>
            <w:tcBorders>
              <w:tl2br w:val="nil"/>
              <w:tr2bl w:val="nil"/>
            </w:tcBorders>
            <w:noWrap w:val="0"/>
            <w:vAlign w:val="center"/>
          </w:tcPr>
          <w:p w14:paraId="59BD95ED">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数据仓库数据标准化</w:t>
            </w:r>
          </w:p>
        </w:tc>
        <w:tc>
          <w:tcPr>
            <w:tcW w:w="634" w:type="pct"/>
            <w:vMerge w:val="continue"/>
            <w:tcBorders>
              <w:tl2br w:val="nil"/>
              <w:tr2bl w:val="nil"/>
            </w:tcBorders>
            <w:noWrap w:val="0"/>
            <w:vAlign w:val="center"/>
          </w:tcPr>
          <w:p w14:paraId="27D3053F">
            <w:pPr>
              <w:widowControl/>
              <w:jc w:val="center"/>
              <w:textAlignment w:val="center"/>
              <w:rPr>
                <w:rFonts w:hint="eastAsia" w:ascii="仿宋" w:hAnsi="仿宋" w:cs="仿宋"/>
                <w:color w:val="auto"/>
                <w:sz w:val="22"/>
              </w:rPr>
            </w:pPr>
          </w:p>
        </w:tc>
      </w:tr>
      <w:tr w14:paraId="72F23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77" w:type="pct"/>
            <w:vMerge w:val="continue"/>
            <w:tcBorders>
              <w:tl2br w:val="nil"/>
              <w:tr2bl w:val="nil"/>
            </w:tcBorders>
            <w:noWrap w:val="0"/>
            <w:vAlign w:val="center"/>
          </w:tcPr>
          <w:p w14:paraId="28BDD910">
            <w:pPr>
              <w:jc w:val="center"/>
              <w:rPr>
                <w:rFonts w:hint="eastAsia" w:ascii="仿宋" w:hAnsi="仿宋" w:cs="仿宋"/>
                <w:color w:val="auto"/>
                <w:sz w:val="22"/>
              </w:rPr>
            </w:pPr>
          </w:p>
        </w:tc>
        <w:tc>
          <w:tcPr>
            <w:tcW w:w="1609" w:type="pct"/>
            <w:vMerge w:val="continue"/>
            <w:tcBorders>
              <w:tl2br w:val="nil"/>
              <w:tr2bl w:val="nil"/>
            </w:tcBorders>
            <w:noWrap w:val="0"/>
            <w:vAlign w:val="center"/>
          </w:tcPr>
          <w:p w14:paraId="07BBBAA0">
            <w:pPr>
              <w:rPr>
                <w:rFonts w:hint="eastAsia" w:ascii="仿宋" w:hAnsi="仿宋" w:cs="仿宋"/>
                <w:color w:val="auto"/>
                <w:sz w:val="22"/>
              </w:rPr>
            </w:pPr>
          </w:p>
        </w:tc>
        <w:tc>
          <w:tcPr>
            <w:tcW w:w="2378" w:type="pct"/>
            <w:tcBorders>
              <w:tl2br w:val="nil"/>
              <w:tr2bl w:val="nil"/>
            </w:tcBorders>
            <w:noWrap w:val="0"/>
            <w:vAlign w:val="center"/>
          </w:tcPr>
          <w:p w14:paraId="013C01EA">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数据分析利用</w:t>
            </w:r>
          </w:p>
        </w:tc>
        <w:tc>
          <w:tcPr>
            <w:tcW w:w="634" w:type="pct"/>
            <w:vMerge w:val="continue"/>
            <w:tcBorders>
              <w:tl2br w:val="nil"/>
              <w:tr2bl w:val="nil"/>
            </w:tcBorders>
            <w:noWrap w:val="0"/>
            <w:vAlign w:val="center"/>
          </w:tcPr>
          <w:p w14:paraId="7A8099CD">
            <w:pPr>
              <w:widowControl/>
              <w:jc w:val="center"/>
              <w:textAlignment w:val="center"/>
              <w:rPr>
                <w:rFonts w:hint="eastAsia" w:ascii="仿宋" w:hAnsi="仿宋" w:cs="仿宋"/>
                <w:color w:val="auto"/>
                <w:sz w:val="22"/>
              </w:rPr>
            </w:pPr>
          </w:p>
        </w:tc>
      </w:tr>
      <w:tr w14:paraId="1646A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77" w:type="pct"/>
            <w:vMerge w:val="continue"/>
            <w:tcBorders>
              <w:tl2br w:val="nil"/>
              <w:tr2bl w:val="nil"/>
            </w:tcBorders>
            <w:noWrap w:val="0"/>
            <w:vAlign w:val="center"/>
          </w:tcPr>
          <w:p w14:paraId="77DD1934">
            <w:pPr>
              <w:jc w:val="center"/>
              <w:rPr>
                <w:rFonts w:hint="eastAsia" w:ascii="仿宋" w:hAnsi="仿宋" w:cs="仿宋"/>
                <w:color w:val="auto"/>
                <w:sz w:val="22"/>
              </w:rPr>
            </w:pPr>
          </w:p>
        </w:tc>
        <w:tc>
          <w:tcPr>
            <w:tcW w:w="1609" w:type="pct"/>
            <w:vMerge w:val="continue"/>
            <w:tcBorders>
              <w:tl2br w:val="nil"/>
              <w:tr2bl w:val="nil"/>
            </w:tcBorders>
            <w:noWrap w:val="0"/>
            <w:vAlign w:val="center"/>
          </w:tcPr>
          <w:p w14:paraId="22F7AAA2">
            <w:pPr>
              <w:rPr>
                <w:rFonts w:hint="eastAsia" w:ascii="仿宋" w:hAnsi="仿宋" w:cs="仿宋"/>
                <w:color w:val="auto"/>
                <w:sz w:val="22"/>
              </w:rPr>
            </w:pPr>
          </w:p>
        </w:tc>
        <w:tc>
          <w:tcPr>
            <w:tcW w:w="2378" w:type="pct"/>
            <w:tcBorders>
              <w:tl2br w:val="nil"/>
              <w:tr2bl w:val="nil"/>
            </w:tcBorders>
            <w:noWrap w:val="0"/>
            <w:vAlign w:val="center"/>
          </w:tcPr>
          <w:p w14:paraId="5F61669D">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数据中心外部接口</w:t>
            </w:r>
          </w:p>
        </w:tc>
        <w:tc>
          <w:tcPr>
            <w:tcW w:w="634" w:type="pct"/>
            <w:vMerge w:val="continue"/>
            <w:tcBorders>
              <w:tl2br w:val="nil"/>
              <w:tr2bl w:val="nil"/>
            </w:tcBorders>
            <w:noWrap w:val="0"/>
            <w:vAlign w:val="center"/>
          </w:tcPr>
          <w:p w14:paraId="095A38FA">
            <w:pPr>
              <w:widowControl/>
              <w:jc w:val="center"/>
              <w:textAlignment w:val="center"/>
              <w:rPr>
                <w:rFonts w:hint="eastAsia" w:ascii="仿宋" w:hAnsi="仿宋" w:cs="仿宋"/>
                <w:color w:val="auto"/>
                <w:sz w:val="22"/>
              </w:rPr>
            </w:pPr>
          </w:p>
        </w:tc>
      </w:tr>
      <w:tr w14:paraId="0A283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377" w:type="pct"/>
            <w:vMerge w:val="restart"/>
            <w:tcBorders>
              <w:tl2br w:val="nil"/>
              <w:tr2bl w:val="nil"/>
            </w:tcBorders>
            <w:noWrap w:val="0"/>
            <w:vAlign w:val="center"/>
          </w:tcPr>
          <w:p w14:paraId="35F5D887">
            <w:pPr>
              <w:widowControl/>
              <w:jc w:val="center"/>
              <w:textAlignment w:val="center"/>
              <w:rPr>
                <w:rFonts w:hint="eastAsia" w:ascii="仿宋" w:hAnsi="仿宋" w:cs="仿宋"/>
                <w:color w:val="auto"/>
                <w:sz w:val="22"/>
              </w:rPr>
            </w:pPr>
            <w:r>
              <w:rPr>
                <w:rFonts w:hint="eastAsia" w:ascii="仿宋" w:hAnsi="仿宋" w:cs="仿宋"/>
                <w:color w:val="auto"/>
                <w:kern w:val="0"/>
                <w:sz w:val="22"/>
                <w:lang w:bidi="ar"/>
              </w:rPr>
              <w:t>2</w:t>
            </w:r>
          </w:p>
        </w:tc>
        <w:tc>
          <w:tcPr>
            <w:tcW w:w="1609" w:type="pct"/>
            <w:vMerge w:val="restart"/>
            <w:tcBorders>
              <w:tl2br w:val="nil"/>
              <w:tr2bl w:val="nil"/>
            </w:tcBorders>
            <w:noWrap w:val="0"/>
            <w:vAlign w:val="center"/>
          </w:tcPr>
          <w:p w14:paraId="7831CFF1">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运维分析管理模块</w:t>
            </w:r>
            <w:r>
              <w:rPr>
                <w:rFonts w:ascii="Arial" w:hAnsi="Arial" w:cs="Arial"/>
                <w:color w:val="auto"/>
                <w:kern w:val="0"/>
                <w:sz w:val="22"/>
                <w:lang w:bidi="ar"/>
              </w:rPr>
              <w:t xml:space="preserve"> </w:t>
            </w:r>
          </w:p>
        </w:tc>
        <w:tc>
          <w:tcPr>
            <w:tcW w:w="2378" w:type="pct"/>
            <w:tcBorders>
              <w:tl2br w:val="nil"/>
              <w:tr2bl w:val="nil"/>
            </w:tcBorders>
            <w:noWrap w:val="0"/>
            <w:vAlign w:val="center"/>
          </w:tcPr>
          <w:p w14:paraId="17278364">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设备指标监测</w:t>
            </w:r>
          </w:p>
        </w:tc>
        <w:tc>
          <w:tcPr>
            <w:tcW w:w="634" w:type="pct"/>
            <w:vMerge w:val="restart"/>
            <w:tcBorders>
              <w:tl2br w:val="nil"/>
              <w:tr2bl w:val="nil"/>
            </w:tcBorders>
            <w:noWrap w:val="0"/>
            <w:vAlign w:val="center"/>
          </w:tcPr>
          <w:p w14:paraId="0F1A1665">
            <w:pPr>
              <w:widowControl/>
              <w:jc w:val="center"/>
              <w:textAlignment w:val="center"/>
              <w:rPr>
                <w:rFonts w:hint="eastAsia" w:ascii="仿宋" w:hAnsi="仿宋" w:cs="仿宋"/>
                <w:color w:val="auto"/>
                <w:sz w:val="22"/>
              </w:rPr>
            </w:pPr>
            <w:r>
              <w:rPr>
                <w:rFonts w:hint="eastAsia" w:ascii="仿宋" w:hAnsi="仿宋" w:cs="仿宋"/>
                <w:color w:val="auto"/>
                <w:kern w:val="0"/>
                <w:sz w:val="22"/>
                <w:lang w:bidi="ar"/>
              </w:rPr>
              <w:t>人月</w:t>
            </w:r>
          </w:p>
        </w:tc>
      </w:tr>
      <w:tr w14:paraId="5D4EE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77" w:type="pct"/>
            <w:vMerge w:val="continue"/>
            <w:tcBorders>
              <w:tl2br w:val="nil"/>
              <w:tr2bl w:val="nil"/>
            </w:tcBorders>
            <w:noWrap w:val="0"/>
            <w:vAlign w:val="center"/>
          </w:tcPr>
          <w:p w14:paraId="6E50A103">
            <w:pPr>
              <w:jc w:val="center"/>
              <w:rPr>
                <w:rFonts w:hint="eastAsia" w:ascii="仿宋" w:hAnsi="仿宋" w:cs="仿宋"/>
                <w:color w:val="auto"/>
                <w:sz w:val="22"/>
              </w:rPr>
            </w:pPr>
          </w:p>
        </w:tc>
        <w:tc>
          <w:tcPr>
            <w:tcW w:w="1609" w:type="pct"/>
            <w:vMerge w:val="continue"/>
            <w:tcBorders>
              <w:tl2br w:val="nil"/>
              <w:tr2bl w:val="nil"/>
            </w:tcBorders>
            <w:noWrap w:val="0"/>
            <w:vAlign w:val="center"/>
          </w:tcPr>
          <w:p w14:paraId="7FFC1282">
            <w:pPr>
              <w:rPr>
                <w:rFonts w:hint="eastAsia" w:ascii="仿宋" w:hAnsi="仿宋" w:cs="仿宋"/>
                <w:color w:val="auto"/>
                <w:sz w:val="22"/>
              </w:rPr>
            </w:pPr>
          </w:p>
        </w:tc>
        <w:tc>
          <w:tcPr>
            <w:tcW w:w="2378" w:type="pct"/>
            <w:tcBorders>
              <w:tl2br w:val="nil"/>
              <w:tr2bl w:val="nil"/>
            </w:tcBorders>
            <w:noWrap w:val="0"/>
            <w:vAlign w:val="center"/>
          </w:tcPr>
          <w:p w14:paraId="40E6550F">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巡检管理</w:t>
            </w:r>
          </w:p>
        </w:tc>
        <w:tc>
          <w:tcPr>
            <w:tcW w:w="634" w:type="pct"/>
            <w:vMerge w:val="continue"/>
            <w:tcBorders>
              <w:tl2br w:val="nil"/>
              <w:tr2bl w:val="nil"/>
            </w:tcBorders>
            <w:noWrap w:val="0"/>
            <w:vAlign w:val="center"/>
          </w:tcPr>
          <w:p w14:paraId="6FEE53BE">
            <w:pPr>
              <w:widowControl/>
              <w:jc w:val="center"/>
              <w:textAlignment w:val="center"/>
              <w:rPr>
                <w:rFonts w:hint="eastAsia" w:ascii="仿宋" w:hAnsi="仿宋" w:cs="仿宋"/>
                <w:color w:val="auto"/>
                <w:sz w:val="22"/>
              </w:rPr>
            </w:pPr>
          </w:p>
        </w:tc>
      </w:tr>
      <w:tr w14:paraId="0DB93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77" w:type="pct"/>
            <w:vMerge w:val="continue"/>
            <w:tcBorders>
              <w:tl2br w:val="nil"/>
              <w:tr2bl w:val="nil"/>
            </w:tcBorders>
            <w:noWrap w:val="0"/>
            <w:vAlign w:val="center"/>
          </w:tcPr>
          <w:p w14:paraId="6B84D5EF">
            <w:pPr>
              <w:jc w:val="center"/>
              <w:rPr>
                <w:rFonts w:hint="eastAsia" w:ascii="仿宋" w:hAnsi="仿宋" w:cs="仿宋"/>
                <w:color w:val="auto"/>
                <w:sz w:val="22"/>
              </w:rPr>
            </w:pPr>
          </w:p>
        </w:tc>
        <w:tc>
          <w:tcPr>
            <w:tcW w:w="1609" w:type="pct"/>
            <w:vMerge w:val="continue"/>
            <w:tcBorders>
              <w:tl2br w:val="nil"/>
              <w:tr2bl w:val="nil"/>
            </w:tcBorders>
            <w:noWrap w:val="0"/>
            <w:vAlign w:val="center"/>
          </w:tcPr>
          <w:p w14:paraId="1A569972">
            <w:pPr>
              <w:rPr>
                <w:rFonts w:hint="eastAsia" w:ascii="仿宋" w:hAnsi="仿宋" w:cs="仿宋"/>
                <w:color w:val="auto"/>
                <w:sz w:val="22"/>
              </w:rPr>
            </w:pPr>
          </w:p>
        </w:tc>
        <w:tc>
          <w:tcPr>
            <w:tcW w:w="2378" w:type="pct"/>
            <w:tcBorders>
              <w:tl2br w:val="nil"/>
              <w:tr2bl w:val="nil"/>
            </w:tcBorders>
            <w:noWrap w:val="0"/>
            <w:vAlign w:val="center"/>
          </w:tcPr>
          <w:p w14:paraId="1AC3D514">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告警管理</w:t>
            </w:r>
          </w:p>
        </w:tc>
        <w:tc>
          <w:tcPr>
            <w:tcW w:w="634" w:type="pct"/>
            <w:vMerge w:val="continue"/>
            <w:tcBorders>
              <w:tl2br w:val="nil"/>
              <w:tr2bl w:val="nil"/>
            </w:tcBorders>
            <w:noWrap w:val="0"/>
            <w:vAlign w:val="center"/>
          </w:tcPr>
          <w:p w14:paraId="66D77A7F">
            <w:pPr>
              <w:widowControl/>
              <w:jc w:val="center"/>
              <w:textAlignment w:val="center"/>
              <w:rPr>
                <w:rFonts w:hint="eastAsia" w:ascii="仿宋" w:hAnsi="仿宋" w:cs="仿宋"/>
                <w:color w:val="auto"/>
                <w:sz w:val="22"/>
              </w:rPr>
            </w:pPr>
          </w:p>
        </w:tc>
      </w:tr>
      <w:tr w14:paraId="14817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77" w:type="pct"/>
            <w:vMerge w:val="continue"/>
            <w:tcBorders>
              <w:tl2br w:val="nil"/>
              <w:tr2bl w:val="nil"/>
            </w:tcBorders>
            <w:noWrap w:val="0"/>
            <w:vAlign w:val="center"/>
          </w:tcPr>
          <w:p w14:paraId="74B59A67">
            <w:pPr>
              <w:jc w:val="center"/>
              <w:rPr>
                <w:rFonts w:hint="eastAsia" w:ascii="仿宋" w:hAnsi="仿宋" w:cs="仿宋"/>
                <w:color w:val="auto"/>
                <w:sz w:val="22"/>
              </w:rPr>
            </w:pPr>
          </w:p>
        </w:tc>
        <w:tc>
          <w:tcPr>
            <w:tcW w:w="1609" w:type="pct"/>
            <w:vMerge w:val="continue"/>
            <w:tcBorders>
              <w:tl2br w:val="nil"/>
              <w:tr2bl w:val="nil"/>
            </w:tcBorders>
            <w:noWrap w:val="0"/>
            <w:vAlign w:val="center"/>
          </w:tcPr>
          <w:p w14:paraId="0C4098DE">
            <w:pPr>
              <w:rPr>
                <w:rFonts w:hint="eastAsia" w:ascii="仿宋" w:hAnsi="仿宋" w:cs="仿宋"/>
                <w:color w:val="auto"/>
                <w:sz w:val="22"/>
              </w:rPr>
            </w:pPr>
          </w:p>
        </w:tc>
        <w:tc>
          <w:tcPr>
            <w:tcW w:w="2378" w:type="pct"/>
            <w:tcBorders>
              <w:tl2br w:val="nil"/>
              <w:tr2bl w:val="nil"/>
            </w:tcBorders>
            <w:noWrap w:val="0"/>
            <w:vAlign w:val="center"/>
          </w:tcPr>
          <w:p w14:paraId="60EA4291">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统计报表</w:t>
            </w:r>
          </w:p>
        </w:tc>
        <w:tc>
          <w:tcPr>
            <w:tcW w:w="634" w:type="pct"/>
            <w:vMerge w:val="continue"/>
            <w:tcBorders>
              <w:tl2br w:val="nil"/>
              <w:tr2bl w:val="nil"/>
            </w:tcBorders>
            <w:noWrap w:val="0"/>
            <w:vAlign w:val="center"/>
          </w:tcPr>
          <w:p w14:paraId="30ABCAEA">
            <w:pPr>
              <w:widowControl/>
              <w:jc w:val="center"/>
              <w:textAlignment w:val="center"/>
              <w:rPr>
                <w:rFonts w:hint="eastAsia" w:ascii="仿宋" w:hAnsi="仿宋" w:cs="仿宋"/>
                <w:color w:val="auto"/>
                <w:sz w:val="22"/>
              </w:rPr>
            </w:pPr>
          </w:p>
        </w:tc>
      </w:tr>
      <w:tr w14:paraId="27DB8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77" w:type="pct"/>
            <w:vMerge w:val="continue"/>
            <w:tcBorders>
              <w:tl2br w:val="nil"/>
              <w:tr2bl w:val="nil"/>
            </w:tcBorders>
            <w:noWrap w:val="0"/>
            <w:vAlign w:val="center"/>
          </w:tcPr>
          <w:p w14:paraId="412ECB92">
            <w:pPr>
              <w:jc w:val="center"/>
              <w:rPr>
                <w:rFonts w:hint="eastAsia" w:ascii="仿宋" w:hAnsi="仿宋" w:cs="仿宋"/>
                <w:color w:val="auto"/>
                <w:sz w:val="22"/>
              </w:rPr>
            </w:pPr>
          </w:p>
        </w:tc>
        <w:tc>
          <w:tcPr>
            <w:tcW w:w="1609" w:type="pct"/>
            <w:vMerge w:val="continue"/>
            <w:tcBorders>
              <w:tl2br w:val="nil"/>
              <w:tr2bl w:val="nil"/>
            </w:tcBorders>
            <w:noWrap w:val="0"/>
            <w:vAlign w:val="center"/>
          </w:tcPr>
          <w:p w14:paraId="3E163942">
            <w:pPr>
              <w:rPr>
                <w:rFonts w:hint="eastAsia" w:ascii="仿宋" w:hAnsi="仿宋" w:cs="仿宋"/>
                <w:color w:val="auto"/>
                <w:sz w:val="22"/>
              </w:rPr>
            </w:pPr>
          </w:p>
        </w:tc>
        <w:tc>
          <w:tcPr>
            <w:tcW w:w="2378" w:type="pct"/>
            <w:tcBorders>
              <w:tl2br w:val="nil"/>
              <w:tr2bl w:val="nil"/>
            </w:tcBorders>
            <w:noWrap w:val="0"/>
            <w:vAlign w:val="center"/>
          </w:tcPr>
          <w:p w14:paraId="5C4DE064">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专家知识库</w:t>
            </w:r>
          </w:p>
        </w:tc>
        <w:tc>
          <w:tcPr>
            <w:tcW w:w="634" w:type="pct"/>
            <w:vMerge w:val="continue"/>
            <w:tcBorders>
              <w:tl2br w:val="nil"/>
              <w:tr2bl w:val="nil"/>
            </w:tcBorders>
            <w:noWrap w:val="0"/>
            <w:vAlign w:val="center"/>
          </w:tcPr>
          <w:p w14:paraId="3F0A85E6">
            <w:pPr>
              <w:widowControl/>
              <w:jc w:val="center"/>
              <w:textAlignment w:val="center"/>
              <w:rPr>
                <w:rFonts w:hint="eastAsia" w:ascii="仿宋" w:hAnsi="仿宋" w:cs="仿宋"/>
                <w:color w:val="auto"/>
                <w:sz w:val="22"/>
              </w:rPr>
            </w:pPr>
          </w:p>
        </w:tc>
      </w:tr>
      <w:tr w14:paraId="6F190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77" w:type="pct"/>
            <w:vMerge w:val="continue"/>
            <w:tcBorders>
              <w:tl2br w:val="nil"/>
              <w:tr2bl w:val="nil"/>
            </w:tcBorders>
            <w:noWrap w:val="0"/>
            <w:vAlign w:val="center"/>
          </w:tcPr>
          <w:p w14:paraId="68D8292E">
            <w:pPr>
              <w:jc w:val="center"/>
              <w:rPr>
                <w:rFonts w:hint="eastAsia" w:ascii="仿宋" w:hAnsi="仿宋" w:cs="仿宋"/>
                <w:color w:val="auto"/>
                <w:sz w:val="22"/>
              </w:rPr>
            </w:pPr>
          </w:p>
        </w:tc>
        <w:tc>
          <w:tcPr>
            <w:tcW w:w="1609" w:type="pct"/>
            <w:vMerge w:val="continue"/>
            <w:tcBorders>
              <w:tl2br w:val="nil"/>
              <w:tr2bl w:val="nil"/>
            </w:tcBorders>
            <w:noWrap w:val="0"/>
            <w:vAlign w:val="center"/>
          </w:tcPr>
          <w:p w14:paraId="5CBE7E2E">
            <w:pPr>
              <w:rPr>
                <w:rFonts w:hint="eastAsia" w:ascii="仿宋" w:hAnsi="仿宋" w:cs="仿宋"/>
                <w:color w:val="auto"/>
                <w:sz w:val="22"/>
              </w:rPr>
            </w:pPr>
          </w:p>
        </w:tc>
        <w:tc>
          <w:tcPr>
            <w:tcW w:w="2378" w:type="pct"/>
            <w:tcBorders>
              <w:tl2br w:val="nil"/>
              <w:tr2bl w:val="nil"/>
            </w:tcBorders>
            <w:noWrap w:val="0"/>
            <w:vAlign w:val="center"/>
          </w:tcPr>
          <w:p w14:paraId="0A099299">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运维数据分析</w:t>
            </w:r>
          </w:p>
        </w:tc>
        <w:tc>
          <w:tcPr>
            <w:tcW w:w="634" w:type="pct"/>
            <w:vMerge w:val="continue"/>
            <w:tcBorders>
              <w:tl2br w:val="nil"/>
              <w:tr2bl w:val="nil"/>
            </w:tcBorders>
            <w:noWrap w:val="0"/>
            <w:vAlign w:val="center"/>
          </w:tcPr>
          <w:p w14:paraId="3DA516A5">
            <w:pPr>
              <w:widowControl/>
              <w:jc w:val="center"/>
              <w:textAlignment w:val="center"/>
              <w:rPr>
                <w:rFonts w:hint="eastAsia" w:ascii="仿宋" w:hAnsi="仿宋" w:cs="仿宋"/>
                <w:color w:val="auto"/>
                <w:sz w:val="22"/>
              </w:rPr>
            </w:pPr>
          </w:p>
        </w:tc>
      </w:tr>
      <w:tr w14:paraId="30E91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77" w:type="pct"/>
            <w:vMerge w:val="restart"/>
            <w:tcBorders>
              <w:tl2br w:val="nil"/>
              <w:tr2bl w:val="nil"/>
            </w:tcBorders>
            <w:noWrap w:val="0"/>
            <w:vAlign w:val="center"/>
          </w:tcPr>
          <w:p w14:paraId="21F4E2D8">
            <w:pPr>
              <w:widowControl/>
              <w:jc w:val="center"/>
              <w:textAlignment w:val="center"/>
              <w:rPr>
                <w:rFonts w:hint="eastAsia" w:ascii="仿宋" w:hAnsi="仿宋" w:cs="仿宋"/>
                <w:color w:val="auto"/>
                <w:sz w:val="22"/>
              </w:rPr>
            </w:pPr>
            <w:r>
              <w:rPr>
                <w:rFonts w:hint="eastAsia" w:ascii="仿宋" w:hAnsi="仿宋" w:cs="仿宋"/>
                <w:color w:val="auto"/>
                <w:kern w:val="0"/>
                <w:sz w:val="22"/>
                <w:lang w:bidi="ar"/>
              </w:rPr>
              <w:t>3</w:t>
            </w:r>
          </w:p>
        </w:tc>
        <w:tc>
          <w:tcPr>
            <w:tcW w:w="1609" w:type="pct"/>
            <w:vMerge w:val="restart"/>
            <w:tcBorders>
              <w:tl2br w:val="nil"/>
              <w:tr2bl w:val="nil"/>
            </w:tcBorders>
            <w:noWrap w:val="0"/>
            <w:vAlign w:val="center"/>
          </w:tcPr>
          <w:p w14:paraId="59F13E09">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可视化处理模块</w:t>
            </w:r>
          </w:p>
        </w:tc>
        <w:tc>
          <w:tcPr>
            <w:tcW w:w="2378" w:type="pct"/>
            <w:tcBorders>
              <w:tl2br w:val="nil"/>
              <w:tr2bl w:val="nil"/>
            </w:tcBorders>
            <w:noWrap w:val="0"/>
            <w:vAlign w:val="center"/>
          </w:tcPr>
          <w:p w14:paraId="06FD3F23">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业务数据可视化</w:t>
            </w:r>
          </w:p>
        </w:tc>
        <w:tc>
          <w:tcPr>
            <w:tcW w:w="634" w:type="pct"/>
            <w:vMerge w:val="restart"/>
            <w:tcBorders>
              <w:tl2br w:val="nil"/>
              <w:tr2bl w:val="nil"/>
            </w:tcBorders>
            <w:noWrap w:val="0"/>
            <w:vAlign w:val="center"/>
          </w:tcPr>
          <w:p w14:paraId="14F9AA82">
            <w:pPr>
              <w:widowControl/>
              <w:jc w:val="center"/>
              <w:textAlignment w:val="center"/>
              <w:rPr>
                <w:rFonts w:hint="eastAsia" w:ascii="仿宋" w:hAnsi="仿宋" w:cs="仿宋"/>
                <w:color w:val="auto"/>
                <w:sz w:val="22"/>
              </w:rPr>
            </w:pPr>
            <w:r>
              <w:rPr>
                <w:rFonts w:hint="eastAsia" w:ascii="仿宋" w:hAnsi="仿宋" w:cs="仿宋"/>
                <w:color w:val="auto"/>
                <w:kern w:val="0"/>
                <w:sz w:val="22"/>
                <w:lang w:bidi="ar"/>
              </w:rPr>
              <w:t>人月</w:t>
            </w:r>
          </w:p>
        </w:tc>
      </w:tr>
      <w:tr w14:paraId="01B06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77" w:type="pct"/>
            <w:vMerge w:val="continue"/>
            <w:tcBorders>
              <w:tl2br w:val="nil"/>
              <w:tr2bl w:val="nil"/>
            </w:tcBorders>
            <w:noWrap w:val="0"/>
            <w:vAlign w:val="center"/>
          </w:tcPr>
          <w:p w14:paraId="1C0DC40F">
            <w:pPr>
              <w:jc w:val="center"/>
              <w:rPr>
                <w:rFonts w:hint="eastAsia" w:ascii="仿宋" w:hAnsi="仿宋" w:cs="仿宋"/>
                <w:color w:val="auto"/>
                <w:sz w:val="22"/>
              </w:rPr>
            </w:pPr>
          </w:p>
        </w:tc>
        <w:tc>
          <w:tcPr>
            <w:tcW w:w="1609" w:type="pct"/>
            <w:vMerge w:val="continue"/>
            <w:tcBorders>
              <w:tl2br w:val="nil"/>
              <w:tr2bl w:val="nil"/>
            </w:tcBorders>
            <w:noWrap w:val="0"/>
            <w:vAlign w:val="center"/>
          </w:tcPr>
          <w:p w14:paraId="46DC6475">
            <w:pPr>
              <w:rPr>
                <w:rFonts w:hint="eastAsia" w:ascii="仿宋" w:hAnsi="仿宋" w:cs="仿宋"/>
                <w:color w:val="auto"/>
                <w:sz w:val="22"/>
              </w:rPr>
            </w:pPr>
          </w:p>
        </w:tc>
        <w:tc>
          <w:tcPr>
            <w:tcW w:w="2378" w:type="pct"/>
            <w:tcBorders>
              <w:tl2br w:val="nil"/>
              <w:tr2bl w:val="nil"/>
            </w:tcBorders>
            <w:noWrap w:val="0"/>
            <w:vAlign w:val="center"/>
          </w:tcPr>
          <w:p w14:paraId="15330D5F">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逻辑可视化</w:t>
            </w:r>
          </w:p>
        </w:tc>
        <w:tc>
          <w:tcPr>
            <w:tcW w:w="634" w:type="pct"/>
            <w:vMerge w:val="continue"/>
            <w:tcBorders>
              <w:tl2br w:val="nil"/>
              <w:tr2bl w:val="nil"/>
            </w:tcBorders>
            <w:noWrap w:val="0"/>
            <w:vAlign w:val="center"/>
          </w:tcPr>
          <w:p w14:paraId="5983C3D9">
            <w:pPr>
              <w:widowControl/>
              <w:jc w:val="center"/>
              <w:textAlignment w:val="center"/>
              <w:rPr>
                <w:rFonts w:hint="eastAsia" w:ascii="仿宋" w:hAnsi="仿宋" w:cs="仿宋"/>
                <w:color w:val="auto"/>
                <w:sz w:val="22"/>
              </w:rPr>
            </w:pPr>
          </w:p>
        </w:tc>
      </w:tr>
      <w:tr w14:paraId="5C39D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77" w:type="pct"/>
            <w:vMerge w:val="restart"/>
            <w:tcBorders>
              <w:tl2br w:val="nil"/>
              <w:tr2bl w:val="nil"/>
            </w:tcBorders>
            <w:noWrap w:val="0"/>
            <w:vAlign w:val="center"/>
          </w:tcPr>
          <w:p w14:paraId="79614EC4">
            <w:pPr>
              <w:widowControl/>
              <w:jc w:val="center"/>
              <w:textAlignment w:val="center"/>
              <w:rPr>
                <w:rFonts w:hint="eastAsia" w:ascii="仿宋" w:hAnsi="仿宋" w:cs="仿宋"/>
                <w:color w:val="auto"/>
                <w:sz w:val="22"/>
              </w:rPr>
            </w:pPr>
            <w:r>
              <w:rPr>
                <w:rFonts w:hint="eastAsia" w:ascii="仿宋" w:hAnsi="仿宋" w:cs="仿宋"/>
                <w:color w:val="auto"/>
                <w:kern w:val="0"/>
                <w:sz w:val="22"/>
                <w:lang w:bidi="ar"/>
              </w:rPr>
              <w:t>4</w:t>
            </w:r>
          </w:p>
        </w:tc>
        <w:tc>
          <w:tcPr>
            <w:tcW w:w="1609" w:type="pct"/>
            <w:vMerge w:val="restart"/>
            <w:tcBorders>
              <w:tl2br w:val="nil"/>
              <w:tr2bl w:val="nil"/>
            </w:tcBorders>
            <w:noWrap w:val="0"/>
            <w:vAlign w:val="center"/>
          </w:tcPr>
          <w:p w14:paraId="65E1A6F3">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数据接口子系统</w:t>
            </w:r>
          </w:p>
        </w:tc>
        <w:tc>
          <w:tcPr>
            <w:tcW w:w="2378" w:type="pct"/>
            <w:tcBorders>
              <w:tl2br w:val="nil"/>
              <w:tr2bl w:val="nil"/>
            </w:tcBorders>
            <w:noWrap w:val="0"/>
            <w:vAlign w:val="center"/>
          </w:tcPr>
          <w:p w14:paraId="74DBA956">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其他已建系统数据采集接口</w:t>
            </w:r>
          </w:p>
        </w:tc>
        <w:tc>
          <w:tcPr>
            <w:tcW w:w="634" w:type="pct"/>
            <w:vMerge w:val="restart"/>
            <w:tcBorders>
              <w:tl2br w:val="nil"/>
              <w:tr2bl w:val="nil"/>
            </w:tcBorders>
            <w:noWrap w:val="0"/>
            <w:vAlign w:val="center"/>
          </w:tcPr>
          <w:p w14:paraId="5A1E35E1">
            <w:pPr>
              <w:widowControl/>
              <w:jc w:val="center"/>
              <w:textAlignment w:val="center"/>
              <w:rPr>
                <w:rFonts w:hint="eastAsia" w:ascii="仿宋" w:hAnsi="仿宋" w:cs="仿宋"/>
                <w:color w:val="auto"/>
                <w:sz w:val="22"/>
              </w:rPr>
            </w:pPr>
            <w:r>
              <w:rPr>
                <w:rFonts w:hint="eastAsia" w:ascii="仿宋" w:hAnsi="仿宋" w:cs="仿宋"/>
                <w:color w:val="auto"/>
                <w:kern w:val="0"/>
                <w:sz w:val="22"/>
                <w:lang w:bidi="ar"/>
              </w:rPr>
              <w:t>人月</w:t>
            </w:r>
          </w:p>
        </w:tc>
      </w:tr>
      <w:tr w14:paraId="6D68C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77" w:type="pct"/>
            <w:vMerge w:val="continue"/>
            <w:tcBorders>
              <w:tl2br w:val="nil"/>
              <w:tr2bl w:val="nil"/>
            </w:tcBorders>
            <w:noWrap w:val="0"/>
            <w:vAlign w:val="center"/>
          </w:tcPr>
          <w:p w14:paraId="3C3F8118">
            <w:pPr>
              <w:jc w:val="center"/>
              <w:rPr>
                <w:rFonts w:hint="eastAsia" w:ascii="仿宋" w:hAnsi="仿宋" w:cs="仿宋"/>
                <w:color w:val="auto"/>
                <w:sz w:val="22"/>
              </w:rPr>
            </w:pPr>
          </w:p>
        </w:tc>
        <w:tc>
          <w:tcPr>
            <w:tcW w:w="1609" w:type="pct"/>
            <w:vMerge w:val="continue"/>
            <w:tcBorders>
              <w:tl2br w:val="nil"/>
              <w:tr2bl w:val="nil"/>
            </w:tcBorders>
            <w:noWrap w:val="0"/>
            <w:vAlign w:val="center"/>
          </w:tcPr>
          <w:p w14:paraId="1DCFAB7C">
            <w:pPr>
              <w:rPr>
                <w:rFonts w:hint="eastAsia" w:ascii="仿宋" w:hAnsi="仿宋" w:cs="仿宋"/>
                <w:color w:val="auto"/>
                <w:sz w:val="22"/>
              </w:rPr>
            </w:pPr>
          </w:p>
        </w:tc>
        <w:tc>
          <w:tcPr>
            <w:tcW w:w="2378" w:type="pct"/>
            <w:tcBorders>
              <w:tl2br w:val="nil"/>
              <w:tr2bl w:val="nil"/>
            </w:tcBorders>
            <w:noWrap w:val="0"/>
            <w:vAlign w:val="center"/>
          </w:tcPr>
          <w:p w14:paraId="139D21AF">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数据信息汇聚管理</w:t>
            </w:r>
          </w:p>
        </w:tc>
        <w:tc>
          <w:tcPr>
            <w:tcW w:w="634" w:type="pct"/>
            <w:vMerge w:val="continue"/>
            <w:tcBorders>
              <w:tl2br w:val="nil"/>
              <w:tr2bl w:val="nil"/>
            </w:tcBorders>
            <w:noWrap w:val="0"/>
            <w:vAlign w:val="center"/>
          </w:tcPr>
          <w:p w14:paraId="725B3F16">
            <w:pPr>
              <w:widowControl/>
              <w:jc w:val="center"/>
              <w:textAlignment w:val="center"/>
              <w:rPr>
                <w:rFonts w:hint="eastAsia" w:ascii="仿宋" w:hAnsi="仿宋" w:cs="仿宋"/>
                <w:color w:val="auto"/>
                <w:sz w:val="22"/>
              </w:rPr>
            </w:pPr>
          </w:p>
        </w:tc>
      </w:tr>
      <w:tr w14:paraId="3A700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377" w:type="pct"/>
            <w:tcBorders>
              <w:tl2br w:val="nil"/>
              <w:tr2bl w:val="nil"/>
            </w:tcBorders>
            <w:noWrap w:val="0"/>
            <w:vAlign w:val="center"/>
          </w:tcPr>
          <w:p w14:paraId="61B2C110">
            <w:pPr>
              <w:widowControl/>
              <w:jc w:val="center"/>
              <w:textAlignment w:val="center"/>
              <w:rPr>
                <w:rFonts w:hint="eastAsia" w:ascii="仿宋" w:hAnsi="仿宋" w:cs="仿宋"/>
                <w:color w:val="auto"/>
                <w:sz w:val="21"/>
                <w:szCs w:val="21"/>
              </w:rPr>
            </w:pPr>
            <w:r>
              <w:rPr>
                <w:rFonts w:hint="eastAsia" w:ascii="仿宋" w:hAnsi="仿宋" w:cs="仿宋"/>
                <w:color w:val="auto"/>
                <w:kern w:val="0"/>
                <w:sz w:val="21"/>
                <w:szCs w:val="21"/>
                <w:lang w:bidi="ar"/>
              </w:rPr>
              <w:t>二</w:t>
            </w:r>
          </w:p>
        </w:tc>
        <w:tc>
          <w:tcPr>
            <w:tcW w:w="4622" w:type="pct"/>
            <w:gridSpan w:val="3"/>
            <w:tcBorders>
              <w:tl2br w:val="nil"/>
              <w:tr2bl w:val="nil"/>
            </w:tcBorders>
            <w:noWrap w:val="0"/>
            <w:vAlign w:val="center"/>
          </w:tcPr>
          <w:p w14:paraId="46ABB377">
            <w:pPr>
              <w:widowControl/>
              <w:jc w:val="both"/>
              <w:textAlignment w:val="center"/>
              <w:rPr>
                <w:rFonts w:hint="eastAsia" w:ascii="仿宋" w:hAnsi="仿宋" w:cs="仿宋"/>
                <w:color w:val="auto"/>
                <w:kern w:val="0"/>
                <w:sz w:val="21"/>
                <w:szCs w:val="21"/>
                <w:lang w:bidi="ar"/>
              </w:rPr>
            </w:pPr>
            <w:r>
              <w:rPr>
                <w:rFonts w:hint="eastAsia" w:ascii="仿宋" w:hAnsi="仿宋" w:cs="仿宋"/>
                <w:color w:val="auto"/>
                <w:kern w:val="0"/>
                <w:sz w:val="21"/>
                <w:szCs w:val="21"/>
                <w:lang w:bidi="ar"/>
              </w:rPr>
              <w:t>智慧安播应急平台</w:t>
            </w:r>
            <w:r>
              <w:rPr>
                <w:rFonts w:hint="eastAsia" w:ascii="仿宋" w:hAnsi="仿宋" w:cs="仿宋"/>
                <w:color w:val="auto"/>
                <w:kern w:val="0"/>
                <w:sz w:val="21"/>
                <w:szCs w:val="21"/>
                <w:lang w:val="en-US" w:eastAsia="zh-CN" w:bidi="ar"/>
              </w:rPr>
              <w:t xml:space="preserve"> 1套</w:t>
            </w:r>
          </w:p>
        </w:tc>
      </w:tr>
      <w:tr w14:paraId="2AD03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77" w:type="pct"/>
            <w:vMerge w:val="restart"/>
            <w:tcBorders>
              <w:tl2br w:val="nil"/>
              <w:tr2bl w:val="nil"/>
            </w:tcBorders>
            <w:noWrap w:val="0"/>
            <w:vAlign w:val="center"/>
          </w:tcPr>
          <w:p w14:paraId="159C5D85">
            <w:pPr>
              <w:widowControl/>
              <w:jc w:val="center"/>
              <w:textAlignment w:val="center"/>
              <w:rPr>
                <w:rFonts w:hint="eastAsia" w:ascii="仿宋" w:hAnsi="仿宋" w:eastAsia="宋体" w:cs="仿宋"/>
                <w:color w:val="auto"/>
                <w:sz w:val="21"/>
                <w:szCs w:val="21"/>
                <w:lang w:val="en-US" w:eastAsia="zh-CN"/>
              </w:rPr>
            </w:pPr>
            <w:r>
              <w:rPr>
                <w:rFonts w:hint="eastAsia" w:ascii="仿宋" w:hAnsi="仿宋" w:cs="仿宋"/>
                <w:color w:val="auto"/>
                <w:kern w:val="0"/>
                <w:sz w:val="21"/>
                <w:szCs w:val="21"/>
                <w:lang w:val="en-US" w:eastAsia="zh-CN" w:bidi="ar"/>
              </w:rPr>
              <w:t>1</w:t>
            </w:r>
          </w:p>
        </w:tc>
        <w:tc>
          <w:tcPr>
            <w:tcW w:w="1609" w:type="pct"/>
            <w:vMerge w:val="restart"/>
            <w:tcBorders>
              <w:tl2br w:val="nil"/>
              <w:tr2bl w:val="nil"/>
            </w:tcBorders>
            <w:noWrap w:val="0"/>
            <w:vAlign w:val="center"/>
          </w:tcPr>
          <w:p w14:paraId="17B3D8E6">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设备管理</w:t>
            </w:r>
          </w:p>
        </w:tc>
        <w:tc>
          <w:tcPr>
            <w:tcW w:w="2378" w:type="pct"/>
            <w:tcBorders>
              <w:tl2br w:val="nil"/>
              <w:tr2bl w:val="nil"/>
            </w:tcBorders>
            <w:noWrap w:val="0"/>
            <w:vAlign w:val="center"/>
          </w:tcPr>
          <w:p w14:paraId="691D68CF">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机房管理</w:t>
            </w:r>
          </w:p>
        </w:tc>
        <w:tc>
          <w:tcPr>
            <w:tcW w:w="634" w:type="pct"/>
            <w:vMerge w:val="restart"/>
            <w:tcBorders>
              <w:tl2br w:val="nil"/>
              <w:tr2bl w:val="nil"/>
            </w:tcBorders>
            <w:noWrap w:val="0"/>
            <w:vAlign w:val="center"/>
          </w:tcPr>
          <w:p w14:paraId="4FEC2A03">
            <w:pPr>
              <w:widowControl/>
              <w:jc w:val="center"/>
              <w:textAlignment w:val="center"/>
              <w:rPr>
                <w:rFonts w:hint="eastAsia" w:ascii="仿宋" w:hAnsi="仿宋" w:cs="仿宋"/>
                <w:color w:val="auto"/>
                <w:sz w:val="21"/>
                <w:szCs w:val="21"/>
              </w:rPr>
            </w:pPr>
            <w:r>
              <w:rPr>
                <w:rFonts w:hint="eastAsia" w:ascii="仿宋" w:hAnsi="仿宋" w:cs="仿宋"/>
                <w:color w:val="auto"/>
                <w:kern w:val="0"/>
                <w:sz w:val="22"/>
                <w:lang w:bidi="ar"/>
              </w:rPr>
              <w:t>人月</w:t>
            </w:r>
          </w:p>
        </w:tc>
      </w:tr>
      <w:tr w14:paraId="0785F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77" w:type="pct"/>
            <w:vMerge w:val="continue"/>
            <w:tcBorders>
              <w:tl2br w:val="nil"/>
              <w:tr2bl w:val="nil"/>
            </w:tcBorders>
            <w:noWrap w:val="0"/>
            <w:vAlign w:val="center"/>
          </w:tcPr>
          <w:p w14:paraId="74B63319">
            <w:pPr>
              <w:jc w:val="center"/>
              <w:rPr>
                <w:rFonts w:hint="eastAsia" w:ascii="仿宋" w:hAnsi="仿宋" w:cs="仿宋"/>
                <w:color w:val="auto"/>
                <w:sz w:val="21"/>
                <w:szCs w:val="21"/>
              </w:rPr>
            </w:pPr>
          </w:p>
        </w:tc>
        <w:tc>
          <w:tcPr>
            <w:tcW w:w="1609" w:type="pct"/>
            <w:vMerge w:val="continue"/>
            <w:tcBorders>
              <w:tl2br w:val="nil"/>
              <w:tr2bl w:val="nil"/>
            </w:tcBorders>
            <w:noWrap w:val="0"/>
            <w:vAlign w:val="center"/>
          </w:tcPr>
          <w:p w14:paraId="1083232D">
            <w:pPr>
              <w:rPr>
                <w:rFonts w:hint="eastAsia" w:ascii="仿宋" w:hAnsi="仿宋" w:cs="仿宋"/>
                <w:color w:val="auto"/>
                <w:sz w:val="21"/>
                <w:szCs w:val="21"/>
              </w:rPr>
            </w:pPr>
          </w:p>
        </w:tc>
        <w:tc>
          <w:tcPr>
            <w:tcW w:w="2378" w:type="pct"/>
            <w:tcBorders>
              <w:tl2br w:val="nil"/>
              <w:tr2bl w:val="nil"/>
            </w:tcBorders>
            <w:noWrap w:val="0"/>
            <w:vAlign w:val="center"/>
          </w:tcPr>
          <w:p w14:paraId="3BC463E4">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设备管理</w:t>
            </w:r>
          </w:p>
        </w:tc>
        <w:tc>
          <w:tcPr>
            <w:tcW w:w="634" w:type="pct"/>
            <w:vMerge w:val="continue"/>
            <w:tcBorders>
              <w:tl2br w:val="nil"/>
              <w:tr2bl w:val="nil"/>
            </w:tcBorders>
            <w:noWrap w:val="0"/>
            <w:vAlign w:val="center"/>
          </w:tcPr>
          <w:p w14:paraId="4C49EA72">
            <w:pPr>
              <w:widowControl/>
              <w:jc w:val="center"/>
              <w:textAlignment w:val="center"/>
              <w:rPr>
                <w:rFonts w:hint="eastAsia" w:ascii="仿宋" w:hAnsi="仿宋" w:cs="仿宋"/>
                <w:color w:val="auto"/>
                <w:sz w:val="21"/>
                <w:szCs w:val="21"/>
              </w:rPr>
            </w:pPr>
          </w:p>
        </w:tc>
      </w:tr>
      <w:tr w14:paraId="7DC16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77" w:type="pct"/>
            <w:vMerge w:val="continue"/>
            <w:tcBorders>
              <w:tl2br w:val="nil"/>
              <w:tr2bl w:val="nil"/>
            </w:tcBorders>
            <w:noWrap w:val="0"/>
            <w:vAlign w:val="center"/>
          </w:tcPr>
          <w:p w14:paraId="69C10306">
            <w:pPr>
              <w:jc w:val="center"/>
              <w:rPr>
                <w:rFonts w:hint="eastAsia" w:ascii="仿宋" w:hAnsi="仿宋" w:cs="仿宋"/>
                <w:color w:val="auto"/>
                <w:sz w:val="21"/>
                <w:szCs w:val="21"/>
              </w:rPr>
            </w:pPr>
          </w:p>
        </w:tc>
        <w:tc>
          <w:tcPr>
            <w:tcW w:w="1609" w:type="pct"/>
            <w:vMerge w:val="continue"/>
            <w:tcBorders>
              <w:tl2br w:val="nil"/>
              <w:tr2bl w:val="nil"/>
            </w:tcBorders>
            <w:noWrap w:val="0"/>
            <w:vAlign w:val="center"/>
          </w:tcPr>
          <w:p w14:paraId="4EF8C751">
            <w:pPr>
              <w:rPr>
                <w:rFonts w:hint="eastAsia" w:ascii="仿宋" w:hAnsi="仿宋" w:cs="仿宋"/>
                <w:color w:val="auto"/>
                <w:sz w:val="21"/>
                <w:szCs w:val="21"/>
              </w:rPr>
            </w:pPr>
          </w:p>
        </w:tc>
        <w:tc>
          <w:tcPr>
            <w:tcW w:w="2378" w:type="pct"/>
            <w:tcBorders>
              <w:tl2br w:val="nil"/>
              <w:tr2bl w:val="nil"/>
            </w:tcBorders>
            <w:noWrap w:val="0"/>
            <w:vAlign w:val="center"/>
          </w:tcPr>
          <w:p w14:paraId="779DC52F">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设备指标</w:t>
            </w:r>
          </w:p>
        </w:tc>
        <w:tc>
          <w:tcPr>
            <w:tcW w:w="634" w:type="pct"/>
            <w:vMerge w:val="continue"/>
            <w:tcBorders>
              <w:tl2br w:val="nil"/>
              <w:tr2bl w:val="nil"/>
            </w:tcBorders>
            <w:noWrap w:val="0"/>
            <w:vAlign w:val="center"/>
          </w:tcPr>
          <w:p w14:paraId="42C9A563">
            <w:pPr>
              <w:widowControl/>
              <w:jc w:val="center"/>
              <w:textAlignment w:val="center"/>
              <w:rPr>
                <w:rFonts w:hint="eastAsia" w:ascii="仿宋" w:hAnsi="仿宋" w:cs="仿宋"/>
                <w:color w:val="auto"/>
                <w:sz w:val="21"/>
                <w:szCs w:val="21"/>
              </w:rPr>
            </w:pPr>
          </w:p>
        </w:tc>
      </w:tr>
      <w:tr w14:paraId="49CB9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77" w:type="pct"/>
            <w:vMerge w:val="continue"/>
            <w:tcBorders>
              <w:tl2br w:val="nil"/>
              <w:tr2bl w:val="nil"/>
            </w:tcBorders>
            <w:noWrap w:val="0"/>
            <w:vAlign w:val="center"/>
          </w:tcPr>
          <w:p w14:paraId="39219EF2">
            <w:pPr>
              <w:jc w:val="center"/>
              <w:rPr>
                <w:rFonts w:hint="eastAsia" w:ascii="仿宋" w:hAnsi="仿宋" w:cs="仿宋"/>
                <w:color w:val="auto"/>
                <w:sz w:val="21"/>
                <w:szCs w:val="21"/>
              </w:rPr>
            </w:pPr>
          </w:p>
        </w:tc>
        <w:tc>
          <w:tcPr>
            <w:tcW w:w="1609" w:type="pct"/>
            <w:vMerge w:val="continue"/>
            <w:tcBorders>
              <w:tl2br w:val="nil"/>
              <w:tr2bl w:val="nil"/>
            </w:tcBorders>
            <w:noWrap w:val="0"/>
            <w:vAlign w:val="center"/>
          </w:tcPr>
          <w:p w14:paraId="5B11362B">
            <w:pPr>
              <w:rPr>
                <w:rFonts w:hint="eastAsia" w:ascii="仿宋" w:hAnsi="仿宋" w:cs="仿宋"/>
                <w:color w:val="auto"/>
                <w:sz w:val="21"/>
                <w:szCs w:val="21"/>
              </w:rPr>
            </w:pPr>
          </w:p>
        </w:tc>
        <w:tc>
          <w:tcPr>
            <w:tcW w:w="2378" w:type="pct"/>
            <w:tcBorders>
              <w:tl2br w:val="nil"/>
              <w:tr2bl w:val="nil"/>
            </w:tcBorders>
            <w:noWrap w:val="0"/>
            <w:vAlign w:val="center"/>
          </w:tcPr>
          <w:p w14:paraId="7050A1D6">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通道管理</w:t>
            </w:r>
          </w:p>
        </w:tc>
        <w:tc>
          <w:tcPr>
            <w:tcW w:w="634" w:type="pct"/>
            <w:vMerge w:val="continue"/>
            <w:tcBorders>
              <w:tl2br w:val="nil"/>
              <w:tr2bl w:val="nil"/>
            </w:tcBorders>
            <w:noWrap w:val="0"/>
            <w:vAlign w:val="center"/>
          </w:tcPr>
          <w:p w14:paraId="5D71B528">
            <w:pPr>
              <w:widowControl/>
              <w:jc w:val="center"/>
              <w:textAlignment w:val="center"/>
              <w:rPr>
                <w:rFonts w:hint="eastAsia" w:ascii="仿宋" w:hAnsi="仿宋" w:cs="仿宋"/>
                <w:color w:val="auto"/>
                <w:sz w:val="21"/>
                <w:szCs w:val="21"/>
              </w:rPr>
            </w:pPr>
          </w:p>
        </w:tc>
      </w:tr>
      <w:tr w14:paraId="585BD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77" w:type="pct"/>
            <w:vMerge w:val="restart"/>
            <w:tcBorders>
              <w:tl2br w:val="nil"/>
              <w:tr2bl w:val="nil"/>
            </w:tcBorders>
            <w:noWrap w:val="0"/>
            <w:vAlign w:val="center"/>
          </w:tcPr>
          <w:p w14:paraId="577A0A93">
            <w:pPr>
              <w:widowControl/>
              <w:jc w:val="center"/>
              <w:textAlignment w:val="center"/>
              <w:rPr>
                <w:rFonts w:hint="eastAsia" w:ascii="仿宋" w:hAnsi="仿宋" w:eastAsia="宋体" w:cs="仿宋"/>
                <w:color w:val="auto"/>
                <w:sz w:val="21"/>
                <w:szCs w:val="21"/>
                <w:lang w:val="en-US" w:eastAsia="zh-CN"/>
              </w:rPr>
            </w:pPr>
            <w:r>
              <w:rPr>
                <w:rFonts w:hint="eastAsia" w:ascii="仿宋" w:hAnsi="仿宋" w:cs="仿宋"/>
                <w:color w:val="auto"/>
                <w:kern w:val="0"/>
                <w:sz w:val="21"/>
                <w:szCs w:val="21"/>
                <w:lang w:val="en-US" w:eastAsia="zh-CN" w:bidi="ar"/>
              </w:rPr>
              <w:t>2</w:t>
            </w:r>
          </w:p>
        </w:tc>
        <w:tc>
          <w:tcPr>
            <w:tcW w:w="1609" w:type="pct"/>
            <w:vMerge w:val="restart"/>
            <w:tcBorders>
              <w:tl2br w:val="nil"/>
              <w:tr2bl w:val="nil"/>
            </w:tcBorders>
            <w:noWrap w:val="0"/>
            <w:vAlign w:val="center"/>
          </w:tcPr>
          <w:p w14:paraId="62C12D2A">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信源管理</w:t>
            </w:r>
          </w:p>
        </w:tc>
        <w:tc>
          <w:tcPr>
            <w:tcW w:w="2378" w:type="pct"/>
            <w:tcBorders>
              <w:tl2br w:val="nil"/>
              <w:tr2bl w:val="nil"/>
            </w:tcBorders>
            <w:noWrap w:val="0"/>
            <w:vAlign w:val="center"/>
          </w:tcPr>
          <w:p w14:paraId="1C4EE8A5">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监测点管理</w:t>
            </w:r>
          </w:p>
        </w:tc>
        <w:tc>
          <w:tcPr>
            <w:tcW w:w="634" w:type="pct"/>
            <w:vMerge w:val="restart"/>
            <w:tcBorders>
              <w:tl2br w:val="nil"/>
              <w:tr2bl w:val="nil"/>
            </w:tcBorders>
            <w:noWrap w:val="0"/>
            <w:vAlign w:val="center"/>
          </w:tcPr>
          <w:p w14:paraId="5A22E5F7">
            <w:pPr>
              <w:widowControl/>
              <w:jc w:val="center"/>
              <w:textAlignment w:val="center"/>
              <w:rPr>
                <w:rFonts w:hint="eastAsia" w:ascii="仿宋" w:hAnsi="仿宋" w:cs="仿宋"/>
                <w:color w:val="auto"/>
                <w:sz w:val="21"/>
                <w:szCs w:val="21"/>
              </w:rPr>
            </w:pPr>
            <w:r>
              <w:rPr>
                <w:rFonts w:hint="eastAsia" w:ascii="仿宋" w:hAnsi="仿宋" w:cs="仿宋"/>
                <w:color w:val="auto"/>
                <w:kern w:val="0"/>
                <w:sz w:val="22"/>
                <w:lang w:bidi="ar"/>
              </w:rPr>
              <w:t>人月</w:t>
            </w:r>
          </w:p>
        </w:tc>
      </w:tr>
      <w:tr w14:paraId="76F2C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77" w:type="pct"/>
            <w:vMerge w:val="continue"/>
            <w:tcBorders>
              <w:tl2br w:val="nil"/>
              <w:tr2bl w:val="nil"/>
            </w:tcBorders>
            <w:noWrap w:val="0"/>
            <w:vAlign w:val="center"/>
          </w:tcPr>
          <w:p w14:paraId="7CCCBFBF">
            <w:pPr>
              <w:jc w:val="center"/>
              <w:rPr>
                <w:rFonts w:hint="eastAsia" w:ascii="仿宋" w:hAnsi="仿宋" w:cs="仿宋"/>
                <w:color w:val="auto"/>
                <w:sz w:val="21"/>
                <w:szCs w:val="21"/>
              </w:rPr>
            </w:pPr>
          </w:p>
        </w:tc>
        <w:tc>
          <w:tcPr>
            <w:tcW w:w="1609" w:type="pct"/>
            <w:vMerge w:val="continue"/>
            <w:tcBorders>
              <w:tl2br w:val="nil"/>
              <w:tr2bl w:val="nil"/>
            </w:tcBorders>
            <w:noWrap w:val="0"/>
            <w:vAlign w:val="center"/>
          </w:tcPr>
          <w:p w14:paraId="28ED0180">
            <w:pPr>
              <w:rPr>
                <w:rFonts w:hint="eastAsia" w:ascii="仿宋" w:hAnsi="仿宋" w:cs="仿宋"/>
                <w:color w:val="auto"/>
                <w:sz w:val="21"/>
                <w:szCs w:val="21"/>
              </w:rPr>
            </w:pPr>
          </w:p>
        </w:tc>
        <w:tc>
          <w:tcPr>
            <w:tcW w:w="2378" w:type="pct"/>
            <w:tcBorders>
              <w:tl2br w:val="nil"/>
              <w:tr2bl w:val="nil"/>
            </w:tcBorders>
            <w:noWrap w:val="0"/>
            <w:vAlign w:val="center"/>
          </w:tcPr>
          <w:p w14:paraId="72A584D3">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信号类型</w:t>
            </w:r>
          </w:p>
        </w:tc>
        <w:tc>
          <w:tcPr>
            <w:tcW w:w="634" w:type="pct"/>
            <w:vMerge w:val="continue"/>
            <w:tcBorders>
              <w:tl2br w:val="nil"/>
              <w:tr2bl w:val="nil"/>
            </w:tcBorders>
            <w:noWrap w:val="0"/>
            <w:vAlign w:val="center"/>
          </w:tcPr>
          <w:p w14:paraId="6D59E4FA">
            <w:pPr>
              <w:widowControl/>
              <w:jc w:val="center"/>
              <w:textAlignment w:val="center"/>
              <w:rPr>
                <w:rFonts w:hint="eastAsia" w:ascii="仿宋" w:hAnsi="仿宋" w:cs="仿宋"/>
                <w:color w:val="auto"/>
                <w:sz w:val="21"/>
                <w:szCs w:val="21"/>
              </w:rPr>
            </w:pPr>
          </w:p>
        </w:tc>
      </w:tr>
      <w:tr w14:paraId="378B3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77" w:type="pct"/>
            <w:vMerge w:val="continue"/>
            <w:tcBorders>
              <w:tl2br w:val="nil"/>
              <w:tr2bl w:val="nil"/>
            </w:tcBorders>
            <w:noWrap w:val="0"/>
            <w:vAlign w:val="center"/>
          </w:tcPr>
          <w:p w14:paraId="190A53B9">
            <w:pPr>
              <w:jc w:val="center"/>
              <w:rPr>
                <w:rFonts w:hint="eastAsia" w:ascii="仿宋" w:hAnsi="仿宋" w:cs="仿宋"/>
                <w:color w:val="auto"/>
                <w:sz w:val="21"/>
                <w:szCs w:val="21"/>
              </w:rPr>
            </w:pPr>
          </w:p>
        </w:tc>
        <w:tc>
          <w:tcPr>
            <w:tcW w:w="1609" w:type="pct"/>
            <w:vMerge w:val="continue"/>
            <w:tcBorders>
              <w:tl2br w:val="nil"/>
              <w:tr2bl w:val="nil"/>
            </w:tcBorders>
            <w:noWrap w:val="0"/>
            <w:vAlign w:val="center"/>
          </w:tcPr>
          <w:p w14:paraId="724F235D">
            <w:pPr>
              <w:rPr>
                <w:rFonts w:hint="eastAsia" w:ascii="仿宋" w:hAnsi="仿宋" w:cs="仿宋"/>
                <w:color w:val="auto"/>
                <w:sz w:val="21"/>
                <w:szCs w:val="21"/>
              </w:rPr>
            </w:pPr>
          </w:p>
        </w:tc>
        <w:tc>
          <w:tcPr>
            <w:tcW w:w="2378" w:type="pct"/>
            <w:tcBorders>
              <w:tl2br w:val="nil"/>
              <w:tr2bl w:val="nil"/>
            </w:tcBorders>
            <w:noWrap w:val="0"/>
            <w:vAlign w:val="center"/>
          </w:tcPr>
          <w:p w14:paraId="48A5D1F7">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标准频道</w:t>
            </w:r>
          </w:p>
        </w:tc>
        <w:tc>
          <w:tcPr>
            <w:tcW w:w="634" w:type="pct"/>
            <w:vMerge w:val="continue"/>
            <w:tcBorders>
              <w:tl2br w:val="nil"/>
              <w:tr2bl w:val="nil"/>
            </w:tcBorders>
            <w:noWrap w:val="0"/>
            <w:vAlign w:val="center"/>
          </w:tcPr>
          <w:p w14:paraId="1C543B30">
            <w:pPr>
              <w:widowControl/>
              <w:jc w:val="center"/>
              <w:textAlignment w:val="center"/>
              <w:rPr>
                <w:rFonts w:hint="eastAsia" w:ascii="仿宋" w:hAnsi="仿宋" w:cs="仿宋"/>
                <w:color w:val="auto"/>
                <w:sz w:val="21"/>
                <w:szCs w:val="21"/>
              </w:rPr>
            </w:pPr>
          </w:p>
        </w:tc>
      </w:tr>
      <w:tr w14:paraId="42493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77" w:type="pct"/>
            <w:vMerge w:val="continue"/>
            <w:tcBorders>
              <w:tl2br w:val="nil"/>
              <w:tr2bl w:val="nil"/>
            </w:tcBorders>
            <w:noWrap w:val="0"/>
            <w:vAlign w:val="center"/>
          </w:tcPr>
          <w:p w14:paraId="263E6609">
            <w:pPr>
              <w:jc w:val="center"/>
              <w:rPr>
                <w:rFonts w:hint="eastAsia" w:ascii="仿宋" w:hAnsi="仿宋" w:cs="仿宋"/>
                <w:color w:val="auto"/>
                <w:sz w:val="21"/>
                <w:szCs w:val="21"/>
              </w:rPr>
            </w:pPr>
          </w:p>
        </w:tc>
        <w:tc>
          <w:tcPr>
            <w:tcW w:w="1609" w:type="pct"/>
            <w:vMerge w:val="continue"/>
            <w:tcBorders>
              <w:tl2br w:val="nil"/>
              <w:tr2bl w:val="nil"/>
            </w:tcBorders>
            <w:noWrap w:val="0"/>
            <w:vAlign w:val="center"/>
          </w:tcPr>
          <w:p w14:paraId="06FB367B">
            <w:pPr>
              <w:rPr>
                <w:rFonts w:hint="eastAsia" w:ascii="仿宋" w:hAnsi="仿宋" w:cs="仿宋"/>
                <w:color w:val="auto"/>
                <w:sz w:val="21"/>
                <w:szCs w:val="21"/>
              </w:rPr>
            </w:pPr>
          </w:p>
        </w:tc>
        <w:tc>
          <w:tcPr>
            <w:tcW w:w="2378" w:type="pct"/>
            <w:tcBorders>
              <w:tl2br w:val="nil"/>
              <w:tr2bl w:val="nil"/>
            </w:tcBorders>
            <w:noWrap w:val="0"/>
            <w:vAlign w:val="center"/>
          </w:tcPr>
          <w:p w14:paraId="1009A3CA">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机构管理</w:t>
            </w:r>
          </w:p>
        </w:tc>
        <w:tc>
          <w:tcPr>
            <w:tcW w:w="634" w:type="pct"/>
            <w:vMerge w:val="continue"/>
            <w:tcBorders>
              <w:tl2br w:val="nil"/>
              <w:tr2bl w:val="nil"/>
            </w:tcBorders>
            <w:noWrap w:val="0"/>
            <w:vAlign w:val="center"/>
          </w:tcPr>
          <w:p w14:paraId="76FA38C2">
            <w:pPr>
              <w:widowControl/>
              <w:jc w:val="center"/>
              <w:textAlignment w:val="center"/>
              <w:rPr>
                <w:rFonts w:hint="eastAsia" w:ascii="仿宋" w:hAnsi="仿宋" w:cs="仿宋"/>
                <w:color w:val="auto"/>
                <w:sz w:val="21"/>
                <w:szCs w:val="21"/>
              </w:rPr>
            </w:pPr>
          </w:p>
        </w:tc>
      </w:tr>
      <w:tr w14:paraId="4A31E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77" w:type="pct"/>
            <w:vMerge w:val="continue"/>
            <w:tcBorders>
              <w:tl2br w:val="nil"/>
              <w:tr2bl w:val="nil"/>
            </w:tcBorders>
            <w:noWrap w:val="0"/>
            <w:vAlign w:val="center"/>
          </w:tcPr>
          <w:p w14:paraId="108936FD">
            <w:pPr>
              <w:jc w:val="center"/>
              <w:rPr>
                <w:rFonts w:hint="eastAsia" w:ascii="仿宋" w:hAnsi="仿宋" w:cs="仿宋"/>
                <w:color w:val="auto"/>
                <w:sz w:val="21"/>
                <w:szCs w:val="21"/>
              </w:rPr>
            </w:pPr>
          </w:p>
        </w:tc>
        <w:tc>
          <w:tcPr>
            <w:tcW w:w="1609" w:type="pct"/>
            <w:vMerge w:val="continue"/>
            <w:tcBorders>
              <w:tl2br w:val="nil"/>
              <w:tr2bl w:val="nil"/>
            </w:tcBorders>
            <w:noWrap w:val="0"/>
            <w:vAlign w:val="center"/>
          </w:tcPr>
          <w:p w14:paraId="308540F7">
            <w:pPr>
              <w:rPr>
                <w:rFonts w:hint="eastAsia" w:ascii="仿宋" w:hAnsi="仿宋" w:cs="仿宋"/>
                <w:color w:val="auto"/>
                <w:sz w:val="21"/>
                <w:szCs w:val="21"/>
              </w:rPr>
            </w:pPr>
          </w:p>
        </w:tc>
        <w:tc>
          <w:tcPr>
            <w:tcW w:w="2378" w:type="pct"/>
            <w:tcBorders>
              <w:tl2br w:val="nil"/>
              <w:tr2bl w:val="nil"/>
            </w:tcBorders>
            <w:noWrap w:val="0"/>
            <w:vAlign w:val="center"/>
          </w:tcPr>
          <w:p w14:paraId="359F86F0">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部门管理</w:t>
            </w:r>
          </w:p>
        </w:tc>
        <w:tc>
          <w:tcPr>
            <w:tcW w:w="634" w:type="pct"/>
            <w:vMerge w:val="continue"/>
            <w:tcBorders>
              <w:tl2br w:val="nil"/>
              <w:tr2bl w:val="nil"/>
            </w:tcBorders>
            <w:noWrap w:val="0"/>
            <w:vAlign w:val="center"/>
          </w:tcPr>
          <w:p w14:paraId="16667163">
            <w:pPr>
              <w:widowControl/>
              <w:jc w:val="center"/>
              <w:textAlignment w:val="center"/>
              <w:rPr>
                <w:rFonts w:hint="eastAsia" w:ascii="仿宋" w:hAnsi="仿宋" w:cs="仿宋"/>
                <w:color w:val="auto"/>
                <w:sz w:val="21"/>
                <w:szCs w:val="21"/>
              </w:rPr>
            </w:pPr>
          </w:p>
        </w:tc>
      </w:tr>
      <w:tr w14:paraId="28ECE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77" w:type="pct"/>
            <w:vMerge w:val="continue"/>
            <w:tcBorders>
              <w:tl2br w:val="nil"/>
              <w:tr2bl w:val="nil"/>
            </w:tcBorders>
            <w:noWrap w:val="0"/>
            <w:vAlign w:val="center"/>
          </w:tcPr>
          <w:p w14:paraId="1A1787B3">
            <w:pPr>
              <w:jc w:val="center"/>
              <w:rPr>
                <w:rFonts w:hint="eastAsia" w:ascii="仿宋" w:hAnsi="仿宋" w:cs="仿宋"/>
                <w:color w:val="auto"/>
                <w:sz w:val="21"/>
                <w:szCs w:val="21"/>
              </w:rPr>
            </w:pPr>
          </w:p>
        </w:tc>
        <w:tc>
          <w:tcPr>
            <w:tcW w:w="1609" w:type="pct"/>
            <w:vMerge w:val="continue"/>
            <w:tcBorders>
              <w:tl2br w:val="nil"/>
              <w:tr2bl w:val="nil"/>
            </w:tcBorders>
            <w:noWrap w:val="0"/>
            <w:vAlign w:val="center"/>
          </w:tcPr>
          <w:p w14:paraId="467429E1">
            <w:pPr>
              <w:rPr>
                <w:rFonts w:hint="eastAsia" w:ascii="仿宋" w:hAnsi="仿宋" w:cs="仿宋"/>
                <w:color w:val="auto"/>
                <w:sz w:val="21"/>
                <w:szCs w:val="21"/>
              </w:rPr>
            </w:pPr>
          </w:p>
        </w:tc>
        <w:tc>
          <w:tcPr>
            <w:tcW w:w="2378" w:type="pct"/>
            <w:tcBorders>
              <w:tl2br w:val="nil"/>
              <w:tr2bl w:val="nil"/>
            </w:tcBorders>
            <w:noWrap w:val="0"/>
            <w:vAlign w:val="center"/>
          </w:tcPr>
          <w:p w14:paraId="44497EA7">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频率管理</w:t>
            </w:r>
          </w:p>
        </w:tc>
        <w:tc>
          <w:tcPr>
            <w:tcW w:w="634" w:type="pct"/>
            <w:vMerge w:val="continue"/>
            <w:tcBorders>
              <w:tl2br w:val="nil"/>
              <w:tr2bl w:val="nil"/>
            </w:tcBorders>
            <w:noWrap w:val="0"/>
            <w:vAlign w:val="center"/>
          </w:tcPr>
          <w:p w14:paraId="072D5AF8">
            <w:pPr>
              <w:widowControl/>
              <w:jc w:val="center"/>
              <w:textAlignment w:val="center"/>
              <w:rPr>
                <w:rFonts w:hint="eastAsia" w:ascii="仿宋" w:hAnsi="仿宋" w:cs="仿宋"/>
                <w:color w:val="auto"/>
                <w:sz w:val="21"/>
                <w:szCs w:val="21"/>
              </w:rPr>
            </w:pPr>
          </w:p>
        </w:tc>
      </w:tr>
      <w:tr w14:paraId="1A836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77" w:type="pct"/>
            <w:vMerge w:val="continue"/>
            <w:tcBorders>
              <w:tl2br w:val="nil"/>
              <w:tr2bl w:val="nil"/>
            </w:tcBorders>
            <w:noWrap w:val="0"/>
            <w:vAlign w:val="center"/>
          </w:tcPr>
          <w:p w14:paraId="36848FDC">
            <w:pPr>
              <w:jc w:val="center"/>
              <w:rPr>
                <w:rFonts w:hint="eastAsia" w:ascii="仿宋" w:hAnsi="仿宋" w:cs="仿宋"/>
                <w:color w:val="auto"/>
                <w:sz w:val="21"/>
                <w:szCs w:val="21"/>
              </w:rPr>
            </w:pPr>
          </w:p>
        </w:tc>
        <w:tc>
          <w:tcPr>
            <w:tcW w:w="1609" w:type="pct"/>
            <w:vMerge w:val="continue"/>
            <w:tcBorders>
              <w:tl2br w:val="nil"/>
              <w:tr2bl w:val="nil"/>
            </w:tcBorders>
            <w:noWrap w:val="0"/>
            <w:vAlign w:val="center"/>
          </w:tcPr>
          <w:p w14:paraId="1BAE9E81">
            <w:pPr>
              <w:rPr>
                <w:rFonts w:hint="eastAsia" w:ascii="仿宋" w:hAnsi="仿宋" w:cs="仿宋"/>
                <w:color w:val="auto"/>
                <w:sz w:val="21"/>
                <w:szCs w:val="21"/>
              </w:rPr>
            </w:pPr>
          </w:p>
        </w:tc>
        <w:tc>
          <w:tcPr>
            <w:tcW w:w="2378" w:type="pct"/>
            <w:tcBorders>
              <w:tl2br w:val="nil"/>
              <w:tr2bl w:val="nil"/>
            </w:tcBorders>
            <w:noWrap w:val="0"/>
            <w:vAlign w:val="center"/>
          </w:tcPr>
          <w:p w14:paraId="1C3ABF0D">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频道管理</w:t>
            </w:r>
          </w:p>
        </w:tc>
        <w:tc>
          <w:tcPr>
            <w:tcW w:w="634" w:type="pct"/>
            <w:vMerge w:val="continue"/>
            <w:tcBorders>
              <w:tl2br w:val="nil"/>
              <w:tr2bl w:val="nil"/>
            </w:tcBorders>
            <w:noWrap w:val="0"/>
            <w:vAlign w:val="center"/>
          </w:tcPr>
          <w:p w14:paraId="3D569ED4">
            <w:pPr>
              <w:widowControl/>
              <w:jc w:val="center"/>
              <w:textAlignment w:val="center"/>
              <w:rPr>
                <w:rFonts w:hint="eastAsia" w:ascii="仿宋" w:hAnsi="仿宋" w:cs="仿宋"/>
                <w:color w:val="auto"/>
                <w:sz w:val="21"/>
                <w:szCs w:val="21"/>
              </w:rPr>
            </w:pPr>
          </w:p>
        </w:tc>
      </w:tr>
      <w:tr w14:paraId="3EE50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77" w:type="pct"/>
            <w:vMerge w:val="continue"/>
            <w:tcBorders>
              <w:tl2br w:val="nil"/>
              <w:tr2bl w:val="nil"/>
            </w:tcBorders>
            <w:noWrap w:val="0"/>
            <w:vAlign w:val="center"/>
          </w:tcPr>
          <w:p w14:paraId="3D758CC1">
            <w:pPr>
              <w:jc w:val="center"/>
              <w:rPr>
                <w:rFonts w:hint="eastAsia" w:ascii="仿宋" w:hAnsi="仿宋" w:cs="仿宋"/>
                <w:color w:val="auto"/>
                <w:sz w:val="21"/>
                <w:szCs w:val="21"/>
              </w:rPr>
            </w:pPr>
          </w:p>
        </w:tc>
        <w:tc>
          <w:tcPr>
            <w:tcW w:w="1609" w:type="pct"/>
            <w:vMerge w:val="continue"/>
            <w:tcBorders>
              <w:tl2br w:val="nil"/>
              <w:tr2bl w:val="nil"/>
            </w:tcBorders>
            <w:noWrap w:val="0"/>
            <w:vAlign w:val="center"/>
          </w:tcPr>
          <w:p w14:paraId="1F40E1D7">
            <w:pPr>
              <w:rPr>
                <w:rFonts w:hint="eastAsia" w:ascii="仿宋" w:hAnsi="仿宋" w:cs="仿宋"/>
                <w:color w:val="auto"/>
                <w:sz w:val="21"/>
                <w:szCs w:val="21"/>
              </w:rPr>
            </w:pPr>
          </w:p>
        </w:tc>
        <w:tc>
          <w:tcPr>
            <w:tcW w:w="2378" w:type="pct"/>
            <w:tcBorders>
              <w:tl2br w:val="nil"/>
              <w:tr2bl w:val="nil"/>
            </w:tcBorders>
            <w:noWrap w:val="0"/>
            <w:vAlign w:val="center"/>
          </w:tcPr>
          <w:p w14:paraId="642D8E76">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节目单管理</w:t>
            </w:r>
          </w:p>
        </w:tc>
        <w:tc>
          <w:tcPr>
            <w:tcW w:w="634" w:type="pct"/>
            <w:vMerge w:val="continue"/>
            <w:tcBorders>
              <w:tl2br w:val="nil"/>
              <w:tr2bl w:val="nil"/>
            </w:tcBorders>
            <w:noWrap w:val="0"/>
            <w:vAlign w:val="center"/>
          </w:tcPr>
          <w:p w14:paraId="00E15462">
            <w:pPr>
              <w:widowControl/>
              <w:jc w:val="center"/>
              <w:textAlignment w:val="center"/>
              <w:rPr>
                <w:rFonts w:hint="eastAsia" w:ascii="仿宋" w:hAnsi="仿宋" w:cs="仿宋"/>
                <w:color w:val="auto"/>
                <w:sz w:val="21"/>
                <w:szCs w:val="21"/>
              </w:rPr>
            </w:pPr>
          </w:p>
        </w:tc>
      </w:tr>
      <w:tr w14:paraId="18174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77" w:type="pct"/>
            <w:vMerge w:val="continue"/>
            <w:tcBorders>
              <w:tl2br w:val="nil"/>
              <w:tr2bl w:val="nil"/>
            </w:tcBorders>
            <w:noWrap w:val="0"/>
            <w:vAlign w:val="center"/>
          </w:tcPr>
          <w:p w14:paraId="1A7DAE3C">
            <w:pPr>
              <w:jc w:val="center"/>
              <w:rPr>
                <w:rFonts w:hint="eastAsia" w:ascii="仿宋" w:hAnsi="仿宋" w:cs="仿宋"/>
                <w:color w:val="auto"/>
                <w:sz w:val="21"/>
                <w:szCs w:val="21"/>
              </w:rPr>
            </w:pPr>
          </w:p>
        </w:tc>
        <w:tc>
          <w:tcPr>
            <w:tcW w:w="1609" w:type="pct"/>
            <w:vMerge w:val="continue"/>
            <w:tcBorders>
              <w:tl2br w:val="nil"/>
              <w:tr2bl w:val="nil"/>
            </w:tcBorders>
            <w:noWrap w:val="0"/>
            <w:vAlign w:val="center"/>
          </w:tcPr>
          <w:p w14:paraId="3EECB76C">
            <w:pPr>
              <w:rPr>
                <w:rFonts w:hint="eastAsia" w:ascii="仿宋" w:hAnsi="仿宋" w:cs="仿宋"/>
                <w:color w:val="auto"/>
                <w:sz w:val="21"/>
                <w:szCs w:val="21"/>
              </w:rPr>
            </w:pPr>
          </w:p>
        </w:tc>
        <w:tc>
          <w:tcPr>
            <w:tcW w:w="2378" w:type="pct"/>
            <w:tcBorders>
              <w:tl2br w:val="nil"/>
              <w:tr2bl w:val="nil"/>
            </w:tcBorders>
            <w:noWrap w:val="0"/>
            <w:vAlign w:val="center"/>
          </w:tcPr>
          <w:p w14:paraId="3F75C335">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频道分组</w:t>
            </w:r>
          </w:p>
        </w:tc>
        <w:tc>
          <w:tcPr>
            <w:tcW w:w="634" w:type="pct"/>
            <w:vMerge w:val="continue"/>
            <w:tcBorders>
              <w:tl2br w:val="nil"/>
              <w:tr2bl w:val="nil"/>
            </w:tcBorders>
            <w:noWrap w:val="0"/>
            <w:vAlign w:val="center"/>
          </w:tcPr>
          <w:p w14:paraId="6F198090">
            <w:pPr>
              <w:widowControl/>
              <w:jc w:val="center"/>
              <w:textAlignment w:val="center"/>
              <w:rPr>
                <w:rFonts w:hint="eastAsia" w:ascii="仿宋" w:hAnsi="仿宋" w:cs="仿宋"/>
                <w:color w:val="auto"/>
                <w:sz w:val="21"/>
                <w:szCs w:val="21"/>
              </w:rPr>
            </w:pPr>
          </w:p>
        </w:tc>
      </w:tr>
      <w:tr w14:paraId="009C6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77" w:type="pct"/>
            <w:vMerge w:val="restart"/>
            <w:tcBorders>
              <w:tl2br w:val="nil"/>
              <w:tr2bl w:val="nil"/>
            </w:tcBorders>
            <w:noWrap w:val="0"/>
            <w:vAlign w:val="center"/>
          </w:tcPr>
          <w:p w14:paraId="443B9559">
            <w:pPr>
              <w:widowControl/>
              <w:jc w:val="center"/>
              <w:textAlignment w:val="center"/>
              <w:rPr>
                <w:rFonts w:hint="default" w:ascii="仿宋" w:hAnsi="仿宋" w:eastAsia="宋体" w:cs="仿宋"/>
                <w:color w:val="auto"/>
                <w:sz w:val="21"/>
                <w:szCs w:val="21"/>
                <w:lang w:val="en-US" w:eastAsia="zh-CN"/>
              </w:rPr>
            </w:pPr>
            <w:r>
              <w:rPr>
                <w:rFonts w:hint="eastAsia" w:ascii="仿宋" w:hAnsi="仿宋" w:cs="仿宋"/>
                <w:color w:val="auto"/>
                <w:sz w:val="21"/>
                <w:szCs w:val="21"/>
                <w:lang w:val="en-US" w:eastAsia="zh-CN"/>
              </w:rPr>
              <w:t>3</w:t>
            </w:r>
          </w:p>
        </w:tc>
        <w:tc>
          <w:tcPr>
            <w:tcW w:w="1609" w:type="pct"/>
            <w:vMerge w:val="restart"/>
            <w:tcBorders>
              <w:tl2br w:val="nil"/>
              <w:tr2bl w:val="nil"/>
            </w:tcBorders>
            <w:noWrap w:val="0"/>
            <w:vAlign w:val="center"/>
          </w:tcPr>
          <w:p w14:paraId="147BAD22">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报警管理</w:t>
            </w:r>
          </w:p>
        </w:tc>
        <w:tc>
          <w:tcPr>
            <w:tcW w:w="2378" w:type="pct"/>
            <w:tcBorders>
              <w:tl2br w:val="nil"/>
              <w:tr2bl w:val="nil"/>
            </w:tcBorders>
            <w:noWrap w:val="0"/>
            <w:vAlign w:val="center"/>
          </w:tcPr>
          <w:p w14:paraId="02A21F46">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报警门限</w:t>
            </w:r>
          </w:p>
        </w:tc>
        <w:tc>
          <w:tcPr>
            <w:tcW w:w="634" w:type="pct"/>
            <w:vMerge w:val="restart"/>
            <w:tcBorders>
              <w:tl2br w:val="nil"/>
              <w:tr2bl w:val="nil"/>
            </w:tcBorders>
            <w:noWrap w:val="0"/>
            <w:vAlign w:val="center"/>
          </w:tcPr>
          <w:p w14:paraId="2B2FCD2D">
            <w:pPr>
              <w:widowControl/>
              <w:jc w:val="center"/>
              <w:textAlignment w:val="center"/>
              <w:rPr>
                <w:rFonts w:hint="eastAsia" w:ascii="仿宋" w:hAnsi="仿宋" w:cs="仿宋"/>
                <w:color w:val="auto"/>
                <w:sz w:val="21"/>
                <w:szCs w:val="21"/>
              </w:rPr>
            </w:pPr>
            <w:r>
              <w:rPr>
                <w:rFonts w:hint="eastAsia" w:ascii="仿宋" w:hAnsi="仿宋" w:cs="仿宋"/>
                <w:color w:val="auto"/>
                <w:kern w:val="0"/>
                <w:sz w:val="22"/>
                <w:lang w:bidi="ar"/>
              </w:rPr>
              <w:t>人月</w:t>
            </w:r>
          </w:p>
        </w:tc>
      </w:tr>
      <w:tr w14:paraId="053DF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77" w:type="pct"/>
            <w:vMerge w:val="continue"/>
            <w:tcBorders>
              <w:tl2br w:val="nil"/>
              <w:tr2bl w:val="nil"/>
            </w:tcBorders>
            <w:noWrap w:val="0"/>
            <w:vAlign w:val="center"/>
          </w:tcPr>
          <w:p w14:paraId="76343D03">
            <w:pPr>
              <w:jc w:val="center"/>
              <w:rPr>
                <w:rFonts w:hint="eastAsia" w:ascii="仿宋" w:hAnsi="仿宋" w:cs="仿宋"/>
                <w:color w:val="auto"/>
                <w:sz w:val="21"/>
                <w:szCs w:val="21"/>
              </w:rPr>
            </w:pPr>
          </w:p>
        </w:tc>
        <w:tc>
          <w:tcPr>
            <w:tcW w:w="1609" w:type="pct"/>
            <w:vMerge w:val="continue"/>
            <w:tcBorders>
              <w:tl2br w:val="nil"/>
              <w:tr2bl w:val="nil"/>
            </w:tcBorders>
            <w:noWrap w:val="0"/>
            <w:vAlign w:val="center"/>
          </w:tcPr>
          <w:p w14:paraId="7363A1E1">
            <w:pPr>
              <w:jc w:val="center"/>
              <w:rPr>
                <w:rFonts w:hint="eastAsia" w:ascii="仿宋" w:hAnsi="仿宋" w:cs="仿宋"/>
                <w:color w:val="auto"/>
                <w:sz w:val="21"/>
                <w:szCs w:val="21"/>
              </w:rPr>
            </w:pPr>
          </w:p>
        </w:tc>
        <w:tc>
          <w:tcPr>
            <w:tcW w:w="2378" w:type="pct"/>
            <w:tcBorders>
              <w:tl2br w:val="nil"/>
              <w:tr2bl w:val="nil"/>
            </w:tcBorders>
            <w:noWrap w:val="0"/>
            <w:vAlign w:val="center"/>
          </w:tcPr>
          <w:p w14:paraId="30AB448B">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报警过滤</w:t>
            </w:r>
          </w:p>
        </w:tc>
        <w:tc>
          <w:tcPr>
            <w:tcW w:w="634" w:type="pct"/>
            <w:vMerge w:val="continue"/>
            <w:tcBorders>
              <w:tl2br w:val="nil"/>
              <w:tr2bl w:val="nil"/>
            </w:tcBorders>
            <w:noWrap w:val="0"/>
            <w:vAlign w:val="center"/>
          </w:tcPr>
          <w:p w14:paraId="1F312C6A">
            <w:pPr>
              <w:widowControl/>
              <w:jc w:val="center"/>
              <w:textAlignment w:val="center"/>
              <w:rPr>
                <w:rFonts w:hint="eastAsia" w:ascii="仿宋" w:hAnsi="仿宋" w:cs="仿宋"/>
                <w:color w:val="auto"/>
                <w:sz w:val="21"/>
                <w:szCs w:val="21"/>
              </w:rPr>
            </w:pPr>
          </w:p>
        </w:tc>
      </w:tr>
      <w:tr w14:paraId="3359F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77" w:type="pct"/>
            <w:vMerge w:val="continue"/>
            <w:tcBorders>
              <w:tl2br w:val="nil"/>
              <w:tr2bl w:val="nil"/>
            </w:tcBorders>
            <w:noWrap w:val="0"/>
            <w:vAlign w:val="center"/>
          </w:tcPr>
          <w:p w14:paraId="172C5EA6">
            <w:pPr>
              <w:jc w:val="center"/>
              <w:rPr>
                <w:rFonts w:hint="eastAsia" w:ascii="仿宋" w:hAnsi="仿宋" w:cs="仿宋"/>
                <w:color w:val="auto"/>
                <w:sz w:val="21"/>
                <w:szCs w:val="21"/>
              </w:rPr>
            </w:pPr>
          </w:p>
        </w:tc>
        <w:tc>
          <w:tcPr>
            <w:tcW w:w="1609" w:type="pct"/>
            <w:vMerge w:val="continue"/>
            <w:tcBorders>
              <w:tl2br w:val="nil"/>
              <w:tr2bl w:val="nil"/>
            </w:tcBorders>
            <w:noWrap w:val="0"/>
            <w:vAlign w:val="center"/>
          </w:tcPr>
          <w:p w14:paraId="458EDB1E">
            <w:pPr>
              <w:jc w:val="center"/>
              <w:rPr>
                <w:rFonts w:hint="eastAsia" w:ascii="仿宋" w:hAnsi="仿宋" w:cs="仿宋"/>
                <w:color w:val="auto"/>
                <w:sz w:val="21"/>
                <w:szCs w:val="21"/>
              </w:rPr>
            </w:pPr>
          </w:p>
        </w:tc>
        <w:tc>
          <w:tcPr>
            <w:tcW w:w="2378" w:type="pct"/>
            <w:tcBorders>
              <w:tl2br w:val="nil"/>
              <w:tr2bl w:val="nil"/>
            </w:tcBorders>
            <w:noWrap w:val="0"/>
            <w:vAlign w:val="center"/>
          </w:tcPr>
          <w:p w14:paraId="3CA9CC8F">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停机运行图</w:t>
            </w:r>
          </w:p>
        </w:tc>
        <w:tc>
          <w:tcPr>
            <w:tcW w:w="634" w:type="pct"/>
            <w:vMerge w:val="continue"/>
            <w:tcBorders>
              <w:tl2br w:val="nil"/>
              <w:tr2bl w:val="nil"/>
            </w:tcBorders>
            <w:noWrap w:val="0"/>
            <w:vAlign w:val="center"/>
          </w:tcPr>
          <w:p w14:paraId="7A654A30">
            <w:pPr>
              <w:widowControl/>
              <w:jc w:val="center"/>
              <w:textAlignment w:val="center"/>
              <w:rPr>
                <w:rFonts w:hint="eastAsia" w:ascii="仿宋" w:hAnsi="仿宋" w:cs="仿宋"/>
                <w:color w:val="auto"/>
                <w:sz w:val="21"/>
                <w:szCs w:val="21"/>
              </w:rPr>
            </w:pPr>
          </w:p>
        </w:tc>
      </w:tr>
      <w:tr w14:paraId="050AD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77" w:type="pct"/>
            <w:vMerge w:val="continue"/>
            <w:tcBorders>
              <w:tl2br w:val="nil"/>
              <w:tr2bl w:val="nil"/>
            </w:tcBorders>
            <w:noWrap w:val="0"/>
            <w:vAlign w:val="center"/>
          </w:tcPr>
          <w:p w14:paraId="4FC3CD40">
            <w:pPr>
              <w:jc w:val="center"/>
              <w:rPr>
                <w:rFonts w:hint="eastAsia" w:ascii="仿宋" w:hAnsi="仿宋" w:cs="仿宋"/>
                <w:color w:val="auto"/>
                <w:sz w:val="21"/>
                <w:szCs w:val="21"/>
              </w:rPr>
            </w:pPr>
          </w:p>
        </w:tc>
        <w:tc>
          <w:tcPr>
            <w:tcW w:w="1609" w:type="pct"/>
            <w:vMerge w:val="continue"/>
            <w:tcBorders>
              <w:tl2br w:val="nil"/>
              <w:tr2bl w:val="nil"/>
            </w:tcBorders>
            <w:noWrap w:val="0"/>
            <w:vAlign w:val="center"/>
          </w:tcPr>
          <w:p w14:paraId="353FDCA1">
            <w:pPr>
              <w:jc w:val="center"/>
              <w:rPr>
                <w:rFonts w:hint="eastAsia" w:ascii="仿宋" w:hAnsi="仿宋" w:cs="仿宋"/>
                <w:color w:val="auto"/>
                <w:sz w:val="21"/>
                <w:szCs w:val="21"/>
              </w:rPr>
            </w:pPr>
          </w:p>
        </w:tc>
        <w:tc>
          <w:tcPr>
            <w:tcW w:w="2378" w:type="pct"/>
            <w:tcBorders>
              <w:tl2br w:val="nil"/>
              <w:tr2bl w:val="nil"/>
            </w:tcBorders>
            <w:noWrap w:val="0"/>
            <w:vAlign w:val="center"/>
          </w:tcPr>
          <w:p w14:paraId="5CCD3C62">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重点时段</w:t>
            </w:r>
          </w:p>
        </w:tc>
        <w:tc>
          <w:tcPr>
            <w:tcW w:w="634" w:type="pct"/>
            <w:vMerge w:val="continue"/>
            <w:tcBorders>
              <w:tl2br w:val="nil"/>
              <w:tr2bl w:val="nil"/>
            </w:tcBorders>
            <w:noWrap w:val="0"/>
            <w:vAlign w:val="center"/>
          </w:tcPr>
          <w:p w14:paraId="38F8FD25">
            <w:pPr>
              <w:widowControl/>
              <w:jc w:val="center"/>
              <w:textAlignment w:val="center"/>
              <w:rPr>
                <w:rFonts w:hint="eastAsia" w:ascii="仿宋" w:hAnsi="仿宋" w:cs="仿宋"/>
                <w:color w:val="auto"/>
                <w:sz w:val="21"/>
                <w:szCs w:val="21"/>
              </w:rPr>
            </w:pPr>
          </w:p>
        </w:tc>
      </w:tr>
      <w:tr w14:paraId="010D1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77" w:type="pct"/>
            <w:vMerge w:val="continue"/>
            <w:tcBorders>
              <w:tl2br w:val="nil"/>
              <w:tr2bl w:val="nil"/>
            </w:tcBorders>
            <w:noWrap w:val="0"/>
            <w:vAlign w:val="center"/>
          </w:tcPr>
          <w:p w14:paraId="23412344">
            <w:pPr>
              <w:jc w:val="center"/>
              <w:rPr>
                <w:rFonts w:hint="eastAsia" w:ascii="仿宋" w:hAnsi="仿宋" w:cs="仿宋"/>
                <w:color w:val="auto"/>
                <w:sz w:val="21"/>
                <w:szCs w:val="21"/>
              </w:rPr>
            </w:pPr>
          </w:p>
        </w:tc>
        <w:tc>
          <w:tcPr>
            <w:tcW w:w="1609" w:type="pct"/>
            <w:vMerge w:val="continue"/>
            <w:tcBorders>
              <w:tl2br w:val="nil"/>
              <w:tr2bl w:val="nil"/>
            </w:tcBorders>
            <w:noWrap w:val="0"/>
            <w:vAlign w:val="center"/>
          </w:tcPr>
          <w:p w14:paraId="62E5A658">
            <w:pPr>
              <w:jc w:val="center"/>
              <w:rPr>
                <w:rFonts w:hint="eastAsia" w:ascii="仿宋" w:hAnsi="仿宋" w:cs="仿宋"/>
                <w:color w:val="auto"/>
                <w:sz w:val="21"/>
                <w:szCs w:val="21"/>
              </w:rPr>
            </w:pPr>
          </w:p>
        </w:tc>
        <w:tc>
          <w:tcPr>
            <w:tcW w:w="2378" w:type="pct"/>
            <w:tcBorders>
              <w:tl2br w:val="nil"/>
              <w:tr2bl w:val="nil"/>
            </w:tcBorders>
            <w:noWrap w:val="0"/>
            <w:vAlign w:val="center"/>
          </w:tcPr>
          <w:p w14:paraId="4DF04079">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重要保障期</w:t>
            </w:r>
          </w:p>
        </w:tc>
        <w:tc>
          <w:tcPr>
            <w:tcW w:w="634" w:type="pct"/>
            <w:vMerge w:val="continue"/>
            <w:tcBorders>
              <w:tl2br w:val="nil"/>
              <w:tr2bl w:val="nil"/>
            </w:tcBorders>
            <w:noWrap w:val="0"/>
            <w:vAlign w:val="center"/>
          </w:tcPr>
          <w:p w14:paraId="3A5CD2CD">
            <w:pPr>
              <w:widowControl/>
              <w:jc w:val="center"/>
              <w:textAlignment w:val="center"/>
              <w:rPr>
                <w:rFonts w:hint="eastAsia" w:ascii="仿宋" w:hAnsi="仿宋" w:cs="仿宋"/>
                <w:color w:val="auto"/>
                <w:sz w:val="21"/>
                <w:szCs w:val="21"/>
              </w:rPr>
            </w:pPr>
          </w:p>
        </w:tc>
      </w:tr>
      <w:tr w14:paraId="5A3C4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77" w:type="pct"/>
            <w:vMerge w:val="continue"/>
            <w:tcBorders>
              <w:tl2br w:val="nil"/>
              <w:tr2bl w:val="nil"/>
            </w:tcBorders>
            <w:noWrap w:val="0"/>
            <w:vAlign w:val="center"/>
          </w:tcPr>
          <w:p w14:paraId="13809A51">
            <w:pPr>
              <w:jc w:val="center"/>
              <w:rPr>
                <w:rFonts w:hint="eastAsia" w:ascii="仿宋" w:hAnsi="仿宋" w:cs="仿宋"/>
                <w:color w:val="auto"/>
                <w:sz w:val="21"/>
                <w:szCs w:val="21"/>
              </w:rPr>
            </w:pPr>
          </w:p>
        </w:tc>
        <w:tc>
          <w:tcPr>
            <w:tcW w:w="1609" w:type="pct"/>
            <w:vMerge w:val="continue"/>
            <w:tcBorders>
              <w:tl2br w:val="nil"/>
              <w:tr2bl w:val="nil"/>
            </w:tcBorders>
            <w:noWrap w:val="0"/>
            <w:vAlign w:val="center"/>
          </w:tcPr>
          <w:p w14:paraId="198E0207">
            <w:pPr>
              <w:jc w:val="center"/>
              <w:rPr>
                <w:rFonts w:hint="eastAsia" w:ascii="仿宋" w:hAnsi="仿宋" w:cs="仿宋"/>
                <w:color w:val="auto"/>
                <w:sz w:val="21"/>
                <w:szCs w:val="21"/>
              </w:rPr>
            </w:pPr>
          </w:p>
        </w:tc>
        <w:tc>
          <w:tcPr>
            <w:tcW w:w="2378" w:type="pct"/>
            <w:tcBorders>
              <w:tl2br w:val="nil"/>
              <w:tr2bl w:val="nil"/>
            </w:tcBorders>
            <w:noWrap w:val="0"/>
            <w:vAlign w:val="center"/>
          </w:tcPr>
          <w:p w14:paraId="2787F41F">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报警等级</w:t>
            </w:r>
          </w:p>
        </w:tc>
        <w:tc>
          <w:tcPr>
            <w:tcW w:w="634" w:type="pct"/>
            <w:vMerge w:val="continue"/>
            <w:tcBorders>
              <w:tl2br w:val="nil"/>
              <w:tr2bl w:val="nil"/>
            </w:tcBorders>
            <w:noWrap w:val="0"/>
            <w:vAlign w:val="center"/>
          </w:tcPr>
          <w:p w14:paraId="27F4D6A0">
            <w:pPr>
              <w:widowControl/>
              <w:jc w:val="center"/>
              <w:textAlignment w:val="center"/>
              <w:rPr>
                <w:rFonts w:hint="eastAsia" w:ascii="仿宋" w:hAnsi="仿宋" w:cs="仿宋"/>
                <w:color w:val="auto"/>
                <w:sz w:val="21"/>
                <w:szCs w:val="21"/>
              </w:rPr>
            </w:pPr>
          </w:p>
        </w:tc>
      </w:tr>
      <w:tr w14:paraId="69CBD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77" w:type="pct"/>
            <w:vMerge w:val="continue"/>
            <w:tcBorders>
              <w:tl2br w:val="nil"/>
              <w:tr2bl w:val="nil"/>
            </w:tcBorders>
            <w:noWrap w:val="0"/>
            <w:vAlign w:val="center"/>
          </w:tcPr>
          <w:p w14:paraId="43001B4D">
            <w:pPr>
              <w:jc w:val="center"/>
              <w:rPr>
                <w:rFonts w:hint="eastAsia" w:ascii="仿宋" w:hAnsi="仿宋" w:cs="仿宋"/>
                <w:color w:val="auto"/>
                <w:sz w:val="21"/>
                <w:szCs w:val="21"/>
              </w:rPr>
            </w:pPr>
          </w:p>
        </w:tc>
        <w:tc>
          <w:tcPr>
            <w:tcW w:w="1609" w:type="pct"/>
            <w:vMerge w:val="continue"/>
            <w:tcBorders>
              <w:tl2br w:val="nil"/>
              <w:tr2bl w:val="nil"/>
            </w:tcBorders>
            <w:noWrap w:val="0"/>
            <w:vAlign w:val="center"/>
          </w:tcPr>
          <w:p w14:paraId="26D2154C">
            <w:pPr>
              <w:rPr>
                <w:rFonts w:hint="eastAsia" w:ascii="仿宋" w:hAnsi="仿宋" w:cs="仿宋"/>
                <w:color w:val="auto"/>
                <w:sz w:val="21"/>
                <w:szCs w:val="21"/>
              </w:rPr>
            </w:pPr>
          </w:p>
        </w:tc>
        <w:tc>
          <w:tcPr>
            <w:tcW w:w="2378" w:type="pct"/>
            <w:tcBorders>
              <w:tl2br w:val="nil"/>
              <w:tr2bl w:val="nil"/>
            </w:tcBorders>
            <w:noWrap w:val="0"/>
            <w:vAlign w:val="center"/>
          </w:tcPr>
          <w:p w14:paraId="57A2B449">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 xml:space="preserve"> 报警查询</w:t>
            </w:r>
          </w:p>
        </w:tc>
        <w:tc>
          <w:tcPr>
            <w:tcW w:w="634" w:type="pct"/>
            <w:vMerge w:val="continue"/>
            <w:tcBorders>
              <w:tl2br w:val="nil"/>
              <w:tr2bl w:val="nil"/>
            </w:tcBorders>
            <w:noWrap w:val="0"/>
            <w:vAlign w:val="center"/>
          </w:tcPr>
          <w:p w14:paraId="65B000EF">
            <w:pPr>
              <w:widowControl/>
              <w:jc w:val="center"/>
              <w:textAlignment w:val="center"/>
              <w:rPr>
                <w:rFonts w:hint="eastAsia" w:ascii="仿宋" w:hAnsi="仿宋" w:cs="仿宋"/>
                <w:color w:val="auto"/>
                <w:sz w:val="21"/>
                <w:szCs w:val="21"/>
              </w:rPr>
            </w:pPr>
          </w:p>
        </w:tc>
      </w:tr>
      <w:tr w14:paraId="2DFAD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77" w:type="pct"/>
            <w:vMerge w:val="restart"/>
            <w:tcBorders>
              <w:tl2br w:val="nil"/>
              <w:tr2bl w:val="nil"/>
            </w:tcBorders>
            <w:noWrap w:val="0"/>
            <w:vAlign w:val="center"/>
          </w:tcPr>
          <w:p w14:paraId="705104F7">
            <w:pPr>
              <w:widowControl/>
              <w:jc w:val="center"/>
              <w:textAlignment w:val="center"/>
              <w:rPr>
                <w:rFonts w:hint="eastAsia" w:ascii="仿宋" w:hAnsi="仿宋" w:eastAsia="宋体" w:cs="仿宋"/>
                <w:color w:val="auto"/>
                <w:sz w:val="21"/>
                <w:szCs w:val="21"/>
                <w:lang w:val="en-US" w:eastAsia="zh-CN"/>
              </w:rPr>
            </w:pPr>
            <w:r>
              <w:rPr>
                <w:rFonts w:hint="eastAsia" w:ascii="仿宋" w:hAnsi="仿宋" w:cs="仿宋"/>
                <w:color w:val="auto"/>
                <w:kern w:val="0"/>
                <w:sz w:val="21"/>
                <w:szCs w:val="21"/>
                <w:lang w:val="en-US" w:eastAsia="zh-CN" w:bidi="ar"/>
              </w:rPr>
              <w:t>4</w:t>
            </w:r>
          </w:p>
        </w:tc>
        <w:tc>
          <w:tcPr>
            <w:tcW w:w="1609" w:type="pct"/>
            <w:vMerge w:val="restart"/>
            <w:tcBorders>
              <w:tl2br w:val="nil"/>
              <w:tr2bl w:val="nil"/>
            </w:tcBorders>
            <w:noWrap w:val="0"/>
            <w:vAlign w:val="center"/>
          </w:tcPr>
          <w:p w14:paraId="7EFB0CCD">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日常监管</w:t>
            </w:r>
          </w:p>
        </w:tc>
        <w:tc>
          <w:tcPr>
            <w:tcW w:w="2378" w:type="pct"/>
            <w:tcBorders>
              <w:tl2br w:val="nil"/>
              <w:tr2bl w:val="nil"/>
            </w:tcBorders>
            <w:noWrap w:val="0"/>
            <w:vAlign w:val="center"/>
          </w:tcPr>
          <w:p w14:paraId="597EEC93">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日常监看</w:t>
            </w:r>
          </w:p>
        </w:tc>
        <w:tc>
          <w:tcPr>
            <w:tcW w:w="634" w:type="pct"/>
            <w:vMerge w:val="restart"/>
            <w:tcBorders>
              <w:tl2br w:val="nil"/>
              <w:tr2bl w:val="nil"/>
            </w:tcBorders>
            <w:noWrap w:val="0"/>
            <w:vAlign w:val="center"/>
          </w:tcPr>
          <w:p w14:paraId="56504255">
            <w:pPr>
              <w:widowControl/>
              <w:jc w:val="center"/>
              <w:textAlignment w:val="center"/>
              <w:rPr>
                <w:rFonts w:hint="eastAsia" w:ascii="仿宋" w:hAnsi="仿宋" w:cs="仿宋"/>
                <w:color w:val="auto"/>
                <w:sz w:val="21"/>
                <w:szCs w:val="21"/>
              </w:rPr>
            </w:pPr>
            <w:r>
              <w:rPr>
                <w:rFonts w:hint="eastAsia" w:ascii="仿宋" w:hAnsi="仿宋" w:cs="仿宋"/>
                <w:color w:val="auto"/>
                <w:kern w:val="0"/>
                <w:sz w:val="22"/>
                <w:lang w:bidi="ar"/>
              </w:rPr>
              <w:t>人月</w:t>
            </w:r>
          </w:p>
        </w:tc>
      </w:tr>
      <w:tr w14:paraId="2CF0E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77" w:type="pct"/>
            <w:vMerge w:val="continue"/>
            <w:tcBorders>
              <w:tl2br w:val="nil"/>
              <w:tr2bl w:val="nil"/>
            </w:tcBorders>
            <w:noWrap w:val="0"/>
            <w:vAlign w:val="center"/>
          </w:tcPr>
          <w:p w14:paraId="580E46C4">
            <w:pPr>
              <w:jc w:val="center"/>
              <w:rPr>
                <w:rFonts w:hint="eastAsia" w:ascii="仿宋" w:hAnsi="仿宋" w:cs="仿宋"/>
                <w:color w:val="auto"/>
                <w:sz w:val="21"/>
                <w:szCs w:val="21"/>
              </w:rPr>
            </w:pPr>
          </w:p>
        </w:tc>
        <w:tc>
          <w:tcPr>
            <w:tcW w:w="1609" w:type="pct"/>
            <w:vMerge w:val="continue"/>
            <w:tcBorders>
              <w:tl2br w:val="nil"/>
              <w:tr2bl w:val="nil"/>
            </w:tcBorders>
            <w:noWrap w:val="0"/>
            <w:vAlign w:val="center"/>
          </w:tcPr>
          <w:p w14:paraId="6F6565D6">
            <w:pPr>
              <w:rPr>
                <w:rFonts w:hint="eastAsia" w:ascii="仿宋" w:hAnsi="仿宋" w:cs="仿宋"/>
                <w:color w:val="auto"/>
                <w:sz w:val="21"/>
                <w:szCs w:val="21"/>
              </w:rPr>
            </w:pPr>
          </w:p>
        </w:tc>
        <w:tc>
          <w:tcPr>
            <w:tcW w:w="2378" w:type="pct"/>
            <w:tcBorders>
              <w:tl2br w:val="nil"/>
              <w:tr2bl w:val="nil"/>
            </w:tcBorders>
            <w:noWrap w:val="0"/>
            <w:vAlign w:val="center"/>
          </w:tcPr>
          <w:p w14:paraId="141A48BD">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数据报表</w:t>
            </w:r>
          </w:p>
        </w:tc>
        <w:tc>
          <w:tcPr>
            <w:tcW w:w="634" w:type="pct"/>
            <w:vMerge w:val="continue"/>
            <w:tcBorders>
              <w:tl2br w:val="nil"/>
              <w:tr2bl w:val="nil"/>
            </w:tcBorders>
            <w:noWrap w:val="0"/>
            <w:vAlign w:val="center"/>
          </w:tcPr>
          <w:p w14:paraId="2EC7AD5D">
            <w:pPr>
              <w:widowControl/>
              <w:jc w:val="center"/>
              <w:textAlignment w:val="center"/>
              <w:rPr>
                <w:rFonts w:hint="eastAsia" w:ascii="仿宋" w:hAnsi="仿宋" w:cs="仿宋"/>
                <w:color w:val="auto"/>
                <w:sz w:val="21"/>
                <w:szCs w:val="21"/>
              </w:rPr>
            </w:pPr>
          </w:p>
        </w:tc>
      </w:tr>
      <w:tr w14:paraId="1FE31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77" w:type="pct"/>
            <w:vMerge w:val="restart"/>
            <w:tcBorders>
              <w:tl2br w:val="nil"/>
              <w:tr2bl w:val="nil"/>
            </w:tcBorders>
            <w:noWrap w:val="0"/>
            <w:vAlign w:val="center"/>
          </w:tcPr>
          <w:p w14:paraId="6D8E12FA">
            <w:pPr>
              <w:widowControl/>
              <w:jc w:val="center"/>
              <w:textAlignment w:val="center"/>
              <w:rPr>
                <w:rFonts w:hint="eastAsia" w:ascii="仿宋" w:hAnsi="仿宋" w:eastAsia="宋体" w:cs="仿宋"/>
                <w:color w:val="auto"/>
                <w:sz w:val="22"/>
                <w:lang w:val="en-US" w:eastAsia="zh-CN"/>
              </w:rPr>
            </w:pPr>
            <w:r>
              <w:rPr>
                <w:rFonts w:hint="eastAsia" w:ascii="仿宋" w:hAnsi="仿宋" w:cs="仿宋"/>
                <w:color w:val="auto"/>
                <w:kern w:val="0"/>
                <w:sz w:val="22"/>
                <w:lang w:val="en-US" w:eastAsia="zh-CN" w:bidi="ar"/>
              </w:rPr>
              <w:t>5</w:t>
            </w:r>
          </w:p>
        </w:tc>
        <w:tc>
          <w:tcPr>
            <w:tcW w:w="1609" w:type="pct"/>
            <w:vMerge w:val="restart"/>
            <w:tcBorders>
              <w:tl2br w:val="nil"/>
              <w:tr2bl w:val="nil"/>
            </w:tcBorders>
            <w:noWrap w:val="0"/>
            <w:vAlign w:val="center"/>
          </w:tcPr>
          <w:p w14:paraId="4DB754C8">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智能逻辑分析引擎模块</w:t>
            </w:r>
          </w:p>
        </w:tc>
        <w:tc>
          <w:tcPr>
            <w:tcW w:w="2378" w:type="pct"/>
            <w:tcBorders>
              <w:tl2br w:val="nil"/>
              <w:tr2bl w:val="nil"/>
            </w:tcBorders>
            <w:noWrap w:val="0"/>
            <w:vAlign w:val="center"/>
          </w:tcPr>
          <w:p w14:paraId="1690A922">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逻辑分类</w:t>
            </w:r>
          </w:p>
        </w:tc>
        <w:tc>
          <w:tcPr>
            <w:tcW w:w="634" w:type="pct"/>
            <w:vMerge w:val="restart"/>
            <w:tcBorders>
              <w:tl2br w:val="nil"/>
              <w:tr2bl w:val="nil"/>
            </w:tcBorders>
            <w:noWrap w:val="0"/>
            <w:vAlign w:val="center"/>
          </w:tcPr>
          <w:p w14:paraId="455B0EF3">
            <w:pPr>
              <w:widowControl/>
              <w:jc w:val="center"/>
              <w:textAlignment w:val="center"/>
              <w:rPr>
                <w:rFonts w:hint="eastAsia" w:ascii="仿宋" w:hAnsi="仿宋" w:cs="仿宋"/>
                <w:color w:val="auto"/>
                <w:sz w:val="22"/>
              </w:rPr>
            </w:pPr>
            <w:r>
              <w:rPr>
                <w:rFonts w:hint="eastAsia" w:ascii="仿宋" w:hAnsi="仿宋" w:cs="仿宋"/>
                <w:color w:val="auto"/>
                <w:kern w:val="0"/>
                <w:sz w:val="22"/>
                <w:lang w:bidi="ar"/>
              </w:rPr>
              <w:t>人月</w:t>
            </w:r>
          </w:p>
        </w:tc>
      </w:tr>
      <w:tr w14:paraId="5656F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77" w:type="pct"/>
            <w:vMerge w:val="continue"/>
            <w:tcBorders>
              <w:tl2br w:val="nil"/>
              <w:tr2bl w:val="nil"/>
            </w:tcBorders>
            <w:noWrap w:val="0"/>
            <w:vAlign w:val="center"/>
          </w:tcPr>
          <w:p w14:paraId="4050FD10">
            <w:pPr>
              <w:jc w:val="center"/>
              <w:rPr>
                <w:rFonts w:hint="eastAsia" w:ascii="仿宋" w:hAnsi="仿宋" w:cs="仿宋"/>
                <w:color w:val="auto"/>
                <w:sz w:val="22"/>
              </w:rPr>
            </w:pPr>
          </w:p>
        </w:tc>
        <w:tc>
          <w:tcPr>
            <w:tcW w:w="1609" w:type="pct"/>
            <w:vMerge w:val="continue"/>
            <w:tcBorders>
              <w:tl2br w:val="nil"/>
              <w:tr2bl w:val="nil"/>
            </w:tcBorders>
            <w:noWrap w:val="0"/>
            <w:vAlign w:val="center"/>
          </w:tcPr>
          <w:p w14:paraId="505CACC5">
            <w:pPr>
              <w:rPr>
                <w:rFonts w:hint="eastAsia" w:ascii="仿宋" w:hAnsi="仿宋" w:cs="仿宋"/>
                <w:color w:val="auto"/>
                <w:sz w:val="22"/>
              </w:rPr>
            </w:pPr>
          </w:p>
        </w:tc>
        <w:tc>
          <w:tcPr>
            <w:tcW w:w="2378" w:type="pct"/>
            <w:tcBorders>
              <w:tl2br w:val="nil"/>
              <w:tr2bl w:val="nil"/>
            </w:tcBorders>
            <w:noWrap w:val="0"/>
            <w:vAlign w:val="center"/>
          </w:tcPr>
          <w:p w14:paraId="40A9B06C">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逻辑门限管理</w:t>
            </w:r>
          </w:p>
        </w:tc>
        <w:tc>
          <w:tcPr>
            <w:tcW w:w="634" w:type="pct"/>
            <w:vMerge w:val="continue"/>
            <w:tcBorders>
              <w:tl2br w:val="nil"/>
              <w:tr2bl w:val="nil"/>
            </w:tcBorders>
            <w:noWrap w:val="0"/>
            <w:vAlign w:val="center"/>
          </w:tcPr>
          <w:p w14:paraId="1348BAF9">
            <w:pPr>
              <w:widowControl/>
              <w:jc w:val="center"/>
              <w:textAlignment w:val="center"/>
              <w:rPr>
                <w:rFonts w:hint="eastAsia" w:ascii="仿宋" w:hAnsi="仿宋" w:cs="仿宋"/>
                <w:color w:val="auto"/>
                <w:sz w:val="22"/>
              </w:rPr>
            </w:pPr>
          </w:p>
        </w:tc>
      </w:tr>
      <w:tr w14:paraId="40AFC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77" w:type="pct"/>
            <w:vMerge w:val="continue"/>
            <w:tcBorders>
              <w:tl2br w:val="nil"/>
              <w:tr2bl w:val="nil"/>
            </w:tcBorders>
            <w:noWrap w:val="0"/>
            <w:vAlign w:val="center"/>
          </w:tcPr>
          <w:p w14:paraId="02D7A270">
            <w:pPr>
              <w:jc w:val="center"/>
              <w:rPr>
                <w:rFonts w:hint="eastAsia" w:ascii="仿宋" w:hAnsi="仿宋" w:cs="仿宋"/>
                <w:color w:val="auto"/>
                <w:sz w:val="22"/>
              </w:rPr>
            </w:pPr>
          </w:p>
        </w:tc>
        <w:tc>
          <w:tcPr>
            <w:tcW w:w="1609" w:type="pct"/>
            <w:vMerge w:val="continue"/>
            <w:tcBorders>
              <w:tl2br w:val="nil"/>
              <w:tr2bl w:val="nil"/>
            </w:tcBorders>
            <w:noWrap w:val="0"/>
            <w:vAlign w:val="center"/>
          </w:tcPr>
          <w:p w14:paraId="028BABAC">
            <w:pPr>
              <w:rPr>
                <w:rFonts w:hint="eastAsia" w:ascii="仿宋" w:hAnsi="仿宋" w:cs="仿宋"/>
                <w:color w:val="auto"/>
                <w:sz w:val="22"/>
              </w:rPr>
            </w:pPr>
          </w:p>
        </w:tc>
        <w:tc>
          <w:tcPr>
            <w:tcW w:w="2378" w:type="pct"/>
            <w:tcBorders>
              <w:tl2br w:val="nil"/>
              <w:tr2bl w:val="nil"/>
            </w:tcBorders>
            <w:noWrap w:val="0"/>
            <w:vAlign w:val="center"/>
          </w:tcPr>
          <w:p w14:paraId="604ABA52">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逻辑任务应用</w:t>
            </w:r>
          </w:p>
        </w:tc>
        <w:tc>
          <w:tcPr>
            <w:tcW w:w="634" w:type="pct"/>
            <w:vMerge w:val="continue"/>
            <w:tcBorders>
              <w:tl2br w:val="nil"/>
              <w:tr2bl w:val="nil"/>
            </w:tcBorders>
            <w:noWrap w:val="0"/>
            <w:vAlign w:val="center"/>
          </w:tcPr>
          <w:p w14:paraId="0DC1F047">
            <w:pPr>
              <w:widowControl/>
              <w:jc w:val="center"/>
              <w:textAlignment w:val="center"/>
              <w:rPr>
                <w:rFonts w:hint="eastAsia" w:ascii="仿宋" w:hAnsi="仿宋" w:cs="仿宋"/>
                <w:color w:val="auto"/>
                <w:sz w:val="22"/>
              </w:rPr>
            </w:pPr>
          </w:p>
        </w:tc>
      </w:tr>
      <w:tr w14:paraId="08BD7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77" w:type="pct"/>
            <w:vMerge w:val="restart"/>
            <w:tcBorders>
              <w:tl2br w:val="nil"/>
              <w:tr2bl w:val="nil"/>
            </w:tcBorders>
            <w:noWrap w:val="0"/>
            <w:vAlign w:val="center"/>
          </w:tcPr>
          <w:p w14:paraId="7481D12F">
            <w:pPr>
              <w:widowControl/>
              <w:jc w:val="center"/>
              <w:textAlignment w:val="center"/>
              <w:rPr>
                <w:rFonts w:hint="eastAsia" w:ascii="仿宋" w:hAnsi="仿宋" w:eastAsia="宋体" w:cs="仿宋"/>
                <w:color w:val="auto"/>
                <w:sz w:val="22"/>
                <w:lang w:val="en-US" w:eastAsia="zh-CN"/>
              </w:rPr>
            </w:pPr>
            <w:r>
              <w:rPr>
                <w:rFonts w:hint="eastAsia" w:ascii="仿宋" w:hAnsi="仿宋" w:cs="仿宋"/>
                <w:color w:val="auto"/>
                <w:kern w:val="0"/>
                <w:sz w:val="22"/>
                <w:lang w:val="en-US" w:eastAsia="zh-CN" w:bidi="ar"/>
              </w:rPr>
              <w:t>6</w:t>
            </w:r>
          </w:p>
        </w:tc>
        <w:tc>
          <w:tcPr>
            <w:tcW w:w="1609" w:type="pct"/>
            <w:vMerge w:val="restart"/>
            <w:tcBorders>
              <w:tl2br w:val="nil"/>
              <w:tr2bl w:val="nil"/>
            </w:tcBorders>
            <w:noWrap w:val="0"/>
            <w:vAlign w:val="center"/>
          </w:tcPr>
          <w:p w14:paraId="0272CEE2">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多画面监看预警模块</w:t>
            </w:r>
          </w:p>
        </w:tc>
        <w:tc>
          <w:tcPr>
            <w:tcW w:w="2378" w:type="pct"/>
            <w:tcBorders>
              <w:tl2br w:val="nil"/>
              <w:tr2bl w:val="nil"/>
            </w:tcBorders>
            <w:noWrap w:val="0"/>
            <w:vAlign w:val="center"/>
          </w:tcPr>
          <w:p w14:paraId="6F086BB8">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多画面服务管理</w:t>
            </w:r>
          </w:p>
        </w:tc>
        <w:tc>
          <w:tcPr>
            <w:tcW w:w="634" w:type="pct"/>
            <w:vMerge w:val="restart"/>
            <w:tcBorders>
              <w:tl2br w:val="nil"/>
              <w:tr2bl w:val="nil"/>
            </w:tcBorders>
            <w:noWrap w:val="0"/>
            <w:vAlign w:val="center"/>
          </w:tcPr>
          <w:p w14:paraId="12B64D61">
            <w:pPr>
              <w:widowControl/>
              <w:jc w:val="center"/>
              <w:textAlignment w:val="center"/>
              <w:rPr>
                <w:rFonts w:hint="eastAsia" w:ascii="仿宋" w:hAnsi="仿宋" w:cs="仿宋"/>
                <w:color w:val="auto"/>
                <w:sz w:val="22"/>
              </w:rPr>
            </w:pPr>
            <w:r>
              <w:rPr>
                <w:rFonts w:hint="eastAsia" w:ascii="仿宋" w:hAnsi="仿宋" w:cs="仿宋"/>
                <w:color w:val="auto"/>
                <w:kern w:val="0"/>
                <w:sz w:val="22"/>
                <w:lang w:bidi="ar"/>
              </w:rPr>
              <w:t>人月</w:t>
            </w:r>
          </w:p>
        </w:tc>
      </w:tr>
      <w:tr w14:paraId="63C37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77" w:type="pct"/>
            <w:vMerge w:val="continue"/>
            <w:tcBorders>
              <w:tl2br w:val="nil"/>
              <w:tr2bl w:val="nil"/>
            </w:tcBorders>
            <w:noWrap w:val="0"/>
            <w:vAlign w:val="center"/>
          </w:tcPr>
          <w:p w14:paraId="3F691E39">
            <w:pPr>
              <w:jc w:val="center"/>
              <w:rPr>
                <w:rFonts w:hint="eastAsia" w:ascii="仿宋" w:hAnsi="仿宋" w:cs="仿宋"/>
                <w:color w:val="auto"/>
                <w:sz w:val="22"/>
              </w:rPr>
            </w:pPr>
          </w:p>
        </w:tc>
        <w:tc>
          <w:tcPr>
            <w:tcW w:w="1609" w:type="pct"/>
            <w:vMerge w:val="continue"/>
            <w:tcBorders>
              <w:tl2br w:val="nil"/>
              <w:tr2bl w:val="nil"/>
            </w:tcBorders>
            <w:noWrap w:val="0"/>
            <w:vAlign w:val="center"/>
          </w:tcPr>
          <w:p w14:paraId="686D1AE9">
            <w:pPr>
              <w:rPr>
                <w:rFonts w:hint="eastAsia" w:ascii="仿宋" w:hAnsi="仿宋" w:cs="仿宋"/>
                <w:color w:val="auto"/>
                <w:sz w:val="22"/>
              </w:rPr>
            </w:pPr>
          </w:p>
        </w:tc>
        <w:tc>
          <w:tcPr>
            <w:tcW w:w="2378" w:type="pct"/>
            <w:tcBorders>
              <w:tl2br w:val="nil"/>
              <w:tr2bl w:val="nil"/>
            </w:tcBorders>
            <w:noWrap w:val="0"/>
            <w:vAlign w:val="center"/>
          </w:tcPr>
          <w:p w14:paraId="4636B448">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多画面布局</w:t>
            </w:r>
          </w:p>
        </w:tc>
        <w:tc>
          <w:tcPr>
            <w:tcW w:w="634" w:type="pct"/>
            <w:vMerge w:val="continue"/>
            <w:tcBorders>
              <w:tl2br w:val="nil"/>
              <w:tr2bl w:val="nil"/>
            </w:tcBorders>
            <w:noWrap w:val="0"/>
            <w:vAlign w:val="center"/>
          </w:tcPr>
          <w:p w14:paraId="7A9132F9">
            <w:pPr>
              <w:widowControl/>
              <w:jc w:val="center"/>
              <w:textAlignment w:val="center"/>
              <w:rPr>
                <w:rFonts w:hint="eastAsia" w:ascii="仿宋" w:hAnsi="仿宋" w:cs="仿宋"/>
                <w:color w:val="auto"/>
                <w:sz w:val="22"/>
              </w:rPr>
            </w:pPr>
          </w:p>
        </w:tc>
      </w:tr>
      <w:tr w14:paraId="44656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77" w:type="pct"/>
            <w:vMerge w:val="continue"/>
            <w:tcBorders>
              <w:tl2br w:val="nil"/>
              <w:tr2bl w:val="nil"/>
            </w:tcBorders>
            <w:noWrap w:val="0"/>
            <w:vAlign w:val="center"/>
          </w:tcPr>
          <w:p w14:paraId="73A95AC3">
            <w:pPr>
              <w:jc w:val="center"/>
              <w:rPr>
                <w:rFonts w:hint="eastAsia" w:ascii="仿宋" w:hAnsi="仿宋" w:cs="仿宋"/>
                <w:color w:val="auto"/>
                <w:sz w:val="22"/>
              </w:rPr>
            </w:pPr>
          </w:p>
        </w:tc>
        <w:tc>
          <w:tcPr>
            <w:tcW w:w="1609" w:type="pct"/>
            <w:vMerge w:val="continue"/>
            <w:tcBorders>
              <w:tl2br w:val="nil"/>
              <w:tr2bl w:val="nil"/>
            </w:tcBorders>
            <w:noWrap w:val="0"/>
            <w:vAlign w:val="center"/>
          </w:tcPr>
          <w:p w14:paraId="232E616E">
            <w:pPr>
              <w:rPr>
                <w:rFonts w:hint="eastAsia" w:ascii="仿宋" w:hAnsi="仿宋" w:cs="仿宋"/>
                <w:color w:val="auto"/>
                <w:sz w:val="22"/>
              </w:rPr>
            </w:pPr>
          </w:p>
        </w:tc>
        <w:tc>
          <w:tcPr>
            <w:tcW w:w="2378" w:type="pct"/>
            <w:tcBorders>
              <w:tl2br w:val="nil"/>
              <w:tr2bl w:val="nil"/>
            </w:tcBorders>
            <w:noWrap w:val="0"/>
            <w:vAlign w:val="center"/>
          </w:tcPr>
          <w:p w14:paraId="2397917B">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多画面应用</w:t>
            </w:r>
          </w:p>
        </w:tc>
        <w:tc>
          <w:tcPr>
            <w:tcW w:w="634" w:type="pct"/>
            <w:vMerge w:val="continue"/>
            <w:tcBorders>
              <w:tl2br w:val="nil"/>
              <w:tr2bl w:val="nil"/>
            </w:tcBorders>
            <w:noWrap w:val="0"/>
            <w:vAlign w:val="center"/>
          </w:tcPr>
          <w:p w14:paraId="50C1DCBA">
            <w:pPr>
              <w:widowControl/>
              <w:jc w:val="center"/>
              <w:textAlignment w:val="center"/>
              <w:rPr>
                <w:rFonts w:hint="eastAsia" w:ascii="仿宋" w:hAnsi="仿宋" w:cs="仿宋"/>
                <w:color w:val="auto"/>
                <w:sz w:val="22"/>
              </w:rPr>
            </w:pPr>
          </w:p>
        </w:tc>
      </w:tr>
      <w:tr w14:paraId="3CD83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77" w:type="pct"/>
            <w:vMerge w:val="restart"/>
            <w:tcBorders>
              <w:tl2br w:val="nil"/>
              <w:tr2bl w:val="nil"/>
            </w:tcBorders>
            <w:noWrap w:val="0"/>
            <w:vAlign w:val="center"/>
          </w:tcPr>
          <w:p w14:paraId="2F832F4F">
            <w:pPr>
              <w:widowControl/>
              <w:jc w:val="center"/>
              <w:textAlignment w:val="center"/>
              <w:rPr>
                <w:rFonts w:hint="eastAsia" w:ascii="仿宋" w:hAnsi="仿宋" w:eastAsia="宋体" w:cs="仿宋"/>
                <w:color w:val="auto"/>
                <w:sz w:val="22"/>
                <w:lang w:eastAsia="zh-CN"/>
              </w:rPr>
            </w:pPr>
            <w:r>
              <w:rPr>
                <w:rFonts w:hint="eastAsia" w:ascii="仿宋" w:hAnsi="仿宋" w:cs="仿宋"/>
                <w:color w:val="auto"/>
                <w:kern w:val="0"/>
                <w:sz w:val="22"/>
                <w:lang w:val="en-US" w:eastAsia="zh-CN" w:bidi="ar"/>
              </w:rPr>
              <w:t>7</w:t>
            </w:r>
          </w:p>
        </w:tc>
        <w:tc>
          <w:tcPr>
            <w:tcW w:w="1609" w:type="pct"/>
            <w:vMerge w:val="restart"/>
            <w:tcBorders>
              <w:tl2br w:val="nil"/>
              <w:tr2bl w:val="nil"/>
            </w:tcBorders>
            <w:noWrap w:val="0"/>
            <w:vAlign w:val="center"/>
          </w:tcPr>
          <w:p w14:paraId="36603894">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全媒体收录模块</w:t>
            </w:r>
          </w:p>
        </w:tc>
        <w:tc>
          <w:tcPr>
            <w:tcW w:w="2378" w:type="pct"/>
            <w:tcBorders>
              <w:tl2br w:val="nil"/>
              <w:tr2bl w:val="nil"/>
            </w:tcBorders>
            <w:noWrap w:val="0"/>
            <w:vAlign w:val="center"/>
          </w:tcPr>
          <w:p w14:paraId="0747CA7B">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集群管理配置</w:t>
            </w:r>
          </w:p>
        </w:tc>
        <w:tc>
          <w:tcPr>
            <w:tcW w:w="634" w:type="pct"/>
            <w:vMerge w:val="restart"/>
            <w:tcBorders>
              <w:tl2br w:val="nil"/>
              <w:tr2bl w:val="nil"/>
            </w:tcBorders>
            <w:noWrap w:val="0"/>
            <w:vAlign w:val="center"/>
          </w:tcPr>
          <w:p w14:paraId="351093C9">
            <w:pPr>
              <w:widowControl/>
              <w:jc w:val="center"/>
              <w:textAlignment w:val="center"/>
              <w:rPr>
                <w:rFonts w:hint="eastAsia" w:ascii="仿宋" w:hAnsi="仿宋" w:cs="仿宋"/>
                <w:color w:val="auto"/>
                <w:sz w:val="22"/>
              </w:rPr>
            </w:pPr>
            <w:r>
              <w:rPr>
                <w:rFonts w:hint="eastAsia" w:ascii="仿宋" w:hAnsi="仿宋" w:cs="仿宋"/>
                <w:color w:val="auto"/>
                <w:kern w:val="0"/>
                <w:sz w:val="22"/>
                <w:lang w:bidi="ar"/>
              </w:rPr>
              <w:t>人月</w:t>
            </w:r>
          </w:p>
        </w:tc>
      </w:tr>
      <w:tr w14:paraId="02712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77" w:type="pct"/>
            <w:vMerge w:val="continue"/>
            <w:tcBorders>
              <w:tl2br w:val="nil"/>
              <w:tr2bl w:val="nil"/>
            </w:tcBorders>
            <w:noWrap w:val="0"/>
            <w:vAlign w:val="center"/>
          </w:tcPr>
          <w:p w14:paraId="3CD81DCF">
            <w:pPr>
              <w:jc w:val="center"/>
              <w:rPr>
                <w:rFonts w:hint="eastAsia" w:ascii="仿宋" w:hAnsi="仿宋" w:cs="仿宋"/>
                <w:color w:val="auto"/>
                <w:sz w:val="22"/>
              </w:rPr>
            </w:pPr>
          </w:p>
        </w:tc>
        <w:tc>
          <w:tcPr>
            <w:tcW w:w="1609" w:type="pct"/>
            <w:vMerge w:val="continue"/>
            <w:tcBorders>
              <w:tl2br w:val="nil"/>
              <w:tr2bl w:val="nil"/>
            </w:tcBorders>
            <w:noWrap w:val="0"/>
            <w:vAlign w:val="center"/>
          </w:tcPr>
          <w:p w14:paraId="3395274A">
            <w:pPr>
              <w:rPr>
                <w:rFonts w:hint="eastAsia" w:ascii="仿宋" w:hAnsi="仿宋" w:cs="仿宋"/>
                <w:color w:val="auto"/>
                <w:sz w:val="22"/>
              </w:rPr>
            </w:pPr>
          </w:p>
        </w:tc>
        <w:tc>
          <w:tcPr>
            <w:tcW w:w="2378" w:type="pct"/>
            <w:tcBorders>
              <w:tl2br w:val="nil"/>
              <w:tr2bl w:val="nil"/>
            </w:tcBorders>
            <w:noWrap w:val="0"/>
            <w:vAlign w:val="center"/>
          </w:tcPr>
          <w:p w14:paraId="2FDFE965">
            <w:pPr>
              <w:widowControl/>
              <w:jc w:val="left"/>
              <w:textAlignment w:val="center"/>
              <w:rPr>
                <w:rFonts w:hint="eastAsia" w:ascii="仿宋" w:hAnsi="仿宋" w:cs="仿宋"/>
                <w:color w:val="auto"/>
                <w:sz w:val="22"/>
              </w:rPr>
            </w:pPr>
            <w:r>
              <w:rPr>
                <w:rFonts w:hint="eastAsia" w:ascii="仿宋" w:hAnsi="仿宋" w:cs="仿宋"/>
                <w:color w:val="auto"/>
                <w:kern w:val="0"/>
                <w:sz w:val="22"/>
                <w:lang w:bidi="ar"/>
              </w:rPr>
              <w:t>收录任务配置</w:t>
            </w:r>
          </w:p>
        </w:tc>
        <w:tc>
          <w:tcPr>
            <w:tcW w:w="634" w:type="pct"/>
            <w:vMerge w:val="continue"/>
            <w:tcBorders>
              <w:tl2br w:val="nil"/>
              <w:tr2bl w:val="nil"/>
            </w:tcBorders>
            <w:noWrap w:val="0"/>
            <w:vAlign w:val="center"/>
          </w:tcPr>
          <w:p w14:paraId="54C9C8C3">
            <w:pPr>
              <w:widowControl/>
              <w:jc w:val="center"/>
              <w:textAlignment w:val="center"/>
              <w:rPr>
                <w:rFonts w:hint="eastAsia" w:ascii="仿宋" w:hAnsi="仿宋" w:cs="仿宋"/>
                <w:color w:val="auto"/>
                <w:sz w:val="22"/>
              </w:rPr>
            </w:pPr>
          </w:p>
        </w:tc>
      </w:tr>
    </w:tbl>
    <w:p w14:paraId="0D2286E4">
      <w:pPr>
        <w:pStyle w:val="2"/>
        <w:ind w:left="0" w:leftChars="0" w:firstLine="0" w:firstLineChars="0"/>
        <w:rPr>
          <w:rFonts w:hint="eastAsia"/>
          <w:lang w:eastAsia="zh-CN"/>
        </w:rPr>
      </w:pPr>
    </w:p>
    <w:p w14:paraId="732F3A90">
      <w:pPr>
        <w:spacing w:line="360" w:lineRule="auto"/>
        <w:rPr>
          <w:rFonts w:hint="eastAsia"/>
          <w:lang w:eastAsia="zh-CN"/>
        </w:rPr>
      </w:pPr>
      <w:r>
        <w:rPr>
          <w:rFonts w:hint="eastAsia" w:ascii="宋体" w:hAnsi="宋体"/>
          <w:b/>
          <w:szCs w:val="21"/>
          <w:lang w:val="en-US" w:eastAsia="zh-CN"/>
        </w:rPr>
        <w:t>二</w:t>
      </w:r>
      <w:r>
        <w:rPr>
          <w:rFonts w:hint="eastAsia" w:ascii="宋体" w:hAnsi="宋体"/>
          <w:b/>
          <w:szCs w:val="21"/>
        </w:rPr>
        <w:t>、</w:t>
      </w:r>
      <w:r>
        <w:rPr>
          <w:rFonts w:hint="eastAsia" w:ascii="宋体" w:hAnsi="宋体"/>
          <w:b/>
          <w:szCs w:val="21"/>
          <w:lang w:val="en-US" w:eastAsia="zh-CN"/>
        </w:rPr>
        <w:t>系统设备需求清单</w:t>
      </w:r>
    </w:p>
    <w:tbl>
      <w:tblPr>
        <w:tblStyle w:val="37"/>
        <w:tblW w:w="4694" w:type="pct"/>
        <w:tblInd w:w="4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946"/>
        <w:gridCol w:w="5802"/>
        <w:gridCol w:w="500"/>
        <w:gridCol w:w="502"/>
        <w:gridCol w:w="822"/>
      </w:tblGrid>
      <w:tr w14:paraId="25709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368" w:type="pct"/>
            <w:noWrap w:val="0"/>
            <w:vAlign w:val="center"/>
          </w:tcPr>
          <w:p w14:paraId="38A700F0">
            <w:pPr>
              <w:widowControl/>
              <w:jc w:val="center"/>
              <w:rPr>
                <w:rFonts w:ascii="宋体" w:hAnsi="宋体" w:cs="宋体"/>
                <w:b/>
                <w:bCs/>
                <w:kern w:val="0"/>
                <w:sz w:val="20"/>
                <w:szCs w:val="20"/>
              </w:rPr>
            </w:pPr>
            <w:r>
              <w:rPr>
                <w:rFonts w:hint="eastAsia" w:ascii="宋体" w:hAnsi="宋体" w:cs="宋体"/>
                <w:b/>
                <w:bCs/>
                <w:kern w:val="0"/>
                <w:sz w:val="20"/>
                <w:szCs w:val="20"/>
              </w:rPr>
              <w:t>序号</w:t>
            </w:r>
          </w:p>
        </w:tc>
        <w:tc>
          <w:tcPr>
            <w:tcW w:w="511" w:type="pct"/>
            <w:noWrap w:val="0"/>
            <w:vAlign w:val="center"/>
          </w:tcPr>
          <w:p w14:paraId="449B32F2">
            <w:pPr>
              <w:widowControl/>
              <w:jc w:val="center"/>
              <w:rPr>
                <w:rFonts w:hint="eastAsia" w:ascii="宋体" w:hAnsi="宋体" w:cs="宋体"/>
                <w:b/>
                <w:bCs/>
                <w:kern w:val="0"/>
                <w:sz w:val="20"/>
                <w:szCs w:val="20"/>
              </w:rPr>
            </w:pPr>
            <w:r>
              <w:rPr>
                <w:rFonts w:hint="eastAsia" w:ascii="宋体" w:hAnsi="宋体" w:cs="宋体"/>
                <w:b/>
                <w:bCs/>
                <w:kern w:val="0"/>
                <w:sz w:val="20"/>
                <w:szCs w:val="20"/>
              </w:rPr>
              <w:t>产品名称</w:t>
            </w:r>
          </w:p>
        </w:tc>
        <w:tc>
          <w:tcPr>
            <w:tcW w:w="3134" w:type="pct"/>
            <w:noWrap w:val="0"/>
            <w:vAlign w:val="center"/>
          </w:tcPr>
          <w:p w14:paraId="0C64CF65">
            <w:pPr>
              <w:widowControl/>
              <w:jc w:val="center"/>
              <w:rPr>
                <w:rFonts w:hint="eastAsia" w:ascii="宋体" w:hAnsi="宋体" w:cs="宋体"/>
                <w:b/>
                <w:bCs/>
                <w:kern w:val="0"/>
                <w:sz w:val="20"/>
                <w:szCs w:val="20"/>
              </w:rPr>
            </w:pPr>
            <w:r>
              <w:rPr>
                <w:rFonts w:hint="eastAsia" w:ascii="宋体" w:hAnsi="宋体" w:cs="宋体"/>
                <w:b/>
                <w:bCs/>
                <w:kern w:val="0"/>
                <w:sz w:val="20"/>
                <w:szCs w:val="20"/>
              </w:rPr>
              <w:t>产品描述/配置参数</w:t>
            </w:r>
          </w:p>
        </w:tc>
        <w:tc>
          <w:tcPr>
            <w:tcW w:w="270" w:type="pct"/>
            <w:noWrap w:val="0"/>
            <w:vAlign w:val="center"/>
          </w:tcPr>
          <w:p w14:paraId="08E57B47">
            <w:pPr>
              <w:widowControl/>
              <w:jc w:val="center"/>
              <w:rPr>
                <w:rFonts w:hint="eastAsia" w:ascii="宋体" w:hAnsi="宋体" w:cs="宋体"/>
                <w:b/>
                <w:bCs/>
                <w:kern w:val="0"/>
                <w:sz w:val="20"/>
                <w:szCs w:val="20"/>
              </w:rPr>
            </w:pPr>
            <w:r>
              <w:rPr>
                <w:rFonts w:hint="eastAsia" w:ascii="宋体" w:hAnsi="宋体" w:cs="宋体"/>
                <w:b/>
                <w:bCs/>
                <w:kern w:val="0"/>
                <w:sz w:val="20"/>
                <w:szCs w:val="20"/>
              </w:rPr>
              <w:t>单位</w:t>
            </w:r>
          </w:p>
        </w:tc>
        <w:tc>
          <w:tcPr>
            <w:tcW w:w="271" w:type="pct"/>
            <w:noWrap w:val="0"/>
            <w:vAlign w:val="center"/>
          </w:tcPr>
          <w:p w14:paraId="13B16589">
            <w:pPr>
              <w:widowControl/>
              <w:jc w:val="center"/>
              <w:rPr>
                <w:rFonts w:hint="eastAsia" w:ascii="宋体" w:hAnsi="宋体" w:cs="宋体"/>
                <w:b/>
                <w:bCs/>
                <w:kern w:val="0"/>
                <w:sz w:val="20"/>
                <w:szCs w:val="20"/>
              </w:rPr>
            </w:pPr>
            <w:r>
              <w:rPr>
                <w:rFonts w:hint="eastAsia" w:ascii="宋体" w:hAnsi="宋体" w:cs="宋体"/>
                <w:b/>
                <w:bCs/>
                <w:kern w:val="0"/>
                <w:sz w:val="20"/>
                <w:szCs w:val="20"/>
              </w:rPr>
              <w:t>数量</w:t>
            </w:r>
          </w:p>
        </w:tc>
        <w:tc>
          <w:tcPr>
            <w:tcW w:w="444" w:type="pct"/>
            <w:noWrap w:val="0"/>
            <w:vAlign w:val="center"/>
          </w:tcPr>
          <w:p w14:paraId="07AC4147">
            <w:pPr>
              <w:widowControl/>
              <w:jc w:val="center"/>
              <w:rPr>
                <w:rFonts w:hint="eastAsia" w:ascii="宋体" w:hAnsi="宋体" w:cs="宋体"/>
                <w:b/>
                <w:bCs/>
                <w:kern w:val="0"/>
                <w:sz w:val="20"/>
                <w:szCs w:val="20"/>
              </w:rPr>
            </w:pPr>
            <w:r>
              <w:rPr>
                <w:rFonts w:hint="eastAsia" w:ascii="宋体" w:hAnsi="宋体" w:cs="宋体"/>
                <w:b/>
                <w:bCs/>
                <w:kern w:val="0"/>
                <w:sz w:val="20"/>
                <w:szCs w:val="20"/>
              </w:rPr>
              <w:t>备注</w:t>
            </w:r>
          </w:p>
        </w:tc>
      </w:tr>
      <w:tr w14:paraId="54C3F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368" w:type="pct"/>
            <w:noWrap w:val="0"/>
            <w:vAlign w:val="center"/>
          </w:tcPr>
          <w:p w14:paraId="4AAFEF06">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w:t>
            </w:r>
          </w:p>
        </w:tc>
        <w:tc>
          <w:tcPr>
            <w:tcW w:w="511" w:type="pct"/>
            <w:noWrap w:val="0"/>
            <w:vAlign w:val="center"/>
          </w:tcPr>
          <w:p w14:paraId="3FFE1EEF">
            <w:pPr>
              <w:pStyle w:val="13"/>
              <w:spacing w:line="240" w:lineRule="auto"/>
              <w:ind w:firstLine="0"/>
              <w:jc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平台服务器</w:t>
            </w:r>
          </w:p>
        </w:tc>
        <w:tc>
          <w:tcPr>
            <w:tcW w:w="3134" w:type="pct"/>
            <w:noWrap w:val="0"/>
            <w:vAlign w:val="center"/>
          </w:tcPr>
          <w:p w14:paraId="36611ABA">
            <w:pPr>
              <w:pStyle w:val="2"/>
              <w:numPr>
                <w:ilvl w:val="0"/>
                <w:numId w:val="0"/>
              </w:numPr>
              <w:ind w:leftChars="0"/>
              <w:jc w:val="both"/>
              <w:rPr>
                <w:rFonts w:hint="eastAsia"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1.国产服务器；</w:t>
            </w:r>
          </w:p>
          <w:p w14:paraId="2770F4A1">
            <w:pPr>
              <w:pStyle w:val="2"/>
              <w:numPr>
                <w:ilvl w:val="0"/>
                <w:numId w:val="0"/>
              </w:numPr>
              <w:ind w:leftChars="0"/>
              <w:jc w:val="left"/>
              <w:rPr>
                <w:rFonts w:hint="eastAsia"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2.CPU：性能不低于kunpeng920-32Core-2.6GHz *2个</w:t>
            </w:r>
          </w:p>
          <w:p w14:paraId="757A2633">
            <w:pPr>
              <w:pStyle w:val="2"/>
              <w:numPr>
                <w:ilvl w:val="0"/>
                <w:numId w:val="0"/>
              </w:numPr>
              <w:ind w:leftChars="0"/>
              <w:jc w:val="both"/>
              <w:rPr>
                <w:rFonts w:hint="default" w:ascii="宋体" w:hAnsi="宋体" w:eastAsia="宋体" w:cs="宋体"/>
                <w:kern w:val="2"/>
                <w:sz w:val="20"/>
                <w:szCs w:val="20"/>
                <w:highlight w:val="none"/>
                <w:lang w:val="en-US" w:eastAsia="zh-CN" w:bidi="ar-SA"/>
              </w:rPr>
            </w:pPr>
            <w:bookmarkStart w:id="25" w:name="_Hlk140667846"/>
            <w:r>
              <w:rPr>
                <w:rFonts w:hint="eastAsia"/>
              </w:rPr>
              <w:t>★</w:t>
            </w:r>
            <w:bookmarkEnd w:id="25"/>
            <w:r>
              <w:rPr>
                <w:rFonts w:hint="eastAsia" w:ascii="宋体" w:hAnsi="宋体" w:eastAsia="宋体" w:cs="宋体"/>
                <w:kern w:val="2"/>
                <w:sz w:val="20"/>
                <w:szCs w:val="20"/>
                <w:highlight w:val="none"/>
                <w:lang w:val="en-US" w:eastAsia="zh-CN" w:bidi="ar-SA"/>
              </w:rPr>
              <w:t>3.内存：≥DDR4 16G*4，内存的可扩展插槽数量≥4个</w:t>
            </w:r>
          </w:p>
          <w:p w14:paraId="7881CC72">
            <w:pPr>
              <w:pStyle w:val="2"/>
              <w:numPr>
                <w:ilvl w:val="0"/>
                <w:numId w:val="0"/>
              </w:numPr>
              <w:ind w:leftChars="0"/>
              <w:jc w:val="both"/>
              <w:rPr>
                <w:rFonts w:hint="default"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4.硬盘：≥SATA 6T*2</w:t>
            </w:r>
          </w:p>
          <w:p w14:paraId="0AF0CCE2">
            <w:pPr>
              <w:pStyle w:val="2"/>
              <w:numPr>
                <w:ilvl w:val="0"/>
                <w:numId w:val="0"/>
              </w:numPr>
              <w:ind w:leftChars="0"/>
              <w:jc w:val="both"/>
              <w:rPr>
                <w:rFonts w:hint="eastAsia"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5.机箱：2U机架服务器</w:t>
            </w:r>
          </w:p>
          <w:p w14:paraId="59435FB1">
            <w:pPr>
              <w:pStyle w:val="2"/>
              <w:numPr>
                <w:ilvl w:val="0"/>
                <w:numId w:val="0"/>
              </w:numPr>
              <w:ind w:leftChars="0"/>
              <w:jc w:val="left"/>
              <w:rPr>
                <w:rFonts w:hint="eastAsia" w:ascii="宋体" w:hAnsi="宋体" w:eastAsia="宋体" w:cs="宋体"/>
                <w:sz w:val="20"/>
                <w:szCs w:val="20"/>
                <w:highlight w:val="none"/>
                <w:lang w:val="en-US" w:eastAsia="zh-CN"/>
              </w:rPr>
            </w:pPr>
            <w:r>
              <w:rPr>
                <w:rFonts w:hint="eastAsia" w:ascii="宋体" w:hAnsi="宋体" w:eastAsia="宋体" w:cs="宋体"/>
                <w:kern w:val="2"/>
                <w:sz w:val="20"/>
                <w:szCs w:val="20"/>
                <w:highlight w:val="none"/>
                <w:lang w:val="en-US" w:eastAsia="zh-CN" w:bidi="ar-SA"/>
              </w:rPr>
              <w:t>6.电源模块：服务器交流电源模块*2</w:t>
            </w:r>
          </w:p>
        </w:tc>
        <w:tc>
          <w:tcPr>
            <w:tcW w:w="270" w:type="pct"/>
            <w:noWrap w:val="0"/>
            <w:vAlign w:val="center"/>
          </w:tcPr>
          <w:p w14:paraId="65B9B138">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台</w:t>
            </w:r>
          </w:p>
        </w:tc>
        <w:tc>
          <w:tcPr>
            <w:tcW w:w="271" w:type="pct"/>
            <w:noWrap w:val="0"/>
            <w:vAlign w:val="center"/>
          </w:tcPr>
          <w:p w14:paraId="486EF429">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rPr>
              <w:t>5</w:t>
            </w:r>
          </w:p>
        </w:tc>
        <w:tc>
          <w:tcPr>
            <w:tcW w:w="444" w:type="pct"/>
            <w:noWrap w:val="0"/>
            <w:vAlign w:val="top"/>
          </w:tcPr>
          <w:p w14:paraId="14EC5F2F">
            <w:pPr>
              <w:widowControl/>
              <w:jc w:val="center"/>
              <w:rPr>
                <w:rFonts w:hint="eastAsia" w:ascii="宋体" w:hAnsi="宋体" w:eastAsia="宋体" w:cs="宋体"/>
                <w:kern w:val="0"/>
                <w:sz w:val="20"/>
                <w:szCs w:val="20"/>
              </w:rPr>
            </w:pPr>
          </w:p>
        </w:tc>
      </w:tr>
      <w:tr w14:paraId="32175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368" w:type="pct"/>
            <w:noWrap w:val="0"/>
            <w:vAlign w:val="center"/>
          </w:tcPr>
          <w:p w14:paraId="2C079E1C">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w:t>
            </w:r>
          </w:p>
        </w:tc>
        <w:tc>
          <w:tcPr>
            <w:tcW w:w="511" w:type="pct"/>
            <w:noWrap w:val="0"/>
            <w:vAlign w:val="center"/>
          </w:tcPr>
          <w:p w14:paraId="21D07A2B">
            <w:pPr>
              <w:pStyle w:val="13"/>
              <w:spacing w:line="240" w:lineRule="auto"/>
              <w:ind w:firstLine="0"/>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交换机</w:t>
            </w:r>
          </w:p>
        </w:tc>
        <w:tc>
          <w:tcPr>
            <w:tcW w:w="3134" w:type="pct"/>
            <w:noWrap w:val="0"/>
            <w:vAlign w:val="center"/>
          </w:tcPr>
          <w:p w14:paraId="11870BAC">
            <w:pPr>
              <w:pStyle w:val="2"/>
              <w:numPr>
                <w:ilvl w:val="0"/>
                <w:numId w:val="0"/>
              </w:numPr>
              <w:ind w:leftChars="0"/>
              <w:jc w:val="both"/>
              <w:rPr>
                <w:rFonts w:hint="eastAsia" w:ascii="宋体" w:hAnsi="宋体" w:eastAsia="宋体" w:cs="宋体"/>
                <w:kern w:val="2"/>
                <w:sz w:val="20"/>
                <w:szCs w:val="20"/>
                <w:lang w:val="en-US" w:eastAsia="zh-CN" w:bidi="ar-SA"/>
              </w:rPr>
            </w:pPr>
            <w:r>
              <w:rPr>
                <w:rFonts w:hint="eastAsia" w:ascii="宋体" w:hAnsi="宋体" w:eastAsia="宋体" w:cs="宋体"/>
                <w:kern w:val="2"/>
                <w:sz w:val="20"/>
                <w:szCs w:val="20"/>
                <w:lang w:val="en-US" w:eastAsia="zh-CN" w:bidi="ar-SA"/>
              </w:rPr>
              <w:t>1.国产千兆交换机；</w:t>
            </w:r>
          </w:p>
          <w:p w14:paraId="5199D6E8">
            <w:pPr>
              <w:pStyle w:val="2"/>
              <w:numPr>
                <w:ilvl w:val="0"/>
                <w:numId w:val="0"/>
              </w:numPr>
              <w:ind w:leftChars="0"/>
              <w:jc w:val="both"/>
              <w:rPr>
                <w:rFonts w:hint="eastAsia" w:ascii="宋体" w:hAnsi="宋体" w:eastAsia="宋体" w:cs="宋体"/>
                <w:kern w:val="2"/>
                <w:sz w:val="20"/>
                <w:szCs w:val="20"/>
                <w:lang w:val="en-US" w:eastAsia="zh-CN" w:bidi="ar-SA"/>
              </w:rPr>
            </w:pPr>
            <w:r>
              <w:rPr>
                <w:rFonts w:hint="eastAsia" w:ascii="宋体" w:hAnsi="宋体" w:eastAsia="宋体" w:cs="宋体"/>
                <w:kern w:val="2"/>
                <w:sz w:val="20"/>
                <w:szCs w:val="20"/>
                <w:lang w:val="en-US" w:eastAsia="zh-CN" w:bidi="ar-SA"/>
              </w:rPr>
              <w:t>2.支持组播管理控制；</w:t>
            </w:r>
          </w:p>
          <w:p w14:paraId="28743EC5">
            <w:pPr>
              <w:pStyle w:val="2"/>
              <w:numPr>
                <w:ilvl w:val="0"/>
                <w:numId w:val="0"/>
              </w:numPr>
              <w:ind w:leftChars="0"/>
              <w:jc w:val="both"/>
              <w:rPr>
                <w:rFonts w:hint="eastAsia" w:ascii="宋体" w:hAnsi="宋体" w:eastAsia="宋体" w:cs="宋体"/>
                <w:kern w:val="2"/>
                <w:sz w:val="20"/>
                <w:szCs w:val="20"/>
                <w:lang w:val="en-US" w:eastAsia="zh-CN" w:bidi="ar-SA"/>
              </w:rPr>
            </w:pPr>
            <w:r>
              <w:rPr>
                <w:rFonts w:hint="eastAsia" w:ascii="宋体" w:hAnsi="宋体" w:eastAsia="宋体" w:cs="宋体"/>
                <w:kern w:val="2"/>
                <w:sz w:val="20"/>
                <w:szCs w:val="20"/>
                <w:lang w:val="en-US" w:eastAsia="zh-CN" w:bidi="ar-SA"/>
              </w:rPr>
              <w:t>3.应用层级：三层</w:t>
            </w:r>
          </w:p>
          <w:p w14:paraId="092C6C13">
            <w:pPr>
              <w:pStyle w:val="2"/>
              <w:numPr>
                <w:ilvl w:val="0"/>
                <w:numId w:val="0"/>
              </w:numPr>
              <w:ind w:leftChars="0"/>
              <w:jc w:val="both"/>
              <w:rPr>
                <w:rFonts w:hint="eastAsia" w:ascii="宋体" w:hAnsi="宋体" w:eastAsia="宋体" w:cs="宋体"/>
                <w:kern w:val="2"/>
                <w:sz w:val="20"/>
                <w:szCs w:val="20"/>
                <w:lang w:val="en-US" w:eastAsia="zh-CN" w:bidi="ar-SA"/>
              </w:rPr>
            </w:pPr>
            <w:r>
              <w:rPr>
                <w:rFonts w:hint="eastAsia" w:ascii="宋体" w:hAnsi="宋体" w:eastAsia="宋体" w:cs="宋体"/>
                <w:kern w:val="2"/>
                <w:sz w:val="20"/>
                <w:szCs w:val="20"/>
                <w:lang w:val="en-US" w:eastAsia="zh-CN" w:bidi="ar-SA"/>
              </w:rPr>
              <w:t>4.产品内存：</w:t>
            </w:r>
            <w:r>
              <w:rPr>
                <w:rFonts w:hint="eastAsia" w:ascii="宋体" w:hAnsi="宋体" w:eastAsia="宋体" w:cs="宋体"/>
                <w:kern w:val="2"/>
                <w:sz w:val="20"/>
                <w:szCs w:val="20"/>
                <w:highlight w:val="none"/>
                <w:lang w:val="en-US" w:eastAsia="zh-CN" w:bidi="ar-SA"/>
              </w:rPr>
              <w:t>≥</w:t>
            </w:r>
            <w:r>
              <w:rPr>
                <w:rFonts w:hint="eastAsia" w:ascii="宋体" w:hAnsi="宋体" w:eastAsia="宋体" w:cs="宋体"/>
                <w:kern w:val="2"/>
                <w:sz w:val="20"/>
                <w:szCs w:val="20"/>
                <w:lang w:val="en-US" w:eastAsia="zh-CN" w:bidi="ar-SA"/>
              </w:rPr>
              <w:t>512MB</w:t>
            </w:r>
          </w:p>
          <w:p w14:paraId="4CC0A724">
            <w:pPr>
              <w:pStyle w:val="2"/>
              <w:numPr>
                <w:ilvl w:val="0"/>
                <w:numId w:val="0"/>
              </w:numPr>
              <w:ind w:leftChars="0"/>
              <w:jc w:val="both"/>
              <w:rPr>
                <w:rFonts w:hint="eastAsia" w:ascii="宋体" w:hAnsi="宋体" w:eastAsia="宋体" w:cs="宋体"/>
                <w:sz w:val="20"/>
                <w:szCs w:val="20"/>
                <w:lang w:val="en-US" w:eastAsia="zh-CN"/>
              </w:rPr>
            </w:pPr>
            <w:r>
              <w:rPr>
                <w:rFonts w:hint="eastAsia" w:ascii="宋体" w:hAnsi="宋体" w:eastAsia="宋体" w:cs="宋体"/>
                <w:kern w:val="2"/>
                <w:sz w:val="20"/>
                <w:szCs w:val="20"/>
                <w:lang w:val="en-US" w:eastAsia="zh-CN" w:bidi="ar-SA"/>
              </w:rPr>
              <w:t>6.端口数量：</w:t>
            </w:r>
            <w:r>
              <w:rPr>
                <w:rFonts w:hint="eastAsia" w:ascii="宋体" w:hAnsi="宋体" w:eastAsia="宋体" w:cs="宋体"/>
                <w:kern w:val="2"/>
                <w:sz w:val="20"/>
                <w:szCs w:val="20"/>
                <w:highlight w:val="none"/>
                <w:lang w:val="en-US" w:eastAsia="zh-CN" w:bidi="ar-SA"/>
              </w:rPr>
              <w:t>≥</w:t>
            </w:r>
            <w:r>
              <w:rPr>
                <w:rFonts w:hint="eastAsia" w:ascii="宋体" w:hAnsi="宋体" w:eastAsia="宋体" w:cs="宋体"/>
                <w:kern w:val="2"/>
                <w:sz w:val="20"/>
                <w:szCs w:val="20"/>
                <w:lang w:val="en-US" w:eastAsia="zh-CN" w:bidi="ar-SA"/>
              </w:rPr>
              <w:t>48个1000Base-T以太网端口/4个SFP</w:t>
            </w:r>
          </w:p>
        </w:tc>
        <w:tc>
          <w:tcPr>
            <w:tcW w:w="270" w:type="pct"/>
            <w:noWrap w:val="0"/>
            <w:vAlign w:val="center"/>
          </w:tcPr>
          <w:p w14:paraId="42EE4A07">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台</w:t>
            </w:r>
          </w:p>
        </w:tc>
        <w:tc>
          <w:tcPr>
            <w:tcW w:w="271" w:type="pct"/>
            <w:noWrap w:val="0"/>
            <w:vAlign w:val="center"/>
          </w:tcPr>
          <w:p w14:paraId="354353C9">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rPr>
              <w:t>2</w:t>
            </w:r>
          </w:p>
        </w:tc>
        <w:tc>
          <w:tcPr>
            <w:tcW w:w="444" w:type="pct"/>
            <w:noWrap w:val="0"/>
            <w:vAlign w:val="top"/>
          </w:tcPr>
          <w:p w14:paraId="56E7FCC7">
            <w:pPr>
              <w:widowControl/>
              <w:jc w:val="center"/>
              <w:rPr>
                <w:rFonts w:hint="eastAsia" w:ascii="宋体" w:hAnsi="宋体" w:eastAsia="宋体" w:cs="宋体"/>
                <w:kern w:val="0"/>
                <w:sz w:val="20"/>
                <w:szCs w:val="20"/>
              </w:rPr>
            </w:pPr>
          </w:p>
        </w:tc>
      </w:tr>
      <w:tr w14:paraId="2F851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trPr>
        <w:tc>
          <w:tcPr>
            <w:tcW w:w="368" w:type="pct"/>
            <w:shd w:val="clear" w:color="000000" w:fill="FFFFFF"/>
            <w:noWrap w:val="0"/>
            <w:vAlign w:val="center"/>
          </w:tcPr>
          <w:p w14:paraId="2F6CF386">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3</w:t>
            </w:r>
          </w:p>
        </w:tc>
        <w:tc>
          <w:tcPr>
            <w:tcW w:w="511" w:type="pct"/>
            <w:shd w:val="clear" w:color="000000" w:fill="FFFFFF"/>
            <w:noWrap w:val="0"/>
            <w:vAlign w:val="center"/>
          </w:tcPr>
          <w:p w14:paraId="21347CE6">
            <w:pPr>
              <w:pStyle w:val="13"/>
              <w:spacing w:line="240" w:lineRule="auto"/>
              <w:ind w:firstLine="0"/>
              <w:jc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网络串口采集设备</w:t>
            </w:r>
          </w:p>
        </w:tc>
        <w:tc>
          <w:tcPr>
            <w:tcW w:w="3134" w:type="pct"/>
            <w:shd w:val="clear" w:color="000000" w:fill="FFFFFF"/>
            <w:noWrap w:val="0"/>
            <w:vAlign w:val="center"/>
          </w:tcPr>
          <w:p w14:paraId="186C410C">
            <w:pPr>
              <w:pStyle w:val="2"/>
              <w:numPr>
                <w:ilvl w:val="0"/>
                <w:numId w:val="0"/>
              </w:numPr>
              <w:ind w:leftChars="0"/>
              <w:jc w:val="both"/>
              <w:rPr>
                <w:rFonts w:hint="eastAsia"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1.接口数量：≥16网络采集端口</w:t>
            </w:r>
          </w:p>
          <w:p w14:paraId="2D2454F6">
            <w:pPr>
              <w:pStyle w:val="2"/>
              <w:numPr>
                <w:ilvl w:val="0"/>
                <w:numId w:val="0"/>
              </w:numPr>
              <w:ind w:leftChars="0"/>
              <w:jc w:val="both"/>
              <w:rPr>
                <w:rFonts w:hint="eastAsia"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2.网络接口类型：RS-422/485，10/100Base-T</w:t>
            </w:r>
          </w:p>
          <w:p w14:paraId="690DE27F">
            <w:pPr>
              <w:pStyle w:val="2"/>
              <w:numPr>
                <w:ilvl w:val="0"/>
                <w:numId w:val="0"/>
              </w:numPr>
              <w:ind w:leftChars="0"/>
              <w:jc w:val="both"/>
              <w:rPr>
                <w:rFonts w:hint="eastAsia"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3.端口传输率：≥0.2304Mbps</w:t>
            </w:r>
          </w:p>
          <w:p w14:paraId="7D629357">
            <w:pPr>
              <w:pStyle w:val="2"/>
              <w:numPr>
                <w:ilvl w:val="0"/>
                <w:numId w:val="0"/>
              </w:numPr>
              <w:ind w:leftChars="0"/>
              <w:jc w:val="both"/>
              <w:rPr>
                <w:rFonts w:hint="eastAsia" w:ascii="宋体" w:hAnsi="宋体" w:eastAsia="宋体" w:cs="宋体"/>
                <w:kern w:val="0"/>
                <w:sz w:val="20"/>
                <w:szCs w:val="20"/>
                <w:highlight w:val="none"/>
              </w:rPr>
            </w:pPr>
            <w:r>
              <w:rPr>
                <w:rFonts w:hint="eastAsia" w:ascii="宋体" w:hAnsi="宋体" w:eastAsia="宋体" w:cs="宋体"/>
                <w:kern w:val="2"/>
                <w:sz w:val="20"/>
                <w:szCs w:val="20"/>
                <w:highlight w:val="none"/>
                <w:lang w:val="en-US" w:eastAsia="zh-CN" w:bidi="ar-SA"/>
              </w:rPr>
              <w:t>4.网络协议支持：ICMP, IP, TCP, UDP, DHCP</w:t>
            </w:r>
          </w:p>
        </w:tc>
        <w:tc>
          <w:tcPr>
            <w:tcW w:w="270" w:type="pct"/>
            <w:shd w:val="clear" w:color="000000" w:fill="FFFFFF"/>
            <w:noWrap w:val="0"/>
            <w:vAlign w:val="center"/>
          </w:tcPr>
          <w:p w14:paraId="495BC36F">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台</w:t>
            </w:r>
          </w:p>
        </w:tc>
        <w:tc>
          <w:tcPr>
            <w:tcW w:w="271" w:type="pct"/>
            <w:shd w:val="clear" w:color="000000" w:fill="FFFFFF"/>
            <w:noWrap w:val="0"/>
            <w:vAlign w:val="center"/>
          </w:tcPr>
          <w:p w14:paraId="73CB6933">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rPr>
              <w:t>1</w:t>
            </w:r>
          </w:p>
        </w:tc>
        <w:tc>
          <w:tcPr>
            <w:tcW w:w="444" w:type="pct"/>
            <w:shd w:val="clear" w:color="000000" w:fill="FFFFFF"/>
            <w:noWrap w:val="0"/>
            <w:vAlign w:val="top"/>
          </w:tcPr>
          <w:p w14:paraId="6242FDCE">
            <w:pPr>
              <w:widowControl/>
              <w:jc w:val="center"/>
              <w:rPr>
                <w:rFonts w:hint="eastAsia" w:ascii="宋体" w:hAnsi="宋体" w:eastAsia="宋体" w:cs="宋体"/>
                <w:kern w:val="0"/>
                <w:sz w:val="20"/>
                <w:szCs w:val="20"/>
              </w:rPr>
            </w:pPr>
          </w:p>
        </w:tc>
      </w:tr>
      <w:tr w14:paraId="16016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8" w:hRule="atLeast"/>
        </w:trPr>
        <w:tc>
          <w:tcPr>
            <w:tcW w:w="368" w:type="pct"/>
            <w:noWrap w:val="0"/>
            <w:vAlign w:val="center"/>
          </w:tcPr>
          <w:p w14:paraId="5F06A73F">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4</w:t>
            </w:r>
          </w:p>
        </w:tc>
        <w:tc>
          <w:tcPr>
            <w:tcW w:w="511" w:type="pct"/>
            <w:noWrap w:val="0"/>
            <w:vAlign w:val="center"/>
          </w:tcPr>
          <w:p w14:paraId="5FD182AB">
            <w:pPr>
              <w:pStyle w:val="13"/>
              <w:spacing w:line="240" w:lineRule="auto"/>
              <w:ind w:firstLine="0"/>
              <w:jc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工作站</w:t>
            </w:r>
          </w:p>
        </w:tc>
        <w:tc>
          <w:tcPr>
            <w:tcW w:w="3134" w:type="pct"/>
            <w:noWrap w:val="0"/>
            <w:vAlign w:val="center"/>
          </w:tcPr>
          <w:p w14:paraId="189DE71A">
            <w:pPr>
              <w:pStyle w:val="2"/>
              <w:numPr>
                <w:ilvl w:val="0"/>
                <w:numId w:val="0"/>
              </w:numPr>
              <w:ind w:leftChars="0"/>
              <w:jc w:val="both"/>
              <w:rPr>
                <w:rFonts w:hint="eastAsia"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1.操作系统：支持部署国产桌面系统等</w:t>
            </w:r>
          </w:p>
          <w:p w14:paraId="61B1F4F2">
            <w:pPr>
              <w:pStyle w:val="2"/>
              <w:numPr>
                <w:ilvl w:val="0"/>
                <w:numId w:val="0"/>
              </w:numPr>
              <w:ind w:leftChars="0"/>
              <w:jc w:val="both"/>
              <w:rPr>
                <w:rFonts w:hint="default" w:ascii="宋体" w:hAnsi="宋体" w:eastAsia="宋体" w:cs="宋体"/>
                <w:kern w:val="2"/>
                <w:sz w:val="20"/>
                <w:szCs w:val="20"/>
                <w:highlight w:val="none"/>
                <w:lang w:val="en-US" w:eastAsia="zh-CN" w:bidi="ar-SA"/>
              </w:rPr>
            </w:pPr>
            <w:r>
              <w:rPr>
                <w:rFonts w:hint="eastAsia"/>
              </w:rPr>
              <w:t>★</w:t>
            </w:r>
            <w:r>
              <w:rPr>
                <w:rFonts w:hint="eastAsia" w:ascii="宋体" w:hAnsi="宋体" w:eastAsia="宋体" w:cs="宋体"/>
                <w:kern w:val="2"/>
                <w:sz w:val="20"/>
                <w:szCs w:val="20"/>
                <w:highlight w:val="none"/>
                <w:lang w:val="en-US" w:eastAsia="zh-CN" w:bidi="ar-SA"/>
              </w:rPr>
              <w:t>2.内存容量：≥16GB DDR4规格</w:t>
            </w:r>
          </w:p>
          <w:p w14:paraId="416A2129">
            <w:pPr>
              <w:pStyle w:val="2"/>
              <w:numPr>
                <w:ilvl w:val="0"/>
                <w:numId w:val="0"/>
              </w:numPr>
              <w:ind w:leftChars="0"/>
              <w:jc w:val="both"/>
              <w:rPr>
                <w:rFonts w:hint="default" w:ascii="宋体" w:hAnsi="宋体" w:eastAsia="宋体" w:cs="宋体"/>
                <w:kern w:val="0"/>
                <w:sz w:val="20"/>
                <w:szCs w:val="20"/>
                <w:highlight w:val="none"/>
                <w:lang w:val="en-US"/>
              </w:rPr>
            </w:pPr>
            <w:r>
              <w:rPr>
                <w:rFonts w:hint="eastAsia" w:ascii="宋体" w:hAnsi="宋体" w:eastAsia="宋体" w:cs="宋体"/>
                <w:kern w:val="2"/>
                <w:sz w:val="20"/>
                <w:szCs w:val="20"/>
                <w:highlight w:val="none"/>
                <w:lang w:val="en-US" w:eastAsia="zh-CN" w:bidi="ar-SA"/>
              </w:rPr>
              <w:t>3.硬盘容量：≥256GB固态硬盘</w:t>
            </w:r>
          </w:p>
        </w:tc>
        <w:tc>
          <w:tcPr>
            <w:tcW w:w="270" w:type="pct"/>
            <w:noWrap w:val="0"/>
            <w:vAlign w:val="center"/>
          </w:tcPr>
          <w:p w14:paraId="472E7D24">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台</w:t>
            </w:r>
          </w:p>
        </w:tc>
        <w:tc>
          <w:tcPr>
            <w:tcW w:w="271" w:type="pct"/>
            <w:noWrap w:val="0"/>
            <w:vAlign w:val="center"/>
          </w:tcPr>
          <w:p w14:paraId="50264248">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rPr>
              <w:t>1</w:t>
            </w:r>
          </w:p>
        </w:tc>
        <w:tc>
          <w:tcPr>
            <w:tcW w:w="444" w:type="pct"/>
            <w:noWrap w:val="0"/>
            <w:vAlign w:val="top"/>
          </w:tcPr>
          <w:p w14:paraId="723B91DD">
            <w:pPr>
              <w:widowControl/>
              <w:jc w:val="center"/>
              <w:rPr>
                <w:rFonts w:hint="eastAsia" w:ascii="宋体" w:hAnsi="宋体" w:eastAsia="宋体" w:cs="宋体"/>
                <w:kern w:val="0"/>
                <w:sz w:val="20"/>
                <w:szCs w:val="20"/>
              </w:rPr>
            </w:pPr>
          </w:p>
        </w:tc>
      </w:tr>
      <w:tr w14:paraId="641BE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368" w:type="pct"/>
            <w:shd w:val="clear" w:color="000000" w:fill="FFFFFF"/>
            <w:noWrap w:val="0"/>
            <w:vAlign w:val="center"/>
          </w:tcPr>
          <w:p w14:paraId="4A65EF08">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5</w:t>
            </w:r>
          </w:p>
        </w:tc>
        <w:tc>
          <w:tcPr>
            <w:tcW w:w="511" w:type="pct"/>
            <w:shd w:val="clear" w:color="000000" w:fill="FFFFFF"/>
            <w:noWrap w:val="0"/>
            <w:vAlign w:val="center"/>
          </w:tcPr>
          <w:p w14:paraId="7DBE68D0">
            <w:pPr>
              <w:pStyle w:val="13"/>
              <w:spacing w:line="240" w:lineRule="auto"/>
              <w:ind w:firstLine="0"/>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多源节目智能相关性分析模块</w:t>
            </w:r>
          </w:p>
        </w:tc>
        <w:tc>
          <w:tcPr>
            <w:tcW w:w="3134" w:type="pct"/>
            <w:shd w:val="clear" w:color="000000" w:fill="FFFFFF"/>
            <w:noWrap w:val="0"/>
            <w:vAlign w:val="center"/>
          </w:tcPr>
          <w:p w14:paraId="22F322DD">
            <w:pPr>
              <w:pStyle w:val="13"/>
              <w:spacing w:line="360" w:lineRule="auto"/>
              <w:ind w:firstLine="0"/>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bidi="ar-SA"/>
              </w:rPr>
              <w:t>1.</w:t>
            </w:r>
            <w:r>
              <w:rPr>
                <w:rFonts w:hint="eastAsia" w:ascii="宋体" w:hAnsi="宋体" w:eastAsia="宋体" w:cs="宋体"/>
                <w:sz w:val="20"/>
                <w:szCs w:val="20"/>
                <w:lang w:val="en-US" w:eastAsia="zh-CN"/>
              </w:rPr>
              <w:t>▲性能</w:t>
            </w:r>
            <w:r>
              <w:rPr>
                <w:rFonts w:hint="eastAsia" w:ascii="宋体" w:hAnsi="宋体" w:eastAsia="宋体" w:cs="宋体"/>
                <w:kern w:val="2"/>
                <w:sz w:val="20"/>
                <w:szCs w:val="20"/>
                <w:highlight w:val="none"/>
                <w:lang w:val="en-US" w:eastAsia="zh-CN" w:bidi="ar-SA"/>
              </w:rPr>
              <w:t>≥</w:t>
            </w:r>
            <w:r>
              <w:rPr>
                <w:rFonts w:hint="eastAsia" w:ascii="宋体" w:hAnsi="宋体" w:eastAsia="宋体" w:cs="宋体"/>
                <w:kern w:val="0"/>
                <w:sz w:val="20"/>
                <w:szCs w:val="20"/>
                <w:lang w:val="en-US" w:eastAsia="zh-CN" w:bidi="ar-SA"/>
              </w:rPr>
              <w:t>16路高清节目或者不低于32路标清节目的实时相关性分析；【提供材料：产品彩页或功能界面截图】</w:t>
            </w:r>
          </w:p>
          <w:p w14:paraId="184A1834">
            <w:pPr>
              <w:pStyle w:val="13"/>
              <w:spacing w:line="360" w:lineRule="auto"/>
              <w:ind w:firstLine="0"/>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bidi="ar-SA"/>
              </w:rPr>
              <w:t>2.支持对存在延时的信号进行实时自动同步后并实时分析节目相关性，信号间延时时间实时叠加显示。</w:t>
            </w:r>
          </w:p>
          <w:p w14:paraId="7020144D">
            <w:pPr>
              <w:pStyle w:val="13"/>
              <w:spacing w:line="360" w:lineRule="auto"/>
              <w:ind w:firstLine="0"/>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bidi="ar-SA"/>
              </w:rPr>
              <w:t>3.支持全画幅或指定画面区域的相关性分析；</w:t>
            </w:r>
          </w:p>
          <w:p w14:paraId="3CC35C3E">
            <w:pPr>
              <w:pStyle w:val="13"/>
              <w:spacing w:line="360" w:lineRule="auto"/>
              <w:ind w:firstLine="0"/>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bidi="ar-SA"/>
              </w:rPr>
              <w:t>4.支持实时相关性分析的同时捕捉马赛克、拉条、卡顿、伴音反相、噪音、多语种声道混入错误等节目劣化情况；</w:t>
            </w:r>
          </w:p>
          <w:p w14:paraId="1E006B2A">
            <w:pPr>
              <w:pStyle w:val="13"/>
              <w:spacing w:line="360" w:lineRule="auto"/>
              <w:ind w:firstLine="0"/>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bidi="ar-SA"/>
              </w:rPr>
              <w:t>5.提供对接入信号的实时帧级异态监测、音视频特征值提取等功能。</w:t>
            </w:r>
          </w:p>
          <w:p w14:paraId="40E87533">
            <w:pPr>
              <w:pStyle w:val="13"/>
              <w:spacing w:line="360" w:lineRule="auto"/>
              <w:ind w:firstLine="0"/>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bidi="ar-SA"/>
              </w:rPr>
              <w:t>6.异态监测支持按照帧和秒两种单位配置。</w:t>
            </w:r>
          </w:p>
          <w:p w14:paraId="4A1013E4">
            <w:pPr>
              <w:pStyle w:val="13"/>
              <w:spacing w:line="360" w:lineRule="auto"/>
              <w:ind w:firstLine="0"/>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bidi="ar-SA"/>
              </w:rPr>
              <w:t>7.支持播出各节点SDI信号、编码复用ASI信号、IPTV信号、回收DVB-C调制信号等异步同源信号进行信号同步、相关性分析并实时显示量化传输质量；</w:t>
            </w:r>
          </w:p>
          <w:p w14:paraId="2E2CFAC4">
            <w:pPr>
              <w:pStyle w:val="13"/>
              <w:spacing w:line="360" w:lineRule="auto"/>
              <w:ind w:firstLine="0"/>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bidi="ar-SA"/>
              </w:rPr>
              <w:t>8.支持对同一播出频道高清与下变换后标清节目实时相关性分析，进行高标清同播自动识别。</w:t>
            </w:r>
          </w:p>
          <w:p w14:paraId="2E525E71">
            <w:pPr>
              <w:pStyle w:val="13"/>
              <w:spacing w:line="360" w:lineRule="auto"/>
              <w:ind w:firstLine="0"/>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bidi="ar-SA"/>
              </w:rPr>
              <w:t>9.</w:t>
            </w:r>
            <w:r>
              <w:rPr>
                <w:rFonts w:hint="eastAsia" w:ascii="宋体" w:hAnsi="宋体" w:eastAsia="宋体" w:cs="宋体"/>
                <w:sz w:val="20"/>
                <w:szCs w:val="20"/>
                <w:lang w:val="en-US" w:eastAsia="zh-CN"/>
              </w:rPr>
              <w:t>▲</w:t>
            </w:r>
            <w:r>
              <w:rPr>
                <w:rFonts w:hint="eastAsia" w:ascii="宋体" w:hAnsi="宋体" w:eastAsia="宋体" w:cs="宋体"/>
                <w:kern w:val="0"/>
                <w:sz w:val="20"/>
                <w:szCs w:val="20"/>
                <w:lang w:val="en-US" w:eastAsia="zh-CN" w:bidi="ar-SA"/>
              </w:rPr>
              <w:t>视频相关性分析技术提供高精度分析与高兼容性分析两种模式，高精度分析模式可有效捕捉画面局部微小劣化差异，提示技术保障人员画面劣播情况，高兼容性模式支持高标清同播节目在存下画面拉伸、形变情况下的同播监测能力，有效捕捉高标清同播内容差错。【提供材料：产品彩页或功能界面截图】</w:t>
            </w:r>
          </w:p>
        </w:tc>
        <w:tc>
          <w:tcPr>
            <w:tcW w:w="270" w:type="pct"/>
            <w:shd w:val="clear" w:color="000000" w:fill="FFFFFF"/>
            <w:noWrap w:val="0"/>
            <w:vAlign w:val="center"/>
          </w:tcPr>
          <w:p w14:paraId="6D0B8FE4">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rPr>
              <w:t>套</w:t>
            </w:r>
          </w:p>
        </w:tc>
        <w:tc>
          <w:tcPr>
            <w:tcW w:w="271" w:type="pct"/>
            <w:shd w:val="clear" w:color="000000" w:fill="FFFFFF"/>
            <w:noWrap w:val="0"/>
            <w:vAlign w:val="center"/>
          </w:tcPr>
          <w:p w14:paraId="70D6FB89">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rPr>
              <w:t>1</w:t>
            </w:r>
          </w:p>
        </w:tc>
        <w:tc>
          <w:tcPr>
            <w:tcW w:w="444" w:type="pct"/>
            <w:shd w:val="clear" w:color="000000" w:fill="FFFFFF"/>
            <w:noWrap w:val="0"/>
            <w:vAlign w:val="top"/>
          </w:tcPr>
          <w:p w14:paraId="0B1AA644">
            <w:pPr>
              <w:widowControl/>
              <w:jc w:val="center"/>
              <w:rPr>
                <w:rFonts w:hint="eastAsia" w:ascii="宋体" w:hAnsi="宋体" w:eastAsia="宋体" w:cs="宋体"/>
                <w:kern w:val="0"/>
                <w:sz w:val="20"/>
                <w:szCs w:val="20"/>
              </w:rPr>
            </w:pPr>
          </w:p>
        </w:tc>
      </w:tr>
      <w:tr w14:paraId="4D522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6" w:hRule="atLeast"/>
        </w:trPr>
        <w:tc>
          <w:tcPr>
            <w:tcW w:w="368" w:type="pct"/>
            <w:noWrap w:val="0"/>
            <w:vAlign w:val="center"/>
          </w:tcPr>
          <w:p w14:paraId="18FDBCD9">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6</w:t>
            </w:r>
          </w:p>
        </w:tc>
        <w:tc>
          <w:tcPr>
            <w:tcW w:w="511" w:type="pct"/>
            <w:noWrap w:val="0"/>
            <w:vAlign w:val="center"/>
          </w:tcPr>
          <w:p w14:paraId="5182E3F7">
            <w:pPr>
              <w:pStyle w:val="13"/>
              <w:spacing w:line="240" w:lineRule="auto"/>
              <w:ind w:firstLine="0"/>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智慧安播应急监管触控模块</w:t>
            </w:r>
          </w:p>
        </w:tc>
        <w:tc>
          <w:tcPr>
            <w:tcW w:w="3134" w:type="pct"/>
            <w:noWrap w:val="0"/>
            <w:vAlign w:val="center"/>
          </w:tcPr>
          <w:p w14:paraId="03AA08C6">
            <w:pPr>
              <w:pStyle w:val="13"/>
              <w:spacing w:line="360" w:lineRule="auto"/>
              <w:ind w:firstLine="0"/>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bidi="ar-SA"/>
              </w:rPr>
              <w:t>1.提供应急触控和通道信号监视功能</w:t>
            </w:r>
          </w:p>
          <w:p w14:paraId="7E20F8F7">
            <w:pPr>
              <w:pStyle w:val="13"/>
              <w:spacing w:line="360" w:lineRule="auto"/>
              <w:ind w:firstLine="0"/>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bidi="ar-SA"/>
              </w:rPr>
              <w:t>2.支持应急监控单元的实时智能监管和触控应急切换，能通过触控屏直接控制多选一开关进行应急切换；</w:t>
            </w:r>
          </w:p>
          <w:p w14:paraId="072D7D84">
            <w:pPr>
              <w:pStyle w:val="13"/>
              <w:spacing w:line="360" w:lineRule="auto"/>
              <w:ind w:firstLine="0"/>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bidi="ar-SA"/>
              </w:rPr>
              <w:t>3.支持可选手动或自动切换模式；</w:t>
            </w:r>
          </w:p>
          <w:p w14:paraId="5AE151F5">
            <w:pPr>
              <w:pStyle w:val="13"/>
              <w:spacing w:line="360" w:lineRule="auto"/>
              <w:ind w:firstLine="0"/>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bidi="ar-SA"/>
              </w:rPr>
              <w:t>4.提供高效的应急操作体验的同时，具有防误触设计；</w:t>
            </w:r>
          </w:p>
          <w:p w14:paraId="61B5ECDD">
            <w:pPr>
              <w:pStyle w:val="13"/>
              <w:spacing w:line="360" w:lineRule="auto"/>
              <w:ind w:firstLine="0"/>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bidi="ar-SA"/>
              </w:rPr>
              <w:t>5.</w:t>
            </w:r>
            <w:r>
              <w:rPr>
                <w:rFonts w:hint="eastAsia" w:ascii="宋体" w:hAnsi="宋体" w:eastAsia="宋体" w:cs="宋体"/>
                <w:sz w:val="20"/>
                <w:szCs w:val="20"/>
                <w:lang w:val="en-US" w:eastAsia="zh-CN"/>
              </w:rPr>
              <w:t>▲</w:t>
            </w:r>
            <w:r>
              <w:rPr>
                <w:rFonts w:hint="eastAsia" w:ascii="宋体" w:hAnsi="宋体" w:eastAsia="宋体" w:cs="宋体"/>
                <w:kern w:val="0"/>
                <w:sz w:val="20"/>
                <w:szCs w:val="20"/>
                <w:lang w:val="en-US" w:eastAsia="zh-CN" w:bidi="ar-SA"/>
              </w:rPr>
              <w:t>提供准确简洁的方式向用户展示当前监管切换器输入输出节目状态、报警提示、应急操作提示、节目回切提示灯；【提供材料：产品彩页或功能界面截图】</w:t>
            </w:r>
          </w:p>
          <w:p w14:paraId="1ADA4044">
            <w:pPr>
              <w:pStyle w:val="13"/>
              <w:spacing w:line="360" w:lineRule="auto"/>
              <w:ind w:firstLine="0"/>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bidi="ar-SA"/>
              </w:rPr>
              <w:t>6.支持通过一个触摸屏同时操作多个切换器的应急监管，单屏支持不少于8个切换器输入输出监管与应急切换操作；</w:t>
            </w:r>
          </w:p>
          <w:p w14:paraId="75A3DC3D">
            <w:pPr>
              <w:pStyle w:val="13"/>
              <w:spacing w:line="360" w:lineRule="auto"/>
              <w:ind w:firstLine="0"/>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bidi="ar-SA"/>
              </w:rPr>
              <w:t>7.对于多个切换器需要同时应急的情况下支持一键全部应急功能。</w:t>
            </w:r>
          </w:p>
          <w:p w14:paraId="3E9C5366">
            <w:pPr>
              <w:pStyle w:val="13"/>
              <w:spacing w:line="360" w:lineRule="auto"/>
              <w:ind w:firstLine="0"/>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bidi="ar-SA"/>
              </w:rPr>
              <w:t>8.应急面板有应急操作动作之后，触控终端要求变为锁定状态，除监看功能外，一切控制功能都不可用，直至面板解除锁定。</w:t>
            </w:r>
          </w:p>
          <w:p w14:paraId="27881696">
            <w:pPr>
              <w:pStyle w:val="13"/>
              <w:spacing w:line="360" w:lineRule="auto"/>
              <w:ind w:firstLine="0"/>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bidi="ar-SA"/>
              </w:rPr>
              <w:t>9.具备远端大屏图形化集中告警显示功能，显示告警信息至少包括告警发生的频道、告警类型、是否倒换、告警的持续时间等。</w:t>
            </w:r>
          </w:p>
          <w:p w14:paraId="4873B9C9">
            <w:pPr>
              <w:pStyle w:val="13"/>
              <w:spacing w:line="360" w:lineRule="auto"/>
              <w:ind w:firstLine="0"/>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bidi="ar-SA"/>
              </w:rPr>
              <w:t>10.要求系统整体应急过程（耗时响应过程），从信号采集、比对判断、逻辑分析到最后的系统响应生效（自动控制切换），总体响应时间不高于3秒钟。</w:t>
            </w:r>
          </w:p>
        </w:tc>
        <w:tc>
          <w:tcPr>
            <w:tcW w:w="270" w:type="pct"/>
            <w:noWrap w:val="0"/>
            <w:vAlign w:val="center"/>
          </w:tcPr>
          <w:p w14:paraId="00F383EC">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rPr>
              <w:t>套</w:t>
            </w:r>
          </w:p>
        </w:tc>
        <w:tc>
          <w:tcPr>
            <w:tcW w:w="271" w:type="pct"/>
            <w:noWrap w:val="0"/>
            <w:vAlign w:val="center"/>
          </w:tcPr>
          <w:p w14:paraId="7D1B9D3A">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rPr>
              <w:t>2</w:t>
            </w:r>
          </w:p>
        </w:tc>
        <w:tc>
          <w:tcPr>
            <w:tcW w:w="444" w:type="pct"/>
            <w:noWrap w:val="0"/>
            <w:vAlign w:val="top"/>
          </w:tcPr>
          <w:p w14:paraId="348A3E4F">
            <w:pPr>
              <w:widowControl/>
              <w:jc w:val="center"/>
              <w:rPr>
                <w:rFonts w:hint="eastAsia" w:ascii="宋体" w:hAnsi="宋体" w:eastAsia="宋体" w:cs="宋体"/>
                <w:kern w:val="0"/>
                <w:sz w:val="20"/>
                <w:szCs w:val="20"/>
              </w:rPr>
            </w:pPr>
          </w:p>
        </w:tc>
      </w:tr>
      <w:tr w14:paraId="339E5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0" w:hRule="atLeast"/>
        </w:trPr>
        <w:tc>
          <w:tcPr>
            <w:tcW w:w="368" w:type="pct"/>
            <w:shd w:val="clear" w:color="000000" w:fill="FFFFFF"/>
            <w:noWrap w:val="0"/>
            <w:vAlign w:val="center"/>
          </w:tcPr>
          <w:p w14:paraId="131DD50F">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7</w:t>
            </w:r>
          </w:p>
        </w:tc>
        <w:tc>
          <w:tcPr>
            <w:tcW w:w="511" w:type="pct"/>
            <w:shd w:val="clear" w:color="000000" w:fill="FFFFFF"/>
            <w:noWrap w:val="0"/>
            <w:vAlign w:val="center"/>
          </w:tcPr>
          <w:p w14:paraId="26E62CB6">
            <w:pPr>
              <w:pStyle w:val="13"/>
              <w:spacing w:line="240" w:lineRule="auto"/>
              <w:ind w:firstLine="0"/>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智慧安播智能切换面板</w:t>
            </w:r>
          </w:p>
        </w:tc>
        <w:tc>
          <w:tcPr>
            <w:tcW w:w="3134" w:type="pct"/>
            <w:shd w:val="clear" w:color="000000" w:fill="FFFFFF"/>
            <w:noWrap w:val="0"/>
            <w:vAlign w:val="center"/>
          </w:tcPr>
          <w:p w14:paraId="7EC0887F">
            <w:pPr>
              <w:pStyle w:val="13"/>
              <w:spacing w:line="360" w:lineRule="auto"/>
              <w:ind w:firstLine="0"/>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bidi="ar-SA"/>
              </w:rPr>
              <w:t>1.</w:t>
            </w:r>
            <w:r>
              <w:rPr>
                <w:rFonts w:hint="eastAsia" w:ascii="宋体" w:hAnsi="宋体" w:eastAsia="宋体" w:cs="宋体"/>
                <w:sz w:val="20"/>
                <w:szCs w:val="20"/>
                <w:highlight w:val="none"/>
                <w:lang w:val="en-US" w:eastAsia="zh-CN"/>
              </w:rPr>
              <w:t>▲</w:t>
            </w:r>
            <w:r>
              <w:rPr>
                <w:rFonts w:hint="eastAsia" w:ascii="宋体" w:hAnsi="宋体" w:eastAsia="宋体" w:cs="宋体"/>
                <w:kern w:val="0"/>
                <w:sz w:val="20"/>
                <w:szCs w:val="20"/>
                <w:lang w:val="en-US" w:eastAsia="zh-CN" w:bidi="ar-SA"/>
              </w:rPr>
              <w:t>支持GPI控制接口，GPI控制面板上具备5个按钮，可分别控制对应的4路信号切出以及手动控制权释放；</w:t>
            </w:r>
            <w:r>
              <w:rPr>
                <w:rFonts w:hint="eastAsia" w:ascii="宋体" w:hAnsi="宋体" w:eastAsia="宋体" w:cs="宋体"/>
                <w:kern w:val="0"/>
                <w:sz w:val="20"/>
                <w:szCs w:val="20"/>
                <w:highlight w:val="none"/>
                <w:lang w:val="en-US" w:eastAsia="zh-CN" w:bidi="ar-SA"/>
              </w:rPr>
              <w:t>【提供材料：产品彩页或功能界面截图】</w:t>
            </w:r>
          </w:p>
          <w:p w14:paraId="7A3487BB">
            <w:pPr>
              <w:pStyle w:val="13"/>
              <w:spacing w:line="360" w:lineRule="auto"/>
              <w:ind w:firstLine="0"/>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bidi="ar-SA"/>
              </w:rPr>
              <w:t>2.具备面板锁定功能，锁定后通过面板按键操作无效；</w:t>
            </w:r>
          </w:p>
          <w:p w14:paraId="1E944C67">
            <w:pPr>
              <w:pStyle w:val="13"/>
              <w:spacing w:line="360" w:lineRule="auto"/>
              <w:ind w:firstLine="0"/>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bidi="ar-SA"/>
              </w:rPr>
              <w:t>3.采用可编程按键，可基于智能安播平台下发切换器接口状态自定义每个按钮的颜色，控制按键闪烁等；</w:t>
            </w:r>
          </w:p>
          <w:p w14:paraId="665DCFE3">
            <w:pPr>
              <w:pStyle w:val="13"/>
              <w:spacing w:line="360" w:lineRule="auto"/>
              <w:ind w:firstLine="0"/>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bidi="ar-SA"/>
              </w:rPr>
              <w:t>4.支持同时控制主、备两个4选1倒换器；</w:t>
            </w:r>
          </w:p>
          <w:p w14:paraId="7000B7FA">
            <w:pPr>
              <w:pStyle w:val="13"/>
              <w:spacing w:line="360" w:lineRule="auto"/>
              <w:ind w:firstLine="0"/>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bidi="ar-SA"/>
              </w:rPr>
              <w:t>5.可同步显示当前4选1倒换器的倒换路由状态；</w:t>
            </w:r>
          </w:p>
          <w:p w14:paraId="71378465">
            <w:pPr>
              <w:pStyle w:val="13"/>
              <w:spacing w:line="360" w:lineRule="auto"/>
              <w:ind w:firstLine="0"/>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bidi="ar-SA"/>
              </w:rPr>
              <w:t>6.在切换面板断电情况下，仍能通过GPI控制4选1切换器进行切换动作。</w:t>
            </w:r>
          </w:p>
          <w:p w14:paraId="59176DC6">
            <w:pPr>
              <w:pStyle w:val="13"/>
              <w:spacing w:line="360" w:lineRule="auto"/>
              <w:ind w:firstLine="0"/>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bidi="ar-SA"/>
              </w:rPr>
              <w:t>7.面板报警同时，可提供基于节目或报警类型指定的人声语音报警优先级，支持基于语音报警优先级动态调整语音报警队列顺序，支持高优先级与低优先级两个语音报警队列两种语音同步播报语音报警。</w:t>
            </w:r>
          </w:p>
        </w:tc>
        <w:tc>
          <w:tcPr>
            <w:tcW w:w="270" w:type="pct"/>
            <w:shd w:val="clear" w:color="000000" w:fill="FFFFFF"/>
            <w:noWrap w:val="0"/>
            <w:vAlign w:val="center"/>
          </w:tcPr>
          <w:p w14:paraId="1EA2BD82">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rPr>
              <w:t>套</w:t>
            </w:r>
          </w:p>
        </w:tc>
        <w:tc>
          <w:tcPr>
            <w:tcW w:w="271" w:type="pct"/>
            <w:shd w:val="clear" w:color="000000" w:fill="FFFFFF"/>
            <w:noWrap w:val="0"/>
            <w:vAlign w:val="center"/>
          </w:tcPr>
          <w:p w14:paraId="62FD5772">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w:t>
            </w:r>
          </w:p>
        </w:tc>
        <w:tc>
          <w:tcPr>
            <w:tcW w:w="444" w:type="pct"/>
            <w:shd w:val="clear" w:color="000000" w:fill="FFFFFF"/>
            <w:noWrap w:val="0"/>
            <w:vAlign w:val="top"/>
          </w:tcPr>
          <w:p w14:paraId="4FD13C29">
            <w:pPr>
              <w:widowControl/>
              <w:jc w:val="center"/>
              <w:rPr>
                <w:rFonts w:hint="eastAsia" w:ascii="宋体" w:hAnsi="宋体" w:eastAsia="宋体" w:cs="宋体"/>
                <w:kern w:val="0"/>
                <w:sz w:val="20"/>
                <w:szCs w:val="20"/>
              </w:rPr>
            </w:pPr>
          </w:p>
        </w:tc>
      </w:tr>
      <w:tr w14:paraId="05D5D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368" w:type="pct"/>
            <w:shd w:val="clear" w:color="000000" w:fill="FFFFFF"/>
            <w:noWrap w:val="0"/>
            <w:vAlign w:val="center"/>
          </w:tcPr>
          <w:p w14:paraId="29746031">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8</w:t>
            </w:r>
          </w:p>
        </w:tc>
        <w:tc>
          <w:tcPr>
            <w:tcW w:w="511" w:type="pct"/>
            <w:shd w:val="clear" w:color="000000" w:fill="FFFFFF"/>
            <w:noWrap w:val="0"/>
            <w:vAlign w:val="center"/>
          </w:tcPr>
          <w:p w14:paraId="5C9A65B3">
            <w:pPr>
              <w:pStyle w:val="13"/>
              <w:spacing w:line="240" w:lineRule="auto"/>
              <w:ind w:firstLine="0"/>
              <w:jc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SDI信号采集监测模块</w:t>
            </w:r>
          </w:p>
        </w:tc>
        <w:tc>
          <w:tcPr>
            <w:tcW w:w="3134" w:type="pct"/>
            <w:shd w:val="clear" w:color="000000" w:fill="FFFFFF"/>
            <w:noWrap w:val="0"/>
            <w:vAlign w:val="center"/>
          </w:tcPr>
          <w:p w14:paraId="7217172D">
            <w:pPr>
              <w:pStyle w:val="13"/>
              <w:spacing w:line="360" w:lineRule="auto"/>
              <w:ind w:firstLine="0"/>
              <w:rPr>
                <w:rFonts w:hint="eastAsia" w:ascii="宋体" w:hAnsi="宋体" w:eastAsia="宋体" w:cs="宋体"/>
                <w:kern w:val="0"/>
                <w:sz w:val="20"/>
                <w:szCs w:val="20"/>
                <w:highlight w:val="none"/>
                <w:lang w:val="en-US" w:eastAsia="zh-CN" w:bidi="ar-SA"/>
              </w:rPr>
            </w:pPr>
            <w:r>
              <w:rPr>
                <w:rFonts w:hint="eastAsia" w:ascii="宋体" w:hAnsi="宋体" w:eastAsia="宋体" w:cs="宋体"/>
                <w:kern w:val="0"/>
                <w:sz w:val="20"/>
                <w:szCs w:val="20"/>
                <w:highlight w:val="none"/>
                <w:lang w:val="en-US" w:eastAsia="zh-CN" w:bidi="ar-SA"/>
              </w:rPr>
              <w:t>1.</w:t>
            </w:r>
            <w:r>
              <w:rPr>
                <w:rFonts w:hint="eastAsia" w:ascii="宋体" w:hAnsi="宋体" w:eastAsia="宋体" w:cs="宋体"/>
                <w:sz w:val="20"/>
                <w:szCs w:val="20"/>
                <w:highlight w:val="none"/>
                <w:lang w:val="en-US" w:eastAsia="zh-CN"/>
              </w:rPr>
              <w:t>▲</w:t>
            </w:r>
            <w:r>
              <w:rPr>
                <w:rFonts w:hint="eastAsia" w:ascii="宋体" w:hAnsi="宋体" w:eastAsia="宋体" w:cs="宋体"/>
                <w:kern w:val="0"/>
                <w:sz w:val="20"/>
                <w:szCs w:val="20"/>
                <w:highlight w:val="none"/>
                <w:lang w:val="en-US" w:eastAsia="zh-CN" w:bidi="ar-SA"/>
              </w:rPr>
              <w:t>SDI通道输入数量</w:t>
            </w:r>
            <w:r>
              <w:rPr>
                <w:rFonts w:hint="eastAsia" w:ascii="宋体" w:hAnsi="宋体" w:eastAsia="宋体" w:cs="宋体"/>
                <w:kern w:val="2"/>
                <w:sz w:val="20"/>
                <w:szCs w:val="20"/>
                <w:highlight w:val="none"/>
                <w:lang w:val="en-US" w:eastAsia="zh-CN" w:bidi="ar-SA"/>
              </w:rPr>
              <w:t>≥</w:t>
            </w:r>
            <w:r>
              <w:rPr>
                <w:rFonts w:hint="eastAsia" w:ascii="宋体" w:hAnsi="宋体" w:eastAsia="宋体" w:cs="宋体"/>
                <w:kern w:val="0"/>
                <w:sz w:val="20"/>
                <w:szCs w:val="20"/>
                <w:highlight w:val="none"/>
                <w:lang w:val="en-US" w:eastAsia="zh-CN" w:bidi="ar-SA"/>
              </w:rPr>
              <w:t>8路；【提供材料：产品彩页或功能界面截图】</w:t>
            </w:r>
          </w:p>
          <w:p w14:paraId="4C1C00E2">
            <w:pPr>
              <w:pStyle w:val="13"/>
              <w:spacing w:line="360" w:lineRule="auto"/>
              <w:ind w:firstLine="0"/>
              <w:rPr>
                <w:rFonts w:hint="eastAsia" w:ascii="宋体" w:hAnsi="宋体" w:eastAsia="宋体" w:cs="宋体"/>
                <w:kern w:val="0"/>
                <w:sz w:val="20"/>
                <w:szCs w:val="20"/>
                <w:highlight w:val="none"/>
                <w:lang w:val="en-US" w:eastAsia="zh-CN" w:bidi="ar-SA"/>
              </w:rPr>
            </w:pPr>
            <w:r>
              <w:rPr>
                <w:rFonts w:hint="eastAsia" w:ascii="宋体" w:hAnsi="宋体" w:eastAsia="宋体" w:cs="宋体"/>
                <w:kern w:val="0"/>
                <w:sz w:val="20"/>
                <w:szCs w:val="20"/>
                <w:highlight w:val="none"/>
                <w:lang w:val="en-US" w:eastAsia="zh-CN" w:bidi="ar-SA"/>
              </w:rPr>
              <w:t>2.支持高清/标清SDI兼容；</w:t>
            </w:r>
          </w:p>
          <w:p w14:paraId="303595F3">
            <w:pPr>
              <w:pStyle w:val="13"/>
              <w:spacing w:line="360" w:lineRule="auto"/>
              <w:ind w:firstLine="0"/>
              <w:rPr>
                <w:rFonts w:hint="eastAsia" w:ascii="宋体" w:hAnsi="宋体" w:eastAsia="宋体" w:cs="宋体"/>
                <w:kern w:val="0"/>
                <w:sz w:val="20"/>
                <w:szCs w:val="20"/>
                <w:highlight w:val="none"/>
                <w:lang w:val="en-US" w:eastAsia="zh-CN" w:bidi="ar-SA"/>
              </w:rPr>
            </w:pPr>
            <w:r>
              <w:rPr>
                <w:rFonts w:hint="eastAsia" w:ascii="宋体" w:hAnsi="宋体" w:eastAsia="宋体" w:cs="宋体"/>
                <w:kern w:val="0"/>
                <w:sz w:val="20"/>
                <w:szCs w:val="20"/>
                <w:highlight w:val="none"/>
                <w:lang w:val="en-US" w:eastAsia="zh-CN" w:bidi="ar-SA"/>
              </w:rPr>
              <w:t>3.支持嵌入音频；</w:t>
            </w:r>
          </w:p>
          <w:p w14:paraId="3227FF79">
            <w:pPr>
              <w:pStyle w:val="13"/>
              <w:spacing w:line="360" w:lineRule="auto"/>
              <w:ind w:firstLine="0"/>
              <w:rPr>
                <w:rFonts w:hint="eastAsia" w:ascii="宋体" w:hAnsi="宋体" w:eastAsia="宋体" w:cs="宋体"/>
                <w:kern w:val="0"/>
                <w:sz w:val="20"/>
                <w:szCs w:val="20"/>
                <w:highlight w:val="none"/>
                <w:lang w:val="en-US" w:eastAsia="zh-CN" w:bidi="ar-SA"/>
              </w:rPr>
            </w:pPr>
            <w:r>
              <w:rPr>
                <w:rFonts w:hint="eastAsia" w:ascii="宋体" w:hAnsi="宋体" w:eastAsia="宋体" w:cs="宋体"/>
                <w:kern w:val="0"/>
                <w:sz w:val="20"/>
                <w:szCs w:val="20"/>
                <w:highlight w:val="none"/>
                <w:lang w:val="en-US" w:eastAsia="zh-CN" w:bidi="ar-SA"/>
              </w:rPr>
              <w:t>4.每路SDI信号可同时编码输出两种不同编码格式的IP码流（高画质低延时和高压缩低码率两种），编码后IP码流实时输出；</w:t>
            </w:r>
          </w:p>
          <w:p w14:paraId="43C94ED5">
            <w:pPr>
              <w:pStyle w:val="13"/>
              <w:spacing w:line="360" w:lineRule="auto"/>
              <w:ind w:firstLine="0"/>
              <w:rPr>
                <w:rFonts w:hint="eastAsia" w:ascii="宋体" w:hAnsi="宋体" w:eastAsia="宋体" w:cs="宋体"/>
                <w:kern w:val="0"/>
                <w:sz w:val="20"/>
                <w:szCs w:val="20"/>
                <w:highlight w:val="none"/>
                <w:lang w:val="en-US" w:eastAsia="zh-CN" w:bidi="ar-SA"/>
              </w:rPr>
            </w:pPr>
            <w:r>
              <w:rPr>
                <w:rFonts w:hint="eastAsia" w:ascii="宋体" w:hAnsi="宋体" w:eastAsia="宋体" w:cs="宋体"/>
                <w:kern w:val="0"/>
                <w:sz w:val="20"/>
                <w:szCs w:val="20"/>
                <w:highlight w:val="none"/>
                <w:lang w:val="en-US" w:eastAsia="zh-CN" w:bidi="ar-SA"/>
              </w:rPr>
              <w:t>5.支持板卡端不进行编转码，直接完成实时节目质量监测（支持对输入SDI信号源实时质量监测，包含且不限于以下功能，视频：黑场、静帧、视频丢失、彩条、彩场、台标异常、台标丢失、马赛克、画面卡顿、画面拉条、测试图等；音频：静音、独立声道检测、电平过高过低、电平差异过大、左声道音量、右声道音量、立体声音频反相等；</w:t>
            </w:r>
          </w:p>
          <w:p w14:paraId="69F8F2A2">
            <w:pPr>
              <w:pStyle w:val="13"/>
              <w:spacing w:line="360" w:lineRule="auto"/>
              <w:ind w:firstLine="0"/>
              <w:rPr>
                <w:rFonts w:hint="eastAsia" w:ascii="宋体" w:hAnsi="宋体" w:eastAsia="宋体" w:cs="宋体"/>
                <w:kern w:val="0"/>
                <w:sz w:val="20"/>
                <w:szCs w:val="20"/>
                <w:highlight w:val="none"/>
                <w:lang w:val="en-US" w:eastAsia="zh-CN" w:bidi="ar-SA"/>
              </w:rPr>
            </w:pPr>
            <w:r>
              <w:rPr>
                <w:rFonts w:hint="eastAsia" w:ascii="宋体" w:hAnsi="宋体" w:eastAsia="宋体" w:cs="宋体"/>
                <w:kern w:val="0"/>
                <w:sz w:val="20"/>
                <w:szCs w:val="20"/>
                <w:highlight w:val="none"/>
                <w:lang w:val="en-US" w:eastAsia="zh-CN" w:bidi="ar-SA"/>
              </w:rPr>
              <w:t>6.</w:t>
            </w:r>
            <w:r>
              <w:rPr>
                <w:rFonts w:hint="eastAsia" w:ascii="宋体" w:hAnsi="宋体" w:eastAsia="宋体" w:cs="宋体"/>
                <w:sz w:val="20"/>
                <w:szCs w:val="20"/>
                <w:highlight w:val="none"/>
                <w:lang w:val="en-US" w:eastAsia="zh-CN"/>
              </w:rPr>
              <w:t>▲</w:t>
            </w:r>
            <w:r>
              <w:rPr>
                <w:rFonts w:hint="eastAsia" w:ascii="宋体" w:hAnsi="宋体" w:eastAsia="宋体" w:cs="宋体"/>
                <w:kern w:val="0"/>
                <w:sz w:val="20"/>
                <w:szCs w:val="20"/>
                <w:highlight w:val="none"/>
                <w:lang w:val="en-US" w:eastAsia="zh-CN" w:bidi="ar-SA"/>
              </w:rPr>
              <w:t>支持对输入的异构环节SDI信号进行实时相关性比对分析；能有效处理延时节目的实时相关性分析，在提供信源存在延时的情况下，可以动态适应节目延时的变化，自动处理延时情况完成同步后进行准确的节目相关性分析，信号间延时时间实时叠加显示。【提供材料：产品彩页或功能界面截图】</w:t>
            </w:r>
          </w:p>
        </w:tc>
        <w:tc>
          <w:tcPr>
            <w:tcW w:w="270" w:type="pct"/>
            <w:shd w:val="clear" w:color="000000" w:fill="FFFFFF"/>
            <w:noWrap w:val="0"/>
            <w:vAlign w:val="center"/>
          </w:tcPr>
          <w:p w14:paraId="34F1A25F">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rPr>
              <w:t>套</w:t>
            </w:r>
          </w:p>
        </w:tc>
        <w:tc>
          <w:tcPr>
            <w:tcW w:w="271" w:type="pct"/>
            <w:shd w:val="clear" w:color="000000" w:fill="FFFFFF"/>
            <w:noWrap w:val="0"/>
            <w:vAlign w:val="center"/>
          </w:tcPr>
          <w:p w14:paraId="081A3BCA">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rPr>
              <w:t>2</w:t>
            </w:r>
          </w:p>
        </w:tc>
        <w:tc>
          <w:tcPr>
            <w:tcW w:w="444" w:type="pct"/>
            <w:shd w:val="clear" w:color="000000" w:fill="FFFFFF"/>
            <w:noWrap w:val="0"/>
            <w:vAlign w:val="top"/>
          </w:tcPr>
          <w:p w14:paraId="21A10646">
            <w:pPr>
              <w:widowControl/>
              <w:jc w:val="center"/>
              <w:rPr>
                <w:rFonts w:hint="eastAsia" w:ascii="宋体" w:hAnsi="宋体" w:eastAsia="宋体" w:cs="宋体"/>
                <w:kern w:val="0"/>
                <w:sz w:val="20"/>
                <w:szCs w:val="20"/>
              </w:rPr>
            </w:pPr>
          </w:p>
        </w:tc>
      </w:tr>
      <w:tr w14:paraId="22371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368" w:type="pct"/>
            <w:noWrap w:val="0"/>
            <w:vAlign w:val="center"/>
          </w:tcPr>
          <w:p w14:paraId="29D23360">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9</w:t>
            </w:r>
          </w:p>
        </w:tc>
        <w:tc>
          <w:tcPr>
            <w:tcW w:w="511" w:type="pct"/>
            <w:noWrap w:val="0"/>
            <w:vAlign w:val="center"/>
          </w:tcPr>
          <w:p w14:paraId="15511465">
            <w:pPr>
              <w:pStyle w:val="13"/>
              <w:spacing w:line="240" w:lineRule="auto"/>
              <w:ind w:firstLine="0"/>
              <w:jc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AES信号采集监测模块</w:t>
            </w:r>
          </w:p>
        </w:tc>
        <w:tc>
          <w:tcPr>
            <w:tcW w:w="3134" w:type="pct"/>
            <w:noWrap w:val="0"/>
            <w:vAlign w:val="top"/>
          </w:tcPr>
          <w:p w14:paraId="79DA5F3F">
            <w:pPr>
              <w:pStyle w:val="13"/>
              <w:spacing w:line="360" w:lineRule="auto"/>
              <w:ind w:firstLine="0"/>
              <w:rPr>
                <w:rFonts w:hint="eastAsia" w:ascii="宋体" w:hAnsi="宋体" w:eastAsia="宋体" w:cs="宋体"/>
                <w:kern w:val="0"/>
                <w:sz w:val="20"/>
                <w:szCs w:val="20"/>
                <w:highlight w:val="none"/>
                <w:lang w:val="en-US" w:eastAsia="zh-CN" w:bidi="ar-SA"/>
              </w:rPr>
            </w:pPr>
            <w:r>
              <w:rPr>
                <w:rFonts w:hint="eastAsia" w:ascii="宋体" w:hAnsi="宋体" w:eastAsia="宋体" w:cs="宋体"/>
                <w:kern w:val="0"/>
                <w:sz w:val="20"/>
                <w:szCs w:val="20"/>
                <w:highlight w:val="none"/>
                <w:lang w:val="en-US" w:eastAsia="zh-CN" w:bidi="ar-SA"/>
              </w:rPr>
              <w:t>1.支持</w:t>
            </w:r>
            <w:r>
              <w:rPr>
                <w:rFonts w:hint="eastAsia" w:ascii="宋体" w:hAnsi="宋体" w:eastAsia="宋体" w:cs="宋体"/>
                <w:kern w:val="2"/>
                <w:sz w:val="20"/>
                <w:szCs w:val="20"/>
                <w:highlight w:val="none"/>
                <w:lang w:val="en-US" w:eastAsia="zh-CN" w:bidi="ar-SA"/>
              </w:rPr>
              <w:t>≥</w:t>
            </w:r>
            <w:r>
              <w:rPr>
                <w:rFonts w:hint="eastAsia" w:ascii="宋体" w:hAnsi="宋体" w:eastAsia="宋体" w:cs="宋体"/>
                <w:kern w:val="0"/>
                <w:sz w:val="20"/>
                <w:szCs w:val="20"/>
                <w:highlight w:val="none"/>
                <w:lang w:val="en-US" w:eastAsia="zh-CN" w:bidi="ar-SA"/>
              </w:rPr>
              <w:t>3路AES输入和一路网络音频的输入，对所有输入信源可以实现多种模式选择切换输出，最多支持三路AES输出，支持一路AES断电直通；</w:t>
            </w:r>
          </w:p>
          <w:p w14:paraId="73337B09">
            <w:pPr>
              <w:pStyle w:val="13"/>
              <w:spacing w:line="360" w:lineRule="auto"/>
              <w:ind w:firstLine="0"/>
              <w:rPr>
                <w:rFonts w:hint="eastAsia" w:ascii="宋体" w:hAnsi="宋体" w:eastAsia="宋体" w:cs="宋体"/>
                <w:kern w:val="0"/>
                <w:sz w:val="20"/>
                <w:szCs w:val="20"/>
                <w:highlight w:val="none"/>
                <w:lang w:val="en-US" w:eastAsia="zh-CN" w:bidi="ar-SA"/>
              </w:rPr>
            </w:pPr>
            <w:r>
              <w:rPr>
                <w:rFonts w:hint="eastAsia" w:ascii="宋体" w:hAnsi="宋体" w:eastAsia="宋体" w:cs="宋体"/>
                <w:kern w:val="0"/>
                <w:sz w:val="20"/>
                <w:szCs w:val="20"/>
                <w:highlight w:val="none"/>
                <w:lang w:val="en-US" w:eastAsia="zh-CN" w:bidi="ar-SA"/>
              </w:rPr>
              <w:t>2.支持对输入信源音频参数分析、音频报警、实时编码IP输出功能；</w:t>
            </w:r>
          </w:p>
          <w:p w14:paraId="325BC6A6">
            <w:pPr>
              <w:pStyle w:val="13"/>
              <w:spacing w:line="360" w:lineRule="auto"/>
              <w:ind w:firstLine="0"/>
              <w:rPr>
                <w:rFonts w:hint="eastAsia" w:ascii="宋体" w:hAnsi="宋体" w:eastAsia="宋体" w:cs="宋体"/>
                <w:kern w:val="0"/>
                <w:sz w:val="20"/>
                <w:szCs w:val="20"/>
                <w:highlight w:val="none"/>
                <w:lang w:val="en-US" w:eastAsia="zh-CN" w:bidi="ar-SA"/>
              </w:rPr>
            </w:pPr>
            <w:r>
              <w:rPr>
                <w:rFonts w:hint="eastAsia" w:ascii="宋体" w:hAnsi="宋体" w:eastAsia="宋体" w:cs="宋体"/>
                <w:kern w:val="0"/>
                <w:sz w:val="20"/>
                <w:szCs w:val="20"/>
                <w:highlight w:val="none"/>
                <w:lang w:val="en-US" w:eastAsia="zh-CN" w:bidi="ar-SA"/>
              </w:rPr>
              <w:t>3.提供千兆以太网接口；</w:t>
            </w:r>
          </w:p>
          <w:p w14:paraId="0E74B8AB">
            <w:pPr>
              <w:pStyle w:val="13"/>
              <w:spacing w:line="360" w:lineRule="auto"/>
              <w:ind w:firstLine="0"/>
              <w:rPr>
                <w:rFonts w:hint="eastAsia" w:ascii="宋体" w:hAnsi="宋体" w:eastAsia="宋体" w:cs="宋体"/>
                <w:kern w:val="0"/>
                <w:sz w:val="20"/>
                <w:szCs w:val="20"/>
                <w:highlight w:val="none"/>
                <w:lang w:val="en-US" w:eastAsia="zh-CN" w:bidi="ar-SA"/>
              </w:rPr>
            </w:pPr>
            <w:r>
              <w:rPr>
                <w:rFonts w:hint="eastAsia" w:ascii="宋体" w:hAnsi="宋体" w:eastAsia="宋体" w:cs="宋体"/>
                <w:kern w:val="0"/>
                <w:sz w:val="20"/>
                <w:szCs w:val="20"/>
                <w:highlight w:val="none"/>
                <w:lang w:val="en-US" w:eastAsia="zh-CN" w:bidi="ar-SA"/>
              </w:rPr>
              <w:t>4.支持内置多功能OLED显示器和蜂鸣器；</w:t>
            </w:r>
          </w:p>
          <w:p w14:paraId="2311666C">
            <w:pPr>
              <w:pStyle w:val="13"/>
              <w:spacing w:line="360" w:lineRule="auto"/>
              <w:ind w:firstLine="0"/>
              <w:rPr>
                <w:rFonts w:hint="eastAsia" w:ascii="宋体" w:hAnsi="宋体" w:eastAsia="宋体" w:cs="宋体"/>
                <w:kern w:val="0"/>
                <w:sz w:val="20"/>
                <w:szCs w:val="20"/>
                <w:highlight w:val="none"/>
                <w:lang w:val="en-US" w:eastAsia="zh-CN" w:bidi="ar-SA"/>
              </w:rPr>
            </w:pPr>
            <w:r>
              <w:rPr>
                <w:rFonts w:hint="eastAsia" w:ascii="宋体" w:hAnsi="宋体" w:eastAsia="宋体" w:cs="宋体"/>
                <w:kern w:val="0"/>
                <w:sz w:val="20"/>
                <w:szCs w:val="20"/>
                <w:highlight w:val="none"/>
                <w:lang w:val="en-US" w:eastAsia="zh-CN" w:bidi="ar-SA"/>
              </w:rPr>
              <w:t>5.支持内置温湿度监测；</w:t>
            </w:r>
          </w:p>
          <w:p w14:paraId="12B2F02A">
            <w:pPr>
              <w:pStyle w:val="13"/>
              <w:spacing w:line="360" w:lineRule="auto"/>
              <w:ind w:firstLine="0"/>
              <w:rPr>
                <w:rFonts w:hint="eastAsia" w:ascii="宋体" w:hAnsi="宋体" w:eastAsia="宋体" w:cs="宋体"/>
                <w:kern w:val="0"/>
                <w:sz w:val="20"/>
                <w:szCs w:val="20"/>
                <w:highlight w:val="none"/>
                <w:lang w:val="en-US" w:eastAsia="zh-CN" w:bidi="ar-SA"/>
              </w:rPr>
            </w:pPr>
            <w:r>
              <w:rPr>
                <w:rFonts w:hint="eastAsia" w:ascii="宋体" w:hAnsi="宋体" w:eastAsia="宋体" w:cs="宋体"/>
                <w:kern w:val="0"/>
                <w:sz w:val="20"/>
                <w:szCs w:val="20"/>
                <w:highlight w:val="none"/>
                <w:lang w:val="en-US" w:eastAsia="zh-CN" w:bidi="ar-SA"/>
              </w:rPr>
              <w:t>6.支持内置EEPROM记忆芯片保存配置信息，快速更换故障模块无需重新配置，实现“即插即用”</w:t>
            </w:r>
          </w:p>
        </w:tc>
        <w:tc>
          <w:tcPr>
            <w:tcW w:w="270" w:type="pct"/>
            <w:noWrap w:val="0"/>
            <w:vAlign w:val="center"/>
          </w:tcPr>
          <w:p w14:paraId="6721A996">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rPr>
              <w:t>套</w:t>
            </w:r>
          </w:p>
        </w:tc>
        <w:tc>
          <w:tcPr>
            <w:tcW w:w="271" w:type="pct"/>
            <w:noWrap w:val="0"/>
            <w:vAlign w:val="center"/>
          </w:tcPr>
          <w:p w14:paraId="6B79B241">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rPr>
              <w:t>1</w:t>
            </w:r>
          </w:p>
        </w:tc>
        <w:tc>
          <w:tcPr>
            <w:tcW w:w="444" w:type="pct"/>
            <w:noWrap w:val="0"/>
            <w:vAlign w:val="top"/>
          </w:tcPr>
          <w:p w14:paraId="6A95A61B">
            <w:pPr>
              <w:widowControl/>
              <w:jc w:val="center"/>
              <w:rPr>
                <w:rFonts w:hint="eastAsia" w:ascii="宋体" w:hAnsi="宋体" w:eastAsia="宋体" w:cs="宋体"/>
                <w:kern w:val="0"/>
                <w:sz w:val="20"/>
                <w:szCs w:val="20"/>
              </w:rPr>
            </w:pPr>
          </w:p>
        </w:tc>
      </w:tr>
      <w:tr w14:paraId="59C85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368" w:type="pct"/>
            <w:noWrap w:val="0"/>
            <w:vAlign w:val="center"/>
          </w:tcPr>
          <w:p w14:paraId="605F55DB">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10</w:t>
            </w:r>
          </w:p>
        </w:tc>
        <w:tc>
          <w:tcPr>
            <w:tcW w:w="511" w:type="pct"/>
            <w:noWrap w:val="0"/>
            <w:vAlign w:val="center"/>
          </w:tcPr>
          <w:p w14:paraId="58B3B8B8">
            <w:pPr>
              <w:pStyle w:val="13"/>
              <w:spacing w:line="240" w:lineRule="auto"/>
              <w:ind w:firstLine="0"/>
              <w:jc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信号采集专用机箱</w:t>
            </w:r>
          </w:p>
        </w:tc>
        <w:tc>
          <w:tcPr>
            <w:tcW w:w="3134" w:type="pct"/>
            <w:noWrap w:val="0"/>
            <w:vAlign w:val="top"/>
          </w:tcPr>
          <w:p w14:paraId="5CBE415A">
            <w:pPr>
              <w:pStyle w:val="13"/>
              <w:spacing w:line="360" w:lineRule="auto"/>
              <w:ind w:firstLine="0"/>
              <w:rPr>
                <w:rFonts w:hint="eastAsia" w:ascii="宋体" w:hAnsi="宋体" w:eastAsia="宋体" w:cs="宋体"/>
                <w:kern w:val="0"/>
                <w:sz w:val="20"/>
                <w:szCs w:val="20"/>
                <w:highlight w:val="none"/>
                <w:lang w:val="en-US" w:eastAsia="zh-CN" w:bidi="ar-SA"/>
              </w:rPr>
            </w:pPr>
            <w:r>
              <w:rPr>
                <w:rFonts w:hint="eastAsia" w:ascii="宋体" w:hAnsi="宋体" w:eastAsia="宋体" w:cs="宋体"/>
                <w:kern w:val="0"/>
                <w:sz w:val="20"/>
                <w:szCs w:val="20"/>
                <w:highlight w:val="none"/>
                <w:lang w:val="en-US" w:eastAsia="zh-CN" w:bidi="ar-SA"/>
              </w:rPr>
              <w:t>1.标准19寸机架式设备；</w:t>
            </w:r>
          </w:p>
          <w:p w14:paraId="4093BE01">
            <w:pPr>
              <w:pStyle w:val="13"/>
              <w:spacing w:line="360" w:lineRule="auto"/>
              <w:ind w:firstLine="0"/>
              <w:rPr>
                <w:rFonts w:hint="eastAsia" w:ascii="宋体" w:hAnsi="宋体" w:eastAsia="宋体" w:cs="宋体"/>
                <w:kern w:val="0"/>
                <w:sz w:val="20"/>
                <w:szCs w:val="20"/>
                <w:highlight w:val="none"/>
                <w:lang w:val="en-US" w:eastAsia="zh-CN" w:bidi="ar-SA"/>
              </w:rPr>
            </w:pPr>
            <w:r>
              <w:rPr>
                <w:rFonts w:hint="eastAsia" w:ascii="宋体" w:hAnsi="宋体" w:eastAsia="宋体" w:cs="宋体"/>
                <w:kern w:val="0"/>
                <w:sz w:val="20"/>
                <w:szCs w:val="20"/>
                <w:highlight w:val="none"/>
                <w:lang w:val="en-US" w:eastAsia="zh-CN" w:bidi="ar-SA"/>
              </w:rPr>
              <w:t>2.所有插槽完全独立工作；</w:t>
            </w:r>
          </w:p>
          <w:p w14:paraId="2A877A67">
            <w:pPr>
              <w:pStyle w:val="13"/>
              <w:spacing w:line="360" w:lineRule="auto"/>
              <w:ind w:firstLine="0"/>
              <w:rPr>
                <w:rFonts w:hint="eastAsia" w:ascii="宋体" w:hAnsi="宋体" w:eastAsia="宋体" w:cs="宋体"/>
                <w:kern w:val="0"/>
                <w:sz w:val="20"/>
                <w:szCs w:val="20"/>
                <w:highlight w:val="none"/>
                <w:lang w:val="en-US" w:eastAsia="zh-CN" w:bidi="ar-SA"/>
              </w:rPr>
            </w:pPr>
            <w:r>
              <w:rPr>
                <w:rFonts w:hint="eastAsia" w:ascii="宋体" w:hAnsi="宋体" w:eastAsia="宋体" w:cs="宋体"/>
                <w:kern w:val="0"/>
                <w:sz w:val="20"/>
                <w:szCs w:val="20"/>
                <w:highlight w:val="none"/>
                <w:lang w:val="en-US" w:eastAsia="zh-CN" w:bidi="ar-SA"/>
              </w:rPr>
              <w:t>3.</w:t>
            </w:r>
            <w:r>
              <w:rPr>
                <w:rFonts w:hint="eastAsia" w:ascii="宋体" w:hAnsi="宋体" w:eastAsia="宋体" w:cs="宋体"/>
                <w:sz w:val="20"/>
                <w:szCs w:val="20"/>
                <w:highlight w:val="none"/>
                <w:lang w:val="en-US" w:eastAsia="zh-CN"/>
              </w:rPr>
              <w:t>▲</w:t>
            </w:r>
            <w:r>
              <w:rPr>
                <w:rFonts w:hint="eastAsia" w:ascii="宋体" w:hAnsi="宋体" w:eastAsia="宋体" w:cs="宋体"/>
                <w:kern w:val="0"/>
                <w:sz w:val="20"/>
                <w:szCs w:val="20"/>
                <w:highlight w:val="none"/>
                <w:lang w:val="en-US" w:eastAsia="zh-CN" w:bidi="ar-SA"/>
              </w:rPr>
              <w:t>支持所有SDI、ASI、AES、DTMB采集监测模块任意混插，互不影响；【提供材料：产品彩页或功能界面截图】</w:t>
            </w:r>
          </w:p>
          <w:p w14:paraId="02CC7C37">
            <w:pPr>
              <w:pStyle w:val="13"/>
              <w:spacing w:line="360" w:lineRule="auto"/>
              <w:ind w:firstLine="0"/>
              <w:rPr>
                <w:rFonts w:hint="eastAsia" w:ascii="宋体" w:hAnsi="宋体" w:eastAsia="宋体" w:cs="宋体"/>
                <w:kern w:val="0"/>
                <w:sz w:val="20"/>
                <w:szCs w:val="20"/>
                <w:highlight w:val="none"/>
                <w:lang w:val="en-US" w:eastAsia="zh-CN" w:bidi="ar-SA"/>
              </w:rPr>
            </w:pPr>
            <w:r>
              <w:rPr>
                <w:rFonts w:hint="eastAsia" w:ascii="宋体" w:hAnsi="宋体" w:eastAsia="宋体" w:cs="宋体"/>
                <w:kern w:val="0"/>
                <w:sz w:val="20"/>
                <w:szCs w:val="20"/>
                <w:highlight w:val="none"/>
                <w:lang w:val="en-US" w:eastAsia="zh-CN" w:bidi="ar-SA"/>
              </w:rPr>
              <w:t>4.支持模块热插拔，具备良好的散热设计；</w:t>
            </w:r>
          </w:p>
          <w:p w14:paraId="0F1B9A52">
            <w:pPr>
              <w:pStyle w:val="13"/>
              <w:spacing w:line="360" w:lineRule="auto"/>
              <w:ind w:firstLine="0"/>
              <w:rPr>
                <w:rFonts w:hint="eastAsia" w:ascii="宋体" w:hAnsi="宋体" w:eastAsia="宋体" w:cs="宋体"/>
                <w:kern w:val="0"/>
                <w:sz w:val="20"/>
                <w:szCs w:val="20"/>
                <w:highlight w:val="none"/>
                <w:lang w:val="en-US" w:eastAsia="zh-CN" w:bidi="ar-SA"/>
              </w:rPr>
            </w:pPr>
            <w:r>
              <w:rPr>
                <w:rFonts w:hint="eastAsia" w:ascii="宋体" w:hAnsi="宋体" w:eastAsia="宋体" w:cs="宋体"/>
                <w:kern w:val="0"/>
                <w:sz w:val="20"/>
                <w:szCs w:val="20"/>
                <w:highlight w:val="none"/>
                <w:lang w:val="en-US" w:eastAsia="zh-CN" w:bidi="ar-SA"/>
              </w:rPr>
              <w:t>5.支持220V冗余交流双电源。</w:t>
            </w:r>
          </w:p>
        </w:tc>
        <w:tc>
          <w:tcPr>
            <w:tcW w:w="270" w:type="pct"/>
            <w:noWrap w:val="0"/>
            <w:vAlign w:val="center"/>
          </w:tcPr>
          <w:p w14:paraId="2D05AD85">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台</w:t>
            </w:r>
          </w:p>
        </w:tc>
        <w:tc>
          <w:tcPr>
            <w:tcW w:w="271" w:type="pct"/>
            <w:noWrap w:val="0"/>
            <w:vAlign w:val="center"/>
          </w:tcPr>
          <w:p w14:paraId="14B540CB">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w:t>
            </w:r>
          </w:p>
        </w:tc>
        <w:tc>
          <w:tcPr>
            <w:tcW w:w="444" w:type="pct"/>
            <w:noWrap w:val="0"/>
            <w:vAlign w:val="center"/>
          </w:tcPr>
          <w:p w14:paraId="280907EB">
            <w:pPr>
              <w:widowControl/>
              <w:jc w:val="center"/>
              <w:rPr>
                <w:rFonts w:hint="eastAsia" w:ascii="宋体" w:hAnsi="宋体" w:eastAsia="宋体" w:cs="宋体"/>
                <w:kern w:val="0"/>
                <w:sz w:val="20"/>
                <w:szCs w:val="20"/>
              </w:rPr>
            </w:pPr>
          </w:p>
        </w:tc>
      </w:tr>
      <w:tr w14:paraId="76892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368" w:type="pct"/>
            <w:noWrap w:val="0"/>
            <w:vAlign w:val="center"/>
          </w:tcPr>
          <w:p w14:paraId="50C0FD87">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11</w:t>
            </w:r>
          </w:p>
        </w:tc>
        <w:tc>
          <w:tcPr>
            <w:tcW w:w="511" w:type="pct"/>
            <w:noWrap w:val="0"/>
            <w:vAlign w:val="center"/>
          </w:tcPr>
          <w:p w14:paraId="1E96D172">
            <w:pPr>
              <w:pStyle w:val="13"/>
              <w:spacing w:line="240" w:lineRule="auto"/>
              <w:ind w:firstLine="0"/>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服务器操作系统</w:t>
            </w:r>
          </w:p>
        </w:tc>
        <w:tc>
          <w:tcPr>
            <w:tcW w:w="3134" w:type="pct"/>
            <w:noWrap w:val="0"/>
            <w:vAlign w:val="top"/>
          </w:tcPr>
          <w:p w14:paraId="746BBC34">
            <w:pPr>
              <w:pStyle w:val="13"/>
              <w:spacing w:line="360" w:lineRule="auto"/>
              <w:ind w:firstLine="0"/>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bidi="ar-SA"/>
              </w:rPr>
              <w:t>1.国产服务器操作系统。</w:t>
            </w:r>
          </w:p>
          <w:p w14:paraId="3A78B46A">
            <w:pPr>
              <w:pStyle w:val="13"/>
              <w:spacing w:line="360" w:lineRule="auto"/>
              <w:ind w:firstLine="0"/>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bidi="ar-SA"/>
              </w:rPr>
              <w:t>2.具备文件系统管理、设备管理、用户管理、日志管理、软件包管理、磁盘管理等基本功能;提供服务配置管理和管理、进程管理、网络管理、资源管理和监控、文件共享、系统更新、备份还原等服务器常用工具和集成式开发环境；兼容主流服务器、外设和数据库、中间件、虚拟化和容器技术、云计算和大数据等平台；提供企业级稳定性、可靠性和Kysec安全机制。</w:t>
            </w:r>
          </w:p>
          <w:p w14:paraId="686BB69E">
            <w:pPr>
              <w:pStyle w:val="13"/>
              <w:spacing w:line="360" w:lineRule="auto"/>
              <w:ind w:firstLine="0"/>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bidi="ar-SA"/>
              </w:rPr>
              <w:t>3.兼容浏览器：适配龙芯浏览器、360安全浏览器、奇安信可信浏览器。</w:t>
            </w:r>
          </w:p>
          <w:p w14:paraId="609C2F71">
            <w:pPr>
              <w:pStyle w:val="13"/>
              <w:spacing w:line="360" w:lineRule="auto"/>
              <w:ind w:firstLine="0"/>
              <w:rPr>
                <w:rFonts w:hint="eastAsia" w:ascii="宋体" w:hAnsi="宋体" w:eastAsia="宋体" w:cs="宋体"/>
                <w:kern w:val="0"/>
                <w:sz w:val="20"/>
                <w:szCs w:val="20"/>
                <w:lang w:val="en-US" w:eastAsia="zh-CN" w:bidi="ar-SA"/>
              </w:rPr>
            </w:pPr>
            <w:r>
              <w:rPr>
                <w:rFonts w:hint="eastAsia"/>
              </w:rPr>
              <w:t>★</w:t>
            </w:r>
            <w:r>
              <w:rPr>
                <w:rFonts w:hint="eastAsia" w:ascii="宋体" w:hAnsi="宋体" w:eastAsia="宋体" w:cs="宋体"/>
                <w:kern w:val="0"/>
                <w:sz w:val="20"/>
                <w:szCs w:val="20"/>
                <w:lang w:val="en-US" w:eastAsia="zh-CN" w:bidi="ar-SA"/>
              </w:rPr>
              <w:t>4.操作系统同源兼容ARM、LoongArch、MIPS、SW64、X86等平台架构的CPU</w:t>
            </w:r>
          </w:p>
          <w:p w14:paraId="4B22141F">
            <w:pPr>
              <w:pStyle w:val="13"/>
              <w:spacing w:line="360" w:lineRule="auto"/>
              <w:ind w:firstLine="0"/>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bidi="ar-SA"/>
              </w:rPr>
              <w:t>5.适配平台：鲲鹏、飞腾、腾云、龙芯、兆芯、申威、海光</w:t>
            </w:r>
          </w:p>
          <w:p w14:paraId="5D41FF94">
            <w:pPr>
              <w:pStyle w:val="13"/>
              <w:spacing w:line="360" w:lineRule="auto"/>
              <w:ind w:firstLine="0"/>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bidi="ar-SA"/>
              </w:rPr>
              <w:t>6.主要性能参数：符合GB/T 25645-2010《中文Linux服务器操作系统技术要求》、GBT 25646-2010《中文Linux用户界面规范》。</w:t>
            </w:r>
          </w:p>
        </w:tc>
        <w:tc>
          <w:tcPr>
            <w:tcW w:w="270" w:type="pct"/>
            <w:noWrap w:val="0"/>
            <w:vAlign w:val="center"/>
          </w:tcPr>
          <w:p w14:paraId="2B73E390">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rPr>
              <w:t>套</w:t>
            </w:r>
          </w:p>
        </w:tc>
        <w:tc>
          <w:tcPr>
            <w:tcW w:w="271" w:type="pct"/>
            <w:noWrap w:val="0"/>
            <w:vAlign w:val="center"/>
          </w:tcPr>
          <w:p w14:paraId="5B02293C">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5</w:t>
            </w:r>
          </w:p>
        </w:tc>
        <w:tc>
          <w:tcPr>
            <w:tcW w:w="444" w:type="pct"/>
            <w:noWrap w:val="0"/>
            <w:vAlign w:val="center"/>
          </w:tcPr>
          <w:p w14:paraId="46F88FD2">
            <w:pPr>
              <w:widowControl/>
              <w:jc w:val="center"/>
              <w:rPr>
                <w:rFonts w:hint="eastAsia" w:ascii="宋体" w:hAnsi="宋体" w:eastAsia="宋体" w:cs="宋体"/>
                <w:kern w:val="0"/>
                <w:sz w:val="20"/>
                <w:szCs w:val="20"/>
              </w:rPr>
            </w:pPr>
          </w:p>
        </w:tc>
      </w:tr>
      <w:tr w14:paraId="74792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368" w:type="pct"/>
            <w:noWrap w:val="0"/>
            <w:vAlign w:val="center"/>
          </w:tcPr>
          <w:p w14:paraId="508167D7">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12</w:t>
            </w:r>
          </w:p>
        </w:tc>
        <w:tc>
          <w:tcPr>
            <w:tcW w:w="511" w:type="pct"/>
            <w:noWrap w:val="0"/>
            <w:vAlign w:val="center"/>
          </w:tcPr>
          <w:p w14:paraId="0B942DEF">
            <w:pPr>
              <w:pStyle w:val="13"/>
              <w:spacing w:line="240" w:lineRule="auto"/>
              <w:ind w:firstLine="0"/>
              <w:jc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数据库管理系统</w:t>
            </w:r>
          </w:p>
        </w:tc>
        <w:tc>
          <w:tcPr>
            <w:tcW w:w="3134" w:type="pct"/>
            <w:noWrap w:val="0"/>
            <w:vAlign w:val="top"/>
          </w:tcPr>
          <w:p w14:paraId="59469A34">
            <w:pPr>
              <w:pStyle w:val="13"/>
              <w:spacing w:line="360" w:lineRule="auto"/>
              <w:ind w:firstLine="0"/>
              <w:rPr>
                <w:rFonts w:hint="eastAsia" w:ascii="宋体" w:hAnsi="宋体" w:eastAsia="宋体" w:cs="宋体"/>
                <w:kern w:val="0"/>
                <w:sz w:val="20"/>
                <w:szCs w:val="20"/>
                <w:highlight w:val="none"/>
                <w:lang w:val="en-US" w:eastAsia="zh-CN" w:bidi="ar-SA"/>
              </w:rPr>
            </w:pPr>
            <w:r>
              <w:rPr>
                <w:rFonts w:hint="eastAsia" w:ascii="宋体" w:hAnsi="宋体" w:eastAsia="宋体" w:cs="宋体"/>
                <w:kern w:val="0"/>
                <w:sz w:val="20"/>
                <w:szCs w:val="20"/>
                <w:highlight w:val="none"/>
                <w:lang w:val="en-US" w:eastAsia="zh-CN" w:bidi="ar-SA"/>
              </w:rPr>
              <w:t>1.国产数据库管理系统。</w:t>
            </w:r>
          </w:p>
          <w:p w14:paraId="434426AE">
            <w:pPr>
              <w:pStyle w:val="13"/>
              <w:spacing w:line="360" w:lineRule="auto"/>
              <w:ind w:firstLine="0"/>
              <w:rPr>
                <w:rFonts w:hint="eastAsia" w:ascii="宋体" w:hAnsi="宋体" w:eastAsia="宋体" w:cs="宋体"/>
                <w:kern w:val="0"/>
                <w:sz w:val="20"/>
                <w:szCs w:val="20"/>
                <w:highlight w:val="none"/>
                <w:lang w:val="en-US" w:eastAsia="zh-CN" w:bidi="ar-SA"/>
              </w:rPr>
            </w:pPr>
            <w:r>
              <w:rPr>
                <w:rFonts w:hint="eastAsia" w:ascii="宋体" w:hAnsi="宋体" w:eastAsia="宋体" w:cs="宋体"/>
                <w:kern w:val="0"/>
                <w:sz w:val="20"/>
                <w:szCs w:val="20"/>
                <w:highlight w:val="none"/>
                <w:lang w:val="en-US" w:eastAsia="zh-CN" w:bidi="ar-SA"/>
              </w:rPr>
              <w:t>2.产品应当兼容国内主流厂商硬件，支持多种硬件体系，可运行于X86、龙芯、飞腾、鲲鹏等硬件体系之上，保证各种平台上具有一致的数据存储结构和通信协议。</w:t>
            </w:r>
          </w:p>
          <w:p w14:paraId="789CFA81">
            <w:pPr>
              <w:pStyle w:val="13"/>
              <w:spacing w:line="360" w:lineRule="auto"/>
              <w:ind w:firstLine="0"/>
              <w:rPr>
                <w:rFonts w:hint="eastAsia" w:ascii="宋体" w:hAnsi="宋体" w:eastAsia="宋体" w:cs="宋体"/>
                <w:kern w:val="0"/>
                <w:sz w:val="20"/>
                <w:szCs w:val="20"/>
                <w:highlight w:val="none"/>
                <w:lang w:val="en-US" w:eastAsia="zh-CN" w:bidi="ar-SA"/>
              </w:rPr>
            </w:pPr>
            <w:r>
              <w:rPr>
                <w:rFonts w:hint="eastAsia" w:ascii="宋体" w:hAnsi="宋体" w:eastAsia="宋体" w:cs="宋体"/>
                <w:kern w:val="0"/>
                <w:sz w:val="20"/>
                <w:szCs w:val="20"/>
                <w:highlight w:val="none"/>
                <w:lang w:val="en-US" w:eastAsia="zh-CN" w:bidi="ar-SA"/>
              </w:rPr>
              <w:t>3.兼容国内主流操作系统，需提供基于红帽、凝思、麒麟、统信UOS及其它常用Linux、Windows、Unix等多种通用/专有操作系统的数据库产品分发版本。</w:t>
            </w:r>
          </w:p>
          <w:p w14:paraId="72D5AC1B">
            <w:pPr>
              <w:pStyle w:val="13"/>
              <w:spacing w:line="360" w:lineRule="auto"/>
              <w:ind w:firstLine="0"/>
              <w:rPr>
                <w:rFonts w:hint="eastAsia" w:ascii="宋体" w:hAnsi="宋体" w:eastAsia="宋体" w:cs="宋体"/>
                <w:kern w:val="0"/>
                <w:sz w:val="20"/>
                <w:szCs w:val="20"/>
                <w:highlight w:val="none"/>
                <w:lang w:val="en-US" w:eastAsia="zh-CN" w:bidi="ar-SA"/>
              </w:rPr>
            </w:pPr>
            <w:r>
              <w:rPr>
                <w:rFonts w:hint="eastAsia" w:ascii="宋体" w:hAnsi="宋体" w:eastAsia="宋体" w:cs="宋体"/>
                <w:kern w:val="0"/>
                <w:sz w:val="20"/>
                <w:szCs w:val="20"/>
                <w:highlight w:val="none"/>
                <w:lang w:val="en-US" w:eastAsia="zh-CN" w:bidi="ar-SA"/>
              </w:rPr>
              <w:t>4.兼容PL/SQL语法和数据操作及常用系统函数；实现对数据查询语言（DQL)、数据操纵语言(DML)和数据定义语言(DDL)的兼容。</w:t>
            </w:r>
          </w:p>
          <w:p w14:paraId="6A56C207">
            <w:pPr>
              <w:pStyle w:val="13"/>
              <w:spacing w:line="360" w:lineRule="auto"/>
              <w:ind w:firstLine="0"/>
              <w:rPr>
                <w:rFonts w:hint="eastAsia" w:ascii="宋体" w:hAnsi="宋体" w:eastAsia="宋体" w:cs="宋体"/>
                <w:kern w:val="0"/>
                <w:sz w:val="20"/>
                <w:szCs w:val="20"/>
                <w:highlight w:val="none"/>
                <w:lang w:val="en-US" w:eastAsia="zh-CN" w:bidi="ar-SA"/>
              </w:rPr>
            </w:pPr>
            <w:r>
              <w:rPr>
                <w:rFonts w:hint="eastAsia" w:ascii="宋体" w:hAnsi="宋体" w:eastAsia="宋体" w:cs="宋体"/>
                <w:kern w:val="0"/>
                <w:sz w:val="20"/>
                <w:szCs w:val="20"/>
                <w:highlight w:val="none"/>
                <w:lang w:val="en-US" w:eastAsia="zh-CN" w:bidi="ar-SA"/>
              </w:rPr>
              <w:t>5.产品具备快速扩展能力，节点新增不停库。支持分库分表，支持分布式应用。</w:t>
            </w:r>
          </w:p>
          <w:p w14:paraId="19D50D36">
            <w:pPr>
              <w:pStyle w:val="13"/>
              <w:spacing w:line="360" w:lineRule="auto"/>
              <w:ind w:firstLine="0"/>
              <w:rPr>
                <w:rFonts w:hint="eastAsia" w:ascii="宋体" w:hAnsi="宋体" w:eastAsia="宋体" w:cs="宋体"/>
                <w:kern w:val="0"/>
                <w:sz w:val="20"/>
                <w:szCs w:val="20"/>
                <w:highlight w:val="none"/>
                <w:lang w:val="en-US" w:eastAsia="zh-CN" w:bidi="ar-SA"/>
              </w:rPr>
            </w:pPr>
            <w:r>
              <w:rPr>
                <w:rFonts w:hint="eastAsia"/>
              </w:rPr>
              <w:t>★</w:t>
            </w:r>
            <w:r>
              <w:rPr>
                <w:rFonts w:hint="eastAsia" w:ascii="宋体" w:hAnsi="宋体" w:eastAsia="宋体" w:cs="宋体"/>
                <w:kern w:val="0"/>
                <w:sz w:val="20"/>
                <w:szCs w:val="20"/>
                <w:highlight w:val="none"/>
                <w:lang w:val="en-US" w:eastAsia="zh-CN" w:bidi="ar-SA"/>
              </w:rPr>
              <w:t>6.支持命令行或图形化的安装、支持命令行或图形化的可配置安装能力、依据安装环境提供相应的初始化参数配置值、提供图形化软件组件管理向导工具。</w:t>
            </w:r>
          </w:p>
        </w:tc>
        <w:tc>
          <w:tcPr>
            <w:tcW w:w="270" w:type="pct"/>
            <w:noWrap w:val="0"/>
            <w:vAlign w:val="center"/>
          </w:tcPr>
          <w:p w14:paraId="4AA0543B">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rPr>
              <w:t>套</w:t>
            </w:r>
          </w:p>
        </w:tc>
        <w:tc>
          <w:tcPr>
            <w:tcW w:w="271" w:type="pct"/>
            <w:noWrap w:val="0"/>
            <w:vAlign w:val="center"/>
          </w:tcPr>
          <w:p w14:paraId="5669B1B2">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rPr>
              <w:t>1</w:t>
            </w:r>
          </w:p>
        </w:tc>
        <w:tc>
          <w:tcPr>
            <w:tcW w:w="444" w:type="pct"/>
            <w:noWrap w:val="0"/>
            <w:vAlign w:val="center"/>
          </w:tcPr>
          <w:p w14:paraId="4B24D923">
            <w:pPr>
              <w:widowControl/>
              <w:jc w:val="center"/>
              <w:rPr>
                <w:rFonts w:hint="eastAsia" w:ascii="宋体" w:hAnsi="宋体" w:eastAsia="宋体" w:cs="宋体"/>
                <w:kern w:val="0"/>
                <w:sz w:val="20"/>
                <w:szCs w:val="20"/>
              </w:rPr>
            </w:pPr>
          </w:p>
        </w:tc>
      </w:tr>
      <w:tr w14:paraId="34B0D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368" w:type="pct"/>
            <w:noWrap w:val="0"/>
            <w:vAlign w:val="center"/>
          </w:tcPr>
          <w:p w14:paraId="5805B9A5">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13</w:t>
            </w:r>
          </w:p>
        </w:tc>
        <w:tc>
          <w:tcPr>
            <w:tcW w:w="511" w:type="pct"/>
            <w:noWrap w:val="0"/>
            <w:vAlign w:val="center"/>
          </w:tcPr>
          <w:p w14:paraId="62F7DA98">
            <w:pPr>
              <w:pStyle w:val="13"/>
              <w:spacing w:line="240" w:lineRule="auto"/>
              <w:ind w:firstLine="0"/>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中间件软件</w:t>
            </w:r>
          </w:p>
        </w:tc>
        <w:tc>
          <w:tcPr>
            <w:tcW w:w="3134" w:type="pct"/>
            <w:noWrap w:val="0"/>
            <w:vAlign w:val="top"/>
          </w:tcPr>
          <w:p w14:paraId="3AE90895">
            <w:pPr>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bidi="ar-SA"/>
              </w:rPr>
              <w:t>1.国产中间件。</w:t>
            </w:r>
          </w:p>
          <w:p w14:paraId="60A6C129">
            <w:pPr>
              <w:pStyle w:val="13"/>
              <w:spacing w:line="240" w:lineRule="auto"/>
              <w:ind w:firstLine="0"/>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bidi="ar-SA"/>
              </w:rPr>
              <w:t>2.遵循国际标准，必须通过Java EE 5、6、7、8四个标准规范的官方兼容认证，并且逐个提供Java EE对上述标准兼容认证的查询网址及网页截图。</w:t>
            </w:r>
          </w:p>
          <w:p w14:paraId="78C70C88">
            <w:pPr>
              <w:widowControl/>
              <w:numPr>
                <w:ilvl w:val="0"/>
                <w:numId w:val="0"/>
              </w:numPr>
              <w:spacing w:line="360" w:lineRule="auto"/>
              <w:textAlignment w:val="center"/>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bidi="ar-SA"/>
              </w:rPr>
              <w:t>3.产品应具备良好的生态环境适应能力，支持多种主流国产操作系统，如麒麟OS、统信UOS等；支持多种主流国产数据库系统，如达梦、金仓、神通、南大通用等。</w:t>
            </w:r>
          </w:p>
          <w:p w14:paraId="503DDBAB">
            <w:pPr>
              <w:widowControl/>
              <w:numPr>
                <w:ilvl w:val="0"/>
                <w:numId w:val="0"/>
              </w:numPr>
              <w:spacing w:line="360" w:lineRule="auto"/>
              <w:textAlignment w:val="center"/>
              <w:rPr>
                <w:rFonts w:hint="eastAsia" w:ascii="宋体" w:hAnsi="宋体" w:eastAsia="宋体" w:cs="宋体"/>
                <w:kern w:val="0"/>
                <w:sz w:val="20"/>
                <w:szCs w:val="20"/>
              </w:rPr>
            </w:pPr>
            <w:r>
              <w:rPr>
                <w:rFonts w:hint="eastAsia" w:ascii="宋体" w:hAnsi="宋体" w:eastAsia="宋体" w:cs="宋体"/>
                <w:kern w:val="0"/>
                <w:sz w:val="20"/>
                <w:szCs w:val="20"/>
                <w:lang w:val="en-US" w:eastAsia="zh-CN" w:bidi="ar-SA"/>
              </w:rPr>
              <w:t>4.通过中国网络安全审查技术与认证中心(CCRC)的信息安全认证，获得IT产品信息安全认证。</w:t>
            </w:r>
          </w:p>
        </w:tc>
        <w:tc>
          <w:tcPr>
            <w:tcW w:w="270" w:type="pct"/>
            <w:noWrap w:val="0"/>
            <w:vAlign w:val="center"/>
          </w:tcPr>
          <w:p w14:paraId="10ED3711">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rPr>
              <w:t>套</w:t>
            </w:r>
          </w:p>
        </w:tc>
        <w:tc>
          <w:tcPr>
            <w:tcW w:w="271" w:type="pct"/>
            <w:noWrap w:val="0"/>
            <w:vAlign w:val="center"/>
          </w:tcPr>
          <w:p w14:paraId="22678C52">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rPr>
              <w:t>1</w:t>
            </w:r>
          </w:p>
        </w:tc>
        <w:tc>
          <w:tcPr>
            <w:tcW w:w="444" w:type="pct"/>
            <w:noWrap w:val="0"/>
            <w:vAlign w:val="center"/>
          </w:tcPr>
          <w:p w14:paraId="6441C17D">
            <w:pPr>
              <w:widowControl/>
              <w:jc w:val="center"/>
              <w:rPr>
                <w:rFonts w:hint="eastAsia" w:ascii="宋体" w:hAnsi="宋体" w:eastAsia="宋体" w:cs="宋体"/>
                <w:kern w:val="0"/>
                <w:sz w:val="20"/>
                <w:szCs w:val="20"/>
              </w:rPr>
            </w:pPr>
          </w:p>
        </w:tc>
      </w:tr>
      <w:tr w14:paraId="30C07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368" w:type="pct"/>
            <w:noWrap w:val="0"/>
            <w:vAlign w:val="center"/>
          </w:tcPr>
          <w:p w14:paraId="332A0CD7">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14</w:t>
            </w:r>
          </w:p>
        </w:tc>
        <w:tc>
          <w:tcPr>
            <w:tcW w:w="511" w:type="pct"/>
            <w:noWrap w:val="0"/>
            <w:vAlign w:val="center"/>
          </w:tcPr>
          <w:p w14:paraId="4AE145E5">
            <w:pPr>
              <w:pStyle w:val="13"/>
              <w:spacing w:line="360" w:lineRule="auto"/>
              <w:ind w:firstLine="0"/>
              <w:jc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桌面操作系统</w:t>
            </w:r>
          </w:p>
        </w:tc>
        <w:tc>
          <w:tcPr>
            <w:tcW w:w="3134" w:type="pct"/>
            <w:noWrap w:val="0"/>
            <w:vAlign w:val="top"/>
          </w:tcPr>
          <w:p w14:paraId="69A320A0">
            <w:pPr>
              <w:spacing w:line="360" w:lineRule="auto"/>
              <w:rPr>
                <w:rFonts w:hint="eastAsia" w:ascii="宋体" w:hAnsi="宋体" w:eastAsia="宋体" w:cs="宋体"/>
                <w:kern w:val="0"/>
                <w:sz w:val="20"/>
                <w:szCs w:val="20"/>
                <w:highlight w:val="none"/>
                <w:lang w:val="en-US" w:eastAsia="zh-CN" w:bidi="ar-SA"/>
              </w:rPr>
            </w:pPr>
            <w:r>
              <w:rPr>
                <w:rFonts w:hint="eastAsia" w:ascii="宋体" w:hAnsi="宋体" w:eastAsia="宋体" w:cs="宋体"/>
                <w:kern w:val="0"/>
                <w:sz w:val="20"/>
                <w:szCs w:val="20"/>
                <w:highlight w:val="none"/>
                <w:lang w:val="en-US" w:eastAsia="zh-CN" w:bidi="ar-SA"/>
              </w:rPr>
              <w:t>1.国产桌面操作系统。</w:t>
            </w:r>
          </w:p>
          <w:p w14:paraId="6F981628">
            <w:pPr>
              <w:spacing w:line="360" w:lineRule="auto"/>
              <w:rPr>
                <w:rFonts w:hint="eastAsia" w:ascii="宋体" w:hAnsi="宋体" w:eastAsia="宋体" w:cs="宋体"/>
                <w:kern w:val="0"/>
                <w:sz w:val="20"/>
                <w:szCs w:val="20"/>
                <w:highlight w:val="none"/>
              </w:rPr>
            </w:pPr>
            <w:r>
              <w:rPr>
                <w:rFonts w:hint="eastAsia" w:ascii="宋体" w:hAnsi="宋体" w:eastAsia="宋体" w:cs="宋体"/>
                <w:kern w:val="0"/>
                <w:sz w:val="20"/>
                <w:szCs w:val="20"/>
                <w:highlight w:val="none"/>
                <w:lang w:val="en-US" w:eastAsia="zh-CN" w:bidi="ar-SA"/>
              </w:rPr>
              <w:t>2.系统集成桌面应用，涵盖图形图像、影音播放、编程开发、即时通讯、应用商店、邮件服务、数据同步、系统维护、文件管理等功能。支持用户日常办公学习、影音娱乐、编程开发、网络安全等各种场景下的业务需求。</w:t>
            </w:r>
          </w:p>
        </w:tc>
        <w:tc>
          <w:tcPr>
            <w:tcW w:w="270" w:type="pct"/>
            <w:noWrap w:val="0"/>
            <w:vAlign w:val="center"/>
          </w:tcPr>
          <w:p w14:paraId="2C4CA1EE">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rPr>
              <w:t>套</w:t>
            </w:r>
          </w:p>
        </w:tc>
        <w:tc>
          <w:tcPr>
            <w:tcW w:w="271" w:type="pct"/>
            <w:noWrap w:val="0"/>
            <w:vAlign w:val="center"/>
          </w:tcPr>
          <w:p w14:paraId="7A424F1D">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rPr>
              <w:t>1</w:t>
            </w:r>
          </w:p>
        </w:tc>
        <w:tc>
          <w:tcPr>
            <w:tcW w:w="444" w:type="pct"/>
            <w:noWrap w:val="0"/>
            <w:vAlign w:val="center"/>
          </w:tcPr>
          <w:p w14:paraId="260DE20E">
            <w:pPr>
              <w:widowControl/>
              <w:jc w:val="center"/>
              <w:rPr>
                <w:rFonts w:hint="eastAsia" w:ascii="宋体" w:hAnsi="宋体" w:eastAsia="宋体" w:cs="宋体"/>
                <w:kern w:val="0"/>
                <w:sz w:val="20"/>
                <w:szCs w:val="20"/>
              </w:rPr>
            </w:pPr>
          </w:p>
        </w:tc>
      </w:tr>
    </w:tbl>
    <w:p w14:paraId="13FED6DD">
      <w:pPr>
        <w:pStyle w:val="13"/>
        <w:ind w:left="0" w:leftChars="0" w:firstLine="0" w:firstLineChars="0"/>
      </w:pPr>
    </w:p>
    <w:sectPr>
      <w:footerReference r:id="rId3" w:type="default"/>
      <w:pgSz w:w="11907" w:h="16840"/>
      <w:pgMar w:top="1134" w:right="1134" w:bottom="1588" w:left="1134" w:header="1021" w:footer="794"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等线 Light">
    <w:panose1 w:val="02010600030101010101"/>
    <w:charset w:val="86"/>
    <w:family w:val="auto"/>
    <w:pitch w:val="default"/>
    <w:sig w:usb0="A00002BF" w:usb1="38CF7CFA" w:usb2="00000016" w:usb3="00000000" w:csb0="0004000F"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Arial (W1)">
    <w:altName w:val="Arial"/>
    <w:panose1 w:val="00000000000000000000"/>
    <w:charset w:val="00"/>
    <w:family w:val="swiss"/>
    <w:pitch w:val="default"/>
    <w:sig w:usb0="00000000" w:usb1="00000000" w:usb2="00000008" w:usb3="00000000" w:csb0="000001FF" w:csb1="00000000"/>
  </w:font>
  <w:font w:name="微软雅黑">
    <w:panose1 w:val="020B0503020204020204"/>
    <w:charset w:val="86"/>
    <w:family w:val="swiss"/>
    <w:pitch w:val="default"/>
    <w:sig w:usb0="80000287" w:usb1="280F3C52" w:usb2="00000016" w:usb3="00000000" w:csb0="0004001F" w:csb1="00000000"/>
  </w:font>
  <w:font w:name="Verdana">
    <w:panose1 w:val="020B0604030504040204"/>
    <w:charset w:val="00"/>
    <w:family w:val="swiss"/>
    <w:pitch w:val="default"/>
    <w:sig w:usb0="A10006FF" w:usb1="4000205B" w:usb2="00000010" w:usb3="00000000" w:csb0="2000019F" w:csb1="00000000"/>
  </w:font>
  <w:font w:name="Tms Rmn">
    <w:altName w:val="Segoe Print"/>
    <w:panose1 w:val="02020603040505020304"/>
    <w:charset w:val="00"/>
    <w:family w:val="roman"/>
    <w:pitch w:val="default"/>
    <w:sig w:usb0="00000000" w:usb1="00000000" w:usb2="00000000" w:usb3="00000000" w:csb0="00000001" w:csb1="00000000"/>
  </w:font>
  <w:font w:name="System">
    <w:altName w:val="宋体"/>
    <w:panose1 w:val="00000000000000000000"/>
    <w:charset w:val="86"/>
    <w:family w:val="auto"/>
    <w:pitch w:val="default"/>
    <w:sig w:usb0="00000000" w:usb1="00000000" w:usb2="0000001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239E5">
    <w:pPr>
      <w:pStyle w:val="26"/>
      <w:jc w:val="center"/>
      <w:rPr>
        <w:rFonts w:hint="eastAsia"/>
      </w:rPr>
    </w:pPr>
    <w:r>
      <w:fldChar w:fldCharType="begin"/>
    </w:r>
    <w:r>
      <w:instrText xml:space="preserve"> PAGE   \* MERGEFORMAT </w:instrText>
    </w:r>
    <w:r>
      <w:fldChar w:fldCharType="separate"/>
    </w:r>
    <w:r>
      <w:t>69</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1F0435"/>
    <w:multiLevelType w:val="singleLevel"/>
    <w:tmpl w:val="F91F0435"/>
    <w:lvl w:ilvl="0" w:tentative="0">
      <w:start w:val="6"/>
      <w:numFmt w:val="decimal"/>
      <w:suff w:val="nothing"/>
      <w:lvlText w:val="%1）"/>
      <w:lvlJc w:val="left"/>
    </w:lvl>
  </w:abstractNum>
  <w:abstractNum w:abstractNumId="1">
    <w:nsid w:val="FFFFFF7E"/>
    <w:multiLevelType w:val="singleLevel"/>
    <w:tmpl w:val="FFFFFF7E"/>
    <w:lvl w:ilvl="0" w:tentative="0">
      <w:start w:val="1"/>
      <w:numFmt w:val="decimal"/>
      <w:pStyle w:val="19"/>
      <w:lvlText w:val="%1."/>
      <w:lvlJc w:val="left"/>
      <w:pPr>
        <w:tabs>
          <w:tab w:val="left" w:pos="-1494"/>
        </w:tabs>
        <w:ind w:left="-1494" w:hanging="360"/>
      </w:pPr>
    </w:lvl>
  </w:abstractNum>
  <w:abstractNum w:abstractNumId="2">
    <w:nsid w:val="142173FB"/>
    <w:multiLevelType w:val="multilevel"/>
    <w:tmpl w:val="142173F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00D2F5F"/>
    <w:multiLevelType w:val="singleLevel"/>
    <w:tmpl w:val="200D2F5F"/>
    <w:lvl w:ilvl="0" w:tentative="0">
      <w:start w:val="9"/>
      <w:numFmt w:val="chineseCounting"/>
      <w:suff w:val="space"/>
      <w:lvlText w:val="第%1节"/>
      <w:lvlJc w:val="left"/>
      <w:rPr>
        <w:rFonts w:hint="eastAsia"/>
      </w:rPr>
    </w:lvl>
  </w:abstractNum>
  <w:abstractNum w:abstractNumId="4">
    <w:nsid w:val="25654CCF"/>
    <w:multiLevelType w:val="multilevel"/>
    <w:tmpl w:val="25654CCF"/>
    <w:lvl w:ilvl="0" w:tentative="0">
      <w:start w:val="1"/>
      <w:numFmt w:val="decimal"/>
      <w:pStyle w:val="4"/>
      <w:lvlText w:val="%1"/>
      <w:lvlJc w:val="left"/>
      <w:pPr>
        <w:tabs>
          <w:tab w:val="left" w:pos="1692"/>
        </w:tabs>
        <w:ind w:left="1692" w:hanging="432"/>
      </w:pPr>
      <w:rPr>
        <w:rFonts w:hint="eastAsia"/>
      </w:rPr>
    </w:lvl>
    <w:lvl w:ilvl="1" w:tentative="0">
      <w:start w:val="1"/>
      <w:numFmt w:val="decimal"/>
      <w:pStyle w:val="5"/>
      <w:lvlText w:val="%1.%2"/>
      <w:lvlJc w:val="left"/>
      <w:pPr>
        <w:tabs>
          <w:tab w:val="left" w:pos="900"/>
        </w:tabs>
        <w:ind w:left="36" w:firstLine="144"/>
      </w:pPr>
      <w:rPr>
        <w:rFonts w:hint="eastAsia"/>
        <w:b/>
      </w:rPr>
    </w:lvl>
    <w:lvl w:ilvl="2" w:tentative="0">
      <w:start w:val="1"/>
      <w:numFmt w:val="decimal"/>
      <w:pStyle w:val="6"/>
      <w:lvlText w:val="%1.%2.%3 "/>
      <w:lvlJc w:val="left"/>
      <w:pPr>
        <w:tabs>
          <w:tab w:val="left" w:pos="1440"/>
        </w:tabs>
        <w:ind w:left="720" w:hanging="720"/>
      </w:pPr>
      <w:rPr>
        <w:rFonts w:hint="eastAsia"/>
      </w:rPr>
    </w:lvl>
    <w:lvl w:ilvl="3" w:tentative="0">
      <w:start w:val="1"/>
      <w:numFmt w:val="decimal"/>
      <w:lvlText w:val="%1.%2.%3.%4"/>
      <w:lvlJc w:val="left"/>
      <w:pPr>
        <w:tabs>
          <w:tab w:val="left" w:pos="720"/>
        </w:tabs>
        <w:ind w:left="144" w:hanging="144"/>
      </w:pPr>
      <w:rPr>
        <w:rFonts w:hint="default"/>
      </w:rPr>
    </w:lvl>
    <w:lvl w:ilvl="4" w:tentative="0">
      <w:start w:val="1"/>
      <w:numFmt w:val="decimal"/>
      <w:pStyle w:val="8"/>
      <w:lvlText w:val="%1.%2.%3.%4.%5"/>
      <w:lvlJc w:val="left"/>
      <w:pPr>
        <w:tabs>
          <w:tab w:val="left" w:pos="1008"/>
        </w:tabs>
        <w:ind w:left="1008" w:hanging="1008"/>
      </w:pPr>
      <w:rPr>
        <w:rFonts w:hint="eastAsia"/>
      </w:rPr>
    </w:lvl>
    <w:lvl w:ilvl="5" w:tentative="0">
      <w:start w:val="1"/>
      <w:numFmt w:val="decimal"/>
      <w:pStyle w:val="9"/>
      <w:lvlText w:val="%1.%2.%3.%4.%5.%6"/>
      <w:lvlJc w:val="left"/>
      <w:pPr>
        <w:tabs>
          <w:tab w:val="left" w:pos="432"/>
        </w:tabs>
        <w:ind w:left="432" w:hanging="1152"/>
      </w:pPr>
      <w:rPr>
        <w:rFonts w:hint="eastAsia"/>
      </w:rPr>
    </w:lvl>
    <w:lvl w:ilvl="6" w:tentative="0">
      <w:start w:val="1"/>
      <w:numFmt w:val="decimal"/>
      <w:pStyle w:val="10"/>
      <w:lvlText w:val="%1.%2.%3.%4.%5.%6.%7"/>
      <w:lvlJc w:val="left"/>
      <w:pPr>
        <w:tabs>
          <w:tab w:val="left" w:pos="576"/>
        </w:tabs>
        <w:ind w:left="576" w:hanging="1296"/>
      </w:pPr>
      <w:rPr>
        <w:rFonts w:hint="eastAsia"/>
      </w:rPr>
    </w:lvl>
    <w:lvl w:ilvl="7" w:tentative="0">
      <w:start w:val="1"/>
      <w:numFmt w:val="decimal"/>
      <w:pStyle w:val="11"/>
      <w:lvlText w:val="%1.%2.%3.%4.%5.%6.%7.%8"/>
      <w:lvlJc w:val="left"/>
      <w:pPr>
        <w:tabs>
          <w:tab w:val="left" w:pos="720"/>
        </w:tabs>
        <w:ind w:left="720" w:hanging="1440"/>
      </w:pPr>
      <w:rPr>
        <w:rFonts w:hint="eastAsia"/>
      </w:rPr>
    </w:lvl>
    <w:lvl w:ilvl="8" w:tentative="0">
      <w:start w:val="1"/>
      <w:numFmt w:val="decimal"/>
      <w:pStyle w:val="12"/>
      <w:lvlText w:val="%1.%2.%3.%4.%5.%6.%7.%8.%9"/>
      <w:lvlJc w:val="left"/>
      <w:pPr>
        <w:tabs>
          <w:tab w:val="left" w:pos="864"/>
        </w:tabs>
        <w:ind w:left="864" w:hanging="1584"/>
      </w:pPr>
      <w:rPr>
        <w:rFonts w:hint="eastAsia"/>
      </w:rPr>
    </w:lvl>
  </w:abstractNum>
  <w:abstractNum w:abstractNumId="5">
    <w:nsid w:val="27E655E6"/>
    <w:multiLevelType w:val="multilevel"/>
    <w:tmpl w:val="27E655E6"/>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298D4718"/>
    <w:multiLevelType w:val="multilevel"/>
    <w:tmpl w:val="298D4718"/>
    <w:lvl w:ilvl="0" w:tentative="0">
      <w:start w:val="1"/>
      <w:numFmt w:val="chineseCountingThousand"/>
      <w:lvlText w:val="(%1)"/>
      <w:lvlJc w:val="left"/>
      <w:pPr>
        <w:ind w:left="420" w:hanging="420"/>
      </w:pPr>
    </w:lvl>
    <w:lvl w:ilvl="1" w:tentative="0">
      <w:start w:val="1"/>
      <w:numFmt w:val="decimal"/>
      <w:pStyle w:val="167"/>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pStyle w:val="176"/>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A2F1AD0"/>
    <w:multiLevelType w:val="multilevel"/>
    <w:tmpl w:val="2A2F1AD0"/>
    <w:lvl w:ilvl="0" w:tentative="0">
      <w:start w:val="1"/>
      <w:numFmt w:val="bullet"/>
      <w:pStyle w:val="123"/>
      <w:lvlText w:val=""/>
      <w:lvlJc w:val="left"/>
      <w:pPr>
        <w:tabs>
          <w:tab w:val="left" w:pos="959"/>
        </w:tabs>
        <w:ind w:left="959" w:hanging="420"/>
      </w:pPr>
      <w:rPr>
        <w:rFonts w:hint="default" w:ascii="Wingdings" w:hAnsi="Wingdings"/>
      </w:rPr>
    </w:lvl>
    <w:lvl w:ilvl="1" w:tentative="0">
      <w:start w:val="1"/>
      <w:numFmt w:val="bullet"/>
      <w:lvlText w:val=""/>
      <w:lvlJc w:val="left"/>
      <w:pPr>
        <w:tabs>
          <w:tab w:val="left" w:pos="1379"/>
        </w:tabs>
        <w:ind w:left="1379" w:hanging="420"/>
      </w:pPr>
      <w:rPr>
        <w:rFonts w:hint="default" w:ascii="Wingdings" w:hAnsi="Wingdings"/>
      </w:rPr>
    </w:lvl>
    <w:lvl w:ilvl="2" w:tentative="0">
      <w:start w:val="1"/>
      <w:numFmt w:val="bullet"/>
      <w:lvlText w:val=""/>
      <w:lvlJc w:val="left"/>
      <w:pPr>
        <w:tabs>
          <w:tab w:val="left" w:pos="1799"/>
        </w:tabs>
        <w:ind w:left="1799" w:hanging="420"/>
      </w:pPr>
      <w:rPr>
        <w:rFonts w:hint="default" w:ascii="Wingdings" w:hAnsi="Wingdings"/>
      </w:rPr>
    </w:lvl>
    <w:lvl w:ilvl="3" w:tentative="0">
      <w:start w:val="1"/>
      <w:numFmt w:val="bullet"/>
      <w:lvlText w:val=""/>
      <w:lvlJc w:val="left"/>
      <w:pPr>
        <w:tabs>
          <w:tab w:val="left" w:pos="2219"/>
        </w:tabs>
        <w:ind w:left="2219" w:hanging="420"/>
      </w:pPr>
      <w:rPr>
        <w:rFonts w:hint="default" w:ascii="Wingdings" w:hAnsi="Wingdings"/>
      </w:rPr>
    </w:lvl>
    <w:lvl w:ilvl="4" w:tentative="0">
      <w:start w:val="1"/>
      <w:numFmt w:val="bullet"/>
      <w:lvlText w:val=""/>
      <w:lvlJc w:val="left"/>
      <w:pPr>
        <w:tabs>
          <w:tab w:val="left" w:pos="2639"/>
        </w:tabs>
        <w:ind w:left="2639" w:hanging="420"/>
      </w:pPr>
      <w:rPr>
        <w:rFonts w:hint="default" w:ascii="Wingdings" w:hAnsi="Wingdings"/>
      </w:rPr>
    </w:lvl>
    <w:lvl w:ilvl="5" w:tentative="0">
      <w:start w:val="1"/>
      <w:numFmt w:val="bullet"/>
      <w:lvlText w:val=""/>
      <w:lvlJc w:val="left"/>
      <w:pPr>
        <w:tabs>
          <w:tab w:val="left" w:pos="3059"/>
        </w:tabs>
        <w:ind w:left="3059" w:hanging="420"/>
      </w:pPr>
      <w:rPr>
        <w:rFonts w:hint="default" w:ascii="Wingdings" w:hAnsi="Wingdings"/>
      </w:rPr>
    </w:lvl>
    <w:lvl w:ilvl="6" w:tentative="0">
      <w:start w:val="1"/>
      <w:numFmt w:val="bullet"/>
      <w:lvlText w:val=""/>
      <w:lvlJc w:val="left"/>
      <w:pPr>
        <w:tabs>
          <w:tab w:val="left" w:pos="3479"/>
        </w:tabs>
        <w:ind w:left="3479" w:hanging="420"/>
      </w:pPr>
      <w:rPr>
        <w:rFonts w:hint="default" w:ascii="Wingdings" w:hAnsi="Wingdings"/>
      </w:rPr>
    </w:lvl>
    <w:lvl w:ilvl="7" w:tentative="0">
      <w:start w:val="1"/>
      <w:numFmt w:val="bullet"/>
      <w:lvlText w:val=""/>
      <w:lvlJc w:val="left"/>
      <w:pPr>
        <w:tabs>
          <w:tab w:val="left" w:pos="3899"/>
        </w:tabs>
        <w:ind w:left="3899" w:hanging="420"/>
      </w:pPr>
      <w:rPr>
        <w:rFonts w:hint="default" w:ascii="Wingdings" w:hAnsi="Wingdings"/>
      </w:rPr>
    </w:lvl>
    <w:lvl w:ilvl="8" w:tentative="0">
      <w:start w:val="1"/>
      <w:numFmt w:val="bullet"/>
      <w:lvlText w:val=""/>
      <w:lvlJc w:val="left"/>
      <w:pPr>
        <w:tabs>
          <w:tab w:val="left" w:pos="4319"/>
        </w:tabs>
        <w:ind w:left="4319" w:hanging="420"/>
      </w:pPr>
      <w:rPr>
        <w:rFonts w:hint="default" w:ascii="Wingdings" w:hAnsi="Wingdings"/>
      </w:rPr>
    </w:lvl>
  </w:abstractNum>
  <w:abstractNum w:abstractNumId="8">
    <w:nsid w:val="34BA00A9"/>
    <w:multiLevelType w:val="multilevel"/>
    <w:tmpl w:val="34BA00A9"/>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pStyle w:val="7"/>
      <w:lvlText w:val="%1.%2.%3"/>
      <w:lvlJc w:val="left"/>
      <w:pPr>
        <w:ind w:left="993" w:hanging="567"/>
      </w:pPr>
    </w:lvl>
    <w:lvl w:ilvl="3" w:tentative="0">
      <w:start w:val="1"/>
      <w:numFmt w:val="decimal"/>
      <w:lvlText w:val="%1.%2.%3.%4"/>
      <w:lvlJc w:val="left"/>
      <w:pPr>
        <w:ind w:left="1984" w:hanging="708"/>
      </w:pPr>
      <w:rPr>
        <w:lang w:val="en-US"/>
      </w:r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9">
    <w:nsid w:val="3A6E3BF8"/>
    <w:multiLevelType w:val="multilevel"/>
    <w:tmpl w:val="3A6E3BF8"/>
    <w:lvl w:ilvl="0" w:tentative="0">
      <w:start w:val="1"/>
      <w:numFmt w:val="bullet"/>
      <w:pStyle w:val="197"/>
      <w:lvlText w:val=""/>
      <w:lvlJc w:val="left"/>
      <w:pPr>
        <w:ind w:left="420" w:hanging="420"/>
      </w:pPr>
      <w:rPr>
        <w:rFonts w:hint="default" w:ascii="Symbol" w:hAnsi="Symbol"/>
        <w:color w:val="auto"/>
        <w:position w:val="-2"/>
        <w:sz w:val="15"/>
        <w:szCs w:val="18"/>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0">
    <w:nsid w:val="3EBB3C91"/>
    <w:multiLevelType w:val="multilevel"/>
    <w:tmpl w:val="3EBB3C91"/>
    <w:lvl w:ilvl="0" w:tentative="0">
      <w:start w:val="1"/>
      <w:numFmt w:val="chineseCountingThousand"/>
      <w:pStyle w:val="148"/>
      <w:suff w:val="space"/>
      <w:lvlText w:val="%1. "/>
      <w:lvlJc w:val="left"/>
      <w:pPr>
        <w:ind w:left="907" w:hanging="907"/>
      </w:pPr>
      <w:rPr>
        <w:rFonts w:hint="eastAsia"/>
      </w:rPr>
    </w:lvl>
    <w:lvl w:ilvl="1" w:tentative="0">
      <w:start w:val="1"/>
      <w:numFmt w:val="decimal"/>
      <w:pStyle w:val="203"/>
      <w:isLgl/>
      <w:suff w:val="space"/>
      <w:lvlText w:val="%1.%2 "/>
      <w:lvlJc w:val="left"/>
      <w:pPr>
        <w:ind w:left="794" w:hanging="794"/>
      </w:pPr>
      <w:rPr>
        <w:rFonts w:hint="eastAsia"/>
      </w:rPr>
    </w:lvl>
    <w:lvl w:ilvl="2" w:tentative="0">
      <w:start w:val="1"/>
      <w:numFmt w:val="decimal"/>
      <w:pStyle w:val="221"/>
      <w:isLgl/>
      <w:suff w:val="space"/>
      <w:lvlText w:val="%1.%2.%3 "/>
      <w:lvlJc w:val="left"/>
      <w:pPr>
        <w:ind w:left="1049" w:hanging="907"/>
      </w:pPr>
      <w:rPr>
        <w:rFonts w:hint="eastAsia"/>
      </w:rPr>
    </w:lvl>
    <w:lvl w:ilvl="3" w:tentative="0">
      <w:start w:val="1"/>
      <w:numFmt w:val="decimal"/>
      <w:pStyle w:val="163"/>
      <w:isLgl/>
      <w:suff w:val="space"/>
      <w:lvlText w:val="%1.%2.%3.%4 "/>
      <w:lvlJc w:val="left"/>
      <w:pPr>
        <w:ind w:left="2297" w:hanging="1021"/>
      </w:pPr>
      <w:rPr>
        <w:rFonts w:ascii="仿宋" w:hAnsi="仿宋" w:eastAsia="仿宋" w:cs="Times New Roman"/>
        <w:b/>
        <w:bCs w:val="0"/>
        <w:i w:val="0"/>
        <w:iCs w:val="0"/>
        <w:caps w:val="0"/>
        <w:smallCaps w:val="0"/>
        <w:strike w:val="0"/>
        <w:dstrike w:val="0"/>
        <w:snapToGrid w:val="0"/>
        <w:vanish w:val="0"/>
        <w:color w:val="000000"/>
        <w:spacing w:val="0"/>
        <w:w w:val="0"/>
        <w:kern w:val="0"/>
        <w:position w:val="0"/>
        <w:szCs w:val="0"/>
        <w:u w:val="none"/>
        <w:vertAlign w:val="baseline"/>
      </w:rPr>
    </w:lvl>
    <w:lvl w:ilvl="4" w:tentative="0">
      <w:start w:val="1"/>
      <w:numFmt w:val="decimal"/>
      <w:pStyle w:val="150"/>
      <w:isLgl/>
      <w:suff w:val="space"/>
      <w:lvlText w:val="%1.%2.%3.%4.%5 "/>
      <w:lvlJc w:val="left"/>
      <w:pPr>
        <w:ind w:left="2694" w:hanging="1134"/>
      </w:pPr>
      <w:rPr>
        <w:rFonts w:hint="eastAsia"/>
      </w:rPr>
    </w:lvl>
    <w:lvl w:ilvl="5" w:tentative="0">
      <w:start w:val="1"/>
      <w:numFmt w:val="decimal"/>
      <w:pStyle w:val="158"/>
      <w:isLgl/>
      <w:suff w:val="space"/>
      <w:lvlText w:val="%1.%2.%3.%4.%5.%6 "/>
      <w:lvlJc w:val="left"/>
      <w:pPr>
        <w:ind w:left="1247" w:hanging="1247"/>
      </w:pPr>
      <w:rPr>
        <w:rFonts w:hint="eastAsia"/>
      </w:rPr>
    </w:lvl>
    <w:lvl w:ilvl="6" w:tentative="0">
      <w:start w:val="1"/>
      <w:numFmt w:val="decimal"/>
      <w:lvlRestart w:val="1"/>
      <w:pStyle w:val="170"/>
      <w:isLgl/>
      <w:suff w:val="space"/>
      <w:lvlText w:val="图 %1.%7 "/>
      <w:lvlJc w:val="left"/>
      <w:pPr>
        <w:ind w:left="0" w:firstLine="0"/>
      </w:pPr>
      <w:rPr>
        <w:rFonts w:hint="eastAsia"/>
      </w:rPr>
    </w:lvl>
    <w:lvl w:ilvl="7" w:tentative="0">
      <w:start w:val="1"/>
      <w:numFmt w:val="decimal"/>
      <w:lvlRestart w:val="1"/>
      <w:pStyle w:val="186"/>
      <w:isLgl/>
      <w:suff w:val="space"/>
      <w:lvlText w:val="表 %1.%8 "/>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1">
    <w:nsid w:val="501842D4"/>
    <w:multiLevelType w:val="singleLevel"/>
    <w:tmpl w:val="501842D4"/>
    <w:lvl w:ilvl="0" w:tentative="0">
      <w:start w:val="2"/>
      <w:numFmt w:val="chineseCounting"/>
      <w:suff w:val="nothing"/>
      <w:lvlText w:val="%1、"/>
      <w:lvlJc w:val="left"/>
      <w:rPr>
        <w:rFonts w:hint="eastAsia"/>
      </w:rPr>
    </w:lvl>
  </w:abstractNum>
  <w:abstractNum w:abstractNumId="12">
    <w:nsid w:val="5FB97A00"/>
    <w:multiLevelType w:val="multilevel"/>
    <w:tmpl w:val="5FB97A00"/>
    <w:lvl w:ilvl="0" w:tentative="0">
      <w:start w:val="1"/>
      <w:numFmt w:val="bullet"/>
      <w:pStyle w:val="134"/>
      <w:lvlText w:val=""/>
      <w:lvlJc w:val="left"/>
      <w:pPr>
        <w:tabs>
          <w:tab w:val="left" w:pos="1140"/>
        </w:tabs>
        <w:ind w:left="1140" w:hanging="420"/>
      </w:pPr>
      <w:rPr>
        <w:rFonts w:hint="default" w:ascii="Wingdings" w:hAnsi="Wingdings"/>
      </w:rPr>
    </w:lvl>
    <w:lvl w:ilvl="1" w:tentative="0">
      <w:start w:val="1"/>
      <w:numFmt w:val="bullet"/>
      <w:lvlText w:val=""/>
      <w:lvlJc w:val="left"/>
      <w:pPr>
        <w:tabs>
          <w:tab w:val="left" w:pos="720"/>
        </w:tabs>
        <w:ind w:left="720" w:hanging="420"/>
      </w:pPr>
      <w:rPr>
        <w:rFonts w:hint="default" w:ascii="Wingdings" w:hAnsi="Wingdings"/>
      </w:rPr>
    </w:lvl>
    <w:lvl w:ilvl="2" w:tentative="0">
      <w:start w:val="1"/>
      <w:numFmt w:val="bullet"/>
      <w:lvlText w:val=""/>
      <w:lvlJc w:val="left"/>
      <w:pPr>
        <w:tabs>
          <w:tab w:val="left" w:pos="1140"/>
        </w:tabs>
        <w:ind w:left="1140" w:hanging="420"/>
      </w:pPr>
      <w:rPr>
        <w:rFonts w:hint="default" w:ascii="Wingdings" w:hAnsi="Wingdings"/>
      </w:rPr>
    </w:lvl>
    <w:lvl w:ilvl="3" w:tentative="0">
      <w:start w:val="1"/>
      <w:numFmt w:val="bullet"/>
      <w:lvlText w:val=""/>
      <w:lvlJc w:val="left"/>
      <w:pPr>
        <w:tabs>
          <w:tab w:val="left" w:pos="1560"/>
        </w:tabs>
        <w:ind w:left="1560" w:hanging="420"/>
      </w:pPr>
      <w:rPr>
        <w:rFonts w:hint="default" w:ascii="Wingdings" w:hAnsi="Wingdings"/>
      </w:rPr>
    </w:lvl>
    <w:lvl w:ilvl="4" w:tentative="0">
      <w:start w:val="1"/>
      <w:numFmt w:val="bullet"/>
      <w:lvlText w:val=""/>
      <w:lvlJc w:val="left"/>
      <w:pPr>
        <w:tabs>
          <w:tab w:val="left" w:pos="1980"/>
        </w:tabs>
        <w:ind w:left="1980" w:hanging="420"/>
      </w:pPr>
      <w:rPr>
        <w:rFonts w:hint="default" w:ascii="Wingdings" w:hAnsi="Wingdings"/>
      </w:rPr>
    </w:lvl>
    <w:lvl w:ilvl="5" w:tentative="0">
      <w:start w:val="1"/>
      <w:numFmt w:val="bullet"/>
      <w:lvlText w:val=""/>
      <w:lvlJc w:val="left"/>
      <w:pPr>
        <w:tabs>
          <w:tab w:val="left" w:pos="2400"/>
        </w:tabs>
        <w:ind w:left="2400" w:hanging="420"/>
      </w:pPr>
      <w:rPr>
        <w:rFonts w:hint="default" w:ascii="Wingdings" w:hAnsi="Wingdings"/>
      </w:rPr>
    </w:lvl>
    <w:lvl w:ilvl="6" w:tentative="0">
      <w:start w:val="1"/>
      <w:numFmt w:val="bullet"/>
      <w:lvlText w:val=""/>
      <w:lvlJc w:val="left"/>
      <w:pPr>
        <w:tabs>
          <w:tab w:val="left" w:pos="2820"/>
        </w:tabs>
        <w:ind w:left="2820" w:hanging="420"/>
      </w:pPr>
      <w:rPr>
        <w:rFonts w:hint="default" w:ascii="Wingdings" w:hAnsi="Wingdings"/>
      </w:rPr>
    </w:lvl>
    <w:lvl w:ilvl="7" w:tentative="0">
      <w:start w:val="1"/>
      <w:numFmt w:val="bullet"/>
      <w:lvlText w:val=""/>
      <w:lvlJc w:val="left"/>
      <w:pPr>
        <w:tabs>
          <w:tab w:val="left" w:pos="3240"/>
        </w:tabs>
        <w:ind w:left="3240" w:hanging="420"/>
      </w:pPr>
      <w:rPr>
        <w:rFonts w:hint="default" w:ascii="Wingdings" w:hAnsi="Wingdings"/>
      </w:rPr>
    </w:lvl>
    <w:lvl w:ilvl="8" w:tentative="0">
      <w:start w:val="1"/>
      <w:numFmt w:val="bullet"/>
      <w:lvlText w:val=""/>
      <w:lvlJc w:val="left"/>
      <w:pPr>
        <w:tabs>
          <w:tab w:val="left" w:pos="3660"/>
        </w:tabs>
        <w:ind w:left="3660" w:hanging="420"/>
      </w:pPr>
      <w:rPr>
        <w:rFonts w:hint="default" w:ascii="Wingdings" w:hAnsi="Wingdings"/>
      </w:rPr>
    </w:lvl>
  </w:abstractNum>
  <w:abstractNum w:abstractNumId="13">
    <w:nsid w:val="65A18CEA"/>
    <w:multiLevelType w:val="multilevel"/>
    <w:tmpl w:val="65A18CEA"/>
    <w:lvl w:ilvl="0" w:tentative="0">
      <w:start w:val="1"/>
      <w:numFmt w:val="decimal"/>
      <w:pStyle w:val="46"/>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ascii="宋体" w:hAnsi="宋体" w:eastAsia="宋体" w:cs="宋体"/>
      </w:rPr>
    </w:lvl>
    <w:lvl w:ilvl="3" w:tentative="0">
      <w:start w:val="1"/>
      <w:numFmt w:val="decimal"/>
      <w:lvlText w:val="%1.%2.%3.%4."/>
      <w:lvlJc w:val="left"/>
      <w:pPr>
        <w:ind w:left="864" w:hanging="864"/>
      </w:pPr>
      <w:rPr>
        <w:rFonts w:hint="default" w:ascii="宋体" w:hAnsi="宋体" w:eastAsia="宋体" w:cs="宋体"/>
      </w:rPr>
    </w:lvl>
    <w:lvl w:ilvl="4" w:tentative="0">
      <w:start w:val="1"/>
      <w:numFmt w:val="lowerRoman"/>
      <w:lvlText w:val="%5."/>
      <w:lvlJc w:val="right"/>
      <w:pPr>
        <w:ind w:left="420" w:hanging="420"/>
      </w:p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14">
    <w:nsid w:val="67ACA197"/>
    <w:multiLevelType w:val="singleLevel"/>
    <w:tmpl w:val="67ACA197"/>
    <w:lvl w:ilvl="0" w:tentative="0">
      <w:start w:val="1"/>
      <w:numFmt w:val="chineseCounting"/>
      <w:suff w:val="nothing"/>
      <w:lvlText w:val="%1、"/>
      <w:lvlJc w:val="left"/>
      <w:rPr>
        <w:rFonts w:hint="eastAsia"/>
      </w:rPr>
    </w:lvl>
  </w:abstractNum>
  <w:abstractNum w:abstractNumId="15">
    <w:nsid w:val="6A88279E"/>
    <w:multiLevelType w:val="multilevel"/>
    <w:tmpl w:val="6A88279E"/>
    <w:lvl w:ilvl="0" w:tentative="0">
      <w:start w:val="1"/>
      <w:numFmt w:val="lowerLetter"/>
      <w:pStyle w:val="21"/>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6">
    <w:nsid w:val="72707C7A"/>
    <w:multiLevelType w:val="multilevel"/>
    <w:tmpl w:val="72707C7A"/>
    <w:lvl w:ilvl="0" w:tentative="0">
      <w:start w:val="1"/>
      <w:numFmt w:val="decimal"/>
      <w:pStyle w:val="109"/>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8"/>
  </w:num>
  <w:num w:numId="3">
    <w:abstractNumId w:val="1"/>
  </w:num>
  <w:num w:numId="4">
    <w:abstractNumId w:val="15"/>
  </w:num>
  <w:num w:numId="5">
    <w:abstractNumId w:val="13"/>
  </w:num>
  <w:num w:numId="6">
    <w:abstractNumId w:val="16"/>
  </w:num>
  <w:num w:numId="7">
    <w:abstractNumId w:val="7"/>
  </w:num>
  <w:num w:numId="8">
    <w:abstractNumId w:val="12"/>
  </w:num>
  <w:num w:numId="9">
    <w:abstractNumId w:val="10"/>
  </w:num>
  <w:num w:numId="10">
    <w:abstractNumId w:val="6"/>
  </w:num>
  <w:num w:numId="11">
    <w:abstractNumId w:val="9"/>
  </w:num>
  <w:num w:numId="12">
    <w:abstractNumId w:val="11"/>
  </w:num>
  <w:num w:numId="13">
    <w:abstractNumId w:val="2"/>
  </w:num>
  <w:num w:numId="14">
    <w:abstractNumId w:val="5"/>
  </w:num>
  <w:num w:numId="15">
    <w:abstractNumId w:val="0"/>
  </w:num>
  <w:num w:numId="16">
    <w:abstractNumId w:val="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NiZDU5MmMxMjE4MDlmNTFkZjRjYmM1MDU3ZDY4ZDAifQ=="/>
  </w:docVars>
  <w:rsids>
    <w:rsidRoot w:val="00301B41"/>
    <w:rsid w:val="000003B9"/>
    <w:rsid w:val="0000299B"/>
    <w:rsid w:val="00002AAE"/>
    <w:rsid w:val="000037D7"/>
    <w:rsid w:val="00003ADC"/>
    <w:rsid w:val="00004BE9"/>
    <w:rsid w:val="00005AEE"/>
    <w:rsid w:val="00006CC6"/>
    <w:rsid w:val="00010813"/>
    <w:rsid w:val="00011719"/>
    <w:rsid w:val="00011A67"/>
    <w:rsid w:val="00011C48"/>
    <w:rsid w:val="000136AA"/>
    <w:rsid w:val="000143F9"/>
    <w:rsid w:val="00015299"/>
    <w:rsid w:val="00015341"/>
    <w:rsid w:val="00017448"/>
    <w:rsid w:val="00017D0D"/>
    <w:rsid w:val="000219AF"/>
    <w:rsid w:val="000225F7"/>
    <w:rsid w:val="000246FA"/>
    <w:rsid w:val="00024AEC"/>
    <w:rsid w:val="00025B8E"/>
    <w:rsid w:val="000260EF"/>
    <w:rsid w:val="00026DA2"/>
    <w:rsid w:val="00030456"/>
    <w:rsid w:val="00030AC0"/>
    <w:rsid w:val="00031309"/>
    <w:rsid w:val="000327F2"/>
    <w:rsid w:val="00034E65"/>
    <w:rsid w:val="00035A3D"/>
    <w:rsid w:val="00035B8A"/>
    <w:rsid w:val="00035EBF"/>
    <w:rsid w:val="00037141"/>
    <w:rsid w:val="00037FC8"/>
    <w:rsid w:val="00041B2C"/>
    <w:rsid w:val="000433A2"/>
    <w:rsid w:val="00043CBF"/>
    <w:rsid w:val="00043F55"/>
    <w:rsid w:val="00047226"/>
    <w:rsid w:val="00047A3C"/>
    <w:rsid w:val="000506EC"/>
    <w:rsid w:val="00052847"/>
    <w:rsid w:val="00052F34"/>
    <w:rsid w:val="00055688"/>
    <w:rsid w:val="00056EE4"/>
    <w:rsid w:val="000576A3"/>
    <w:rsid w:val="000604CA"/>
    <w:rsid w:val="00062748"/>
    <w:rsid w:val="000634E5"/>
    <w:rsid w:val="00063BAE"/>
    <w:rsid w:val="00067F31"/>
    <w:rsid w:val="00074C0F"/>
    <w:rsid w:val="00077E58"/>
    <w:rsid w:val="00080856"/>
    <w:rsid w:val="00085993"/>
    <w:rsid w:val="00085C51"/>
    <w:rsid w:val="00087105"/>
    <w:rsid w:val="000917D0"/>
    <w:rsid w:val="00092AC6"/>
    <w:rsid w:val="00092E32"/>
    <w:rsid w:val="000931A7"/>
    <w:rsid w:val="000932CA"/>
    <w:rsid w:val="0009344F"/>
    <w:rsid w:val="00093D21"/>
    <w:rsid w:val="00095384"/>
    <w:rsid w:val="00095DB7"/>
    <w:rsid w:val="00096D56"/>
    <w:rsid w:val="00096E7C"/>
    <w:rsid w:val="00096FCF"/>
    <w:rsid w:val="00097850"/>
    <w:rsid w:val="000A10C1"/>
    <w:rsid w:val="000A1409"/>
    <w:rsid w:val="000A1C88"/>
    <w:rsid w:val="000A272F"/>
    <w:rsid w:val="000A3694"/>
    <w:rsid w:val="000A4ED9"/>
    <w:rsid w:val="000A53C8"/>
    <w:rsid w:val="000A5F47"/>
    <w:rsid w:val="000A79F9"/>
    <w:rsid w:val="000A7B32"/>
    <w:rsid w:val="000B02A5"/>
    <w:rsid w:val="000B051A"/>
    <w:rsid w:val="000B1B44"/>
    <w:rsid w:val="000B7110"/>
    <w:rsid w:val="000C0DA8"/>
    <w:rsid w:val="000C1C08"/>
    <w:rsid w:val="000C3A3A"/>
    <w:rsid w:val="000C4892"/>
    <w:rsid w:val="000C4F55"/>
    <w:rsid w:val="000C5B81"/>
    <w:rsid w:val="000D277E"/>
    <w:rsid w:val="000D3442"/>
    <w:rsid w:val="000D3749"/>
    <w:rsid w:val="000D4891"/>
    <w:rsid w:val="000D4F6F"/>
    <w:rsid w:val="000D684E"/>
    <w:rsid w:val="000E009C"/>
    <w:rsid w:val="000E09AB"/>
    <w:rsid w:val="000E19BD"/>
    <w:rsid w:val="000E304C"/>
    <w:rsid w:val="000E4380"/>
    <w:rsid w:val="000E699D"/>
    <w:rsid w:val="000E7B3C"/>
    <w:rsid w:val="000F21D6"/>
    <w:rsid w:val="000F229A"/>
    <w:rsid w:val="000F3FEB"/>
    <w:rsid w:val="000F42FA"/>
    <w:rsid w:val="000F52D3"/>
    <w:rsid w:val="000F604E"/>
    <w:rsid w:val="000F7046"/>
    <w:rsid w:val="000F70F8"/>
    <w:rsid w:val="00100C8A"/>
    <w:rsid w:val="00102BB0"/>
    <w:rsid w:val="001030D8"/>
    <w:rsid w:val="00103AC8"/>
    <w:rsid w:val="00103D9F"/>
    <w:rsid w:val="00104CD9"/>
    <w:rsid w:val="001052F5"/>
    <w:rsid w:val="00106341"/>
    <w:rsid w:val="00107D35"/>
    <w:rsid w:val="001103AC"/>
    <w:rsid w:val="00110A75"/>
    <w:rsid w:val="00110B18"/>
    <w:rsid w:val="00111B51"/>
    <w:rsid w:val="00111EFB"/>
    <w:rsid w:val="00112A22"/>
    <w:rsid w:val="001130A0"/>
    <w:rsid w:val="001130E9"/>
    <w:rsid w:val="00122871"/>
    <w:rsid w:val="00122C4B"/>
    <w:rsid w:val="00122F97"/>
    <w:rsid w:val="00123397"/>
    <w:rsid w:val="00123478"/>
    <w:rsid w:val="00123AAD"/>
    <w:rsid w:val="00124A66"/>
    <w:rsid w:val="00125AE0"/>
    <w:rsid w:val="001260FE"/>
    <w:rsid w:val="0012611F"/>
    <w:rsid w:val="00127BE0"/>
    <w:rsid w:val="00130169"/>
    <w:rsid w:val="00130980"/>
    <w:rsid w:val="001311A0"/>
    <w:rsid w:val="0013126C"/>
    <w:rsid w:val="0013239E"/>
    <w:rsid w:val="001336DE"/>
    <w:rsid w:val="00134177"/>
    <w:rsid w:val="00134360"/>
    <w:rsid w:val="0013559C"/>
    <w:rsid w:val="00135B84"/>
    <w:rsid w:val="001434B1"/>
    <w:rsid w:val="00143500"/>
    <w:rsid w:val="001442F7"/>
    <w:rsid w:val="00144D4B"/>
    <w:rsid w:val="00144F6C"/>
    <w:rsid w:val="00146557"/>
    <w:rsid w:val="0014761E"/>
    <w:rsid w:val="001515FC"/>
    <w:rsid w:val="0015326D"/>
    <w:rsid w:val="001540B7"/>
    <w:rsid w:val="001569EC"/>
    <w:rsid w:val="00161393"/>
    <w:rsid w:val="0016239F"/>
    <w:rsid w:val="00163D64"/>
    <w:rsid w:val="00164964"/>
    <w:rsid w:val="0016596F"/>
    <w:rsid w:val="00165DFE"/>
    <w:rsid w:val="00166AEF"/>
    <w:rsid w:val="00170B62"/>
    <w:rsid w:val="001716FC"/>
    <w:rsid w:val="00171AF5"/>
    <w:rsid w:val="00172510"/>
    <w:rsid w:val="00172A69"/>
    <w:rsid w:val="00173EB5"/>
    <w:rsid w:val="00174BBF"/>
    <w:rsid w:val="00176831"/>
    <w:rsid w:val="0017748A"/>
    <w:rsid w:val="00177843"/>
    <w:rsid w:val="00180ED7"/>
    <w:rsid w:val="001826A4"/>
    <w:rsid w:val="001838AA"/>
    <w:rsid w:val="00183A28"/>
    <w:rsid w:val="00184726"/>
    <w:rsid w:val="0018627D"/>
    <w:rsid w:val="00190962"/>
    <w:rsid w:val="00191D4C"/>
    <w:rsid w:val="00192094"/>
    <w:rsid w:val="0019325C"/>
    <w:rsid w:val="001944F5"/>
    <w:rsid w:val="00195A18"/>
    <w:rsid w:val="001969E4"/>
    <w:rsid w:val="00196E9C"/>
    <w:rsid w:val="001A0F0E"/>
    <w:rsid w:val="001A26DA"/>
    <w:rsid w:val="001A622C"/>
    <w:rsid w:val="001B00F4"/>
    <w:rsid w:val="001B1404"/>
    <w:rsid w:val="001B4635"/>
    <w:rsid w:val="001B6F40"/>
    <w:rsid w:val="001B7DB2"/>
    <w:rsid w:val="001C22D8"/>
    <w:rsid w:val="001C2368"/>
    <w:rsid w:val="001C25A7"/>
    <w:rsid w:val="001C31B7"/>
    <w:rsid w:val="001C5A3F"/>
    <w:rsid w:val="001C5B3C"/>
    <w:rsid w:val="001D2C45"/>
    <w:rsid w:val="001D36B3"/>
    <w:rsid w:val="001D38FE"/>
    <w:rsid w:val="001D3D76"/>
    <w:rsid w:val="001D4B5C"/>
    <w:rsid w:val="001E0843"/>
    <w:rsid w:val="001E0D32"/>
    <w:rsid w:val="001E1D35"/>
    <w:rsid w:val="001E1EF2"/>
    <w:rsid w:val="001E2A15"/>
    <w:rsid w:val="001E35F2"/>
    <w:rsid w:val="001E77FF"/>
    <w:rsid w:val="001F20FD"/>
    <w:rsid w:val="001F667F"/>
    <w:rsid w:val="001F79F2"/>
    <w:rsid w:val="002010EF"/>
    <w:rsid w:val="00201182"/>
    <w:rsid w:val="00201239"/>
    <w:rsid w:val="002028EE"/>
    <w:rsid w:val="002030A9"/>
    <w:rsid w:val="00206545"/>
    <w:rsid w:val="0020706C"/>
    <w:rsid w:val="00207404"/>
    <w:rsid w:val="00207EF7"/>
    <w:rsid w:val="002105DD"/>
    <w:rsid w:val="00213617"/>
    <w:rsid w:val="00215924"/>
    <w:rsid w:val="00215CAE"/>
    <w:rsid w:val="0021771D"/>
    <w:rsid w:val="00220175"/>
    <w:rsid w:val="002206A6"/>
    <w:rsid w:val="00220EA2"/>
    <w:rsid w:val="00221419"/>
    <w:rsid w:val="00222AC9"/>
    <w:rsid w:val="00222D9C"/>
    <w:rsid w:val="00223364"/>
    <w:rsid w:val="00223F0E"/>
    <w:rsid w:val="0022424B"/>
    <w:rsid w:val="00224CD1"/>
    <w:rsid w:val="002266A5"/>
    <w:rsid w:val="002270DD"/>
    <w:rsid w:val="0022765B"/>
    <w:rsid w:val="00227AB6"/>
    <w:rsid w:val="00227C9E"/>
    <w:rsid w:val="002302E6"/>
    <w:rsid w:val="00231466"/>
    <w:rsid w:val="002354D6"/>
    <w:rsid w:val="0023788B"/>
    <w:rsid w:val="002403FC"/>
    <w:rsid w:val="00240469"/>
    <w:rsid w:val="0024083F"/>
    <w:rsid w:val="002413C4"/>
    <w:rsid w:val="00241933"/>
    <w:rsid w:val="0024371D"/>
    <w:rsid w:val="00245B2E"/>
    <w:rsid w:val="00246919"/>
    <w:rsid w:val="00246C54"/>
    <w:rsid w:val="00246C89"/>
    <w:rsid w:val="00247326"/>
    <w:rsid w:val="00251C60"/>
    <w:rsid w:val="00252DA2"/>
    <w:rsid w:val="0025423D"/>
    <w:rsid w:val="00255A74"/>
    <w:rsid w:val="00257107"/>
    <w:rsid w:val="00261DB3"/>
    <w:rsid w:val="00262BEC"/>
    <w:rsid w:val="0026329A"/>
    <w:rsid w:val="002633B1"/>
    <w:rsid w:val="00264DCF"/>
    <w:rsid w:val="00266412"/>
    <w:rsid w:val="00266C5D"/>
    <w:rsid w:val="002701FB"/>
    <w:rsid w:val="00270388"/>
    <w:rsid w:val="00271443"/>
    <w:rsid w:val="002754A1"/>
    <w:rsid w:val="002758C9"/>
    <w:rsid w:val="00277DDF"/>
    <w:rsid w:val="002801CD"/>
    <w:rsid w:val="00282006"/>
    <w:rsid w:val="00282C6A"/>
    <w:rsid w:val="00284B10"/>
    <w:rsid w:val="00284DE4"/>
    <w:rsid w:val="0028590F"/>
    <w:rsid w:val="00286268"/>
    <w:rsid w:val="00291FA6"/>
    <w:rsid w:val="00293A5C"/>
    <w:rsid w:val="00293DBE"/>
    <w:rsid w:val="002948BD"/>
    <w:rsid w:val="00295287"/>
    <w:rsid w:val="0029567E"/>
    <w:rsid w:val="002959A8"/>
    <w:rsid w:val="002965E5"/>
    <w:rsid w:val="002967CD"/>
    <w:rsid w:val="00296A41"/>
    <w:rsid w:val="00296EE8"/>
    <w:rsid w:val="002A03B6"/>
    <w:rsid w:val="002A1DCF"/>
    <w:rsid w:val="002A2575"/>
    <w:rsid w:val="002A293E"/>
    <w:rsid w:val="002A4C45"/>
    <w:rsid w:val="002A617C"/>
    <w:rsid w:val="002A64B2"/>
    <w:rsid w:val="002A6F17"/>
    <w:rsid w:val="002A77AE"/>
    <w:rsid w:val="002A794A"/>
    <w:rsid w:val="002B03EA"/>
    <w:rsid w:val="002B08AA"/>
    <w:rsid w:val="002B08D3"/>
    <w:rsid w:val="002B2C44"/>
    <w:rsid w:val="002B3DB9"/>
    <w:rsid w:val="002B4B6C"/>
    <w:rsid w:val="002B4D0A"/>
    <w:rsid w:val="002B564B"/>
    <w:rsid w:val="002B67FB"/>
    <w:rsid w:val="002B7C4D"/>
    <w:rsid w:val="002C1EA3"/>
    <w:rsid w:val="002C1FAA"/>
    <w:rsid w:val="002C2C67"/>
    <w:rsid w:val="002C32FA"/>
    <w:rsid w:val="002C42E1"/>
    <w:rsid w:val="002C5106"/>
    <w:rsid w:val="002C678D"/>
    <w:rsid w:val="002D0061"/>
    <w:rsid w:val="002D052A"/>
    <w:rsid w:val="002D0D7E"/>
    <w:rsid w:val="002D1848"/>
    <w:rsid w:val="002D1F56"/>
    <w:rsid w:val="002D2B1E"/>
    <w:rsid w:val="002D38AB"/>
    <w:rsid w:val="002D3FE1"/>
    <w:rsid w:val="002D6065"/>
    <w:rsid w:val="002E01C0"/>
    <w:rsid w:val="002E02F6"/>
    <w:rsid w:val="002E0427"/>
    <w:rsid w:val="002E1914"/>
    <w:rsid w:val="002E1FE9"/>
    <w:rsid w:val="002E2719"/>
    <w:rsid w:val="002E4D7D"/>
    <w:rsid w:val="002E64DF"/>
    <w:rsid w:val="002E6A00"/>
    <w:rsid w:val="002E7B53"/>
    <w:rsid w:val="002F0DD9"/>
    <w:rsid w:val="002F4745"/>
    <w:rsid w:val="002F5F04"/>
    <w:rsid w:val="002F7529"/>
    <w:rsid w:val="002F7B12"/>
    <w:rsid w:val="00300BFF"/>
    <w:rsid w:val="00301B41"/>
    <w:rsid w:val="00302302"/>
    <w:rsid w:val="00303B7D"/>
    <w:rsid w:val="00303EBD"/>
    <w:rsid w:val="0030532F"/>
    <w:rsid w:val="00306846"/>
    <w:rsid w:val="00307C88"/>
    <w:rsid w:val="003103E2"/>
    <w:rsid w:val="00310BE1"/>
    <w:rsid w:val="00311501"/>
    <w:rsid w:val="00311534"/>
    <w:rsid w:val="00312230"/>
    <w:rsid w:val="00313B10"/>
    <w:rsid w:val="00313DC4"/>
    <w:rsid w:val="00315237"/>
    <w:rsid w:val="00315E31"/>
    <w:rsid w:val="0031698E"/>
    <w:rsid w:val="003169CA"/>
    <w:rsid w:val="00317252"/>
    <w:rsid w:val="003218F6"/>
    <w:rsid w:val="00322068"/>
    <w:rsid w:val="003254B5"/>
    <w:rsid w:val="00325B06"/>
    <w:rsid w:val="003273FA"/>
    <w:rsid w:val="003275F2"/>
    <w:rsid w:val="003309D0"/>
    <w:rsid w:val="00331282"/>
    <w:rsid w:val="0033173D"/>
    <w:rsid w:val="00331E75"/>
    <w:rsid w:val="00331F05"/>
    <w:rsid w:val="003329B6"/>
    <w:rsid w:val="00333A6B"/>
    <w:rsid w:val="00333F09"/>
    <w:rsid w:val="00334200"/>
    <w:rsid w:val="0033565B"/>
    <w:rsid w:val="00341EAB"/>
    <w:rsid w:val="0034209D"/>
    <w:rsid w:val="0034211B"/>
    <w:rsid w:val="00342416"/>
    <w:rsid w:val="00343938"/>
    <w:rsid w:val="00346788"/>
    <w:rsid w:val="00346BEF"/>
    <w:rsid w:val="003509D0"/>
    <w:rsid w:val="00352127"/>
    <w:rsid w:val="003531B1"/>
    <w:rsid w:val="0035479C"/>
    <w:rsid w:val="00354CE5"/>
    <w:rsid w:val="00356A34"/>
    <w:rsid w:val="00356ED8"/>
    <w:rsid w:val="00357135"/>
    <w:rsid w:val="003626B6"/>
    <w:rsid w:val="0036507A"/>
    <w:rsid w:val="00371049"/>
    <w:rsid w:val="0037123D"/>
    <w:rsid w:val="00371A49"/>
    <w:rsid w:val="00376E9A"/>
    <w:rsid w:val="00377406"/>
    <w:rsid w:val="00377450"/>
    <w:rsid w:val="003775C4"/>
    <w:rsid w:val="003816E5"/>
    <w:rsid w:val="00383415"/>
    <w:rsid w:val="00385337"/>
    <w:rsid w:val="00390804"/>
    <w:rsid w:val="003910AD"/>
    <w:rsid w:val="00392248"/>
    <w:rsid w:val="00392620"/>
    <w:rsid w:val="00392958"/>
    <w:rsid w:val="0039445C"/>
    <w:rsid w:val="00394576"/>
    <w:rsid w:val="003962E9"/>
    <w:rsid w:val="003971B1"/>
    <w:rsid w:val="00397B35"/>
    <w:rsid w:val="00397E1C"/>
    <w:rsid w:val="003A0250"/>
    <w:rsid w:val="003A028B"/>
    <w:rsid w:val="003A0632"/>
    <w:rsid w:val="003A0F05"/>
    <w:rsid w:val="003A1D8C"/>
    <w:rsid w:val="003A5836"/>
    <w:rsid w:val="003A5AB4"/>
    <w:rsid w:val="003A6AF7"/>
    <w:rsid w:val="003B0B1F"/>
    <w:rsid w:val="003B2590"/>
    <w:rsid w:val="003B291B"/>
    <w:rsid w:val="003B3485"/>
    <w:rsid w:val="003B3EEB"/>
    <w:rsid w:val="003B41EA"/>
    <w:rsid w:val="003B5C34"/>
    <w:rsid w:val="003B69F7"/>
    <w:rsid w:val="003B72DD"/>
    <w:rsid w:val="003B732C"/>
    <w:rsid w:val="003C0177"/>
    <w:rsid w:val="003C09D6"/>
    <w:rsid w:val="003C2BB8"/>
    <w:rsid w:val="003C3505"/>
    <w:rsid w:val="003C5670"/>
    <w:rsid w:val="003C60E8"/>
    <w:rsid w:val="003C700E"/>
    <w:rsid w:val="003D0597"/>
    <w:rsid w:val="003D0EB0"/>
    <w:rsid w:val="003D27AA"/>
    <w:rsid w:val="003D3907"/>
    <w:rsid w:val="003D4695"/>
    <w:rsid w:val="003D4C51"/>
    <w:rsid w:val="003D671E"/>
    <w:rsid w:val="003D6EE6"/>
    <w:rsid w:val="003E0513"/>
    <w:rsid w:val="003E1498"/>
    <w:rsid w:val="003E1502"/>
    <w:rsid w:val="003E1E2C"/>
    <w:rsid w:val="003E23CD"/>
    <w:rsid w:val="003E50FA"/>
    <w:rsid w:val="003E6E18"/>
    <w:rsid w:val="003E7521"/>
    <w:rsid w:val="003F0270"/>
    <w:rsid w:val="003F02EB"/>
    <w:rsid w:val="003F1064"/>
    <w:rsid w:val="003F296D"/>
    <w:rsid w:val="003F2977"/>
    <w:rsid w:val="003F33E6"/>
    <w:rsid w:val="003F4DAA"/>
    <w:rsid w:val="003F583B"/>
    <w:rsid w:val="003F5DCE"/>
    <w:rsid w:val="003F617B"/>
    <w:rsid w:val="003F63B1"/>
    <w:rsid w:val="003F7143"/>
    <w:rsid w:val="00400197"/>
    <w:rsid w:val="0040103C"/>
    <w:rsid w:val="004023FA"/>
    <w:rsid w:val="00403B32"/>
    <w:rsid w:val="00406A11"/>
    <w:rsid w:val="00406D63"/>
    <w:rsid w:val="004072ED"/>
    <w:rsid w:val="0040744C"/>
    <w:rsid w:val="00407FD4"/>
    <w:rsid w:val="004107D4"/>
    <w:rsid w:val="0041177F"/>
    <w:rsid w:val="00411B3B"/>
    <w:rsid w:val="00413BBE"/>
    <w:rsid w:val="00414145"/>
    <w:rsid w:val="00414542"/>
    <w:rsid w:val="00417582"/>
    <w:rsid w:val="00417A06"/>
    <w:rsid w:val="0042018E"/>
    <w:rsid w:val="004235B6"/>
    <w:rsid w:val="004246A0"/>
    <w:rsid w:val="00424E90"/>
    <w:rsid w:val="00425AE0"/>
    <w:rsid w:val="00425C84"/>
    <w:rsid w:val="00426735"/>
    <w:rsid w:val="0042697C"/>
    <w:rsid w:val="00426DBF"/>
    <w:rsid w:val="00431FB8"/>
    <w:rsid w:val="00433539"/>
    <w:rsid w:val="00433CA9"/>
    <w:rsid w:val="00433F62"/>
    <w:rsid w:val="00434A4D"/>
    <w:rsid w:val="0043726C"/>
    <w:rsid w:val="00440B22"/>
    <w:rsid w:val="00441649"/>
    <w:rsid w:val="00441C5D"/>
    <w:rsid w:val="0044275B"/>
    <w:rsid w:val="00442CC6"/>
    <w:rsid w:val="00443E78"/>
    <w:rsid w:val="00444C20"/>
    <w:rsid w:val="00444C42"/>
    <w:rsid w:val="00445D02"/>
    <w:rsid w:val="0044670E"/>
    <w:rsid w:val="00446C95"/>
    <w:rsid w:val="00447948"/>
    <w:rsid w:val="00447F94"/>
    <w:rsid w:val="0045082A"/>
    <w:rsid w:val="00451301"/>
    <w:rsid w:val="00452299"/>
    <w:rsid w:val="004525E0"/>
    <w:rsid w:val="00454C0B"/>
    <w:rsid w:val="00455EEB"/>
    <w:rsid w:val="00456758"/>
    <w:rsid w:val="00456D04"/>
    <w:rsid w:val="00457398"/>
    <w:rsid w:val="004573D2"/>
    <w:rsid w:val="00457F5C"/>
    <w:rsid w:val="0046164F"/>
    <w:rsid w:val="004624CD"/>
    <w:rsid w:val="00462987"/>
    <w:rsid w:val="00462AA5"/>
    <w:rsid w:val="00463088"/>
    <w:rsid w:val="00463FFF"/>
    <w:rsid w:val="00465A40"/>
    <w:rsid w:val="0046673D"/>
    <w:rsid w:val="00471C0C"/>
    <w:rsid w:val="00473A4F"/>
    <w:rsid w:val="00474B2F"/>
    <w:rsid w:val="0047583A"/>
    <w:rsid w:val="00481BE8"/>
    <w:rsid w:val="00483009"/>
    <w:rsid w:val="00487C01"/>
    <w:rsid w:val="00490D51"/>
    <w:rsid w:val="004910FE"/>
    <w:rsid w:val="004927D6"/>
    <w:rsid w:val="00495F99"/>
    <w:rsid w:val="004A2F24"/>
    <w:rsid w:val="004A386F"/>
    <w:rsid w:val="004A3964"/>
    <w:rsid w:val="004A4DDD"/>
    <w:rsid w:val="004A560F"/>
    <w:rsid w:val="004A680A"/>
    <w:rsid w:val="004B07F4"/>
    <w:rsid w:val="004B56C0"/>
    <w:rsid w:val="004B6B25"/>
    <w:rsid w:val="004C0DD5"/>
    <w:rsid w:val="004C16B5"/>
    <w:rsid w:val="004C1F61"/>
    <w:rsid w:val="004C2C33"/>
    <w:rsid w:val="004C399F"/>
    <w:rsid w:val="004C4719"/>
    <w:rsid w:val="004C5225"/>
    <w:rsid w:val="004C6898"/>
    <w:rsid w:val="004C7449"/>
    <w:rsid w:val="004C757A"/>
    <w:rsid w:val="004D0B34"/>
    <w:rsid w:val="004D0CEB"/>
    <w:rsid w:val="004D14A3"/>
    <w:rsid w:val="004D359D"/>
    <w:rsid w:val="004D479F"/>
    <w:rsid w:val="004D4FB5"/>
    <w:rsid w:val="004D56BF"/>
    <w:rsid w:val="004E5802"/>
    <w:rsid w:val="004E5FA6"/>
    <w:rsid w:val="004E654E"/>
    <w:rsid w:val="004E76F7"/>
    <w:rsid w:val="004E7D1F"/>
    <w:rsid w:val="004F1381"/>
    <w:rsid w:val="004F3ABD"/>
    <w:rsid w:val="004F4070"/>
    <w:rsid w:val="004F5080"/>
    <w:rsid w:val="004F720F"/>
    <w:rsid w:val="00500841"/>
    <w:rsid w:val="00500DD4"/>
    <w:rsid w:val="00501CEA"/>
    <w:rsid w:val="0050256A"/>
    <w:rsid w:val="00502C81"/>
    <w:rsid w:val="00504AF8"/>
    <w:rsid w:val="005059A4"/>
    <w:rsid w:val="00510B8A"/>
    <w:rsid w:val="005132A5"/>
    <w:rsid w:val="00513EDC"/>
    <w:rsid w:val="00515316"/>
    <w:rsid w:val="00515B01"/>
    <w:rsid w:val="00520BAF"/>
    <w:rsid w:val="00521AB2"/>
    <w:rsid w:val="00521C91"/>
    <w:rsid w:val="0052372D"/>
    <w:rsid w:val="005248E2"/>
    <w:rsid w:val="00525A5A"/>
    <w:rsid w:val="00526290"/>
    <w:rsid w:val="00526960"/>
    <w:rsid w:val="005269DA"/>
    <w:rsid w:val="005277F3"/>
    <w:rsid w:val="00530B7A"/>
    <w:rsid w:val="00530E2E"/>
    <w:rsid w:val="005312C7"/>
    <w:rsid w:val="00531A41"/>
    <w:rsid w:val="00533F10"/>
    <w:rsid w:val="00534B3F"/>
    <w:rsid w:val="00534E8E"/>
    <w:rsid w:val="005406AC"/>
    <w:rsid w:val="00542CF1"/>
    <w:rsid w:val="00542D2E"/>
    <w:rsid w:val="00542ECE"/>
    <w:rsid w:val="00543C64"/>
    <w:rsid w:val="00543E65"/>
    <w:rsid w:val="005446FF"/>
    <w:rsid w:val="00545E09"/>
    <w:rsid w:val="00546BE4"/>
    <w:rsid w:val="005474EB"/>
    <w:rsid w:val="00547A9B"/>
    <w:rsid w:val="00547D4F"/>
    <w:rsid w:val="00553523"/>
    <w:rsid w:val="0055514E"/>
    <w:rsid w:val="00556686"/>
    <w:rsid w:val="00556A81"/>
    <w:rsid w:val="005574C8"/>
    <w:rsid w:val="00557F73"/>
    <w:rsid w:val="005611EE"/>
    <w:rsid w:val="00562245"/>
    <w:rsid w:val="00562286"/>
    <w:rsid w:val="00562A6C"/>
    <w:rsid w:val="00563ED7"/>
    <w:rsid w:val="00567663"/>
    <w:rsid w:val="0057037B"/>
    <w:rsid w:val="00570EE9"/>
    <w:rsid w:val="0057228A"/>
    <w:rsid w:val="0057397A"/>
    <w:rsid w:val="00575613"/>
    <w:rsid w:val="00576384"/>
    <w:rsid w:val="00576519"/>
    <w:rsid w:val="00577637"/>
    <w:rsid w:val="005820FA"/>
    <w:rsid w:val="005828B4"/>
    <w:rsid w:val="00582D69"/>
    <w:rsid w:val="00583533"/>
    <w:rsid w:val="00583759"/>
    <w:rsid w:val="00583F88"/>
    <w:rsid w:val="005851B2"/>
    <w:rsid w:val="00590771"/>
    <w:rsid w:val="0059078D"/>
    <w:rsid w:val="00591C32"/>
    <w:rsid w:val="00591C6A"/>
    <w:rsid w:val="0059218B"/>
    <w:rsid w:val="005932E1"/>
    <w:rsid w:val="0059746A"/>
    <w:rsid w:val="005A0DC0"/>
    <w:rsid w:val="005A1175"/>
    <w:rsid w:val="005A14CF"/>
    <w:rsid w:val="005A192F"/>
    <w:rsid w:val="005A2650"/>
    <w:rsid w:val="005A3ADA"/>
    <w:rsid w:val="005A44E5"/>
    <w:rsid w:val="005A4F96"/>
    <w:rsid w:val="005A537B"/>
    <w:rsid w:val="005A6FB4"/>
    <w:rsid w:val="005A702D"/>
    <w:rsid w:val="005A759F"/>
    <w:rsid w:val="005B0717"/>
    <w:rsid w:val="005B07A8"/>
    <w:rsid w:val="005B29F9"/>
    <w:rsid w:val="005B328F"/>
    <w:rsid w:val="005B43F5"/>
    <w:rsid w:val="005B4762"/>
    <w:rsid w:val="005B4B0A"/>
    <w:rsid w:val="005B695D"/>
    <w:rsid w:val="005B78CB"/>
    <w:rsid w:val="005C1051"/>
    <w:rsid w:val="005C10FB"/>
    <w:rsid w:val="005C1FF1"/>
    <w:rsid w:val="005C259D"/>
    <w:rsid w:val="005C36F8"/>
    <w:rsid w:val="005C77ED"/>
    <w:rsid w:val="005C7F51"/>
    <w:rsid w:val="005D18D0"/>
    <w:rsid w:val="005D2816"/>
    <w:rsid w:val="005D4778"/>
    <w:rsid w:val="005D6B08"/>
    <w:rsid w:val="005E2476"/>
    <w:rsid w:val="005E2893"/>
    <w:rsid w:val="005E3770"/>
    <w:rsid w:val="005E4E39"/>
    <w:rsid w:val="005E7756"/>
    <w:rsid w:val="005F3051"/>
    <w:rsid w:val="005F36FD"/>
    <w:rsid w:val="005F4CB1"/>
    <w:rsid w:val="005F6762"/>
    <w:rsid w:val="005F687E"/>
    <w:rsid w:val="00601EE0"/>
    <w:rsid w:val="00603C13"/>
    <w:rsid w:val="00603CCD"/>
    <w:rsid w:val="00603E68"/>
    <w:rsid w:val="0060417F"/>
    <w:rsid w:val="00606C22"/>
    <w:rsid w:val="00607040"/>
    <w:rsid w:val="006115D2"/>
    <w:rsid w:val="00612015"/>
    <w:rsid w:val="006152B9"/>
    <w:rsid w:val="006159D2"/>
    <w:rsid w:val="006164AE"/>
    <w:rsid w:val="006169A6"/>
    <w:rsid w:val="006212C9"/>
    <w:rsid w:val="00621603"/>
    <w:rsid w:val="0062179A"/>
    <w:rsid w:val="0062352F"/>
    <w:rsid w:val="00624AC9"/>
    <w:rsid w:val="00625C59"/>
    <w:rsid w:val="00627EDB"/>
    <w:rsid w:val="006305D1"/>
    <w:rsid w:val="00630685"/>
    <w:rsid w:val="0063077D"/>
    <w:rsid w:val="00630D1D"/>
    <w:rsid w:val="00630FC1"/>
    <w:rsid w:val="00632B4C"/>
    <w:rsid w:val="00633146"/>
    <w:rsid w:val="00634696"/>
    <w:rsid w:val="006353C8"/>
    <w:rsid w:val="006364D8"/>
    <w:rsid w:val="00636D3E"/>
    <w:rsid w:val="00637868"/>
    <w:rsid w:val="00637DFB"/>
    <w:rsid w:val="0064079A"/>
    <w:rsid w:val="00641D1F"/>
    <w:rsid w:val="0064567B"/>
    <w:rsid w:val="00646391"/>
    <w:rsid w:val="00646569"/>
    <w:rsid w:val="00646DDC"/>
    <w:rsid w:val="006477B3"/>
    <w:rsid w:val="00647BD5"/>
    <w:rsid w:val="00647E15"/>
    <w:rsid w:val="00650FF8"/>
    <w:rsid w:val="0065183F"/>
    <w:rsid w:val="00653715"/>
    <w:rsid w:val="00653E9F"/>
    <w:rsid w:val="006550C1"/>
    <w:rsid w:val="00655A5A"/>
    <w:rsid w:val="0065744D"/>
    <w:rsid w:val="00661E9C"/>
    <w:rsid w:val="00663A98"/>
    <w:rsid w:val="00665C43"/>
    <w:rsid w:val="006672FD"/>
    <w:rsid w:val="00667A62"/>
    <w:rsid w:val="0067043B"/>
    <w:rsid w:val="00671407"/>
    <w:rsid w:val="00671707"/>
    <w:rsid w:val="00672D46"/>
    <w:rsid w:val="00673391"/>
    <w:rsid w:val="00674436"/>
    <w:rsid w:val="0067598F"/>
    <w:rsid w:val="00685283"/>
    <w:rsid w:val="006853BA"/>
    <w:rsid w:val="00686139"/>
    <w:rsid w:val="0068654C"/>
    <w:rsid w:val="00687CBB"/>
    <w:rsid w:val="0069093C"/>
    <w:rsid w:val="00690B3B"/>
    <w:rsid w:val="00691533"/>
    <w:rsid w:val="006920A2"/>
    <w:rsid w:val="00693D64"/>
    <w:rsid w:val="00694007"/>
    <w:rsid w:val="00696A84"/>
    <w:rsid w:val="00696DE2"/>
    <w:rsid w:val="006A2689"/>
    <w:rsid w:val="006A2903"/>
    <w:rsid w:val="006A2BDC"/>
    <w:rsid w:val="006A337B"/>
    <w:rsid w:val="006A33F1"/>
    <w:rsid w:val="006A34AB"/>
    <w:rsid w:val="006A5E77"/>
    <w:rsid w:val="006A67F1"/>
    <w:rsid w:val="006A7082"/>
    <w:rsid w:val="006B0151"/>
    <w:rsid w:val="006B1CB1"/>
    <w:rsid w:val="006C0C0F"/>
    <w:rsid w:val="006C1392"/>
    <w:rsid w:val="006C18B2"/>
    <w:rsid w:val="006C1E1E"/>
    <w:rsid w:val="006C3995"/>
    <w:rsid w:val="006C42B1"/>
    <w:rsid w:val="006C4C73"/>
    <w:rsid w:val="006C68D2"/>
    <w:rsid w:val="006C717B"/>
    <w:rsid w:val="006C7D84"/>
    <w:rsid w:val="006D0A88"/>
    <w:rsid w:val="006D2514"/>
    <w:rsid w:val="006D5F7A"/>
    <w:rsid w:val="006D705D"/>
    <w:rsid w:val="006D757C"/>
    <w:rsid w:val="006D76B0"/>
    <w:rsid w:val="006E2307"/>
    <w:rsid w:val="006E288F"/>
    <w:rsid w:val="006E575F"/>
    <w:rsid w:val="006E6131"/>
    <w:rsid w:val="006E67EA"/>
    <w:rsid w:val="006E707D"/>
    <w:rsid w:val="006F103A"/>
    <w:rsid w:val="006F1CF2"/>
    <w:rsid w:val="006F1E0E"/>
    <w:rsid w:val="006F33B8"/>
    <w:rsid w:val="006F38FE"/>
    <w:rsid w:val="006F6492"/>
    <w:rsid w:val="006F77F6"/>
    <w:rsid w:val="007005A1"/>
    <w:rsid w:val="0070063D"/>
    <w:rsid w:val="00700AEB"/>
    <w:rsid w:val="00700F81"/>
    <w:rsid w:val="007014AA"/>
    <w:rsid w:val="00702FCD"/>
    <w:rsid w:val="007032BB"/>
    <w:rsid w:val="0070371A"/>
    <w:rsid w:val="0070436F"/>
    <w:rsid w:val="00704619"/>
    <w:rsid w:val="00704829"/>
    <w:rsid w:val="0070685D"/>
    <w:rsid w:val="00707E68"/>
    <w:rsid w:val="00711479"/>
    <w:rsid w:val="0071209A"/>
    <w:rsid w:val="007121AE"/>
    <w:rsid w:val="00715C72"/>
    <w:rsid w:val="00715FA5"/>
    <w:rsid w:val="007168CB"/>
    <w:rsid w:val="00716949"/>
    <w:rsid w:val="00717639"/>
    <w:rsid w:val="00717F1A"/>
    <w:rsid w:val="00721AD5"/>
    <w:rsid w:val="007245ED"/>
    <w:rsid w:val="00724A5C"/>
    <w:rsid w:val="007251D5"/>
    <w:rsid w:val="007258A6"/>
    <w:rsid w:val="007265EB"/>
    <w:rsid w:val="00731A66"/>
    <w:rsid w:val="0073340E"/>
    <w:rsid w:val="007341E6"/>
    <w:rsid w:val="00734E45"/>
    <w:rsid w:val="00734E99"/>
    <w:rsid w:val="00736480"/>
    <w:rsid w:val="00736D7D"/>
    <w:rsid w:val="007417B6"/>
    <w:rsid w:val="00741BE5"/>
    <w:rsid w:val="00742FB6"/>
    <w:rsid w:val="00742FDB"/>
    <w:rsid w:val="007447A4"/>
    <w:rsid w:val="00746A16"/>
    <w:rsid w:val="0074755A"/>
    <w:rsid w:val="00750317"/>
    <w:rsid w:val="00750E8F"/>
    <w:rsid w:val="00755606"/>
    <w:rsid w:val="00762231"/>
    <w:rsid w:val="007623D2"/>
    <w:rsid w:val="007626FD"/>
    <w:rsid w:val="00764A5E"/>
    <w:rsid w:val="00765423"/>
    <w:rsid w:val="0076791F"/>
    <w:rsid w:val="00771155"/>
    <w:rsid w:val="0077133B"/>
    <w:rsid w:val="00771409"/>
    <w:rsid w:val="00773973"/>
    <w:rsid w:val="007740DD"/>
    <w:rsid w:val="007757D7"/>
    <w:rsid w:val="00775D42"/>
    <w:rsid w:val="00775FA9"/>
    <w:rsid w:val="007766A5"/>
    <w:rsid w:val="00776876"/>
    <w:rsid w:val="00776CF5"/>
    <w:rsid w:val="00777E0D"/>
    <w:rsid w:val="0078066D"/>
    <w:rsid w:val="00780D41"/>
    <w:rsid w:val="007824B8"/>
    <w:rsid w:val="00782A57"/>
    <w:rsid w:val="0078452A"/>
    <w:rsid w:val="00785994"/>
    <w:rsid w:val="007859A5"/>
    <w:rsid w:val="00786B9A"/>
    <w:rsid w:val="00787F29"/>
    <w:rsid w:val="007909FF"/>
    <w:rsid w:val="00792A05"/>
    <w:rsid w:val="00794C95"/>
    <w:rsid w:val="00795B72"/>
    <w:rsid w:val="007960FF"/>
    <w:rsid w:val="00796607"/>
    <w:rsid w:val="00796A9E"/>
    <w:rsid w:val="00797318"/>
    <w:rsid w:val="007976C4"/>
    <w:rsid w:val="00797AC7"/>
    <w:rsid w:val="007A28D1"/>
    <w:rsid w:val="007A3742"/>
    <w:rsid w:val="007A453F"/>
    <w:rsid w:val="007A5FA4"/>
    <w:rsid w:val="007B17B4"/>
    <w:rsid w:val="007B2EF5"/>
    <w:rsid w:val="007B5649"/>
    <w:rsid w:val="007B5738"/>
    <w:rsid w:val="007B656E"/>
    <w:rsid w:val="007B694C"/>
    <w:rsid w:val="007C12AB"/>
    <w:rsid w:val="007C19BE"/>
    <w:rsid w:val="007C19BF"/>
    <w:rsid w:val="007C24FC"/>
    <w:rsid w:val="007C35A2"/>
    <w:rsid w:val="007C7397"/>
    <w:rsid w:val="007D0F8B"/>
    <w:rsid w:val="007D1CBA"/>
    <w:rsid w:val="007D2C78"/>
    <w:rsid w:val="007D32A0"/>
    <w:rsid w:val="007D3671"/>
    <w:rsid w:val="007D3A35"/>
    <w:rsid w:val="007D4CF3"/>
    <w:rsid w:val="007D574B"/>
    <w:rsid w:val="007D7180"/>
    <w:rsid w:val="007E498F"/>
    <w:rsid w:val="007E4CCE"/>
    <w:rsid w:val="007E4F51"/>
    <w:rsid w:val="007E5AEB"/>
    <w:rsid w:val="007E603B"/>
    <w:rsid w:val="007E67CD"/>
    <w:rsid w:val="007E69D1"/>
    <w:rsid w:val="007E6F13"/>
    <w:rsid w:val="007E7511"/>
    <w:rsid w:val="007F108E"/>
    <w:rsid w:val="007F15E3"/>
    <w:rsid w:val="007F235B"/>
    <w:rsid w:val="007F32F5"/>
    <w:rsid w:val="007F3817"/>
    <w:rsid w:val="008014CC"/>
    <w:rsid w:val="0080179F"/>
    <w:rsid w:val="0080265C"/>
    <w:rsid w:val="00802D3B"/>
    <w:rsid w:val="00804364"/>
    <w:rsid w:val="00804C66"/>
    <w:rsid w:val="0080684B"/>
    <w:rsid w:val="0081028B"/>
    <w:rsid w:val="008104E3"/>
    <w:rsid w:val="00811518"/>
    <w:rsid w:val="00813452"/>
    <w:rsid w:val="00813BE9"/>
    <w:rsid w:val="00814E06"/>
    <w:rsid w:val="00815404"/>
    <w:rsid w:val="00815522"/>
    <w:rsid w:val="008159A0"/>
    <w:rsid w:val="00816CF8"/>
    <w:rsid w:val="00823D5C"/>
    <w:rsid w:val="00824AE7"/>
    <w:rsid w:val="00824F4A"/>
    <w:rsid w:val="00825CE5"/>
    <w:rsid w:val="008262CE"/>
    <w:rsid w:val="00826BF4"/>
    <w:rsid w:val="008272B4"/>
    <w:rsid w:val="0082731B"/>
    <w:rsid w:val="0083194D"/>
    <w:rsid w:val="00832927"/>
    <w:rsid w:val="00836EE9"/>
    <w:rsid w:val="00836FA8"/>
    <w:rsid w:val="0083727E"/>
    <w:rsid w:val="00840C00"/>
    <w:rsid w:val="008416D6"/>
    <w:rsid w:val="00841A28"/>
    <w:rsid w:val="008424E7"/>
    <w:rsid w:val="00843546"/>
    <w:rsid w:val="0084426A"/>
    <w:rsid w:val="0084523A"/>
    <w:rsid w:val="00845500"/>
    <w:rsid w:val="0084747D"/>
    <w:rsid w:val="00847AB4"/>
    <w:rsid w:val="00847FE6"/>
    <w:rsid w:val="00850B4D"/>
    <w:rsid w:val="00850DCB"/>
    <w:rsid w:val="00851DEF"/>
    <w:rsid w:val="00851E7D"/>
    <w:rsid w:val="00853176"/>
    <w:rsid w:val="0085335A"/>
    <w:rsid w:val="00853AE1"/>
    <w:rsid w:val="00853AE6"/>
    <w:rsid w:val="00853FD5"/>
    <w:rsid w:val="00857296"/>
    <w:rsid w:val="008579CB"/>
    <w:rsid w:val="00857B8A"/>
    <w:rsid w:val="00860B2B"/>
    <w:rsid w:val="00861546"/>
    <w:rsid w:val="00863825"/>
    <w:rsid w:val="00864508"/>
    <w:rsid w:val="00867E9C"/>
    <w:rsid w:val="008715A9"/>
    <w:rsid w:val="008721DF"/>
    <w:rsid w:val="0087276C"/>
    <w:rsid w:val="00872F59"/>
    <w:rsid w:val="00874104"/>
    <w:rsid w:val="00874CD8"/>
    <w:rsid w:val="0087551B"/>
    <w:rsid w:val="0087572C"/>
    <w:rsid w:val="0087633F"/>
    <w:rsid w:val="00876541"/>
    <w:rsid w:val="00876ADB"/>
    <w:rsid w:val="00876D26"/>
    <w:rsid w:val="00877560"/>
    <w:rsid w:val="00880541"/>
    <w:rsid w:val="00880CD3"/>
    <w:rsid w:val="00882052"/>
    <w:rsid w:val="00882190"/>
    <w:rsid w:val="00882868"/>
    <w:rsid w:val="00883747"/>
    <w:rsid w:val="0088486F"/>
    <w:rsid w:val="00885B7D"/>
    <w:rsid w:val="00891C61"/>
    <w:rsid w:val="008921D9"/>
    <w:rsid w:val="0089250B"/>
    <w:rsid w:val="0089258E"/>
    <w:rsid w:val="0089288C"/>
    <w:rsid w:val="00892955"/>
    <w:rsid w:val="00893744"/>
    <w:rsid w:val="00894783"/>
    <w:rsid w:val="00894C90"/>
    <w:rsid w:val="0089583B"/>
    <w:rsid w:val="00895E82"/>
    <w:rsid w:val="00897869"/>
    <w:rsid w:val="008A0D38"/>
    <w:rsid w:val="008A1906"/>
    <w:rsid w:val="008A30DF"/>
    <w:rsid w:val="008A41EF"/>
    <w:rsid w:val="008A4C91"/>
    <w:rsid w:val="008A6479"/>
    <w:rsid w:val="008A6CC9"/>
    <w:rsid w:val="008A76E6"/>
    <w:rsid w:val="008A7B78"/>
    <w:rsid w:val="008B04A9"/>
    <w:rsid w:val="008B0728"/>
    <w:rsid w:val="008B08D2"/>
    <w:rsid w:val="008B1005"/>
    <w:rsid w:val="008B104B"/>
    <w:rsid w:val="008B32F5"/>
    <w:rsid w:val="008B3B05"/>
    <w:rsid w:val="008B4719"/>
    <w:rsid w:val="008B64D7"/>
    <w:rsid w:val="008C083C"/>
    <w:rsid w:val="008C0EB6"/>
    <w:rsid w:val="008C1963"/>
    <w:rsid w:val="008C1DC2"/>
    <w:rsid w:val="008C2282"/>
    <w:rsid w:val="008C31D5"/>
    <w:rsid w:val="008C345E"/>
    <w:rsid w:val="008C45B5"/>
    <w:rsid w:val="008C4A26"/>
    <w:rsid w:val="008C708F"/>
    <w:rsid w:val="008D094D"/>
    <w:rsid w:val="008D2EAD"/>
    <w:rsid w:val="008D350B"/>
    <w:rsid w:val="008D37C5"/>
    <w:rsid w:val="008D3818"/>
    <w:rsid w:val="008D3DF4"/>
    <w:rsid w:val="008D6F52"/>
    <w:rsid w:val="008D724E"/>
    <w:rsid w:val="008E1004"/>
    <w:rsid w:val="008E103C"/>
    <w:rsid w:val="008E129B"/>
    <w:rsid w:val="008E18A7"/>
    <w:rsid w:val="008E22E4"/>
    <w:rsid w:val="008E3428"/>
    <w:rsid w:val="008E42C9"/>
    <w:rsid w:val="008F08BE"/>
    <w:rsid w:val="008F0B90"/>
    <w:rsid w:val="008F158D"/>
    <w:rsid w:val="008F319F"/>
    <w:rsid w:val="008F3871"/>
    <w:rsid w:val="008F3B5D"/>
    <w:rsid w:val="008F3B7A"/>
    <w:rsid w:val="008F6773"/>
    <w:rsid w:val="008F76E1"/>
    <w:rsid w:val="0090082D"/>
    <w:rsid w:val="00903545"/>
    <w:rsid w:val="00903C94"/>
    <w:rsid w:val="009047EB"/>
    <w:rsid w:val="00904D6B"/>
    <w:rsid w:val="00906711"/>
    <w:rsid w:val="00906EEE"/>
    <w:rsid w:val="00907E3E"/>
    <w:rsid w:val="00910C3B"/>
    <w:rsid w:val="009124F9"/>
    <w:rsid w:val="009126DA"/>
    <w:rsid w:val="00912E29"/>
    <w:rsid w:val="00914007"/>
    <w:rsid w:val="00914A6D"/>
    <w:rsid w:val="00914DFB"/>
    <w:rsid w:val="009153A4"/>
    <w:rsid w:val="009163CD"/>
    <w:rsid w:val="00916990"/>
    <w:rsid w:val="00920467"/>
    <w:rsid w:val="00921233"/>
    <w:rsid w:val="009213D5"/>
    <w:rsid w:val="00921CF3"/>
    <w:rsid w:val="0092423A"/>
    <w:rsid w:val="0092439C"/>
    <w:rsid w:val="00925EF1"/>
    <w:rsid w:val="009264F2"/>
    <w:rsid w:val="009265BA"/>
    <w:rsid w:val="00926995"/>
    <w:rsid w:val="00927094"/>
    <w:rsid w:val="00930266"/>
    <w:rsid w:val="00930598"/>
    <w:rsid w:val="00932241"/>
    <w:rsid w:val="00935BEA"/>
    <w:rsid w:val="00937699"/>
    <w:rsid w:val="0094012F"/>
    <w:rsid w:val="0094087C"/>
    <w:rsid w:val="00942A48"/>
    <w:rsid w:val="00942EB4"/>
    <w:rsid w:val="009435F7"/>
    <w:rsid w:val="00943C77"/>
    <w:rsid w:val="0094406C"/>
    <w:rsid w:val="00944CC7"/>
    <w:rsid w:val="00946313"/>
    <w:rsid w:val="009466D6"/>
    <w:rsid w:val="00950911"/>
    <w:rsid w:val="009520F5"/>
    <w:rsid w:val="00953F30"/>
    <w:rsid w:val="009556A0"/>
    <w:rsid w:val="00955FF7"/>
    <w:rsid w:val="009562C9"/>
    <w:rsid w:val="009565F2"/>
    <w:rsid w:val="00956613"/>
    <w:rsid w:val="009573FE"/>
    <w:rsid w:val="00957E0C"/>
    <w:rsid w:val="009614CA"/>
    <w:rsid w:val="00961675"/>
    <w:rsid w:val="00963341"/>
    <w:rsid w:val="00964008"/>
    <w:rsid w:val="00965ADE"/>
    <w:rsid w:val="00970536"/>
    <w:rsid w:val="00970D65"/>
    <w:rsid w:val="009732AC"/>
    <w:rsid w:val="00973A2F"/>
    <w:rsid w:val="00974589"/>
    <w:rsid w:val="00976741"/>
    <w:rsid w:val="00976BD3"/>
    <w:rsid w:val="00981067"/>
    <w:rsid w:val="009818FC"/>
    <w:rsid w:val="00981E8F"/>
    <w:rsid w:val="00984337"/>
    <w:rsid w:val="00986133"/>
    <w:rsid w:val="00986A0B"/>
    <w:rsid w:val="00990A01"/>
    <w:rsid w:val="00993875"/>
    <w:rsid w:val="00994BE9"/>
    <w:rsid w:val="0099530F"/>
    <w:rsid w:val="0099562D"/>
    <w:rsid w:val="00995B90"/>
    <w:rsid w:val="009A0771"/>
    <w:rsid w:val="009A23D1"/>
    <w:rsid w:val="009A2449"/>
    <w:rsid w:val="009A34A7"/>
    <w:rsid w:val="009A4E54"/>
    <w:rsid w:val="009A5C2C"/>
    <w:rsid w:val="009A64F7"/>
    <w:rsid w:val="009A6E76"/>
    <w:rsid w:val="009A7008"/>
    <w:rsid w:val="009B02F8"/>
    <w:rsid w:val="009B03C4"/>
    <w:rsid w:val="009B158A"/>
    <w:rsid w:val="009B18A7"/>
    <w:rsid w:val="009B2941"/>
    <w:rsid w:val="009B5E92"/>
    <w:rsid w:val="009B5EA1"/>
    <w:rsid w:val="009C0643"/>
    <w:rsid w:val="009C1AF9"/>
    <w:rsid w:val="009C30C8"/>
    <w:rsid w:val="009C470F"/>
    <w:rsid w:val="009C4B81"/>
    <w:rsid w:val="009C5A17"/>
    <w:rsid w:val="009D2145"/>
    <w:rsid w:val="009D3778"/>
    <w:rsid w:val="009D3FE4"/>
    <w:rsid w:val="009D533B"/>
    <w:rsid w:val="009D6618"/>
    <w:rsid w:val="009D664E"/>
    <w:rsid w:val="009D6C44"/>
    <w:rsid w:val="009D71ED"/>
    <w:rsid w:val="009D74C9"/>
    <w:rsid w:val="009E0221"/>
    <w:rsid w:val="009E08B0"/>
    <w:rsid w:val="009E3364"/>
    <w:rsid w:val="009E4FE4"/>
    <w:rsid w:val="009E768C"/>
    <w:rsid w:val="009E7811"/>
    <w:rsid w:val="009E786B"/>
    <w:rsid w:val="009E78D8"/>
    <w:rsid w:val="009F2E60"/>
    <w:rsid w:val="009F2E78"/>
    <w:rsid w:val="009F43B2"/>
    <w:rsid w:val="009F56CE"/>
    <w:rsid w:val="009F5802"/>
    <w:rsid w:val="009F7540"/>
    <w:rsid w:val="009F7E57"/>
    <w:rsid w:val="00A0007F"/>
    <w:rsid w:val="00A00C0B"/>
    <w:rsid w:val="00A01B03"/>
    <w:rsid w:val="00A01D20"/>
    <w:rsid w:val="00A06E76"/>
    <w:rsid w:val="00A11F64"/>
    <w:rsid w:val="00A12E71"/>
    <w:rsid w:val="00A16482"/>
    <w:rsid w:val="00A166ED"/>
    <w:rsid w:val="00A22C62"/>
    <w:rsid w:val="00A23728"/>
    <w:rsid w:val="00A2540F"/>
    <w:rsid w:val="00A25C0E"/>
    <w:rsid w:val="00A25D38"/>
    <w:rsid w:val="00A2695B"/>
    <w:rsid w:val="00A33A3D"/>
    <w:rsid w:val="00A34C49"/>
    <w:rsid w:val="00A351C4"/>
    <w:rsid w:val="00A364F5"/>
    <w:rsid w:val="00A370F8"/>
    <w:rsid w:val="00A40818"/>
    <w:rsid w:val="00A43085"/>
    <w:rsid w:val="00A45B35"/>
    <w:rsid w:val="00A461A5"/>
    <w:rsid w:val="00A5064C"/>
    <w:rsid w:val="00A51FA4"/>
    <w:rsid w:val="00A51FED"/>
    <w:rsid w:val="00A52EEB"/>
    <w:rsid w:val="00A53372"/>
    <w:rsid w:val="00A53498"/>
    <w:rsid w:val="00A5376E"/>
    <w:rsid w:val="00A5692F"/>
    <w:rsid w:val="00A5694E"/>
    <w:rsid w:val="00A5707B"/>
    <w:rsid w:val="00A61DAE"/>
    <w:rsid w:val="00A6371A"/>
    <w:rsid w:val="00A63CFC"/>
    <w:rsid w:val="00A64BF5"/>
    <w:rsid w:val="00A66EBE"/>
    <w:rsid w:val="00A67A7E"/>
    <w:rsid w:val="00A7104E"/>
    <w:rsid w:val="00A72658"/>
    <w:rsid w:val="00A74783"/>
    <w:rsid w:val="00A74A39"/>
    <w:rsid w:val="00A751F3"/>
    <w:rsid w:val="00A801BD"/>
    <w:rsid w:val="00A81637"/>
    <w:rsid w:val="00A81F98"/>
    <w:rsid w:val="00A828B8"/>
    <w:rsid w:val="00A83820"/>
    <w:rsid w:val="00A83C5E"/>
    <w:rsid w:val="00A847C0"/>
    <w:rsid w:val="00A848D8"/>
    <w:rsid w:val="00A85BF9"/>
    <w:rsid w:val="00A86471"/>
    <w:rsid w:val="00A86A7A"/>
    <w:rsid w:val="00A86DB3"/>
    <w:rsid w:val="00A90939"/>
    <w:rsid w:val="00A91319"/>
    <w:rsid w:val="00A932A5"/>
    <w:rsid w:val="00A93E47"/>
    <w:rsid w:val="00A93E55"/>
    <w:rsid w:val="00A945F1"/>
    <w:rsid w:val="00A948FE"/>
    <w:rsid w:val="00A9545D"/>
    <w:rsid w:val="00A956DE"/>
    <w:rsid w:val="00A96A1A"/>
    <w:rsid w:val="00A96D72"/>
    <w:rsid w:val="00A97FF3"/>
    <w:rsid w:val="00AA2B94"/>
    <w:rsid w:val="00AA3DC8"/>
    <w:rsid w:val="00AA4708"/>
    <w:rsid w:val="00AA636B"/>
    <w:rsid w:val="00AA6430"/>
    <w:rsid w:val="00AA7D0D"/>
    <w:rsid w:val="00AB23F8"/>
    <w:rsid w:val="00AB308E"/>
    <w:rsid w:val="00AB3846"/>
    <w:rsid w:val="00AB3BA0"/>
    <w:rsid w:val="00AB5B96"/>
    <w:rsid w:val="00AB708E"/>
    <w:rsid w:val="00AB76D9"/>
    <w:rsid w:val="00AB77C7"/>
    <w:rsid w:val="00AC0F24"/>
    <w:rsid w:val="00AC15E6"/>
    <w:rsid w:val="00AC22E8"/>
    <w:rsid w:val="00AC3CDC"/>
    <w:rsid w:val="00AC586C"/>
    <w:rsid w:val="00AC6C62"/>
    <w:rsid w:val="00AD0692"/>
    <w:rsid w:val="00AD1B87"/>
    <w:rsid w:val="00AD3ECE"/>
    <w:rsid w:val="00AD5301"/>
    <w:rsid w:val="00AD56B8"/>
    <w:rsid w:val="00AD5768"/>
    <w:rsid w:val="00AD6141"/>
    <w:rsid w:val="00AD6778"/>
    <w:rsid w:val="00AD6A0C"/>
    <w:rsid w:val="00AD7F9E"/>
    <w:rsid w:val="00AE34B4"/>
    <w:rsid w:val="00AE448D"/>
    <w:rsid w:val="00AE5570"/>
    <w:rsid w:val="00AE751C"/>
    <w:rsid w:val="00AE76E2"/>
    <w:rsid w:val="00AE7786"/>
    <w:rsid w:val="00AF06CF"/>
    <w:rsid w:val="00AF0B16"/>
    <w:rsid w:val="00AF51C7"/>
    <w:rsid w:val="00AF5D56"/>
    <w:rsid w:val="00AF6D3E"/>
    <w:rsid w:val="00AF7705"/>
    <w:rsid w:val="00AF7A96"/>
    <w:rsid w:val="00B00759"/>
    <w:rsid w:val="00B00E94"/>
    <w:rsid w:val="00B00FC1"/>
    <w:rsid w:val="00B023AA"/>
    <w:rsid w:val="00B0245D"/>
    <w:rsid w:val="00B03539"/>
    <w:rsid w:val="00B061E4"/>
    <w:rsid w:val="00B063F4"/>
    <w:rsid w:val="00B07184"/>
    <w:rsid w:val="00B126B9"/>
    <w:rsid w:val="00B1309B"/>
    <w:rsid w:val="00B135C0"/>
    <w:rsid w:val="00B13E5A"/>
    <w:rsid w:val="00B15B42"/>
    <w:rsid w:val="00B160D9"/>
    <w:rsid w:val="00B17466"/>
    <w:rsid w:val="00B17666"/>
    <w:rsid w:val="00B17A8C"/>
    <w:rsid w:val="00B21613"/>
    <w:rsid w:val="00B2321B"/>
    <w:rsid w:val="00B23378"/>
    <w:rsid w:val="00B242E8"/>
    <w:rsid w:val="00B24BD7"/>
    <w:rsid w:val="00B26ADA"/>
    <w:rsid w:val="00B27579"/>
    <w:rsid w:val="00B3080C"/>
    <w:rsid w:val="00B31519"/>
    <w:rsid w:val="00B354B2"/>
    <w:rsid w:val="00B35E91"/>
    <w:rsid w:val="00B3741F"/>
    <w:rsid w:val="00B41FB3"/>
    <w:rsid w:val="00B420B1"/>
    <w:rsid w:val="00B4269F"/>
    <w:rsid w:val="00B42ADE"/>
    <w:rsid w:val="00B44408"/>
    <w:rsid w:val="00B46D6A"/>
    <w:rsid w:val="00B50D21"/>
    <w:rsid w:val="00B51087"/>
    <w:rsid w:val="00B521A0"/>
    <w:rsid w:val="00B52795"/>
    <w:rsid w:val="00B52FB0"/>
    <w:rsid w:val="00B5388D"/>
    <w:rsid w:val="00B5566C"/>
    <w:rsid w:val="00B574FE"/>
    <w:rsid w:val="00B62A56"/>
    <w:rsid w:val="00B6462A"/>
    <w:rsid w:val="00B64E22"/>
    <w:rsid w:val="00B65117"/>
    <w:rsid w:val="00B668C8"/>
    <w:rsid w:val="00B669E9"/>
    <w:rsid w:val="00B6719A"/>
    <w:rsid w:val="00B6735F"/>
    <w:rsid w:val="00B67B36"/>
    <w:rsid w:val="00B67CA4"/>
    <w:rsid w:val="00B708B5"/>
    <w:rsid w:val="00B70D95"/>
    <w:rsid w:val="00B7284A"/>
    <w:rsid w:val="00B732AF"/>
    <w:rsid w:val="00B760D7"/>
    <w:rsid w:val="00B76499"/>
    <w:rsid w:val="00B77364"/>
    <w:rsid w:val="00B81AAD"/>
    <w:rsid w:val="00B82B54"/>
    <w:rsid w:val="00B8410A"/>
    <w:rsid w:val="00B84910"/>
    <w:rsid w:val="00B86756"/>
    <w:rsid w:val="00B90883"/>
    <w:rsid w:val="00B90DCB"/>
    <w:rsid w:val="00B90E88"/>
    <w:rsid w:val="00B91A29"/>
    <w:rsid w:val="00B9250A"/>
    <w:rsid w:val="00B94CD9"/>
    <w:rsid w:val="00B94E9A"/>
    <w:rsid w:val="00B95429"/>
    <w:rsid w:val="00B95925"/>
    <w:rsid w:val="00B96E10"/>
    <w:rsid w:val="00BA139D"/>
    <w:rsid w:val="00BA248F"/>
    <w:rsid w:val="00BA2737"/>
    <w:rsid w:val="00BA2D9D"/>
    <w:rsid w:val="00BA475E"/>
    <w:rsid w:val="00BA6094"/>
    <w:rsid w:val="00BB0802"/>
    <w:rsid w:val="00BB0C41"/>
    <w:rsid w:val="00BB2C34"/>
    <w:rsid w:val="00BB3376"/>
    <w:rsid w:val="00BB4966"/>
    <w:rsid w:val="00BB5083"/>
    <w:rsid w:val="00BB71F3"/>
    <w:rsid w:val="00BB7D35"/>
    <w:rsid w:val="00BC0873"/>
    <w:rsid w:val="00BC0B29"/>
    <w:rsid w:val="00BC4F00"/>
    <w:rsid w:val="00BC58D9"/>
    <w:rsid w:val="00BD28C3"/>
    <w:rsid w:val="00BD3B8A"/>
    <w:rsid w:val="00BD508E"/>
    <w:rsid w:val="00BE0DE1"/>
    <w:rsid w:val="00BE0EB7"/>
    <w:rsid w:val="00BE3DBC"/>
    <w:rsid w:val="00BE4C77"/>
    <w:rsid w:val="00BE7F24"/>
    <w:rsid w:val="00BF12EF"/>
    <w:rsid w:val="00BF1BF1"/>
    <w:rsid w:val="00BF1DA3"/>
    <w:rsid w:val="00BF201E"/>
    <w:rsid w:val="00BF29D9"/>
    <w:rsid w:val="00BF317B"/>
    <w:rsid w:val="00BF3634"/>
    <w:rsid w:val="00BF5D77"/>
    <w:rsid w:val="00BF69A5"/>
    <w:rsid w:val="00BF6AC3"/>
    <w:rsid w:val="00BF6DB8"/>
    <w:rsid w:val="00C000C5"/>
    <w:rsid w:val="00C00120"/>
    <w:rsid w:val="00C001A2"/>
    <w:rsid w:val="00C001FC"/>
    <w:rsid w:val="00C004FE"/>
    <w:rsid w:val="00C00AE1"/>
    <w:rsid w:val="00C01FFD"/>
    <w:rsid w:val="00C0265B"/>
    <w:rsid w:val="00C0298C"/>
    <w:rsid w:val="00C03BCF"/>
    <w:rsid w:val="00C03C8C"/>
    <w:rsid w:val="00C0499A"/>
    <w:rsid w:val="00C077F5"/>
    <w:rsid w:val="00C115FA"/>
    <w:rsid w:val="00C130EC"/>
    <w:rsid w:val="00C153CB"/>
    <w:rsid w:val="00C167D7"/>
    <w:rsid w:val="00C175A4"/>
    <w:rsid w:val="00C21790"/>
    <w:rsid w:val="00C236B8"/>
    <w:rsid w:val="00C24353"/>
    <w:rsid w:val="00C25D27"/>
    <w:rsid w:val="00C2612E"/>
    <w:rsid w:val="00C26312"/>
    <w:rsid w:val="00C2725D"/>
    <w:rsid w:val="00C27EBA"/>
    <w:rsid w:val="00C27FC7"/>
    <w:rsid w:val="00C31371"/>
    <w:rsid w:val="00C314F8"/>
    <w:rsid w:val="00C33132"/>
    <w:rsid w:val="00C34131"/>
    <w:rsid w:val="00C34492"/>
    <w:rsid w:val="00C359EE"/>
    <w:rsid w:val="00C36256"/>
    <w:rsid w:val="00C36664"/>
    <w:rsid w:val="00C367D5"/>
    <w:rsid w:val="00C40AB5"/>
    <w:rsid w:val="00C40D65"/>
    <w:rsid w:val="00C423F7"/>
    <w:rsid w:val="00C440EB"/>
    <w:rsid w:val="00C46206"/>
    <w:rsid w:val="00C50EAA"/>
    <w:rsid w:val="00C5147A"/>
    <w:rsid w:val="00C51503"/>
    <w:rsid w:val="00C51964"/>
    <w:rsid w:val="00C51C16"/>
    <w:rsid w:val="00C521EE"/>
    <w:rsid w:val="00C5315C"/>
    <w:rsid w:val="00C53E51"/>
    <w:rsid w:val="00C54EF5"/>
    <w:rsid w:val="00C5638A"/>
    <w:rsid w:val="00C564AE"/>
    <w:rsid w:val="00C60E33"/>
    <w:rsid w:val="00C63102"/>
    <w:rsid w:val="00C64264"/>
    <w:rsid w:val="00C64B4D"/>
    <w:rsid w:val="00C66041"/>
    <w:rsid w:val="00C70915"/>
    <w:rsid w:val="00C75F15"/>
    <w:rsid w:val="00C76A69"/>
    <w:rsid w:val="00C770A5"/>
    <w:rsid w:val="00C77128"/>
    <w:rsid w:val="00C778F3"/>
    <w:rsid w:val="00C8261F"/>
    <w:rsid w:val="00C8456E"/>
    <w:rsid w:val="00C846AC"/>
    <w:rsid w:val="00C86E04"/>
    <w:rsid w:val="00C91268"/>
    <w:rsid w:val="00C92DE1"/>
    <w:rsid w:val="00C92F66"/>
    <w:rsid w:val="00C934A5"/>
    <w:rsid w:val="00C9576F"/>
    <w:rsid w:val="00C9718E"/>
    <w:rsid w:val="00C973D8"/>
    <w:rsid w:val="00C97965"/>
    <w:rsid w:val="00CA0138"/>
    <w:rsid w:val="00CA2821"/>
    <w:rsid w:val="00CA37B6"/>
    <w:rsid w:val="00CA4E83"/>
    <w:rsid w:val="00CA5D0E"/>
    <w:rsid w:val="00CA5E15"/>
    <w:rsid w:val="00CA6835"/>
    <w:rsid w:val="00CA6EB4"/>
    <w:rsid w:val="00CA734B"/>
    <w:rsid w:val="00CB1518"/>
    <w:rsid w:val="00CB2686"/>
    <w:rsid w:val="00CB3070"/>
    <w:rsid w:val="00CB3097"/>
    <w:rsid w:val="00CB349A"/>
    <w:rsid w:val="00CB3571"/>
    <w:rsid w:val="00CB5F8D"/>
    <w:rsid w:val="00CB7ACF"/>
    <w:rsid w:val="00CC06C0"/>
    <w:rsid w:val="00CC2657"/>
    <w:rsid w:val="00CC2899"/>
    <w:rsid w:val="00CC2F42"/>
    <w:rsid w:val="00CC5846"/>
    <w:rsid w:val="00CC5D66"/>
    <w:rsid w:val="00CC65A1"/>
    <w:rsid w:val="00CC7FA9"/>
    <w:rsid w:val="00CD09A2"/>
    <w:rsid w:val="00CD1ADE"/>
    <w:rsid w:val="00CD2452"/>
    <w:rsid w:val="00CD56B5"/>
    <w:rsid w:val="00CD68D6"/>
    <w:rsid w:val="00CD7F91"/>
    <w:rsid w:val="00CE2BA8"/>
    <w:rsid w:val="00CE2C5E"/>
    <w:rsid w:val="00CE2CC9"/>
    <w:rsid w:val="00CE744C"/>
    <w:rsid w:val="00CE752F"/>
    <w:rsid w:val="00CE7DB3"/>
    <w:rsid w:val="00CE7E35"/>
    <w:rsid w:val="00CF0533"/>
    <w:rsid w:val="00CF08AE"/>
    <w:rsid w:val="00CF0946"/>
    <w:rsid w:val="00CF0FC7"/>
    <w:rsid w:val="00CF1979"/>
    <w:rsid w:val="00CF2749"/>
    <w:rsid w:val="00CF33C3"/>
    <w:rsid w:val="00CF579B"/>
    <w:rsid w:val="00CF7189"/>
    <w:rsid w:val="00D0502E"/>
    <w:rsid w:val="00D06D1B"/>
    <w:rsid w:val="00D109A4"/>
    <w:rsid w:val="00D10A66"/>
    <w:rsid w:val="00D11655"/>
    <w:rsid w:val="00D133C9"/>
    <w:rsid w:val="00D155C4"/>
    <w:rsid w:val="00D15C76"/>
    <w:rsid w:val="00D15C91"/>
    <w:rsid w:val="00D168D0"/>
    <w:rsid w:val="00D16AFD"/>
    <w:rsid w:val="00D179EA"/>
    <w:rsid w:val="00D228C3"/>
    <w:rsid w:val="00D25B25"/>
    <w:rsid w:val="00D2707B"/>
    <w:rsid w:val="00D3123A"/>
    <w:rsid w:val="00D3270F"/>
    <w:rsid w:val="00D32785"/>
    <w:rsid w:val="00D36B7E"/>
    <w:rsid w:val="00D37115"/>
    <w:rsid w:val="00D40659"/>
    <w:rsid w:val="00D43DC8"/>
    <w:rsid w:val="00D4550C"/>
    <w:rsid w:val="00D458FD"/>
    <w:rsid w:val="00D4626B"/>
    <w:rsid w:val="00D4642C"/>
    <w:rsid w:val="00D5013F"/>
    <w:rsid w:val="00D51B41"/>
    <w:rsid w:val="00D54601"/>
    <w:rsid w:val="00D600B6"/>
    <w:rsid w:val="00D6140E"/>
    <w:rsid w:val="00D62A14"/>
    <w:rsid w:val="00D6320C"/>
    <w:rsid w:val="00D65467"/>
    <w:rsid w:val="00D66950"/>
    <w:rsid w:val="00D678BD"/>
    <w:rsid w:val="00D70987"/>
    <w:rsid w:val="00D70A0B"/>
    <w:rsid w:val="00D734B8"/>
    <w:rsid w:val="00D73719"/>
    <w:rsid w:val="00D7392A"/>
    <w:rsid w:val="00D73CA9"/>
    <w:rsid w:val="00D75132"/>
    <w:rsid w:val="00D76130"/>
    <w:rsid w:val="00D767A5"/>
    <w:rsid w:val="00D76A69"/>
    <w:rsid w:val="00D80FA1"/>
    <w:rsid w:val="00D83426"/>
    <w:rsid w:val="00D86FA6"/>
    <w:rsid w:val="00D872D4"/>
    <w:rsid w:val="00D90AC3"/>
    <w:rsid w:val="00D91340"/>
    <w:rsid w:val="00D92441"/>
    <w:rsid w:val="00D92E89"/>
    <w:rsid w:val="00D9354D"/>
    <w:rsid w:val="00D94E43"/>
    <w:rsid w:val="00D953C8"/>
    <w:rsid w:val="00D97120"/>
    <w:rsid w:val="00DA0F27"/>
    <w:rsid w:val="00DA2868"/>
    <w:rsid w:val="00DA2D3F"/>
    <w:rsid w:val="00DA2D86"/>
    <w:rsid w:val="00DA410D"/>
    <w:rsid w:val="00DA4B38"/>
    <w:rsid w:val="00DA5FDC"/>
    <w:rsid w:val="00DA612E"/>
    <w:rsid w:val="00DA6E03"/>
    <w:rsid w:val="00DA6F68"/>
    <w:rsid w:val="00DB0C24"/>
    <w:rsid w:val="00DB18FE"/>
    <w:rsid w:val="00DB1E46"/>
    <w:rsid w:val="00DB402E"/>
    <w:rsid w:val="00DB4967"/>
    <w:rsid w:val="00DB6E80"/>
    <w:rsid w:val="00DB726A"/>
    <w:rsid w:val="00DC1A46"/>
    <w:rsid w:val="00DC2ADF"/>
    <w:rsid w:val="00DC3D62"/>
    <w:rsid w:val="00DC4F74"/>
    <w:rsid w:val="00DC608C"/>
    <w:rsid w:val="00DC6104"/>
    <w:rsid w:val="00DC6768"/>
    <w:rsid w:val="00DD2B9B"/>
    <w:rsid w:val="00DD32AC"/>
    <w:rsid w:val="00DD4ADC"/>
    <w:rsid w:val="00DD6971"/>
    <w:rsid w:val="00DD740F"/>
    <w:rsid w:val="00DD7A5D"/>
    <w:rsid w:val="00DE0175"/>
    <w:rsid w:val="00DE25DA"/>
    <w:rsid w:val="00DE3766"/>
    <w:rsid w:val="00DE6548"/>
    <w:rsid w:val="00DE7789"/>
    <w:rsid w:val="00DF058B"/>
    <w:rsid w:val="00DF07CA"/>
    <w:rsid w:val="00DF0B79"/>
    <w:rsid w:val="00DF0D6A"/>
    <w:rsid w:val="00DF2339"/>
    <w:rsid w:val="00DF2834"/>
    <w:rsid w:val="00DF337C"/>
    <w:rsid w:val="00DF3DCF"/>
    <w:rsid w:val="00DF3F73"/>
    <w:rsid w:val="00DF4901"/>
    <w:rsid w:val="00DF58E8"/>
    <w:rsid w:val="00DF5B77"/>
    <w:rsid w:val="00DF5C14"/>
    <w:rsid w:val="00E0370F"/>
    <w:rsid w:val="00E05A00"/>
    <w:rsid w:val="00E05D80"/>
    <w:rsid w:val="00E07C70"/>
    <w:rsid w:val="00E10856"/>
    <w:rsid w:val="00E13A0B"/>
    <w:rsid w:val="00E13F54"/>
    <w:rsid w:val="00E15CB2"/>
    <w:rsid w:val="00E1713B"/>
    <w:rsid w:val="00E1775A"/>
    <w:rsid w:val="00E20515"/>
    <w:rsid w:val="00E2100A"/>
    <w:rsid w:val="00E212EE"/>
    <w:rsid w:val="00E23ED3"/>
    <w:rsid w:val="00E25248"/>
    <w:rsid w:val="00E27E68"/>
    <w:rsid w:val="00E27F24"/>
    <w:rsid w:val="00E33AC3"/>
    <w:rsid w:val="00E35902"/>
    <w:rsid w:val="00E41D03"/>
    <w:rsid w:val="00E42F8B"/>
    <w:rsid w:val="00E4307A"/>
    <w:rsid w:val="00E432FE"/>
    <w:rsid w:val="00E436A9"/>
    <w:rsid w:val="00E465F7"/>
    <w:rsid w:val="00E46E90"/>
    <w:rsid w:val="00E51A58"/>
    <w:rsid w:val="00E5522D"/>
    <w:rsid w:val="00E552B8"/>
    <w:rsid w:val="00E60172"/>
    <w:rsid w:val="00E60B41"/>
    <w:rsid w:val="00E60B70"/>
    <w:rsid w:val="00E610D7"/>
    <w:rsid w:val="00E61B44"/>
    <w:rsid w:val="00E61C20"/>
    <w:rsid w:val="00E62FD4"/>
    <w:rsid w:val="00E63319"/>
    <w:rsid w:val="00E646A9"/>
    <w:rsid w:val="00E65214"/>
    <w:rsid w:val="00E65E6F"/>
    <w:rsid w:val="00E6619C"/>
    <w:rsid w:val="00E66F10"/>
    <w:rsid w:val="00E671C3"/>
    <w:rsid w:val="00E72830"/>
    <w:rsid w:val="00E72E03"/>
    <w:rsid w:val="00E749BE"/>
    <w:rsid w:val="00E75156"/>
    <w:rsid w:val="00E75479"/>
    <w:rsid w:val="00E756EB"/>
    <w:rsid w:val="00E7600E"/>
    <w:rsid w:val="00E7685B"/>
    <w:rsid w:val="00E77015"/>
    <w:rsid w:val="00E804D3"/>
    <w:rsid w:val="00E80D5E"/>
    <w:rsid w:val="00E81256"/>
    <w:rsid w:val="00E814B6"/>
    <w:rsid w:val="00E81AF5"/>
    <w:rsid w:val="00E842FE"/>
    <w:rsid w:val="00E8454C"/>
    <w:rsid w:val="00E84BBA"/>
    <w:rsid w:val="00E84F2D"/>
    <w:rsid w:val="00E84FDD"/>
    <w:rsid w:val="00E872FC"/>
    <w:rsid w:val="00E91133"/>
    <w:rsid w:val="00E91D59"/>
    <w:rsid w:val="00E929E2"/>
    <w:rsid w:val="00E94372"/>
    <w:rsid w:val="00E94767"/>
    <w:rsid w:val="00E97F01"/>
    <w:rsid w:val="00EA0073"/>
    <w:rsid w:val="00EA14D5"/>
    <w:rsid w:val="00EA6258"/>
    <w:rsid w:val="00EA6F5B"/>
    <w:rsid w:val="00EB0B60"/>
    <w:rsid w:val="00EC0298"/>
    <w:rsid w:val="00EC13E8"/>
    <w:rsid w:val="00EC2BCD"/>
    <w:rsid w:val="00EC31DD"/>
    <w:rsid w:val="00EC3439"/>
    <w:rsid w:val="00EC4F6B"/>
    <w:rsid w:val="00EC5028"/>
    <w:rsid w:val="00EC52F3"/>
    <w:rsid w:val="00EC5CBB"/>
    <w:rsid w:val="00EC60D4"/>
    <w:rsid w:val="00EC6A6F"/>
    <w:rsid w:val="00EC6F65"/>
    <w:rsid w:val="00EC79D4"/>
    <w:rsid w:val="00EC7D62"/>
    <w:rsid w:val="00ED0B5D"/>
    <w:rsid w:val="00ED2374"/>
    <w:rsid w:val="00ED2623"/>
    <w:rsid w:val="00ED268A"/>
    <w:rsid w:val="00ED2BBA"/>
    <w:rsid w:val="00ED2E48"/>
    <w:rsid w:val="00ED3F01"/>
    <w:rsid w:val="00ED4B81"/>
    <w:rsid w:val="00ED576A"/>
    <w:rsid w:val="00EE002C"/>
    <w:rsid w:val="00EE106B"/>
    <w:rsid w:val="00EE13CC"/>
    <w:rsid w:val="00EE1E39"/>
    <w:rsid w:val="00EE2C72"/>
    <w:rsid w:val="00EE3931"/>
    <w:rsid w:val="00EE6549"/>
    <w:rsid w:val="00EF1240"/>
    <w:rsid w:val="00EF2CDC"/>
    <w:rsid w:val="00EF34DF"/>
    <w:rsid w:val="00EF4B7B"/>
    <w:rsid w:val="00EF6449"/>
    <w:rsid w:val="00EF6AA9"/>
    <w:rsid w:val="00F00AAD"/>
    <w:rsid w:val="00F00E12"/>
    <w:rsid w:val="00F0332C"/>
    <w:rsid w:val="00F03436"/>
    <w:rsid w:val="00F03A1F"/>
    <w:rsid w:val="00F0430B"/>
    <w:rsid w:val="00F06EB5"/>
    <w:rsid w:val="00F10E08"/>
    <w:rsid w:val="00F11137"/>
    <w:rsid w:val="00F11C96"/>
    <w:rsid w:val="00F134C7"/>
    <w:rsid w:val="00F139A2"/>
    <w:rsid w:val="00F15AF7"/>
    <w:rsid w:val="00F15B09"/>
    <w:rsid w:val="00F21600"/>
    <w:rsid w:val="00F21AF0"/>
    <w:rsid w:val="00F21B33"/>
    <w:rsid w:val="00F22037"/>
    <w:rsid w:val="00F22561"/>
    <w:rsid w:val="00F23DF7"/>
    <w:rsid w:val="00F23F30"/>
    <w:rsid w:val="00F24C19"/>
    <w:rsid w:val="00F2516E"/>
    <w:rsid w:val="00F25334"/>
    <w:rsid w:val="00F25A71"/>
    <w:rsid w:val="00F26284"/>
    <w:rsid w:val="00F26ED2"/>
    <w:rsid w:val="00F279EE"/>
    <w:rsid w:val="00F30231"/>
    <w:rsid w:val="00F31BE8"/>
    <w:rsid w:val="00F322C5"/>
    <w:rsid w:val="00F32330"/>
    <w:rsid w:val="00F32460"/>
    <w:rsid w:val="00F32878"/>
    <w:rsid w:val="00F33312"/>
    <w:rsid w:val="00F41F0F"/>
    <w:rsid w:val="00F428AB"/>
    <w:rsid w:val="00F42D49"/>
    <w:rsid w:val="00F4553F"/>
    <w:rsid w:val="00F46DA7"/>
    <w:rsid w:val="00F50AB6"/>
    <w:rsid w:val="00F513C4"/>
    <w:rsid w:val="00F521F1"/>
    <w:rsid w:val="00F60FFD"/>
    <w:rsid w:val="00F6159F"/>
    <w:rsid w:val="00F64C86"/>
    <w:rsid w:val="00F65959"/>
    <w:rsid w:val="00F66190"/>
    <w:rsid w:val="00F677C1"/>
    <w:rsid w:val="00F67B8F"/>
    <w:rsid w:val="00F7067E"/>
    <w:rsid w:val="00F71396"/>
    <w:rsid w:val="00F71DBF"/>
    <w:rsid w:val="00F734C5"/>
    <w:rsid w:val="00F73990"/>
    <w:rsid w:val="00F75A96"/>
    <w:rsid w:val="00F76736"/>
    <w:rsid w:val="00F769D6"/>
    <w:rsid w:val="00F8006A"/>
    <w:rsid w:val="00F804A1"/>
    <w:rsid w:val="00F81A50"/>
    <w:rsid w:val="00F830DB"/>
    <w:rsid w:val="00F832A1"/>
    <w:rsid w:val="00F83677"/>
    <w:rsid w:val="00F84F5A"/>
    <w:rsid w:val="00F869BF"/>
    <w:rsid w:val="00F87315"/>
    <w:rsid w:val="00F87B72"/>
    <w:rsid w:val="00F87FF5"/>
    <w:rsid w:val="00F90318"/>
    <w:rsid w:val="00F93C69"/>
    <w:rsid w:val="00F9502C"/>
    <w:rsid w:val="00F956B2"/>
    <w:rsid w:val="00FA1131"/>
    <w:rsid w:val="00FA2CA6"/>
    <w:rsid w:val="00FA33C7"/>
    <w:rsid w:val="00FA51E1"/>
    <w:rsid w:val="00FA7A91"/>
    <w:rsid w:val="00FB2883"/>
    <w:rsid w:val="00FB2ADB"/>
    <w:rsid w:val="00FB32EA"/>
    <w:rsid w:val="00FB47CF"/>
    <w:rsid w:val="00FB4D23"/>
    <w:rsid w:val="00FB5EB6"/>
    <w:rsid w:val="00FB7063"/>
    <w:rsid w:val="00FB74D2"/>
    <w:rsid w:val="00FC1499"/>
    <w:rsid w:val="00FC1930"/>
    <w:rsid w:val="00FC1BE2"/>
    <w:rsid w:val="00FC1ED7"/>
    <w:rsid w:val="00FC3F8F"/>
    <w:rsid w:val="00FC4597"/>
    <w:rsid w:val="00FC45B0"/>
    <w:rsid w:val="00FC6E2D"/>
    <w:rsid w:val="00FD0CA1"/>
    <w:rsid w:val="00FD0E85"/>
    <w:rsid w:val="00FD15B2"/>
    <w:rsid w:val="00FD2CF1"/>
    <w:rsid w:val="00FD31DE"/>
    <w:rsid w:val="00FD594B"/>
    <w:rsid w:val="00FD6A5C"/>
    <w:rsid w:val="00FE0879"/>
    <w:rsid w:val="00FE114D"/>
    <w:rsid w:val="00FE1250"/>
    <w:rsid w:val="00FE14B2"/>
    <w:rsid w:val="00FE2369"/>
    <w:rsid w:val="00FE4855"/>
    <w:rsid w:val="00FE6120"/>
    <w:rsid w:val="00FF00CF"/>
    <w:rsid w:val="00FF537F"/>
    <w:rsid w:val="00FF5881"/>
    <w:rsid w:val="00FF59EF"/>
    <w:rsid w:val="01661ED8"/>
    <w:rsid w:val="0209463A"/>
    <w:rsid w:val="021567F9"/>
    <w:rsid w:val="02206FEF"/>
    <w:rsid w:val="02447348"/>
    <w:rsid w:val="02A602E6"/>
    <w:rsid w:val="03207FB0"/>
    <w:rsid w:val="03672922"/>
    <w:rsid w:val="037D4AC6"/>
    <w:rsid w:val="037E6D6A"/>
    <w:rsid w:val="03CC6D26"/>
    <w:rsid w:val="03F24A85"/>
    <w:rsid w:val="04654DC4"/>
    <w:rsid w:val="047F596D"/>
    <w:rsid w:val="04B32944"/>
    <w:rsid w:val="04B812FC"/>
    <w:rsid w:val="04E13A54"/>
    <w:rsid w:val="052A3888"/>
    <w:rsid w:val="05D92456"/>
    <w:rsid w:val="05DF682E"/>
    <w:rsid w:val="06F32E73"/>
    <w:rsid w:val="07056611"/>
    <w:rsid w:val="070C181F"/>
    <w:rsid w:val="0714287C"/>
    <w:rsid w:val="074A1304"/>
    <w:rsid w:val="07CF4DE0"/>
    <w:rsid w:val="08633FCF"/>
    <w:rsid w:val="086950EB"/>
    <w:rsid w:val="08A81240"/>
    <w:rsid w:val="09534F5C"/>
    <w:rsid w:val="099208C9"/>
    <w:rsid w:val="09A11CCB"/>
    <w:rsid w:val="09F87D6C"/>
    <w:rsid w:val="0A0F6089"/>
    <w:rsid w:val="0A2574B3"/>
    <w:rsid w:val="0A351CCC"/>
    <w:rsid w:val="0A623A94"/>
    <w:rsid w:val="0ABA5532"/>
    <w:rsid w:val="0B146CE5"/>
    <w:rsid w:val="0B786E60"/>
    <w:rsid w:val="0BC10559"/>
    <w:rsid w:val="0BD9237C"/>
    <w:rsid w:val="0BF05825"/>
    <w:rsid w:val="0CDC6727"/>
    <w:rsid w:val="0CEB6D41"/>
    <w:rsid w:val="0D082A6E"/>
    <w:rsid w:val="0D1136B2"/>
    <w:rsid w:val="0D58687D"/>
    <w:rsid w:val="0D9D3976"/>
    <w:rsid w:val="0E056C0B"/>
    <w:rsid w:val="0E122ED0"/>
    <w:rsid w:val="0EC407C6"/>
    <w:rsid w:val="0EEA0A05"/>
    <w:rsid w:val="0F2F609E"/>
    <w:rsid w:val="0F950E9E"/>
    <w:rsid w:val="1041483A"/>
    <w:rsid w:val="1092564B"/>
    <w:rsid w:val="10EE01D6"/>
    <w:rsid w:val="10FF5EF2"/>
    <w:rsid w:val="111B1A8A"/>
    <w:rsid w:val="11B17F14"/>
    <w:rsid w:val="12026A19"/>
    <w:rsid w:val="121B0FBF"/>
    <w:rsid w:val="121D08C8"/>
    <w:rsid w:val="12604834"/>
    <w:rsid w:val="130378C1"/>
    <w:rsid w:val="13BC745D"/>
    <w:rsid w:val="13E54630"/>
    <w:rsid w:val="1458496F"/>
    <w:rsid w:val="14E418AD"/>
    <w:rsid w:val="150C08D2"/>
    <w:rsid w:val="154126EF"/>
    <w:rsid w:val="15696421"/>
    <w:rsid w:val="15C75E4B"/>
    <w:rsid w:val="15E675F9"/>
    <w:rsid w:val="16196B4E"/>
    <w:rsid w:val="162177DE"/>
    <w:rsid w:val="165E1841"/>
    <w:rsid w:val="1667691B"/>
    <w:rsid w:val="16A67A37"/>
    <w:rsid w:val="16D65686"/>
    <w:rsid w:val="16F65238"/>
    <w:rsid w:val="16FC29C4"/>
    <w:rsid w:val="170F4168"/>
    <w:rsid w:val="17B62859"/>
    <w:rsid w:val="17CD749A"/>
    <w:rsid w:val="17EB6A4A"/>
    <w:rsid w:val="18266C2F"/>
    <w:rsid w:val="18282132"/>
    <w:rsid w:val="18322A41"/>
    <w:rsid w:val="183A374F"/>
    <w:rsid w:val="18BF5B28"/>
    <w:rsid w:val="18DF05DB"/>
    <w:rsid w:val="192B2C59"/>
    <w:rsid w:val="19B802BF"/>
    <w:rsid w:val="1A055743"/>
    <w:rsid w:val="1A8C3B1A"/>
    <w:rsid w:val="1AAC404F"/>
    <w:rsid w:val="1B0724CD"/>
    <w:rsid w:val="1B3B3CBE"/>
    <w:rsid w:val="1B3C333B"/>
    <w:rsid w:val="1BB03C7D"/>
    <w:rsid w:val="1BBE5191"/>
    <w:rsid w:val="1C2B7D43"/>
    <w:rsid w:val="1D6D3BD2"/>
    <w:rsid w:val="1D783268"/>
    <w:rsid w:val="1DA62AB3"/>
    <w:rsid w:val="1DEF672A"/>
    <w:rsid w:val="1E4A7D3D"/>
    <w:rsid w:val="1EB63404"/>
    <w:rsid w:val="1ED43525"/>
    <w:rsid w:val="1ED744A9"/>
    <w:rsid w:val="1EEA56C8"/>
    <w:rsid w:val="1F830D3F"/>
    <w:rsid w:val="1FF7843E"/>
    <w:rsid w:val="20F84124"/>
    <w:rsid w:val="21106182"/>
    <w:rsid w:val="21533539"/>
    <w:rsid w:val="21FD7B15"/>
    <w:rsid w:val="22064CC9"/>
    <w:rsid w:val="22233C11"/>
    <w:rsid w:val="22353B2B"/>
    <w:rsid w:val="224E24D7"/>
    <w:rsid w:val="226136F6"/>
    <w:rsid w:val="22993850"/>
    <w:rsid w:val="22CD5E19"/>
    <w:rsid w:val="231F4DAE"/>
    <w:rsid w:val="24194FC5"/>
    <w:rsid w:val="245A0BE2"/>
    <w:rsid w:val="25A115C9"/>
    <w:rsid w:val="25D81723"/>
    <w:rsid w:val="2703598D"/>
    <w:rsid w:val="270A0B9B"/>
    <w:rsid w:val="27C17045"/>
    <w:rsid w:val="28046835"/>
    <w:rsid w:val="28503431"/>
    <w:rsid w:val="285B7244"/>
    <w:rsid w:val="28691DDD"/>
    <w:rsid w:val="28CF7981"/>
    <w:rsid w:val="28F9448C"/>
    <w:rsid w:val="29D741B2"/>
    <w:rsid w:val="2A207E29"/>
    <w:rsid w:val="2B1A1346"/>
    <w:rsid w:val="2BEC169E"/>
    <w:rsid w:val="2C025DC0"/>
    <w:rsid w:val="2C264CFB"/>
    <w:rsid w:val="2C3A399C"/>
    <w:rsid w:val="2E61552B"/>
    <w:rsid w:val="2E9F9D4D"/>
    <w:rsid w:val="2F56729E"/>
    <w:rsid w:val="2F5F6C5D"/>
    <w:rsid w:val="2F773FA0"/>
    <w:rsid w:val="2F850F1F"/>
    <w:rsid w:val="30436D3A"/>
    <w:rsid w:val="305F666A"/>
    <w:rsid w:val="30820734"/>
    <w:rsid w:val="30A844DF"/>
    <w:rsid w:val="30D269A9"/>
    <w:rsid w:val="31070C17"/>
    <w:rsid w:val="31D2654B"/>
    <w:rsid w:val="322162CA"/>
    <w:rsid w:val="32A3052D"/>
    <w:rsid w:val="32C75B5F"/>
    <w:rsid w:val="333E72E3"/>
    <w:rsid w:val="336E17F0"/>
    <w:rsid w:val="33EA5BD2"/>
    <w:rsid w:val="33F36F55"/>
    <w:rsid w:val="34542D67"/>
    <w:rsid w:val="34645FD1"/>
    <w:rsid w:val="346B298C"/>
    <w:rsid w:val="35AA6028"/>
    <w:rsid w:val="35F84F3F"/>
    <w:rsid w:val="36366780"/>
    <w:rsid w:val="36631C6B"/>
    <w:rsid w:val="36B6623F"/>
    <w:rsid w:val="375C2CDF"/>
    <w:rsid w:val="380D2B03"/>
    <w:rsid w:val="38196915"/>
    <w:rsid w:val="38604B0B"/>
    <w:rsid w:val="38822AC1"/>
    <w:rsid w:val="38941AE2"/>
    <w:rsid w:val="3911492F"/>
    <w:rsid w:val="396C624B"/>
    <w:rsid w:val="39A00D1B"/>
    <w:rsid w:val="39B93E43"/>
    <w:rsid w:val="39C42A21"/>
    <w:rsid w:val="39C73159"/>
    <w:rsid w:val="39E27206"/>
    <w:rsid w:val="3A195161"/>
    <w:rsid w:val="3B62097B"/>
    <w:rsid w:val="3BBF5492"/>
    <w:rsid w:val="3BC3771B"/>
    <w:rsid w:val="3C034C82"/>
    <w:rsid w:val="3CD1165A"/>
    <w:rsid w:val="3DD360C5"/>
    <w:rsid w:val="3E4D42D1"/>
    <w:rsid w:val="3E713B01"/>
    <w:rsid w:val="3EBA1977"/>
    <w:rsid w:val="3F474550"/>
    <w:rsid w:val="3F736BA7"/>
    <w:rsid w:val="3F744629"/>
    <w:rsid w:val="3F83224B"/>
    <w:rsid w:val="3FA4166F"/>
    <w:rsid w:val="3FD1113F"/>
    <w:rsid w:val="3FF676AC"/>
    <w:rsid w:val="40600DAE"/>
    <w:rsid w:val="4154383A"/>
    <w:rsid w:val="41651556"/>
    <w:rsid w:val="41674A59"/>
    <w:rsid w:val="41AD5DE0"/>
    <w:rsid w:val="42212F8E"/>
    <w:rsid w:val="426A0E03"/>
    <w:rsid w:val="42B70F03"/>
    <w:rsid w:val="42F569FF"/>
    <w:rsid w:val="442339D8"/>
    <w:rsid w:val="44333C72"/>
    <w:rsid w:val="44EA599F"/>
    <w:rsid w:val="450D13D7"/>
    <w:rsid w:val="452934B1"/>
    <w:rsid w:val="45811396"/>
    <w:rsid w:val="462A2AA8"/>
    <w:rsid w:val="465B237E"/>
    <w:rsid w:val="468A3DC6"/>
    <w:rsid w:val="46CD13B8"/>
    <w:rsid w:val="47342061"/>
    <w:rsid w:val="477D7ED7"/>
    <w:rsid w:val="47F51BF2"/>
    <w:rsid w:val="48174852"/>
    <w:rsid w:val="482D68F1"/>
    <w:rsid w:val="48E07B1E"/>
    <w:rsid w:val="48E13021"/>
    <w:rsid w:val="48EC5B2F"/>
    <w:rsid w:val="48FC164D"/>
    <w:rsid w:val="4A8275C8"/>
    <w:rsid w:val="4B555908"/>
    <w:rsid w:val="4BFC1FBA"/>
    <w:rsid w:val="4C8B2715"/>
    <w:rsid w:val="4CDD70A9"/>
    <w:rsid w:val="4D372C3B"/>
    <w:rsid w:val="4D861AC1"/>
    <w:rsid w:val="4DA457ED"/>
    <w:rsid w:val="4DC15840"/>
    <w:rsid w:val="4E4C0585"/>
    <w:rsid w:val="4EA21CBF"/>
    <w:rsid w:val="4EE22C77"/>
    <w:rsid w:val="4F084914"/>
    <w:rsid w:val="4F92089C"/>
    <w:rsid w:val="501C16FA"/>
    <w:rsid w:val="5075308D"/>
    <w:rsid w:val="509E4251"/>
    <w:rsid w:val="514214DC"/>
    <w:rsid w:val="51442461"/>
    <w:rsid w:val="514B566F"/>
    <w:rsid w:val="517E7143"/>
    <w:rsid w:val="52304CA0"/>
    <w:rsid w:val="52A445CA"/>
    <w:rsid w:val="53124FDB"/>
    <w:rsid w:val="537E05AB"/>
    <w:rsid w:val="538B39A0"/>
    <w:rsid w:val="53987432"/>
    <w:rsid w:val="541128AF"/>
    <w:rsid w:val="541D2555"/>
    <w:rsid w:val="54515B7D"/>
    <w:rsid w:val="54B46905"/>
    <w:rsid w:val="54D0778A"/>
    <w:rsid w:val="54D54B54"/>
    <w:rsid w:val="56236586"/>
    <w:rsid w:val="567F08E8"/>
    <w:rsid w:val="56941399"/>
    <w:rsid w:val="56C06B86"/>
    <w:rsid w:val="56C169E5"/>
    <w:rsid w:val="578135A0"/>
    <w:rsid w:val="57D26822"/>
    <w:rsid w:val="584C2108"/>
    <w:rsid w:val="58825341"/>
    <w:rsid w:val="58C3742F"/>
    <w:rsid w:val="59203F46"/>
    <w:rsid w:val="59545699"/>
    <w:rsid w:val="598A13F7"/>
    <w:rsid w:val="599F5B19"/>
    <w:rsid w:val="59AF2530"/>
    <w:rsid w:val="59FF38D6"/>
    <w:rsid w:val="5A715E71"/>
    <w:rsid w:val="5AA555A4"/>
    <w:rsid w:val="5AAC27D3"/>
    <w:rsid w:val="5B2D4026"/>
    <w:rsid w:val="5BD11D0E"/>
    <w:rsid w:val="5BFB20F5"/>
    <w:rsid w:val="5C41066B"/>
    <w:rsid w:val="5C464AF3"/>
    <w:rsid w:val="5CAF0C9F"/>
    <w:rsid w:val="5D263C24"/>
    <w:rsid w:val="5D49561A"/>
    <w:rsid w:val="5D54142D"/>
    <w:rsid w:val="5D6F7499"/>
    <w:rsid w:val="5E122AE4"/>
    <w:rsid w:val="5E230800"/>
    <w:rsid w:val="5EB80CF4"/>
    <w:rsid w:val="5F16108D"/>
    <w:rsid w:val="5F3A5DCA"/>
    <w:rsid w:val="5F7F5239"/>
    <w:rsid w:val="5F80653E"/>
    <w:rsid w:val="5F9F3570"/>
    <w:rsid w:val="5FD42745"/>
    <w:rsid w:val="5FD65C48"/>
    <w:rsid w:val="60343A63"/>
    <w:rsid w:val="60503394"/>
    <w:rsid w:val="608102DF"/>
    <w:rsid w:val="61D60C11"/>
    <w:rsid w:val="61D7731F"/>
    <w:rsid w:val="620152D8"/>
    <w:rsid w:val="63ED1601"/>
    <w:rsid w:val="645A2780"/>
    <w:rsid w:val="645B1C35"/>
    <w:rsid w:val="65AE7F5D"/>
    <w:rsid w:val="65BF03BD"/>
    <w:rsid w:val="669E696B"/>
    <w:rsid w:val="66AA0200"/>
    <w:rsid w:val="66B06886"/>
    <w:rsid w:val="674A6A84"/>
    <w:rsid w:val="6751773B"/>
    <w:rsid w:val="67A40418"/>
    <w:rsid w:val="68370C8B"/>
    <w:rsid w:val="68997A2B"/>
    <w:rsid w:val="68CE0DFE"/>
    <w:rsid w:val="69033857"/>
    <w:rsid w:val="691050EB"/>
    <w:rsid w:val="69401815"/>
    <w:rsid w:val="69752EFC"/>
    <w:rsid w:val="6989626B"/>
    <w:rsid w:val="69C266CE"/>
    <w:rsid w:val="69EE6CD8"/>
    <w:rsid w:val="6A647157"/>
    <w:rsid w:val="6A744170"/>
    <w:rsid w:val="6BD239F5"/>
    <w:rsid w:val="6D996C41"/>
    <w:rsid w:val="6E1319A6"/>
    <w:rsid w:val="6EBF78C0"/>
    <w:rsid w:val="6EC31BCD"/>
    <w:rsid w:val="6EC539C8"/>
    <w:rsid w:val="6F1859D0"/>
    <w:rsid w:val="6F572C2C"/>
    <w:rsid w:val="6F7F1F23"/>
    <w:rsid w:val="6FB026CC"/>
    <w:rsid w:val="6FB1014D"/>
    <w:rsid w:val="6FB33650"/>
    <w:rsid w:val="6FC86736"/>
    <w:rsid w:val="70061DD5"/>
    <w:rsid w:val="704973C7"/>
    <w:rsid w:val="706B2DFF"/>
    <w:rsid w:val="70951A45"/>
    <w:rsid w:val="709D104F"/>
    <w:rsid w:val="71FA350A"/>
    <w:rsid w:val="71FB09CF"/>
    <w:rsid w:val="72124434"/>
    <w:rsid w:val="72534E9D"/>
    <w:rsid w:val="72555003"/>
    <w:rsid w:val="7294672D"/>
    <w:rsid w:val="72A050D2"/>
    <w:rsid w:val="73CA3785"/>
    <w:rsid w:val="752220C4"/>
    <w:rsid w:val="752601BF"/>
    <w:rsid w:val="756E3E36"/>
    <w:rsid w:val="75D77FE2"/>
    <w:rsid w:val="75E450FA"/>
    <w:rsid w:val="75EF348B"/>
    <w:rsid w:val="768F3574"/>
    <w:rsid w:val="76ADD86A"/>
    <w:rsid w:val="76BD4DDD"/>
    <w:rsid w:val="7714326D"/>
    <w:rsid w:val="77276A0B"/>
    <w:rsid w:val="77476F3F"/>
    <w:rsid w:val="777B49A3"/>
    <w:rsid w:val="77850FA2"/>
    <w:rsid w:val="784129DA"/>
    <w:rsid w:val="78977B66"/>
    <w:rsid w:val="796849BB"/>
    <w:rsid w:val="798B1867"/>
    <w:rsid w:val="79C8155D"/>
    <w:rsid w:val="7A892410"/>
    <w:rsid w:val="7A931F2A"/>
    <w:rsid w:val="7B276F1B"/>
    <w:rsid w:val="7B29E2B5"/>
    <w:rsid w:val="7BABFD47"/>
    <w:rsid w:val="7BFF3276"/>
    <w:rsid w:val="7C69082B"/>
    <w:rsid w:val="7C84618C"/>
    <w:rsid w:val="7CCA3D48"/>
    <w:rsid w:val="7DBC01D8"/>
    <w:rsid w:val="7DBD1B7B"/>
    <w:rsid w:val="7DEE037C"/>
    <w:rsid w:val="7EBA3F9C"/>
    <w:rsid w:val="7EF127D4"/>
    <w:rsid w:val="7F32323D"/>
    <w:rsid w:val="7F5FBD4A"/>
    <w:rsid w:val="7F8A5E4A"/>
    <w:rsid w:val="7FB03B0B"/>
    <w:rsid w:val="97FE3131"/>
    <w:rsid w:val="BDFF044A"/>
    <w:rsid w:val="E43E1232"/>
    <w:rsid w:val="EB62656C"/>
    <w:rsid w:val="EBEF3987"/>
    <w:rsid w:val="F2FF68DA"/>
    <w:rsid w:val="FEDD3DBF"/>
    <w:rsid w:val="FF290F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iPriority="0" w:semiHidden="0" w:name="page number"/>
    <w:lsdException w:uiPriority="0" w:name="endnote reference"/>
    <w:lsdException w:uiPriority="0" w:name="endnote text"/>
    <w:lsdException w:uiPriority="0" w:name="table of authorities"/>
    <w:lsdException w:uiPriority="0" w:name="macro"/>
    <w:lsdException w:qFormat="1" w:unhideWhenUsed="0" w:uiPriority="0" w:semiHidden="0" w:name="toa heading"/>
    <w:lsdException w:qFormat="1" w:uiPriority="99" w:semiHidden="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nhideWhenUsed="0" w:uiPriority="0" w:semiHidden="0" w:name="Date"/>
    <w:lsdException w:qFormat="1" w:uiPriority="0" w:semiHidden="0" w:name="Body Text First Indent"/>
    <w:lsdException w:qFormat="1" w:unhideWhenUsed="0"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iPriority="0" w:name="Body Text Indent 3"/>
    <w:lsdException w:qFormat="1"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nhideWhenUsed="0" w:uiPriority="0" w:semiHidden="0" w:name="Table Web 3"/>
    <w:lsdException w:qFormat="1"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49"/>
    <w:qFormat/>
    <w:uiPriority w:val="0"/>
    <w:pPr>
      <w:keepNext/>
      <w:keepLines/>
      <w:numPr>
        <w:ilvl w:val="0"/>
        <w:numId w:val="1"/>
      </w:numPr>
      <w:spacing w:before="340" w:after="330" w:line="578" w:lineRule="auto"/>
      <w:outlineLvl w:val="0"/>
    </w:pPr>
    <w:rPr>
      <w:b/>
      <w:bCs/>
      <w:kern w:val="44"/>
      <w:sz w:val="44"/>
      <w:szCs w:val="44"/>
    </w:rPr>
  </w:style>
  <w:style w:type="paragraph" w:styleId="5">
    <w:name w:val="heading 2"/>
    <w:basedOn w:val="1"/>
    <w:next w:val="1"/>
    <w:link w:val="50"/>
    <w:qFormat/>
    <w:uiPriority w:val="0"/>
    <w:pPr>
      <w:keepNext/>
      <w:keepLines/>
      <w:numPr>
        <w:ilvl w:val="1"/>
        <w:numId w:val="1"/>
      </w:numPr>
      <w:tabs>
        <w:tab w:val="left" w:pos="1692"/>
        <w:tab w:val="clear" w:pos="900"/>
      </w:tabs>
      <w:spacing w:before="260" w:after="260" w:line="416" w:lineRule="auto"/>
      <w:outlineLvl w:val="1"/>
    </w:pPr>
    <w:rPr>
      <w:rFonts w:ascii="Arial" w:hAnsi="Arial" w:eastAsia="黑体"/>
      <w:b/>
      <w:bCs/>
      <w:sz w:val="32"/>
      <w:szCs w:val="32"/>
    </w:rPr>
  </w:style>
  <w:style w:type="paragraph" w:styleId="6">
    <w:name w:val="heading 3"/>
    <w:basedOn w:val="1"/>
    <w:next w:val="1"/>
    <w:link w:val="51"/>
    <w:qFormat/>
    <w:uiPriority w:val="0"/>
    <w:pPr>
      <w:keepNext/>
      <w:keepLines/>
      <w:numPr>
        <w:ilvl w:val="2"/>
        <w:numId w:val="1"/>
      </w:numPr>
      <w:tabs>
        <w:tab w:val="left" w:pos="1692"/>
        <w:tab w:val="clear" w:pos="1440"/>
      </w:tabs>
      <w:spacing w:before="260" w:after="260" w:line="416" w:lineRule="atLeast"/>
      <w:ind w:left="0" w:firstLine="0"/>
      <w:outlineLvl w:val="2"/>
    </w:pPr>
    <w:rPr>
      <w:b/>
      <w:kern w:val="0"/>
      <w:sz w:val="28"/>
      <w:szCs w:val="20"/>
    </w:rPr>
  </w:style>
  <w:style w:type="paragraph" w:styleId="7">
    <w:name w:val="heading 4"/>
    <w:basedOn w:val="1"/>
    <w:next w:val="1"/>
    <w:link w:val="52"/>
    <w:qFormat/>
    <w:uiPriority w:val="0"/>
    <w:pPr>
      <w:keepNext/>
      <w:widowControl/>
      <w:numPr>
        <w:ilvl w:val="2"/>
        <w:numId w:val="2"/>
      </w:numPr>
      <w:tabs>
        <w:tab w:val="left" w:pos="1680"/>
      </w:tabs>
      <w:spacing w:before="240" w:after="60" w:line="360" w:lineRule="auto"/>
      <w:ind w:left="1680" w:hanging="420"/>
      <w:outlineLvl w:val="3"/>
    </w:pPr>
    <w:rPr>
      <w:rFonts w:ascii="宋体" w:hAnsi="Arial"/>
      <w:b/>
      <w:kern w:val="0"/>
      <w:sz w:val="24"/>
      <w:szCs w:val="20"/>
    </w:rPr>
  </w:style>
  <w:style w:type="paragraph" w:styleId="8">
    <w:name w:val="heading 5"/>
    <w:basedOn w:val="1"/>
    <w:next w:val="1"/>
    <w:link w:val="53"/>
    <w:qFormat/>
    <w:uiPriority w:val="9"/>
    <w:pPr>
      <w:keepNext/>
      <w:keepLines/>
      <w:numPr>
        <w:ilvl w:val="4"/>
        <w:numId w:val="1"/>
      </w:numPr>
      <w:tabs>
        <w:tab w:val="left" w:pos="1692"/>
        <w:tab w:val="clear" w:pos="1008"/>
      </w:tabs>
      <w:adjustRightInd w:val="0"/>
      <w:spacing w:before="280" w:after="290" w:line="376" w:lineRule="atLeast"/>
      <w:ind w:left="0" w:firstLine="0"/>
      <w:textAlignment w:val="baseline"/>
      <w:outlineLvl w:val="4"/>
    </w:pPr>
    <w:rPr>
      <w:rFonts w:ascii="宋体" w:eastAsia="仿宋_GB2312"/>
      <w:b/>
      <w:kern w:val="0"/>
      <w:sz w:val="28"/>
      <w:szCs w:val="20"/>
    </w:rPr>
  </w:style>
  <w:style w:type="paragraph" w:styleId="9">
    <w:name w:val="heading 6"/>
    <w:basedOn w:val="1"/>
    <w:next w:val="1"/>
    <w:link w:val="54"/>
    <w:qFormat/>
    <w:uiPriority w:val="9"/>
    <w:pPr>
      <w:keepNext/>
      <w:keepLines/>
      <w:numPr>
        <w:ilvl w:val="5"/>
        <w:numId w:val="1"/>
      </w:numPr>
      <w:tabs>
        <w:tab w:val="left" w:pos="1692"/>
        <w:tab w:val="clear" w:pos="432"/>
      </w:tabs>
      <w:spacing w:before="240" w:after="64" w:line="320" w:lineRule="auto"/>
      <w:ind w:left="0" w:firstLine="0"/>
      <w:outlineLvl w:val="5"/>
    </w:pPr>
    <w:rPr>
      <w:rFonts w:ascii="Arial" w:hAnsi="Arial" w:eastAsia="黑体"/>
      <w:b/>
      <w:bCs/>
      <w:kern w:val="0"/>
      <w:sz w:val="24"/>
    </w:rPr>
  </w:style>
  <w:style w:type="paragraph" w:styleId="10">
    <w:name w:val="heading 7"/>
    <w:basedOn w:val="1"/>
    <w:next w:val="1"/>
    <w:link w:val="55"/>
    <w:qFormat/>
    <w:uiPriority w:val="9"/>
    <w:pPr>
      <w:keepNext/>
      <w:keepLines/>
      <w:numPr>
        <w:ilvl w:val="6"/>
        <w:numId w:val="1"/>
      </w:numPr>
      <w:tabs>
        <w:tab w:val="left" w:pos="1692"/>
        <w:tab w:val="clear" w:pos="576"/>
      </w:tabs>
      <w:adjustRightInd w:val="0"/>
      <w:spacing w:before="240" w:after="64" w:line="320" w:lineRule="atLeast"/>
      <w:ind w:left="0" w:firstLine="0"/>
      <w:textAlignment w:val="baseline"/>
      <w:outlineLvl w:val="6"/>
    </w:pPr>
    <w:rPr>
      <w:rFonts w:ascii="宋体" w:eastAsia="仿宋_GB2312"/>
      <w:b/>
      <w:kern w:val="0"/>
      <w:sz w:val="24"/>
      <w:szCs w:val="20"/>
    </w:rPr>
  </w:style>
  <w:style w:type="paragraph" w:styleId="11">
    <w:name w:val="heading 8"/>
    <w:basedOn w:val="1"/>
    <w:next w:val="1"/>
    <w:link w:val="56"/>
    <w:qFormat/>
    <w:uiPriority w:val="9"/>
    <w:pPr>
      <w:keepNext/>
      <w:keepLines/>
      <w:numPr>
        <w:ilvl w:val="7"/>
        <w:numId w:val="1"/>
      </w:numPr>
      <w:tabs>
        <w:tab w:val="left" w:pos="1692"/>
        <w:tab w:val="clear" w:pos="720"/>
      </w:tabs>
      <w:adjustRightInd w:val="0"/>
      <w:spacing w:before="240" w:after="64" w:line="320" w:lineRule="atLeast"/>
      <w:ind w:left="0" w:firstLine="0"/>
      <w:textAlignment w:val="baseline"/>
      <w:outlineLvl w:val="7"/>
    </w:pPr>
    <w:rPr>
      <w:rFonts w:ascii="Arial" w:hAnsi="Arial" w:eastAsia="黑体"/>
      <w:kern w:val="0"/>
      <w:sz w:val="24"/>
      <w:szCs w:val="20"/>
    </w:rPr>
  </w:style>
  <w:style w:type="paragraph" w:styleId="12">
    <w:name w:val="heading 9"/>
    <w:basedOn w:val="1"/>
    <w:next w:val="1"/>
    <w:link w:val="57"/>
    <w:qFormat/>
    <w:uiPriority w:val="9"/>
    <w:pPr>
      <w:keepNext/>
      <w:keepLines/>
      <w:numPr>
        <w:ilvl w:val="8"/>
        <w:numId w:val="1"/>
      </w:numPr>
      <w:tabs>
        <w:tab w:val="left" w:pos="1692"/>
        <w:tab w:val="clear" w:pos="864"/>
      </w:tabs>
      <w:adjustRightInd w:val="0"/>
      <w:spacing w:before="240" w:after="64" w:line="320" w:lineRule="atLeast"/>
      <w:ind w:left="0" w:firstLine="0"/>
      <w:textAlignment w:val="baseline"/>
      <w:outlineLvl w:val="8"/>
    </w:pPr>
    <w:rPr>
      <w:rFonts w:ascii="Arial" w:hAnsi="Arial" w:eastAsia="黑体"/>
      <w:kern w:val="0"/>
      <w:sz w:val="28"/>
      <w:szCs w:val="20"/>
    </w:rPr>
  </w:style>
  <w:style w:type="character" w:default="1" w:styleId="39">
    <w:name w:val="Default Paragraph Font"/>
    <w:unhideWhenUsed/>
    <w:qFormat/>
    <w:uiPriority w:val="1"/>
  </w:style>
  <w:style w:type="table" w:default="1" w:styleId="37">
    <w:name w:val="Normal Table"/>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99"/>
    <w:pPr>
      <w:spacing w:before="120"/>
    </w:pPr>
    <w:rPr>
      <w:rFonts w:ascii="Calibri" w:hAnsi="Calibri"/>
      <w:sz w:val="24"/>
    </w:rPr>
  </w:style>
  <w:style w:type="paragraph" w:styleId="3">
    <w:name w:val="Body Text Indent"/>
    <w:basedOn w:val="1"/>
    <w:next w:val="1"/>
    <w:link w:val="48"/>
    <w:qFormat/>
    <w:uiPriority w:val="99"/>
    <w:pPr>
      <w:ind w:firstLine="570"/>
    </w:pPr>
    <w:rPr>
      <w:rFonts w:ascii="宋体"/>
      <w:sz w:val="28"/>
      <w:szCs w:val="20"/>
    </w:rPr>
  </w:style>
  <w:style w:type="paragraph" w:styleId="13">
    <w:name w:val="Normal Indent"/>
    <w:basedOn w:val="1"/>
    <w:link w:val="58"/>
    <w:qFormat/>
    <w:uiPriority w:val="0"/>
    <w:pPr>
      <w:adjustRightInd w:val="0"/>
      <w:spacing w:line="360" w:lineRule="atLeast"/>
      <w:ind w:firstLine="482"/>
      <w:textAlignment w:val="baseline"/>
    </w:pPr>
    <w:rPr>
      <w:kern w:val="0"/>
      <w:sz w:val="24"/>
    </w:rPr>
  </w:style>
  <w:style w:type="paragraph" w:styleId="14">
    <w:name w:val="Document Map"/>
    <w:basedOn w:val="1"/>
    <w:link w:val="59"/>
    <w:qFormat/>
    <w:uiPriority w:val="99"/>
    <w:pPr>
      <w:shd w:val="clear" w:color="auto" w:fill="000080"/>
    </w:pPr>
  </w:style>
  <w:style w:type="paragraph" w:styleId="15">
    <w:name w:val="toa heading"/>
    <w:basedOn w:val="1"/>
    <w:next w:val="1"/>
    <w:qFormat/>
    <w:uiPriority w:val="0"/>
    <w:pPr>
      <w:adjustRightInd w:val="0"/>
      <w:spacing w:line="360" w:lineRule="atLeast"/>
      <w:jc w:val="center"/>
      <w:textAlignment w:val="baseline"/>
    </w:pPr>
    <w:rPr>
      <w:rFonts w:ascii="Arial" w:hAnsi="Arial" w:eastAsia="黑体"/>
      <w:kern w:val="0"/>
      <w:sz w:val="36"/>
      <w:szCs w:val="20"/>
    </w:rPr>
  </w:style>
  <w:style w:type="paragraph" w:styleId="16">
    <w:name w:val="annotation text"/>
    <w:basedOn w:val="1"/>
    <w:link w:val="60"/>
    <w:unhideWhenUsed/>
    <w:qFormat/>
    <w:uiPriority w:val="99"/>
    <w:pPr>
      <w:jc w:val="left"/>
    </w:pPr>
  </w:style>
  <w:style w:type="paragraph" w:styleId="17">
    <w:name w:val="Body Text 3"/>
    <w:basedOn w:val="1"/>
    <w:link w:val="61"/>
    <w:qFormat/>
    <w:uiPriority w:val="0"/>
    <w:pPr>
      <w:spacing w:after="120"/>
    </w:pPr>
    <w:rPr>
      <w:sz w:val="16"/>
      <w:szCs w:val="16"/>
    </w:rPr>
  </w:style>
  <w:style w:type="paragraph" w:styleId="18">
    <w:name w:val="Body Text"/>
    <w:basedOn w:val="1"/>
    <w:link w:val="47"/>
    <w:qFormat/>
    <w:uiPriority w:val="99"/>
    <w:pPr>
      <w:spacing w:after="120"/>
    </w:pPr>
  </w:style>
  <w:style w:type="paragraph" w:styleId="19">
    <w:name w:val="List Number 3"/>
    <w:basedOn w:val="1"/>
    <w:qFormat/>
    <w:uiPriority w:val="0"/>
    <w:pPr>
      <w:numPr>
        <w:ilvl w:val="0"/>
        <w:numId w:val="3"/>
      </w:numPr>
      <w:contextualSpacing/>
    </w:pPr>
  </w:style>
  <w:style w:type="paragraph" w:styleId="20">
    <w:name w:val="Block Text"/>
    <w:basedOn w:val="1"/>
    <w:unhideWhenUsed/>
    <w:qFormat/>
    <w:uiPriority w:val="0"/>
    <w:pPr>
      <w:spacing w:after="120"/>
      <w:ind w:left="1440" w:leftChars="700" w:right="1440" w:rightChars="700"/>
    </w:pPr>
    <w:rPr>
      <w:rFonts w:ascii="Calibri" w:hAnsi="Calibri" w:cs="Arial"/>
      <w:szCs w:val="22"/>
    </w:rPr>
  </w:style>
  <w:style w:type="paragraph" w:styleId="21">
    <w:name w:val="toc 3"/>
    <w:basedOn w:val="1"/>
    <w:next w:val="1"/>
    <w:unhideWhenUsed/>
    <w:qFormat/>
    <w:uiPriority w:val="39"/>
    <w:pPr>
      <w:numPr>
        <w:ilvl w:val="0"/>
        <w:numId w:val="4"/>
      </w:numPr>
      <w:spacing w:line="360" w:lineRule="auto"/>
      <w:jc w:val="left"/>
    </w:pPr>
  </w:style>
  <w:style w:type="paragraph" w:styleId="22">
    <w:name w:val="Plain Text"/>
    <w:basedOn w:val="1"/>
    <w:link w:val="62"/>
    <w:qFormat/>
    <w:uiPriority w:val="0"/>
    <w:rPr>
      <w:rFonts w:ascii="宋体" w:hAnsi="Courier New"/>
      <w:kern w:val="0"/>
      <w:sz w:val="20"/>
      <w:szCs w:val="20"/>
    </w:rPr>
  </w:style>
  <w:style w:type="paragraph" w:styleId="23">
    <w:name w:val="Date"/>
    <w:basedOn w:val="1"/>
    <w:next w:val="1"/>
    <w:link w:val="63"/>
    <w:qFormat/>
    <w:uiPriority w:val="0"/>
    <w:pPr>
      <w:ind w:left="100" w:leftChars="2500"/>
    </w:pPr>
  </w:style>
  <w:style w:type="paragraph" w:styleId="24">
    <w:name w:val="Body Text Indent 2"/>
    <w:basedOn w:val="1"/>
    <w:link w:val="64"/>
    <w:qFormat/>
    <w:uiPriority w:val="0"/>
    <w:pPr>
      <w:spacing w:after="120" w:line="480" w:lineRule="auto"/>
      <w:ind w:left="420" w:leftChars="200"/>
    </w:pPr>
    <w:rPr>
      <w:szCs w:val="20"/>
    </w:rPr>
  </w:style>
  <w:style w:type="paragraph" w:styleId="25">
    <w:name w:val="Balloon Text"/>
    <w:basedOn w:val="1"/>
    <w:link w:val="65"/>
    <w:unhideWhenUsed/>
    <w:qFormat/>
    <w:uiPriority w:val="0"/>
    <w:rPr>
      <w:kern w:val="0"/>
      <w:sz w:val="18"/>
      <w:szCs w:val="18"/>
    </w:rPr>
  </w:style>
  <w:style w:type="paragraph" w:styleId="26">
    <w:name w:val="footer"/>
    <w:basedOn w:val="1"/>
    <w:link w:val="66"/>
    <w:unhideWhenUsed/>
    <w:qFormat/>
    <w:uiPriority w:val="99"/>
    <w:pPr>
      <w:tabs>
        <w:tab w:val="center" w:pos="4153"/>
        <w:tab w:val="right" w:pos="8306"/>
      </w:tabs>
      <w:snapToGrid w:val="0"/>
      <w:jc w:val="left"/>
    </w:pPr>
    <w:rPr>
      <w:kern w:val="0"/>
      <w:sz w:val="18"/>
      <w:szCs w:val="18"/>
    </w:rPr>
  </w:style>
  <w:style w:type="paragraph" w:styleId="27">
    <w:name w:val="header"/>
    <w:basedOn w:val="1"/>
    <w:link w:val="67"/>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8">
    <w:name w:val="toc 1"/>
    <w:basedOn w:val="1"/>
    <w:next w:val="1"/>
    <w:qFormat/>
    <w:uiPriority w:val="39"/>
    <w:pPr>
      <w:spacing w:line="360" w:lineRule="auto"/>
      <w:jc w:val="center"/>
    </w:pPr>
  </w:style>
  <w:style w:type="paragraph" w:styleId="29">
    <w:name w:val="List"/>
    <w:basedOn w:val="1"/>
    <w:unhideWhenUsed/>
    <w:qFormat/>
    <w:uiPriority w:val="99"/>
    <w:pPr>
      <w:ind w:left="200" w:hanging="200" w:hangingChars="200"/>
    </w:pPr>
  </w:style>
  <w:style w:type="paragraph" w:styleId="30">
    <w:name w:val="toc 2"/>
    <w:basedOn w:val="1"/>
    <w:next w:val="1"/>
    <w:unhideWhenUsed/>
    <w:qFormat/>
    <w:uiPriority w:val="39"/>
    <w:pPr>
      <w:ind w:left="420" w:leftChars="200"/>
    </w:pPr>
  </w:style>
  <w:style w:type="paragraph" w:styleId="31">
    <w:name w:val="Body Text 2"/>
    <w:basedOn w:val="1"/>
    <w:link w:val="68"/>
    <w:qFormat/>
    <w:uiPriority w:val="0"/>
    <w:pPr>
      <w:spacing w:after="120" w:line="480" w:lineRule="auto"/>
    </w:pPr>
  </w:style>
  <w:style w:type="paragraph" w:styleId="32">
    <w:name w:val="HTML Preformatted"/>
    <w:basedOn w:val="1"/>
    <w:link w:val="6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kern w:val="0"/>
      <w:szCs w:val="21"/>
    </w:rPr>
  </w:style>
  <w:style w:type="paragraph" w:styleId="33">
    <w:name w:val="Normal (Web)"/>
    <w:basedOn w:val="1"/>
    <w:unhideWhenUsed/>
    <w:qFormat/>
    <w:uiPriority w:val="99"/>
    <w:pPr>
      <w:spacing w:before="100" w:beforeAutospacing="1" w:after="100" w:afterAutospacing="1"/>
      <w:jc w:val="left"/>
    </w:pPr>
    <w:rPr>
      <w:kern w:val="0"/>
      <w:sz w:val="24"/>
    </w:rPr>
  </w:style>
  <w:style w:type="paragraph" w:styleId="34">
    <w:name w:val="Title"/>
    <w:basedOn w:val="1"/>
    <w:next w:val="1"/>
    <w:link w:val="70"/>
    <w:qFormat/>
    <w:uiPriority w:val="0"/>
    <w:pPr>
      <w:spacing w:before="240" w:after="60"/>
      <w:jc w:val="center"/>
      <w:outlineLvl w:val="0"/>
    </w:pPr>
    <w:rPr>
      <w:rFonts w:ascii="Cambria" w:hAnsi="Cambria"/>
      <w:b/>
      <w:bCs/>
      <w:sz w:val="32"/>
      <w:szCs w:val="32"/>
    </w:rPr>
  </w:style>
  <w:style w:type="paragraph" w:styleId="35">
    <w:name w:val="annotation subject"/>
    <w:basedOn w:val="16"/>
    <w:next w:val="16"/>
    <w:link w:val="71"/>
    <w:unhideWhenUsed/>
    <w:qFormat/>
    <w:uiPriority w:val="99"/>
    <w:rPr>
      <w:b/>
      <w:bCs/>
    </w:rPr>
  </w:style>
  <w:style w:type="paragraph" w:styleId="36">
    <w:name w:val="Body Text First Indent"/>
    <w:basedOn w:val="18"/>
    <w:link w:val="72"/>
    <w:unhideWhenUsed/>
    <w:qFormat/>
    <w:uiPriority w:val="0"/>
    <w:pPr>
      <w:ind w:firstLine="420" w:firstLineChars="100"/>
    </w:pPr>
  </w:style>
  <w:style w:type="table" w:styleId="38">
    <w:name w:val="Table Grid"/>
    <w:basedOn w:val="37"/>
    <w:qFormat/>
    <w:uiPriority w:val="0"/>
    <w:rPr>
      <w:rFonts w:ascii="Calibri" w:hAnsi="Calibri"/>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qFormat/>
    <w:uiPriority w:val="0"/>
    <w:rPr>
      <w:b/>
      <w:bCs/>
    </w:rPr>
  </w:style>
  <w:style w:type="character" w:styleId="41">
    <w:name w:val="page number"/>
    <w:basedOn w:val="39"/>
    <w:unhideWhenUsed/>
    <w:qFormat/>
    <w:uiPriority w:val="0"/>
  </w:style>
  <w:style w:type="character" w:styleId="42">
    <w:name w:val="FollowedHyperlink"/>
    <w:unhideWhenUsed/>
    <w:qFormat/>
    <w:uiPriority w:val="99"/>
    <w:rPr>
      <w:color w:val="800080"/>
      <w:u w:val="single"/>
    </w:rPr>
  </w:style>
  <w:style w:type="character" w:styleId="43">
    <w:name w:val="Emphasis"/>
    <w:qFormat/>
    <w:uiPriority w:val="20"/>
    <w:rPr>
      <w:color w:val="CC0000"/>
    </w:rPr>
  </w:style>
  <w:style w:type="character" w:styleId="44">
    <w:name w:val="Hyperlink"/>
    <w:qFormat/>
    <w:uiPriority w:val="99"/>
    <w:rPr>
      <w:color w:val="0000FF"/>
      <w:u w:val="single"/>
    </w:rPr>
  </w:style>
  <w:style w:type="character" w:styleId="45">
    <w:name w:val="annotation reference"/>
    <w:unhideWhenUsed/>
    <w:qFormat/>
    <w:uiPriority w:val="99"/>
    <w:rPr>
      <w:sz w:val="21"/>
      <w:szCs w:val="21"/>
    </w:rPr>
  </w:style>
  <w:style w:type="paragraph" w:customStyle="1" w:styleId="46">
    <w:name w:val="H1"/>
    <w:basedOn w:val="4"/>
    <w:next w:val="1"/>
    <w:qFormat/>
    <w:uiPriority w:val="0"/>
    <w:pPr>
      <w:numPr>
        <w:ilvl w:val="0"/>
        <w:numId w:val="5"/>
      </w:numPr>
      <w:spacing w:before="120" w:after="120"/>
    </w:pPr>
    <w:rPr>
      <w:rFonts w:ascii="Calibri" w:hAnsi="Calibri" w:eastAsia="宋体" w:cs="宋体"/>
      <w:sz w:val="28"/>
    </w:rPr>
  </w:style>
  <w:style w:type="character" w:customStyle="1" w:styleId="47">
    <w:name w:val="正文文本 字符1"/>
    <w:link w:val="18"/>
    <w:qFormat/>
    <w:uiPriority w:val="99"/>
    <w:rPr>
      <w:rFonts w:ascii="Times New Roman" w:hAnsi="Times New Roman"/>
      <w:kern w:val="2"/>
      <w:sz w:val="21"/>
      <w:szCs w:val="24"/>
    </w:rPr>
  </w:style>
  <w:style w:type="character" w:customStyle="1" w:styleId="48">
    <w:name w:val="正文文本缩进 字符1"/>
    <w:link w:val="3"/>
    <w:qFormat/>
    <w:uiPriority w:val="99"/>
    <w:rPr>
      <w:rFonts w:ascii="宋体" w:hAnsi="Times New Roman"/>
      <w:kern w:val="2"/>
      <w:sz w:val="28"/>
    </w:rPr>
  </w:style>
  <w:style w:type="character" w:customStyle="1" w:styleId="49">
    <w:name w:val="标题 1 字符1"/>
    <w:link w:val="4"/>
    <w:qFormat/>
    <w:uiPriority w:val="0"/>
    <w:rPr>
      <w:b/>
      <w:bCs/>
      <w:kern w:val="44"/>
      <w:sz w:val="44"/>
      <w:szCs w:val="44"/>
    </w:rPr>
  </w:style>
  <w:style w:type="character" w:customStyle="1" w:styleId="50">
    <w:name w:val="标题 2 字符1"/>
    <w:link w:val="5"/>
    <w:qFormat/>
    <w:uiPriority w:val="0"/>
    <w:rPr>
      <w:rFonts w:ascii="Arial" w:hAnsi="Arial" w:eastAsia="黑体"/>
      <w:b/>
      <w:bCs/>
      <w:kern w:val="2"/>
      <w:sz w:val="32"/>
      <w:szCs w:val="32"/>
    </w:rPr>
  </w:style>
  <w:style w:type="character" w:customStyle="1" w:styleId="51">
    <w:name w:val="标题 3 字符1"/>
    <w:link w:val="6"/>
    <w:qFormat/>
    <w:uiPriority w:val="0"/>
    <w:rPr>
      <w:b/>
      <w:sz w:val="28"/>
    </w:rPr>
  </w:style>
  <w:style w:type="character" w:customStyle="1" w:styleId="52">
    <w:name w:val="标题 4 字符1"/>
    <w:link w:val="7"/>
    <w:qFormat/>
    <w:uiPriority w:val="0"/>
    <w:rPr>
      <w:rFonts w:ascii="宋体" w:hAnsi="Arial"/>
      <w:b/>
      <w:sz w:val="24"/>
    </w:rPr>
  </w:style>
  <w:style w:type="character" w:customStyle="1" w:styleId="53">
    <w:name w:val="标题 5 字符1"/>
    <w:link w:val="8"/>
    <w:qFormat/>
    <w:uiPriority w:val="9"/>
    <w:rPr>
      <w:rFonts w:ascii="宋体" w:eastAsia="仿宋_GB2312"/>
      <w:b/>
      <w:sz w:val="28"/>
    </w:rPr>
  </w:style>
  <w:style w:type="character" w:customStyle="1" w:styleId="54">
    <w:name w:val="标题 6 字符1"/>
    <w:link w:val="9"/>
    <w:qFormat/>
    <w:uiPriority w:val="9"/>
    <w:rPr>
      <w:rFonts w:ascii="Arial" w:hAnsi="Arial" w:eastAsia="黑体"/>
      <w:b/>
      <w:bCs/>
      <w:sz w:val="24"/>
      <w:szCs w:val="24"/>
    </w:rPr>
  </w:style>
  <w:style w:type="character" w:customStyle="1" w:styleId="55">
    <w:name w:val="标题 7 字符1"/>
    <w:link w:val="10"/>
    <w:qFormat/>
    <w:uiPriority w:val="9"/>
    <w:rPr>
      <w:rFonts w:ascii="宋体" w:eastAsia="仿宋_GB2312"/>
      <w:b/>
      <w:sz w:val="24"/>
    </w:rPr>
  </w:style>
  <w:style w:type="character" w:customStyle="1" w:styleId="56">
    <w:name w:val="标题 8 字符1"/>
    <w:link w:val="11"/>
    <w:qFormat/>
    <w:uiPriority w:val="9"/>
    <w:rPr>
      <w:rFonts w:ascii="Arial" w:hAnsi="Arial" w:eastAsia="黑体"/>
      <w:sz w:val="24"/>
    </w:rPr>
  </w:style>
  <w:style w:type="character" w:customStyle="1" w:styleId="57">
    <w:name w:val="标题 9 字符1"/>
    <w:link w:val="12"/>
    <w:qFormat/>
    <w:uiPriority w:val="9"/>
    <w:rPr>
      <w:rFonts w:ascii="Arial" w:hAnsi="Arial" w:eastAsia="黑体"/>
      <w:sz w:val="28"/>
    </w:rPr>
  </w:style>
  <w:style w:type="character" w:customStyle="1" w:styleId="58">
    <w:name w:val="正文缩进 字符2"/>
    <w:link w:val="13"/>
    <w:qFormat/>
    <w:uiPriority w:val="0"/>
    <w:rPr>
      <w:rFonts w:ascii="Times New Roman" w:hAnsi="Times New Roman"/>
      <w:sz w:val="24"/>
      <w:szCs w:val="24"/>
    </w:rPr>
  </w:style>
  <w:style w:type="character" w:customStyle="1" w:styleId="59">
    <w:name w:val="文档结构图 字符1"/>
    <w:link w:val="14"/>
    <w:qFormat/>
    <w:uiPriority w:val="99"/>
    <w:rPr>
      <w:rFonts w:ascii="Times New Roman" w:hAnsi="Times New Roman"/>
      <w:kern w:val="2"/>
      <w:sz w:val="21"/>
      <w:szCs w:val="24"/>
      <w:shd w:val="clear" w:color="auto" w:fill="000080"/>
    </w:rPr>
  </w:style>
  <w:style w:type="character" w:customStyle="1" w:styleId="60">
    <w:name w:val="批注文字 字符1"/>
    <w:link w:val="16"/>
    <w:qFormat/>
    <w:uiPriority w:val="99"/>
    <w:rPr>
      <w:rFonts w:ascii="Times New Roman" w:hAnsi="Times New Roman"/>
      <w:kern w:val="2"/>
      <w:sz w:val="21"/>
      <w:szCs w:val="24"/>
    </w:rPr>
  </w:style>
  <w:style w:type="character" w:customStyle="1" w:styleId="61">
    <w:name w:val="正文文本 3 字符1"/>
    <w:link w:val="17"/>
    <w:qFormat/>
    <w:uiPriority w:val="0"/>
    <w:rPr>
      <w:rFonts w:ascii="Times New Roman" w:hAnsi="Times New Roman"/>
      <w:kern w:val="2"/>
      <w:sz w:val="16"/>
      <w:szCs w:val="16"/>
    </w:rPr>
  </w:style>
  <w:style w:type="character" w:customStyle="1" w:styleId="62">
    <w:name w:val="纯文本 字符1"/>
    <w:link w:val="22"/>
    <w:qFormat/>
    <w:uiPriority w:val="0"/>
    <w:rPr>
      <w:rFonts w:ascii="宋体" w:hAnsi="Courier New" w:eastAsia="宋体" w:cs="Times New Roman"/>
      <w:szCs w:val="20"/>
    </w:rPr>
  </w:style>
  <w:style w:type="character" w:customStyle="1" w:styleId="63">
    <w:name w:val="日期 字符1"/>
    <w:link w:val="23"/>
    <w:qFormat/>
    <w:uiPriority w:val="0"/>
    <w:rPr>
      <w:rFonts w:ascii="Times New Roman" w:hAnsi="Times New Roman"/>
      <w:kern w:val="2"/>
      <w:sz w:val="21"/>
      <w:szCs w:val="24"/>
    </w:rPr>
  </w:style>
  <w:style w:type="character" w:customStyle="1" w:styleId="64">
    <w:name w:val="正文文本缩进 2 字符1"/>
    <w:link w:val="24"/>
    <w:qFormat/>
    <w:uiPriority w:val="0"/>
    <w:rPr>
      <w:rFonts w:ascii="Times New Roman" w:hAnsi="Times New Roman"/>
      <w:kern w:val="2"/>
      <w:sz w:val="21"/>
    </w:rPr>
  </w:style>
  <w:style w:type="character" w:customStyle="1" w:styleId="65">
    <w:name w:val="批注框文本 字符1"/>
    <w:link w:val="25"/>
    <w:qFormat/>
    <w:uiPriority w:val="0"/>
    <w:rPr>
      <w:sz w:val="18"/>
      <w:szCs w:val="18"/>
    </w:rPr>
  </w:style>
  <w:style w:type="character" w:customStyle="1" w:styleId="66">
    <w:name w:val="页脚 字符1"/>
    <w:link w:val="26"/>
    <w:qFormat/>
    <w:uiPriority w:val="99"/>
    <w:rPr>
      <w:sz w:val="18"/>
      <w:szCs w:val="18"/>
    </w:rPr>
  </w:style>
  <w:style w:type="character" w:customStyle="1" w:styleId="67">
    <w:name w:val="页眉 字符1"/>
    <w:link w:val="27"/>
    <w:qFormat/>
    <w:uiPriority w:val="99"/>
    <w:rPr>
      <w:sz w:val="18"/>
      <w:szCs w:val="18"/>
    </w:rPr>
  </w:style>
  <w:style w:type="character" w:customStyle="1" w:styleId="68">
    <w:name w:val="正文文本 2 字符1"/>
    <w:link w:val="31"/>
    <w:qFormat/>
    <w:uiPriority w:val="0"/>
    <w:rPr>
      <w:rFonts w:ascii="Times New Roman" w:hAnsi="Times New Roman"/>
      <w:kern w:val="2"/>
      <w:sz w:val="21"/>
      <w:szCs w:val="24"/>
    </w:rPr>
  </w:style>
  <w:style w:type="character" w:customStyle="1" w:styleId="69">
    <w:name w:val="HTML 预设格式 字符1"/>
    <w:link w:val="32"/>
    <w:qFormat/>
    <w:uiPriority w:val="0"/>
    <w:rPr>
      <w:rFonts w:ascii="Arial" w:hAnsi="Arial" w:cs="Arial"/>
      <w:sz w:val="21"/>
      <w:szCs w:val="21"/>
    </w:rPr>
  </w:style>
  <w:style w:type="character" w:customStyle="1" w:styleId="70">
    <w:name w:val="标题 字符1"/>
    <w:link w:val="34"/>
    <w:qFormat/>
    <w:uiPriority w:val="0"/>
    <w:rPr>
      <w:rFonts w:ascii="Cambria" w:hAnsi="Cambria"/>
      <w:b/>
      <w:bCs/>
      <w:kern w:val="2"/>
      <w:sz w:val="32"/>
      <w:szCs w:val="32"/>
    </w:rPr>
  </w:style>
  <w:style w:type="character" w:customStyle="1" w:styleId="71">
    <w:name w:val="批注主题 字符1"/>
    <w:link w:val="35"/>
    <w:qFormat/>
    <w:uiPriority w:val="99"/>
    <w:rPr>
      <w:rFonts w:ascii="Times New Roman" w:hAnsi="Times New Roman"/>
      <w:b/>
      <w:bCs/>
      <w:kern w:val="2"/>
      <w:sz w:val="21"/>
      <w:szCs w:val="24"/>
    </w:rPr>
  </w:style>
  <w:style w:type="character" w:customStyle="1" w:styleId="72">
    <w:name w:val="正文文本首行缩进 字符1"/>
    <w:basedOn w:val="47"/>
    <w:link w:val="36"/>
    <w:qFormat/>
    <w:uiPriority w:val="0"/>
  </w:style>
  <w:style w:type="character" w:customStyle="1" w:styleId="73">
    <w:name w:val="样式 小四2 Char"/>
    <w:link w:val="74"/>
    <w:qFormat/>
    <w:uiPriority w:val="0"/>
    <w:rPr>
      <w:rFonts w:ascii="Calibri" w:hAnsi="Calibri" w:eastAsia="宋体" w:cs="黑体"/>
      <w:sz w:val="24"/>
      <w:szCs w:val="22"/>
    </w:rPr>
  </w:style>
  <w:style w:type="paragraph" w:customStyle="1" w:styleId="74">
    <w:name w:val="样式 小四2"/>
    <w:basedOn w:val="1"/>
    <w:link w:val="73"/>
    <w:qFormat/>
    <w:uiPriority w:val="0"/>
    <w:rPr>
      <w:rFonts w:ascii="Calibri" w:hAnsi="Calibri"/>
      <w:kern w:val="0"/>
      <w:sz w:val="24"/>
      <w:szCs w:val="22"/>
    </w:rPr>
  </w:style>
  <w:style w:type="character" w:customStyle="1" w:styleId="75">
    <w:name w:val="正文文本缩进 2 字符"/>
    <w:qFormat/>
    <w:uiPriority w:val="0"/>
    <w:rPr>
      <w:rFonts w:ascii="Times New Roman" w:hAnsi="Times New Roman"/>
      <w:kern w:val="2"/>
      <w:sz w:val="21"/>
    </w:rPr>
  </w:style>
  <w:style w:type="character" w:customStyle="1" w:styleId="76">
    <w:name w:val="标题 字符2"/>
    <w:qFormat/>
    <w:uiPriority w:val="10"/>
    <w:rPr>
      <w:rFonts w:ascii="等线 Light" w:hAnsi="等线 Light" w:eastAsia="等线 Light" w:cs="Times New Roman"/>
      <w:b/>
      <w:bCs/>
      <w:sz w:val="32"/>
      <w:szCs w:val="32"/>
    </w:rPr>
  </w:style>
  <w:style w:type="character" w:customStyle="1" w:styleId="77">
    <w:name w:val="批注框文本 字符"/>
    <w:qFormat/>
    <w:uiPriority w:val="0"/>
    <w:rPr>
      <w:sz w:val="18"/>
      <w:szCs w:val="18"/>
    </w:rPr>
  </w:style>
  <w:style w:type="character" w:customStyle="1" w:styleId="78">
    <w:name w:val="正文缩进 字符"/>
    <w:qFormat/>
    <w:uiPriority w:val="0"/>
    <w:rPr>
      <w:rFonts w:eastAsia="宋体"/>
      <w:sz w:val="24"/>
      <w:lang w:val="en-US" w:eastAsia="zh-CN" w:bidi="ar-SA"/>
    </w:rPr>
  </w:style>
  <w:style w:type="character" w:customStyle="1" w:styleId="79">
    <w:name w:val="hps"/>
    <w:qFormat/>
    <w:uiPriority w:val="0"/>
  </w:style>
  <w:style w:type="character" w:customStyle="1" w:styleId="80">
    <w:name w:val="文档结构图 字符"/>
    <w:qFormat/>
    <w:uiPriority w:val="99"/>
    <w:rPr>
      <w:rFonts w:ascii="Times New Roman" w:hAnsi="Times New Roman"/>
      <w:kern w:val="2"/>
      <w:sz w:val="21"/>
      <w:szCs w:val="24"/>
      <w:shd w:val="clear" w:color="auto" w:fill="000080"/>
    </w:rPr>
  </w:style>
  <w:style w:type="character" w:customStyle="1" w:styleId="81">
    <w:name w:val="标题 5 字符"/>
    <w:qFormat/>
    <w:uiPriority w:val="9"/>
    <w:rPr>
      <w:rFonts w:ascii="宋体" w:eastAsia="仿宋_GB2312"/>
      <w:b/>
      <w:sz w:val="28"/>
    </w:rPr>
  </w:style>
  <w:style w:type="character" w:customStyle="1" w:styleId="82">
    <w:name w:val="msoins"/>
    <w:basedOn w:val="39"/>
    <w:qFormat/>
    <w:uiPriority w:val="99"/>
  </w:style>
  <w:style w:type="character" w:customStyle="1" w:styleId="83">
    <w:name w:val="apple-converted-space"/>
    <w:basedOn w:val="39"/>
    <w:qFormat/>
    <w:uiPriority w:val="0"/>
  </w:style>
  <w:style w:type="character" w:customStyle="1" w:styleId="84">
    <w:name w:val="批注文字 字符2"/>
    <w:semiHidden/>
    <w:qFormat/>
    <w:uiPriority w:val="99"/>
    <w:rPr>
      <w:rFonts w:ascii="Times New Roman" w:hAnsi="Times New Roman" w:eastAsia="宋体" w:cs="Times New Roman"/>
      <w:szCs w:val="24"/>
    </w:rPr>
  </w:style>
  <w:style w:type="character" w:customStyle="1" w:styleId="85">
    <w:name w:val="批注文字 字符"/>
    <w:qFormat/>
    <w:uiPriority w:val="99"/>
    <w:rPr>
      <w:rFonts w:ascii="Times New Roman" w:hAnsi="Times New Roman"/>
      <w:kern w:val="2"/>
      <w:sz w:val="21"/>
      <w:szCs w:val="24"/>
    </w:rPr>
  </w:style>
  <w:style w:type="character" w:customStyle="1" w:styleId="86">
    <w:name w:val="明显参考1"/>
    <w:qFormat/>
    <w:uiPriority w:val="32"/>
    <w:rPr>
      <w:b/>
      <w:sz w:val="24"/>
      <w:u w:val="single"/>
    </w:rPr>
  </w:style>
  <w:style w:type="character" w:customStyle="1" w:styleId="87">
    <w:name w:val="正文缩进 Char1"/>
    <w:qFormat/>
    <w:uiPriority w:val="0"/>
    <w:rPr>
      <w:kern w:val="2"/>
      <w:sz w:val="21"/>
      <w:szCs w:val="24"/>
    </w:rPr>
  </w:style>
  <w:style w:type="character" w:customStyle="1" w:styleId="88">
    <w:name w:val="标题 1 字符"/>
    <w:qFormat/>
    <w:uiPriority w:val="0"/>
    <w:rPr>
      <w:b/>
      <w:bCs/>
      <w:kern w:val="44"/>
      <w:sz w:val="44"/>
      <w:szCs w:val="44"/>
    </w:rPr>
  </w:style>
  <w:style w:type="character" w:customStyle="1" w:styleId="89">
    <w:name w:val="标题 9 字符"/>
    <w:qFormat/>
    <w:uiPriority w:val="9"/>
    <w:rPr>
      <w:rFonts w:ascii="Arial" w:hAnsi="Arial" w:eastAsia="黑体"/>
      <w:sz w:val="28"/>
    </w:rPr>
  </w:style>
  <w:style w:type="character" w:customStyle="1" w:styleId="90">
    <w:name w:val="正文文本 2 字符"/>
    <w:qFormat/>
    <w:uiPriority w:val="0"/>
    <w:rPr>
      <w:rFonts w:ascii="Times New Roman" w:hAnsi="Times New Roman"/>
      <w:kern w:val="2"/>
      <w:sz w:val="21"/>
      <w:szCs w:val="24"/>
    </w:rPr>
  </w:style>
  <w:style w:type="character" w:customStyle="1" w:styleId="91">
    <w:name w:val="正文文本 字符2"/>
    <w:semiHidden/>
    <w:qFormat/>
    <w:uiPriority w:val="99"/>
    <w:rPr>
      <w:rFonts w:ascii="Times New Roman" w:hAnsi="Times New Roman" w:eastAsia="宋体" w:cs="Times New Roman"/>
      <w:szCs w:val="24"/>
    </w:rPr>
  </w:style>
  <w:style w:type="character" w:customStyle="1" w:styleId="92">
    <w:name w:val="列表段落 字符"/>
    <w:qFormat/>
    <w:uiPriority w:val="0"/>
    <w:rPr>
      <w:kern w:val="2"/>
      <w:sz w:val="21"/>
      <w:szCs w:val="24"/>
    </w:rPr>
  </w:style>
  <w:style w:type="character" w:customStyle="1" w:styleId="93">
    <w:name w:val="列表段落 字符1"/>
    <w:link w:val="94"/>
    <w:qFormat/>
    <w:uiPriority w:val="0"/>
    <w:rPr>
      <w:kern w:val="2"/>
      <w:sz w:val="21"/>
      <w:szCs w:val="24"/>
    </w:rPr>
  </w:style>
  <w:style w:type="paragraph" w:styleId="94">
    <w:name w:val="List Paragraph"/>
    <w:basedOn w:val="1"/>
    <w:link w:val="93"/>
    <w:qFormat/>
    <w:uiPriority w:val="0"/>
    <w:pPr>
      <w:ind w:firstLine="420" w:firstLineChars="200"/>
    </w:pPr>
  </w:style>
  <w:style w:type="character" w:customStyle="1" w:styleId="95">
    <w:name w:val="日期 字符"/>
    <w:qFormat/>
    <w:uiPriority w:val="0"/>
    <w:rPr>
      <w:rFonts w:ascii="Times New Roman" w:hAnsi="Times New Roman"/>
      <w:kern w:val="2"/>
      <w:sz w:val="21"/>
      <w:szCs w:val="24"/>
    </w:rPr>
  </w:style>
  <w:style w:type="character" w:customStyle="1" w:styleId="96">
    <w:name w:val="f141"/>
    <w:qFormat/>
    <w:uiPriority w:val="0"/>
    <w:rPr>
      <w:b/>
      <w:bCs/>
      <w:color w:val="000066"/>
      <w:sz w:val="28"/>
      <w:szCs w:val="28"/>
    </w:rPr>
  </w:style>
  <w:style w:type="character" w:customStyle="1" w:styleId="97">
    <w:name w:val="标题 7 字符"/>
    <w:qFormat/>
    <w:uiPriority w:val="9"/>
    <w:rPr>
      <w:rFonts w:ascii="宋体" w:eastAsia="仿宋_GB2312"/>
      <w:b/>
      <w:sz w:val="24"/>
    </w:rPr>
  </w:style>
  <w:style w:type="character" w:customStyle="1" w:styleId="98">
    <w:name w:val="页脚 字符"/>
    <w:qFormat/>
    <w:uiPriority w:val="99"/>
    <w:rPr>
      <w:sz w:val="18"/>
      <w:szCs w:val="18"/>
    </w:rPr>
  </w:style>
  <w:style w:type="character" w:customStyle="1" w:styleId="99">
    <w:name w:val="正文首行缩进 Char"/>
    <w:link w:val="100"/>
    <w:qFormat/>
    <w:uiPriority w:val="0"/>
    <w:rPr>
      <w:rFonts w:ascii="Times New Roman" w:hAnsi="Times New Roman" w:cs="Times New Roman"/>
      <w:kern w:val="0"/>
      <w:sz w:val="21"/>
      <w:szCs w:val="22"/>
    </w:rPr>
  </w:style>
  <w:style w:type="paragraph" w:customStyle="1" w:styleId="100">
    <w:name w:val="正文首行缩进1"/>
    <w:basedOn w:val="18"/>
    <w:next w:val="36"/>
    <w:link w:val="99"/>
    <w:qFormat/>
    <w:uiPriority w:val="0"/>
    <w:pPr>
      <w:ind w:firstLine="420" w:firstLineChars="100"/>
    </w:pPr>
    <w:rPr>
      <w:kern w:val="0"/>
      <w:szCs w:val="22"/>
    </w:rPr>
  </w:style>
  <w:style w:type="character" w:customStyle="1" w:styleId="101">
    <w:name w:val="彩色列表 - 强调文字颜色 1字符"/>
    <w:link w:val="102"/>
    <w:qFormat/>
    <w:uiPriority w:val="34"/>
    <w:rPr>
      <w:rFonts w:cs="宋体"/>
      <w:kern w:val="2"/>
      <w:sz w:val="21"/>
      <w:szCs w:val="22"/>
    </w:rPr>
  </w:style>
  <w:style w:type="paragraph" w:customStyle="1" w:styleId="102">
    <w:name w:val="彩色列表 - 强调文字颜色 11"/>
    <w:basedOn w:val="1"/>
    <w:link w:val="101"/>
    <w:qFormat/>
    <w:uiPriority w:val="34"/>
    <w:pPr>
      <w:ind w:firstLine="420" w:firstLineChars="200"/>
    </w:pPr>
    <w:rPr>
      <w:szCs w:val="22"/>
    </w:rPr>
  </w:style>
  <w:style w:type="character" w:customStyle="1" w:styleId="103">
    <w:name w:val="HTML 预设格式 字符"/>
    <w:qFormat/>
    <w:uiPriority w:val="0"/>
    <w:rPr>
      <w:rFonts w:ascii="Arial" w:hAnsi="Arial" w:cs="Arial"/>
      <w:sz w:val="21"/>
      <w:szCs w:val="21"/>
    </w:rPr>
  </w:style>
  <w:style w:type="character" w:customStyle="1" w:styleId="104">
    <w:name w:val="标题 8 字符"/>
    <w:qFormat/>
    <w:uiPriority w:val="9"/>
    <w:rPr>
      <w:rFonts w:ascii="Arial" w:hAnsi="Arial" w:eastAsia="黑体"/>
      <w:sz w:val="24"/>
    </w:rPr>
  </w:style>
  <w:style w:type="character" w:customStyle="1" w:styleId="105">
    <w:name w:val="正文文本 字符"/>
    <w:qFormat/>
    <w:uiPriority w:val="99"/>
    <w:rPr>
      <w:rFonts w:ascii="Times New Roman" w:hAnsi="Times New Roman"/>
      <w:kern w:val="2"/>
      <w:sz w:val="21"/>
      <w:szCs w:val="24"/>
    </w:rPr>
  </w:style>
  <w:style w:type="character" w:customStyle="1" w:styleId="106">
    <w:name w:val="Javis Char Char"/>
    <w:link w:val="107"/>
    <w:qFormat/>
    <w:uiPriority w:val="0"/>
    <w:rPr>
      <w:rFonts w:ascii="Times New Roman" w:hAnsi="Times New Roman"/>
      <w:kern w:val="2"/>
      <w:sz w:val="24"/>
    </w:rPr>
  </w:style>
  <w:style w:type="paragraph" w:customStyle="1" w:styleId="107">
    <w:name w:val="Javis"/>
    <w:basedOn w:val="1"/>
    <w:link w:val="106"/>
    <w:qFormat/>
    <w:uiPriority w:val="0"/>
    <w:pPr>
      <w:ind w:right="210" w:rightChars="100"/>
    </w:pPr>
    <w:rPr>
      <w:sz w:val="24"/>
      <w:szCs w:val="20"/>
    </w:rPr>
  </w:style>
  <w:style w:type="character" w:customStyle="1" w:styleId="108">
    <w:name w:val="样式2 字符"/>
    <w:link w:val="109"/>
    <w:qFormat/>
    <w:uiPriority w:val="0"/>
    <w:rPr>
      <w:rFonts w:ascii="宋体" w:hAnsi="宋体"/>
      <w:b/>
      <w:kern w:val="2"/>
      <w:sz w:val="24"/>
      <w:szCs w:val="22"/>
    </w:rPr>
  </w:style>
  <w:style w:type="paragraph" w:customStyle="1" w:styleId="109">
    <w:name w:val="样式2"/>
    <w:basedOn w:val="94"/>
    <w:link w:val="108"/>
    <w:qFormat/>
    <w:uiPriority w:val="0"/>
    <w:pPr>
      <w:numPr>
        <w:ilvl w:val="0"/>
        <w:numId w:val="6"/>
      </w:numPr>
      <w:spacing w:before="156" w:beforeLines="50" w:after="156" w:afterLines="50" w:line="360" w:lineRule="auto"/>
      <w:ind w:firstLine="0" w:firstLineChars="0"/>
    </w:pPr>
    <w:rPr>
      <w:rFonts w:ascii="宋体" w:hAnsi="宋体"/>
      <w:b/>
      <w:sz w:val="24"/>
      <w:szCs w:val="22"/>
    </w:rPr>
  </w:style>
  <w:style w:type="character" w:customStyle="1" w:styleId="110">
    <w:name w:val="样式 小四2 Char Char"/>
    <w:qFormat/>
    <w:uiPriority w:val="0"/>
    <w:rPr>
      <w:rFonts w:ascii="Times New Roman" w:hAnsi="Times New Roman" w:eastAsia="宋体" w:cs="Times New Roman"/>
      <w:sz w:val="24"/>
      <w:szCs w:val="24"/>
      <w:lang w:val="en-US" w:eastAsia="zh-CN"/>
    </w:rPr>
  </w:style>
  <w:style w:type="character" w:customStyle="1" w:styleId="111">
    <w:name w:val="标题 3 字符"/>
    <w:qFormat/>
    <w:uiPriority w:val="0"/>
    <w:rPr>
      <w:b/>
      <w:sz w:val="28"/>
    </w:rPr>
  </w:style>
  <w:style w:type="character" w:customStyle="1" w:styleId="112">
    <w:name w:val="页眉 字符"/>
    <w:qFormat/>
    <w:uiPriority w:val="99"/>
    <w:rPr>
      <w:sz w:val="18"/>
      <w:szCs w:val="18"/>
    </w:rPr>
  </w:style>
  <w:style w:type="character" w:customStyle="1" w:styleId="113">
    <w:name w:val="标题 6 字符"/>
    <w:qFormat/>
    <w:uiPriority w:val="9"/>
    <w:rPr>
      <w:rFonts w:ascii="Arial" w:hAnsi="Arial" w:eastAsia="黑体"/>
      <w:b/>
      <w:bCs/>
      <w:sz w:val="24"/>
      <w:szCs w:val="24"/>
    </w:rPr>
  </w:style>
  <w:style w:type="character" w:customStyle="1" w:styleId="114">
    <w:name w:val="正文缩进 Char"/>
    <w:qFormat/>
    <w:uiPriority w:val="0"/>
    <w:rPr>
      <w:rFonts w:ascii="宋体" w:hAnsi="宋体"/>
      <w:bCs/>
      <w:color w:val="000000"/>
      <w:kern w:val="2"/>
      <w:sz w:val="24"/>
    </w:rPr>
  </w:style>
  <w:style w:type="character" w:customStyle="1" w:styleId="115">
    <w:name w:val="规范正文 Char Char Char Char"/>
    <w:qFormat/>
    <w:uiPriority w:val="0"/>
    <w:rPr>
      <w:rFonts w:eastAsia="宋体"/>
      <w:kern w:val="2"/>
      <w:sz w:val="24"/>
      <w:szCs w:val="24"/>
      <w:lang w:val="en-US" w:eastAsia="zh-CN" w:bidi="ar-SA"/>
    </w:rPr>
  </w:style>
  <w:style w:type="character" w:customStyle="1" w:styleId="116">
    <w:name w:val="列出段落 Char"/>
    <w:qFormat/>
    <w:locked/>
    <w:uiPriority w:val="34"/>
    <w:rPr>
      <w:rFonts w:ascii="Calibri" w:hAnsi="Calibri"/>
      <w:kern w:val="2"/>
      <w:sz w:val="21"/>
      <w:szCs w:val="22"/>
    </w:rPr>
  </w:style>
  <w:style w:type="character" w:customStyle="1" w:styleId="117">
    <w:name w:val="Default Char Char"/>
    <w:link w:val="118"/>
    <w:qFormat/>
    <w:uiPriority w:val="0"/>
    <w:rPr>
      <w:rFonts w:ascii="华文细黑" w:eastAsia="华文细黑" w:cs="华文细黑"/>
      <w:color w:val="000000"/>
      <w:sz w:val="24"/>
      <w:szCs w:val="24"/>
      <w:lang w:val="en-US" w:eastAsia="zh-CN" w:bidi="ar-SA"/>
    </w:rPr>
  </w:style>
  <w:style w:type="paragraph" w:customStyle="1" w:styleId="118">
    <w:name w:val="Default"/>
    <w:link w:val="117"/>
    <w:qFormat/>
    <w:uiPriority w:val="0"/>
    <w:pPr>
      <w:widowControl w:val="0"/>
      <w:autoSpaceDE w:val="0"/>
      <w:autoSpaceDN w:val="0"/>
      <w:adjustRightInd w:val="0"/>
    </w:pPr>
    <w:rPr>
      <w:rFonts w:ascii="华文细黑" w:hAnsi="Times New Roman" w:eastAsia="华文细黑" w:cs="华文细黑"/>
      <w:color w:val="000000"/>
      <w:sz w:val="24"/>
      <w:szCs w:val="24"/>
      <w:lang w:val="en-US" w:eastAsia="zh-CN" w:bidi="ar-SA"/>
    </w:rPr>
  </w:style>
  <w:style w:type="character" w:customStyle="1" w:styleId="119">
    <w:name w:val="标题 2 字符"/>
    <w:qFormat/>
    <w:uiPriority w:val="0"/>
    <w:rPr>
      <w:rFonts w:ascii="Arial" w:hAnsi="Arial" w:eastAsia="黑体"/>
      <w:b/>
      <w:bCs/>
      <w:kern w:val="2"/>
      <w:sz w:val="32"/>
      <w:szCs w:val="32"/>
    </w:rPr>
  </w:style>
  <w:style w:type="character" w:customStyle="1" w:styleId="120">
    <w:name w:val="普通文字 Char Char2"/>
    <w:qFormat/>
    <w:uiPriority w:val="0"/>
    <w:rPr>
      <w:rFonts w:ascii="宋体" w:hAnsi="Courier New"/>
      <w:kern w:val="2"/>
      <w:sz w:val="21"/>
    </w:rPr>
  </w:style>
  <w:style w:type="character" w:customStyle="1" w:styleId="121">
    <w:name w:val="批注主题 字符"/>
    <w:qFormat/>
    <w:uiPriority w:val="99"/>
    <w:rPr>
      <w:rFonts w:ascii="Times New Roman" w:hAnsi="Times New Roman"/>
      <w:b/>
      <w:bCs/>
      <w:kern w:val="2"/>
      <w:sz w:val="21"/>
      <w:szCs w:val="24"/>
    </w:rPr>
  </w:style>
  <w:style w:type="character" w:customStyle="1" w:styleId="122">
    <w:name w:val="项目编号B Char"/>
    <w:link w:val="123"/>
    <w:qFormat/>
    <w:uiPriority w:val="0"/>
    <w:rPr>
      <w:rFonts w:ascii="Arial" w:hAnsi="Arial"/>
      <w:kern w:val="2"/>
      <w:sz w:val="24"/>
      <w:szCs w:val="24"/>
    </w:rPr>
  </w:style>
  <w:style w:type="paragraph" w:customStyle="1" w:styleId="123">
    <w:name w:val="项目编号B"/>
    <w:basedOn w:val="1"/>
    <w:link w:val="122"/>
    <w:qFormat/>
    <w:uiPriority w:val="0"/>
    <w:pPr>
      <w:numPr>
        <w:ilvl w:val="0"/>
        <w:numId w:val="7"/>
      </w:numPr>
      <w:spacing w:line="360" w:lineRule="auto"/>
    </w:pPr>
    <w:rPr>
      <w:rFonts w:ascii="Arial" w:hAnsi="Arial"/>
      <w:sz w:val="24"/>
    </w:rPr>
  </w:style>
  <w:style w:type="character" w:customStyle="1" w:styleId="124">
    <w:name w:val="纯文本 字符"/>
    <w:qFormat/>
    <w:uiPriority w:val="0"/>
    <w:rPr>
      <w:rFonts w:ascii="宋体" w:hAnsi="Courier New" w:eastAsia="宋体" w:cs="Times New Roman"/>
      <w:szCs w:val="20"/>
    </w:rPr>
  </w:style>
  <w:style w:type="character" w:customStyle="1" w:styleId="125">
    <w:name w:val="列出段落 Char1"/>
    <w:link w:val="126"/>
    <w:qFormat/>
    <w:uiPriority w:val="34"/>
    <w:rPr>
      <w:kern w:val="2"/>
      <w:sz w:val="21"/>
      <w:szCs w:val="24"/>
    </w:rPr>
  </w:style>
  <w:style w:type="paragraph" w:customStyle="1" w:styleId="126">
    <w:name w:val="列出段落4"/>
    <w:basedOn w:val="1"/>
    <w:link w:val="125"/>
    <w:qFormat/>
    <w:uiPriority w:val="34"/>
    <w:pPr>
      <w:ind w:firstLine="420" w:firstLineChars="200"/>
    </w:pPr>
  </w:style>
  <w:style w:type="character" w:customStyle="1" w:styleId="127">
    <w:name w:val="正文缩进 字符1"/>
    <w:qFormat/>
    <w:uiPriority w:val="0"/>
    <w:rPr>
      <w:rFonts w:ascii="Times New Roman" w:hAnsi="Times New Roman"/>
      <w:sz w:val="24"/>
      <w:szCs w:val="24"/>
    </w:rPr>
  </w:style>
  <w:style w:type="character" w:customStyle="1" w:styleId="128">
    <w:name w:val="正文文本缩进 字符"/>
    <w:qFormat/>
    <w:uiPriority w:val="99"/>
    <w:rPr>
      <w:rFonts w:ascii="宋体" w:hAnsi="Times New Roman"/>
      <w:kern w:val="2"/>
      <w:sz w:val="28"/>
    </w:rPr>
  </w:style>
  <w:style w:type="character" w:customStyle="1" w:styleId="129">
    <w:name w:val="纯文本 Char"/>
    <w:qFormat/>
    <w:uiPriority w:val="0"/>
    <w:rPr>
      <w:rFonts w:ascii="宋体" w:hAnsi="Courier New" w:eastAsia="宋体" w:cs="Courier New"/>
      <w:szCs w:val="21"/>
    </w:rPr>
  </w:style>
  <w:style w:type="character" w:customStyle="1" w:styleId="130">
    <w:name w:val="标题 4 字符"/>
    <w:qFormat/>
    <w:uiPriority w:val="0"/>
    <w:rPr>
      <w:rFonts w:ascii="宋体" w:hAnsi="Arial"/>
      <w:b/>
      <w:sz w:val="24"/>
    </w:rPr>
  </w:style>
  <w:style w:type="character" w:customStyle="1" w:styleId="131">
    <w:name w:val="标题 字符"/>
    <w:qFormat/>
    <w:uiPriority w:val="0"/>
    <w:rPr>
      <w:rFonts w:ascii="Cambria" w:hAnsi="Cambria"/>
      <w:b/>
      <w:bCs/>
      <w:kern w:val="2"/>
      <w:sz w:val="32"/>
      <w:szCs w:val="32"/>
    </w:rPr>
  </w:style>
  <w:style w:type="character" w:customStyle="1" w:styleId="132">
    <w:name w:val="正文文本首行缩进 字符"/>
    <w:semiHidden/>
    <w:qFormat/>
    <w:uiPriority w:val="0"/>
  </w:style>
  <w:style w:type="character" w:customStyle="1" w:styleId="133">
    <w:name w:val="正文文本 3 字符"/>
    <w:qFormat/>
    <w:uiPriority w:val="0"/>
    <w:rPr>
      <w:rFonts w:ascii="Times New Roman" w:hAnsi="Times New Roman"/>
      <w:kern w:val="2"/>
      <w:sz w:val="16"/>
      <w:szCs w:val="16"/>
    </w:rPr>
  </w:style>
  <w:style w:type="paragraph" w:customStyle="1" w:styleId="134">
    <w:name w:val="本文項目"/>
    <w:basedOn w:val="1"/>
    <w:qFormat/>
    <w:uiPriority w:val="0"/>
    <w:pPr>
      <w:numPr>
        <w:ilvl w:val="0"/>
        <w:numId w:val="8"/>
      </w:numPr>
      <w:autoSpaceDE w:val="0"/>
      <w:autoSpaceDN w:val="0"/>
      <w:adjustRightInd w:val="0"/>
      <w:spacing w:beforeLines="50" w:afterLines="50" w:line="360" w:lineRule="auto"/>
      <w:ind w:firstLine="200" w:firstLineChars="200"/>
      <w:jc w:val="left"/>
      <w:textAlignment w:val="baseline"/>
    </w:pPr>
    <w:rPr>
      <w:rFonts w:cs="宋体"/>
      <w:b/>
      <w:kern w:val="0"/>
      <w:sz w:val="24"/>
    </w:rPr>
  </w:style>
  <w:style w:type="paragraph" w:customStyle="1" w:styleId="135">
    <w:name w:val="xl481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36">
    <w:name w:val="font12"/>
    <w:basedOn w:val="1"/>
    <w:qFormat/>
    <w:uiPriority w:val="0"/>
    <w:pPr>
      <w:widowControl/>
      <w:spacing w:before="100" w:beforeAutospacing="1" w:after="100" w:afterAutospacing="1"/>
      <w:jc w:val="left"/>
    </w:pPr>
    <w:rPr>
      <w:kern w:val="0"/>
      <w:sz w:val="20"/>
      <w:szCs w:val="20"/>
    </w:rPr>
  </w:style>
  <w:style w:type="paragraph" w:customStyle="1" w:styleId="137">
    <w:name w:val="_Style 40"/>
    <w:basedOn w:val="1"/>
    <w:qFormat/>
    <w:uiPriority w:val="34"/>
    <w:pPr>
      <w:ind w:firstLine="420" w:firstLineChars="200"/>
    </w:pPr>
  </w:style>
  <w:style w:type="paragraph" w:customStyle="1" w:styleId="138">
    <w:name w:val="xl48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139">
    <w:name w:val="xl4806"/>
    <w:basedOn w:val="1"/>
    <w:qFormat/>
    <w:uiPriority w:val="0"/>
    <w:pPr>
      <w:widowControl/>
      <w:spacing w:before="100" w:beforeAutospacing="1" w:after="100" w:afterAutospacing="1"/>
      <w:jc w:val="center"/>
    </w:pPr>
    <w:rPr>
      <w:rFonts w:ascii="宋体" w:hAnsi="宋体" w:cs="宋体"/>
      <w:kern w:val="0"/>
      <w:sz w:val="24"/>
    </w:rPr>
  </w:style>
  <w:style w:type="paragraph" w:customStyle="1" w:styleId="140">
    <w:name w:val="xl4842"/>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41">
    <w:name w:val="列出段落3"/>
    <w:basedOn w:val="1"/>
    <w:qFormat/>
    <w:uiPriority w:val="34"/>
    <w:pPr>
      <w:ind w:firstLine="420" w:firstLineChars="200"/>
    </w:pPr>
    <w:rPr>
      <w:rFonts w:ascii="Calibri" w:hAnsi="Calibri"/>
      <w:szCs w:val="22"/>
    </w:rPr>
  </w:style>
  <w:style w:type="paragraph" w:customStyle="1" w:styleId="142">
    <w:name w:val="xl48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43">
    <w:name w:val="方案文档"/>
    <w:basedOn w:val="1"/>
    <w:qFormat/>
    <w:uiPriority w:val="0"/>
    <w:pPr>
      <w:spacing w:line="60" w:lineRule="auto"/>
      <w:ind w:firstLine="566" w:firstLineChars="202"/>
    </w:pPr>
    <w:rPr>
      <w:rFonts w:ascii="宋体" w:hAnsi="宋体"/>
      <w:bCs/>
      <w:kern w:val="0"/>
      <w:sz w:val="28"/>
      <w:szCs w:val="28"/>
    </w:rPr>
  </w:style>
  <w:style w:type="paragraph" w:customStyle="1" w:styleId="144">
    <w:name w:val="xl4843"/>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45">
    <w:name w:val="04-正文"/>
    <w:basedOn w:val="1"/>
    <w:qFormat/>
    <w:uiPriority w:val="0"/>
    <w:pPr>
      <w:spacing w:line="360" w:lineRule="exact"/>
      <w:ind w:firstLine="420"/>
    </w:pPr>
    <w:rPr>
      <w:rFonts w:ascii="Calibri" w:hAnsi="Calibri" w:cs="黑体"/>
    </w:rPr>
  </w:style>
  <w:style w:type="paragraph" w:customStyle="1" w:styleId="146">
    <w:name w:val="xl48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47">
    <w:name w:val="xl48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48">
    <w:name w:val="标题 1（安恒信息）"/>
    <w:basedOn w:val="4"/>
    <w:next w:val="1"/>
    <w:qFormat/>
    <w:uiPriority w:val="0"/>
    <w:pPr>
      <w:numPr>
        <w:ilvl w:val="0"/>
        <w:numId w:val="9"/>
      </w:numPr>
      <w:pBdr>
        <w:bottom w:val="single" w:color="auto" w:sz="48" w:space="1"/>
      </w:pBdr>
      <w:tabs>
        <w:tab w:val="left" w:pos="1350"/>
      </w:tabs>
      <w:spacing w:before="600" w:line="576" w:lineRule="auto"/>
      <w:jc w:val="left"/>
    </w:pPr>
    <w:rPr>
      <w:rFonts w:ascii="Arial" w:hAnsi="Arial" w:eastAsia="黑体"/>
    </w:rPr>
  </w:style>
  <w:style w:type="paragraph" w:customStyle="1" w:styleId="149">
    <w:name w:val="xl4839"/>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50">
    <w:name w:val="标题 5（有编号）（安恒信息）"/>
    <w:basedOn w:val="1"/>
    <w:next w:val="1"/>
    <w:qFormat/>
    <w:uiPriority w:val="0"/>
    <w:pPr>
      <w:keepNext/>
      <w:keepLines/>
      <w:numPr>
        <w:ilvl w:val="4"/>
        <w:numId w:val="9"/>
      </w:numPr>
      <w:spacing w:before="280" w:after="156" w:line="377" w:lineRule="auto"/>
      <w:jc w:val="left"/>
      <w:outlineLvl w:val="4"/>
    </w:pPr>
    <w:rPr>
      <w:rFonts w:ascii="Arial" w:hAnsi="Arial" w:eastAsia="黑体"/>
      <w:b/>
      <w:kern w:val="0"/>
      <w:sz w:val="24"/>
      <w:szCs w:val="28"/>
    </w:rPr>
  </w:style>
  <w:style w:type="paragraph" w:customStyle="1" w:styleId="151">
    <w:name w:val="xl483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黑体" w:hAnsi="黑体" w:eastAsia="黑体" w:cs="宋体"/>
      <w:kern w:val="0"/>
      <w:sz w:val="20"/>
      <w:szCs w:val="20"/>
    </w:rPr>
  </w:style>
  <w:style w:type="paragraph" w:customStyle="1" w:styleId="152">
    <w:name w:val="Char"/>
    <w:basedOn w:val="1"/>
    <w:qFormat/>
    <w:uiPriority w:val="0"/>
    <w:rPr>
      <w:rFonts w:ascii="Tahoma" w:hAnsi="Tahoma"/>
      <w:sz w:val="24"/>
      <w:szCs w:val="20"/>
    </w:rPr>
  </w:style>
  <w:style w:type="paragraph" w:customStyle="1" w:styleId="153">
    <w:name w:val="目录 71"/>
    <w:basedOn w:val="1"/>
    <w:next w:val="1"/>
    <w:unhideWhenUsed/>
    <w:qFormat/>
    <w:uiPriority w:val="39"/>
    <w:pPr>
      <w:widowControl/>
      <w:ind w:left="1440"/>
      <w:jc w:val="left"/>
    </w:pPr>
    <w:rPr>
      <w:rFonts w:ascii="等线" w:eastAsia="等线"/>
      <w:kern w:val="0"/>
      <w:sz w:val="20"/>
      <w:szCs w:val="20"/>
    </w:rPr>
  </w:style>
  <w:style w:type="paragraph" w:customStyle="1" w:styleId="154">
    <w:name w:val="列出段落2"/>
    <w:basedOn w:val="1"/>
    <w:qFormat/>
    <w:uiPriority w:val="34"/>
    <w:pPr>
      <w:ind w:firstLine="420" w:firstLineChars="200"/>
    </w:pPr>
  </w:style>
  <w:style w:type="paragraph" w:customStyle="1" w:styleId="155">
    <w:name w:val="xl4834"/>
    <w:basedOn w:val="1"/>
    <w:qFormat/>
    <w:uiPriority w:val="0"/>
    <w:pPr>
      <w:widowControl/>
      <w:shd w:val="clear" w:color="000000" w:fill="FFFFFF"/>
      <w:spacing w:before="100" w:beforeAutospacing="1" w:after="100" w:afterAutospacing="1"/>
      <w:jc w:val="left"/>
    </w:pPr>
    <w:rPr>
      <w:rFonts w:ascii="宋体" w:hAnsi="宋体" w:cs="宋体"/>
      <w:kern w:val="0"/>
      <w:sz w:val="24"/>
    </w:rPr>
  </w:style>
  <w:style w:type="paragraph" w:customStyle="1" w:styleId="156">
    <w:name w:val="xl482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157">
    <w:name w:val="xl4833"/>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58">
    <w:name w:val="标题 6（有编号）（安恒信息）"/>
    <w:basedOn w:val="1"/>
    <w:next w:val="1"/>
    <w:qFormat/>
    <w:uiPriority w:val="0"/>
    <w:pPr>
      <w:keepNext/>
      <w:keepLines/>
      <w:numPr>
        <w:ilvl w:val="5"/>
        <w:numId w:val="9"/>
      </w:numPr>
      <w:spacing w:before="240" w:after="64" w:line="319" w:lineRule="auto"/>
      <w:jc w:val="left"/>
      <w:outlineLvl w:val="5"/>
    </w:pPr>
    <w:rPr>
      <w:rFonts w:ascii="Arial" w:hAnsi="Arial" w:eastAsia="黑体"/>
      <w:b/>
      <w:kern w:val="0"/>
      <w:sz w:val="24"/>
    </w:rPr>
  </w:style>
  <w:style w:type="paragraph" w:customStyle="1" w:styleId="159">
    <w:name w:val="正文文本首行缩进1"/>
    <w:basedOn w:val="18"/>
    <w:qFormat/>
    <w:uiPriority w:val="0"/>
    <w:pPr>
      <w:ind w:firstLine="420" w:firstLineChars="100"/>
    </w:pPr>
    <w:rPr>
      <w:rFonts w:ascii="宋体" w:hAnsi="宋体" w:eastAsia="等线" w:cs="Times New Roman"/>
      <w:szCs w:val="22"/>
    </w:rPr>
  </w:style>
  <w:style w:type="paragraph" w:customStyle="1" w:styleId="160">
    <w:name w:val="RFI Heading 3rd Level"/>
    <w:basedOn w:val="1"/>
    <w:qFormat/>
    <w:uiPriority w:val="0"/>
    <w:pPr>
      <w:widowControl/>
      <w:tabs>
        <w:tab w:val="left" w:pos="720"/>
      </w:tabs>
      <w:ind w:left="720" w:hanging="720"/>
      <w:jc w:val="left"/>
    </w:pPr>
    <w:rPr>
      <w:rFonts w:ascii="Arial (W1)" w:hAnsi="Arial (W1)"/>
      <w:color w:val="000000"/>
      <w:kern w:val="0"/>
      <w:sz w:val="24"/>
      <w:lang w:eastAsia="en-US"/>
    </w:rPr>
  </w:style>
  <w:style w:type="paragraph" w:customStyle="1" w:styleId="161">
    <w:name w:val="xl48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b/>
      <w:bCs/>
      <w:kern w:val="0"/>
      <w:sz w:val="20"/>
      <w:szCs w:val="20"/>
    </w:rPr>
  </w:style>
  <w:style w:type="paragraph" w:customStyle="1" w:styleId="162">
    <w:name w:val="xl482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63">
    <w:name w:val="标题 4（安恒信息）"/>
    <w:basedOn w:val="7"/>
    <w:next w:val="1"/>
    <w:qFormat/>
    <w:uiPriority w:val="0"/>
    <w:pPr>
      <w:keepLines/>
      <w:numPr>
        <w:ilvl w:val="3"/>
        <w:numId w:val="9"/>
      </w:numPr>
      <w:tabs>
        <w:tab w:val="clear" w:pos="1680"/>
      </w:tabs>
      <w:spacing w:before="260" w:after="260" w:line="377" w:lineRule="auto"/>
      <w:jc w:val="left"/>
    </w:pPr>
    <w:rPr>
      <w:rFonts w:ascii="Arial"/>
      <w:szCs w:val="28"/>
    </w:rPr>
  </w:style>
  <w:style w:type="paragraph" w:customStyle="1" w:styleId="164">
    <w:name w:val="xl48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黑体" w:hAnsi="黑体" w:eastAsia="黑体" w:cs="宋体"/>
      <w:kern w:val="0"/>
      <w:sz w:val="20"/>
      <w:szCs w:val="20"/>
    </w:rPr>
  </w:style>
  <w:style w:type="paragraph" w:customStyle="1" w:styleId="165">
    <w:name w:val="样式"/>
    <w:basedOn w:val="1"/>
    <w:next w:val="20"/>
    <w:qFormat/>
    <w:uiPriority w:val="0"/>
    <w:pPr>
      <w:ind w:left="572" w:right="32" w:firstLine="478" w:firstLineChars="200"/>
      <w:jc w:val="left"/>
    </w:pPr>
    <w:rPr>
      <w:szCs w:val="21"/>
    </w:rPr>
  </w:style>
  <w:style w:type="paragraph" w:customStyle="1" w:styleId="166">
    <w:name w:val="xl482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167">
    <w:name w:val="样式 标题 2 + 宋体 小四"/>
    <w:basedOn w:val="5"/>
    <w:qFormat/>
    <w:uiPriority w:val="0"/>
    <w:pPr>
      <w:widowControl/>
      <w:numPr>
        <w:numId w:val="10"/>
      </w:numPr>
      <w:tabs>
        <w:tab w:val="left" w:pos="567"/>
        <w:tab w:val="left" w:pos="860"/>
        <w:tab w:val="clear" w:pos="1692"/>
      </w:tabs>
      <w:autoSpaceDE w:val="0"/>
      <w:autoSpaceDN w:val="0"/>
      <w:adjustRightInd w:val="0"/>
      <w:spacing w:before="0" w:after="120" w:line="480" w:lineRule="auto"/>
      <w:ind w:left="567" w:right="6"/>
      <w:textAlignment w:val="bottom"/>
    </w:pPr>
    <w:rPr>
      <w:rFonts w:ascii="宋体" w:hAnsi="宋体" w:eastAsia="宋体"/>
      <w:caps/>
      <w:kern w:val="0"/>
      <w:sz w:val="30"/>
      <w:szCs w:val="24"/>
    </w:rPr>
  </w:style>
  <w:style w:type="paragraph" w:customStyle="1" w:styleId="168">
    <w:name w:val="xl482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169">
    <w:name w:val="flName"/>
    <w:basedOn w:val="1"/>
    <w:qFormat/>
    <w:uiPriority w:val="0"/>
    <w:pPr>
      <w:adjustRightInd w:val="0"/>
      <w:spacing w:line="113" w:lineRule="atLeast"/>
      <w:jc w:val="center"/>
      <w:textAlignment w:val="baseline"/>
    </w:pPr>
    <w:rPr>
      <w:rFonts w:eastAsia="黑体"/>
      <w:b/>
      <w:kern w:val="0"/>
      <w:sz w:val="24"/>
      <w:szCs w:val="20"/>
    </w:rPr>
  </w:style>
  <w:style w:type="paragraph" w:customStyle="1" w:styleId="170">
    <w:name w:val="插图标注（安恒信息）"/>
    <w:next w:val="1"/>
    <w:qFormat/>
    <w:uiPriority w:val="0"/>
    <w:pPr>
      <w:numPr>
        <w:ilvl w:val="6"/>
        <w:numId w:val="9"/>
      </w:numPr>
      <w:spacing w:after="156"/>
      <w:jc w:val="center"/>
    </w:pPr>
    <w:rPr>
      <w:rFonts w:ascii="Arial" w:hAnsi="Arial" w:eastAsia="宋体" w:cs="Arial"/>
      <w:sz w:val="21"/>
      <w:szCs w:val="21"/>
      <w:lang w:val="en-US" w:eastAsia="zh-CN" w:bidi="ar-SA"/>
    </w:rPr>
  </w:style>
  <w:style w:type="paragraph" w:customStyle="1" w:styleId="171">
    <w:name w:val="表格标题"/>
    <w:next w:val="18"/>
    <w:qFormat/>
    <w:uiPriority w:val="0"/>
    <w:pPr>
      <w:spacing w:beforeLines="25" w:afterLines="25"/>
      <w:jc w:val="center"/>
      <w:textAlignment w:val="center"/>
    </w:pPr>
    <w:rPr>
      <w:rFonts w:ascii="Arial" w:hAnsi="Arial" w:eastAsia="微软雅黑" w:cs="Times New Roman"/>
      <w:b/>
      <w:color w:val="3B3838"/>
      <w:kern w:val="2"/>
      <w:sz w:val="21"/>
      <w:szCs w:val="21"/>
      <w:lang w:val="en-US" w:eastAsia="zh-CN" w:bidi="ar-SA"/>
    </w:rPr>
  </w:style>
  <w:style w:type="paragraph" w:customStyle="1" w:styleId="172">
    <w:name w:val="2"/>
    <w:basedOn w:val="1"/>
    <w:uiPriority w:val="0"/>
    <w:pPr>
      <w:widowControl/>
      <w:spacing w:before="100" w:beforeAutospacing="1" w:after="100" w:afterAutospacing="1"/>
      <w:jc w:val="left"/>
    </w:pPr>
    <w:rPr>
      <w:rFonts w:ascii="宋体" w:hAnsi="宋体" w:cs="宋体"/>
      <w:kern w:val="0"/>
      <w:sz w:val="24"/>
    </w:rPr>
  </w:style>
  <w:style w:type="paragraph" w:customStyle="1" w:styleId="173">
    <w:name w:val="列出段落1"/>
    <w:basedOn w:val="1"/>
    <w:qFormat/>
    <w:uiPriority w:val="0"/>
    <w:pPr>
      <w:ind w:firstLine="420" w:firstLineChars="200"/>
    </w:pPr>
    <w:rPr>
      <w:rFonts w:ascii="Calibri" w:hAnsi="Calibri" w:cs="黑体"/>
      <w:szCs w:val="22"/>
    </w:rPr>
  </w:style>
  <w:style w:type="paragraph" w:customStyle="1" w:styleId="174">
    <w:name w:val="standdate"/>
    <w:basedOn w:val="26"/>
    <w:qFormat/>
    <w:uiPriority w:val="0"/>
    <w:pPr>
      <w:pBdr>
        <w:top w:val="single" w:color="auto" w:sz="6" w:space="7"/>
      </w:pBdr>
      <w:adjustRightInd w:val="0"/>
      <w:snapToGrid/>
      <w:spacing w:line="240" w:lineRule="atLeast"/>
      <w:jc w:val="center"/>
      <w:textAlignment w:val="center"/>
    </w:pPr>
    <w:rPr>
      <w:rFonts w:ascii="黑体" w:eastAsia="黑体"/>
      <w:b/>
      <w:spacing w:val="-4"/>
      <w:sz w:val="21"/>
      <w:szCs w:val="20"/>
    </w:rPr>
  </w:style>
  <w:style w:type="paragraph" w:customStyle="1" w:styleId="175">
    <w:name w:val="xl48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b/>
      <w:bCs/>
      <w:kern w:val="0"/>
      <w:sz w:val="20"/>
      <w:szCs w:val="20"/>
    </w:rPr>
  </w:style>
  <w:style w:type="paragraph" w:customStyle="1" w:styleId="176">
    <w:name w:val="Char1"/>
    <w:basedOn w:val="8"/>
    <w:qFormat/>
    <w:uiPriority w:val="0"/>
    <w:pPr>
      <w:widowControl/>
      <w:numPr>
        <w:numId w:val="10"/>
      </w:numPr>
      <w:tabs>
        <w:tab w:val="left" w:pos="1724"/>
        <w:tab w:val="clear" w:pos="1692"/>
      </w:tabs>
      <w:adjustRightInd/>
      <w:spacing w:after="160" w:line="240" w:lineRule="exact"/>
      <w:ind w:left="1292" w:hanging="1008"/>
      <w:jc w:val="left"/>
      <w:textAlignment w:val="auto"/>
    </w:pPr>
    <w:rPr>
      <w:rFonts w:ascii="Verdana" w:hAnsi="Verdana" w:eastAsia="宋体"/>
      <w:bCs/>
      <w:sz w:val="20"/>
      <w:lang w:eastAsia="en-US"/>
    </w:rPr>
  </w:style>
  <w:style w:type="paragraph" w:customStyle="1" w:styleId="177">
    <w:name w:val="xl48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78">
    <w:name w:val="列出段落5"/>
    <w:basedOn w:val="1"/>
    <w:next w:val="94"/>
    <w:qFormat/>
    <w:uiPriority w:val="34"/>
    <w:pPr>
      <w:ind w:firstLine="420" w:firstLineChars="200"/>
    </w:pPr>
    <w:rPr>
      <w:rFonts w:ascii="等线" w:hAnsi="等线" w:eastAsia="等线" w:cs="Times New Roman"/>
      <w:szCs w:val="22"/>
    </w:rPr>
  </w:style>
  <w:style w:type="paragraph" w:customStyle="1" w:styleId="179">
    <w:name w:val="目录 81"/>
    <w:basedOn w:val="1"/>
    <w:next w:val="1"/>
    <w:unhideWhenUsed/>
    <w:qFormat/>
    <w:uiPriority w:val="39"/>
    <w:pPr>
      <w:widowControl/>
      <w:ind w:left="1680"/>
      <w:jc w:val="left"/>
    </w:pPr>
    <w:rPr>
      <w:rFonts w:ascii="等线" w:eastAsia="等线"/>
      <w:kern w:val="0"/>
      <w:sz w:val="20"/>
      <w:szCs w:val="20"/>
    </w:rPr>
  </w:style>
  <w:style w:type="paragraph" w:customStyle="1" w:styleId="180">
    <w:name w:val="列表段落1"/>
    <w:basedOn w:val="1"/>
    <w:qFormat/>
    <w:uiPriority w:val="0"/>
    <w:pPr>
      <w:ind w:firstLine="420" w:firstLineChars="200"/>
    </w:pPr>
    <w:rPr>
      <w:rFonts w:ascii="Calibri" w:hAnsi="Calibri" w:cs="Times New Roman"/>
      <w:szCs w:val="22"/>
    </w:rPr>
  </w:style>
  <w:style w:type="paragraph" w:customStyle="1" w:styleId="181">
    <w:name w:val="xl48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82">
    <w:name w:val="33-1级列表编号-1"/>
    <w:basedOn w:val="1"/>
    <w:next w:val="1"/>
    <w:qFormat/>
    <w:uiPriority w:val="0"/>
    <w:pPr>
      <w:adjustRightInd w:val="0"/>
      <w:spacing w:line="360" w:lineRule="exact"/>
      <w:ind w:left="840" w:hanging="420"/>
    </w:pPr>
  </w:style>
  <w:style w:type="paragraph" w:customStyle="1" w:styleId="183">
    <w:name w:val="图例编号"/>
    <w:basedOn w:val="1"/>
    <w:next w:val="13"/>
    <w:qFormat/>
    <w:uiPriority w:val="0"/>
    <w:pPr>
      <w:spacing w:after="156" w:afterLines="50" w:line="300" w:lineRule="auto"/>
      <w:jc w:val="center"/>
    </w:pPr>
    <w:rPr>
      <w:sz w:val="24"/>
      <w:szCs w:val="20"/>
    </w:rPr>
  </w:style>
  <w:style w:type="paragraph" w:customStyle="1" w:styleId="184">
    <w:name w:val="表格文字"/>
    <w:qFormat/>
    <w:uiPriority w:val="0"/>
    <w:pPr>
      <w:widowControl w:val="0"/>
      <w:jc w:val="both"/>
      <w:textAlignment w:val="center"/>
    </w:pPr>
    <w:rPr>
      <w:rFonts w:ascii="Arial" w:hAnsi="Arial" w:eastAsia="微软雅黑" w:cs="Times New Roman"/>
      <w:sz w:val="21"/>
      <w:szCs w:val="22"/>
      <w:lang w:val="en-US" w:eastAsia="zh-CN" w:bidi="ar-SA"/>
    </w:rPr>
  </w:style>
  <w:style w:type="paragraph" w:customStyle="1" w:styleId="185">
    <w:name w:val="xl483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86">
    <w:name w:val="表格标注（安恒信息）"/>
    <w:basedOn w:val="170"/>
    <w:next w:val="1"/>
    <w:qFormat/>
    <w:uiPriority w:val="0"/>
    <w:pPr>
      <w:numPr>
        <w:ilvl w:val="7"/>
        <w:numId w:val="9"/>
      </w:numPr>
    </w:pPr>
  </w:style>
  <w:style w:type="paragraph" w:customStyle="1" w:styleId="187">
    <w:name w:val="xl48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88">
    <w:name w:val="_Style 1"/>
    <w:basedOn w:val="1"/>
    <w:qFormat/>
    <w:uiPriority w:val="0"/>
    <w:pPr>
      <w:ind w:firstLine="420" w:firstLineChars="200"/>
    </w:pPr>
    <w:rPr>
      <w:rFonts w:ascii="Calibri" w:hAnsi="Calibri" w:eastAsia="等线" w:cs="Times New Roman"/>
      <w:szCs w:val="22"/>
    </w:rPr>
  </w:style>
  <w:style w:type="paragraph" w:customStyle="1" w:styleId="189">
    <w:name w:val="xl48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90">
    <w:name w:val="xl4841"/>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91">
    <w:name w:val="xl480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92">
    <w:name w:val="xl483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93">
    <w:name w:val="xl4805"/>
    <w:basedOn w:val="1"/>
    <w:qFormat/>
    <w:uiPriority w:val="0"/>
    <w:pPr>
      <w:widowControl/>
      <w:spacing w:before="100" w:beforeAutospacing="1" w:after="100" w:afterAutospacing="1"/>
      <w:jc w:val="left"/>
    </w:pPr>
    <w:rPr>
      <w:rFonts w:ascii="宋体" w:hAnsi="宋体" w:cs="宋体"/>
      <w:kern w:val="0"/>
      <w:sz w:val="24"/>
    </w:rPr>
  </w:style>
  <w:style w:type="paragraph" w:customStyle="1" w:styleId="194">
    <w:name w:val="xl4802"/>
    <w:basedOn w:val="1"/>
    <w:qFormat/>
    <w:uiPriority w:val="0"/>
    <w:pPr>
      <w:widowControl/>
      <w:spacing w:before="100" w:beforeAutospacing="1" w:after="100" w:afterAutospacing="1"/>
      <w:jc w:val="center"/>
    </w:pPr>
    <w:rPr>
      <w:rFonts w:ascii="宋体" w:hAnsi="宋体" w:cs="宋体"/>
      <w:kern w:val="0"/>
      <w:sz w:val="24"/>
    </w:rPr>
  </w:style>
  <w:style w:type="paragraph" w:customStyle="1" w:styleId="195">
    <w:name w:val="彩色底纹 - 强调文字颜色 11"/>
    <w:unhideWhenUsed/>
    <w:qFormat/>
    <w:uiPriority w:val="99"/>
    <w:rPr>
      <w:rFonts w:ascii="Times New Roman" w:hAnsi="Times New Roman" w:eastAsia="宋体" w:cs="Times New Roman"/>
      <w:kern w:val="2"/>
      <w:sz w:val="21"/>
      <w:szCs w:val="24"/>
      <w:lang w:val="en-US" w:eastAsia="zh-CN" w:bidi="ar-SA"/>
    </w:rPr>
  </w:style>
  <w:style w:type="paragraph" w:customStyle="1" w:styleId="196">
    <w:name w:val="1样式-正文"/>
    <w:basedOn w:val="1"/>
    <w:qFormat/>
    <w:uiPriority w:val="0"/>
    <w:pPr>
      <w:spacing w:line="360" w:lineRule="auto"/>
      <w:ind w:firstLine="482"/>
      <w:jc w:val="left"/>
    </w:pPr>
    <w:rPr>
      <w:rFonts w:ascii="Calibri" w:hAnsi="Calibri" w:cs="黑体"/>
      <w:bCs/>
      <w:szCs w:val="21"/>
      <w:lang w:val="zh-CN"/>
    </w:rPr>
  </w:style>
  <w:style w:type="paragraph" w:customStyle="1" w:styleId="197">
    <w:name w:val="Item List"/>
    <w:basedOn w:val="1"/>
    <w:qFormat/>
    <w:uiPriority w:val="0"/>
    <w:pPr>
      <w:numPr>
        <w:ilvl w:val="0"/>
        <w:numId w:val="11"/>
      </w:numPr>
      <w:spacing w:line="180" w:lineRule="auto"/>
      <w:ind w:left="237" w:hanging="237" w:hangingChars="158"/>
    </w:pPr>
    <w:rPr>
      <w:rFonts w:ascii="Arial" w:hAnsi="Arial"/>
      <w:kern w:val="0"/>
      <w:sz w:val="15"/>
      <w:szCs w:val="15"/>
    </w:rPr>
  </w:style>
  <w:style w:type="paragraph" w:customStyle="1" w:styleId="198">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0"/>
      <w:szCs w:val="20"/>
    </w:rPr>
  </w:style>
  <w:style w:type="paragraph" w:customStyle="1" w:styleId="199">
    <w:name w:val="xl483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200">
    <w:name w:val="目录 41"/>
    <w:basedOn w:val="1"/>
    <w:next w:val="1"/>
    <w:unhideWhenUsed/>
    <w:qFormat/>
    <w:uiPriority w:val="39"/>
    <w:pPr>
      <w:widowControl/>
      <w:ind w:left="720"/>
      <w:jc w:val="left"/>
    </w:pPr>
    <w:rPr>
      <w:rFonts w:ascii="等线" w:eastAsia="等线"/>
      <w:kern w:val="0"/>
      <w:sz w:val="20"/>
      <w:szCs w:val="20"/>
    </w:rPr>
  </w:style>
  <w:style w:type="paragraph" w:customStyle="1" w:styleId="201">
    <w:name w:val="*正文"/>
    <w:basedOn w:val="1"/>
    <w:qFormat/>
    <w:uiPriority w:val="0"/>
    <w:pPr>
      <w:widowControl/>
      <w:adjustRightInd w:val="0"/>
      <w:snapToGrid w:val="0"/>
      <w:spacing w:line="360" w:lineRule="auto"/>
      <w:ind w:firstLine="200" w:firstLineChars="200"/>
    </w:pPr>
    <w:rPr>
      <w:rFonts w:ascii="宋体" w:hAnsi="宋体"/>
      <w:kern w:val="0"/>
      <w:sz w:val="24"/>
      <w:szCs w:val="20"/>
    </w:rPr>
  </w:style>
  <w:style w:type="paragraph" w:customStyle="1" w:styleId="202">
    <w:name w:val="TOC 标题1"/>
    <w:basedOn w:val="4"/>
    <w:next w:val="1"/>
    <w:unhideWhenUsed/>
    <w:qFormat/>
    <w:uiPriority w:val="39"/>
    <w:pPr>
      <w:widowControl/>
      <w:spacing w:before="480" w:after="0" w:line="276" w:lineRule="auto"/>
      <w:ind w:left="0" w:firstLine="0"/>
      <w:jc w:val="left"/>
      <w:outlineLvl w:val="9"/>
    </w:pPr>
    <w:rPr>
      <w:rFonts w:ascii="等线 Light" w:hAnsi="等线 Light" w:eastAsia="等线 Light" w:cs="Times New Roman"/>
      <w:color w:val="2E74B5"/>
      <w:kern w:val="0"/>
      <w:sz w:val="28"/>
      <w:szCs w:val="28"/>
    </w:rPr>
  </w:style>
  <w:style w:type="paragraph" w:customStyle="1" w:styleId="203">
    <w:name w:val="标题 2（安恒信息）"/>
    <w:basedOn w:val="5"/>
    <w:next w:val="1"/>
    <w:qFormat/>
    <w:uiPriority w:val="0"/>
    <w:pPr>
      <w:numPr>
        <w:ilvl w:val="1"/>
        <w:numId w:val="9"/>
      </w:numPr>
      <w:tabs>
        <w:tab w:val="left" w:pos="360"/>
        <w:tab w:val="left" w:pos="540"/>
        <w:tab w:val="clear" w:pos="1692"/>
      </w:tabs>
      <w:spacing w:line="415" w:lineRule="auto"/>
      <w:jc w:val="left"/>
    </w:pPr>
    <w:rPr>
      <w:bCs w:val="0"/>
    </w:rPr>
  </w:style>
  <w:style w:type="paragraph" w:customStyle="1" w:styleId="204">
    <w:name w:val="xl48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205">
    <w:name w:val="正文1"/>
    <w:basedOn w:val="1"/>
    <w:qFormat/>
    <w:uiPriority w:val="0"/>
    <w:pPr>
      <w:widowControl/>
      <w:spacing w:before="120" w:after="120"/>
      <w:ind w:firstLine="454"/>
      <w:jc w:val="left"/>
    </w:pPr>
    <w:rPr>
      <w:rFonts w:ascii="Arial" w:hAnsi="Arial" w:cs="Arial"/>
      <w:kern w:val="0"/>
      <w:sz w:val="22"/>
      <w:szCs w:val="22"/>
    </w:rPr>
  </w:style>
  <w:style w:type="paragraph" w:customStyle="1" w:styleId="206">
    <w:name w:val="xl481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07">
    <w:name w:val="样式 标题 3H3l3CTh33rd levelHeading 3 - old3章标题1sect1.2.3h..."/>
    <w:basedOn w:val="6"/>
    <w:qFormat/>
    <w:uiPriority w:val="0"/>
    <w:pPr>
      <w:numPr>
        <w:ilvl w:val="0"/>
        <w:numId w:val="0"/>
      </w:numPr>
      <w:tabs>
        <w:tab w:val="left" w:pos="720"/>
        <w:tab w:val="left" w:pos="1698"/>
      </w:tabs>
      <w:spacing w:line="413" w:lineRule="auto"/>
      <w:ind w:left="1146" w:hanging="720"/>
    </w:pPr>
    <w:rPr>
      <w:bCs/>
      <w:color w:val="339966"/>
      <w:kern w:val="2"/>
      <w:szCs w:val="28"/>
      <w:lang w:val="en-US" w:eastAsia="zh-CN"/>
    </w:rPr>
  </w:style>
  <w:style w:type="paragraph" w:customStyle="1" w:styleId="208">
    <w:name w:val="目录 91"/>
    <w:basedOn w:val="1"/>
    <w:next w:val="1"/>
    <w:unhideWhenUsed/>
    <w:qFormat/>
    <w:uiPriority w:val="39"/>
    <w:pPr>
      <w:widowControl/>
      <w:ind w:left="1920"/>
      <w:jc w:val="left"/>
    </w:pPr>
    <w:rPr>
      <w:rFonts w:ascii="等线" w:eastAsia="等线"/>
      <w:kern w:val="0"/>
      <w:sz w:val="20"/>
      <w:szCs w:val="20"/>
    </w:rPr>
  </w:style>
  <w:style w:type="paragraph" w:customStyle="1" w:styleId="209">
    <w:name w:val="xl482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210">
    <w:name w:val="xl4804"/>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211">
    <w:name w:val="xl48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kern w:val="0"/>
      <w:sz w:val="20"/>
      <w:szCs w:val="20"/>
    </w:rPr>
  </w:style>
  <w:style w:type="paragraph" w:customStyle="1" w:styleId="212">
    <w:name w:val="xl48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kern w:val="0"/>
      <w:sz w:val="20"/>
      <w:szCs w:val="20"/>
    </w:rPr>
  </w:style>
  <w:style w:type="paragraph" w:customStyle="1" w:styleId="213">
    <w:name w:val="xl48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214">
    <w:name w:val="xl483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215">
    <w:name w:val="xl48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黑体" w:hAnsi="黑体" w:eastAsia="黑体" w:cs="宋体"/>
      <w:b/>
      <w:bCs/>
      <w:kern w:val="0"/>
      <w:sz w:val="20"/>
      <w:szCs w:val="20"/>
    </w:rPr>
  </w:style>
  <w:style w:type="paragraph" w:customStyle="1" w:styleId="216">
    <w:name w:val="标题7"/>
    <w:basedOn w:val="10"/>
    <w:qFormat/>
    <w:uiPriority w:val="0"/>
    <w:pPr>
      <w:numPr>
        <w:ilvl w:val="0"/>
        <w:numId w:val="0"/>
      </w:numPr>
      <w:tabs>
        <w:tab w:val="left" w:pos="1296"/>
      </w:tabs>
      <w:adjustRightInd/>
      <w:spacing w:line="320" w:lineRule="auto"/>
      <w:textAlignment w:val="auto"/>
    </w:pPr>
    <w:rPr>
      <w:rFonts w:ascii="Arial" w:hAnsi="Arial" w:cs="宋体"/>
      <w:szCs w:val="21"/>
    </w:rPr>
  </w:style>
  <w:style w:type="paragraph" w:customStyle="1" w:styleId="217">
    <w:name w:val="xl482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kern w:val="0"/>
      <w:sz w:val="20"/>
      <w:szCs w:val="20"/>
    </w:rPr>
  </w:style>
  <w:style w:type="paragraph" w:customStyle="1" w:styleId="218">
    <w:name w:val="无间隔1"/>
    <w:qFormat/>
    <w:uiPriority w:val="0"/>
    <w:pPr>
      <w:widowControl w:val="0"/>
      <w:spacing w:line="360" w:lineRule="auto"/>
      <w:jc w:val="both"/>
    </w:pPr>
    <w:rPr>
      <w:rFonts w:ascii="Times New Roman" w:hAnsi="Times New Roman" w:eastAsia="宋体" w:cs="Times New Roman"/>
      <w:kern w:val="2"/>
      <w:sz w:val="21"/>
      <w:szCs w:val="22"/>
      <w:lang w:val="en-US" w:eastAsia="zh-CN" w:bidi="ar-SA"/>
    </w:rPr>
  </w:style>
  <w:style w:type="paragraph" w:customStyle="1" w:styleId="219">
    <w:name w:val="目录 61"/>
    <w:basedOn w:val="1"/>
    <w:next w:val="1"/>
    <w:unhideWhenUsed/>
    <w:qFormat/>
    <w:uiPriority w:val="39"/>
    <w:pPr>
      <w:widowControl/>
      <w:ind w:left="1200"/>
      <w:jc w:val="left"/>
    </w:pPr>
    <w:rPr>
      <w:rFonts w:ascii="等线" w:eastAsia="等线"/>
      <w:kern w:val="0"/>
      <w:sz w:val="20"/>
      <w:szCs w:val="20"/>
    </w:rPr>
  </w:style>
  <w:style w:type="paragraph" w:customStyle="1" w:styleId="220">
    <w:name w:val="目录 31"/>
    <w:basedOn w:val="1"/>
    <w:next w:val="1"/>
    <w:unhideWhenUsed/>
    <w:qFormat/>
    <w:uiPriority w:val="39"/>
    <w:pPr>
      <w:widowControl/>
      <w:ind w:left="480"/>
      <w:jc w:val="left"/>
    </w:pPr>
    <w:rPr>
      <w:rFonts w:ascii="等线" w:eastAsia="等线"/>
      <w:kern w:val="0"/>
      <w:sz w:val="22"/>
      <w:szCs w:val="22"/>
    </w:rPr>
  </w:style>
  <w:style w:type="paragraph" w:customStyle="1" w:styleId="221">
    <w:name w:val="标题 3（安恒信息）"/>
    <w:basedOn w:val="6"/>
    <w:next w:val="1"/>
    <w:qFormat/>
    <w:uiPriority w:val="0"/>
    <w:pPr>
      <w:numPr>
        <w:ilvl w:val="2"/>
        <w:numId w:val="9"/>
      </w:numPr>
      <w:tabs>
        <w:tab w:val="left" w:pos="960"/>
        <w:tab w:val="clear" w:pos="1692"/>
      </w:tabs>
      <w:spacing w:line="415" w:lineRule="auto"/>
      <w:jc w:val="left"/>
    </w:pPr>
    <w:rPr>
      <w:rFonts w:ascii="Arial" w:hAnsi="Arial" w:eastAsia="黑体"/>
      <w:sz w:val="30"/>
      <w:szCs w:val="30"/>
    </w:rPr>
  </w:style>
  <w:style w:type="paragraph" w:customStyle="1" w:styleId="222">
    <w:name w:val="xl483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223">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224">
    <w:name w:val="xl4803"/>
    <w:basedOn w:val="1"/>
    <w:qFormat/>
    <w:uiPriority w:val="0"/>
    <w:pPr>
      <w:widowControl/>
      <w:spacing w:before="100" w:beforeAutospacing="1" w:after="100" w:afterAutospacing="1"/>
      <w:jc w:val="left"/>
    </w:pPr>
    <w:rPr>
      <w:rFonts w:ascii="宋体" w:hAnsi="宋体" w:cs="宋体"/>
      <w:kern w:val="0"/>
      <w:sz w:val="24"/>
    </w:rPr>
  </w:style>
  <w:style w:type="paragraph" w:customStyle="1" w:styleId="225">
    <w:name w:val="目录 51"/>
    <w:basedOn w:val="1"/>
    <w:next w:val="1"/>
    <w:unhideWhenUsed/>
    <w:qFormat/>
    <w:uiPriority w:val="39"/>
    <w:pPr>
      <w:widowControl/>
      <w:ind w:left="960"/>
      <w:jc w:val="left"/>
    </w:pPr>
    <w:rPr>
      <w:rFonts w:ascii="等线" w:eastAsia="等线"/>
      <w:kern w:val="0"/>
      <w:sz w:val="20"/>
      <w:szCs w:val="20"/>
    </w:rPr>
  </w:style>
  <w:style w:type="paragraph" w:customStyle="1" w:styleId="226">
    <w:name w:val="xl4840"/>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table" w:customStyle="1" w:styleId="227">
    <w:name w:val="网格型1"/>
    <w:basedOn w:val="37"/>
    <w:qFormat/>
    <w:uiPriority w:val="39"/>
    <w:rPr>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8">
    <w:name w:val="网格型2"/>
    <w:basedOn w:val="37"/>
    <w:qFormat/>
    <w:uiPriority w:val="0"/>
    <w:rPr>
      <w:rFonts w:ascii="Arial" w:hAnsi="Arial" w:eastAsia="黑体"/>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9">
    <w:name w:val="正文2"/>
    <w:basedOn w:val="1"/>
    <w:qFormat/>
    <w:uiPriority w:val="0"/>
    <w:pPr>
      <w:widowControl/>
      <w:adjustRightInd w:val="0"/>
      <w:spacing w:after="60" w:line="360" w:lineRule="atLeast"/>
      <w:ind w:left="57" w:right="57"/>
      <w:jc w:val="center"/>
      <w:textAlignment w:val="baseline"/>
    </w:pPr>
    <w:rPr>
      <w:rFonts w:ascii="Tms Rmn" w:hAnsi="System" w:eastAsia="仿宋"/>
      <w:kern w:val="0"/>
      <w:sz w:val="24"/>
      <w:szCs w:val="22"/>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18</Pages>
  <Words>11241</Words>
  <Characters>11790</Characters>
  <Lines>525</Lines>
  <Paragraphs>148</Paragraphs>
  <TotalTime>0</TotalTime>
  <ScaleCrop>false</ScaleCrop>
  <LinksUpToDate>false</LinksUpToDate>
  <CharactersWithSpaces>11830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2021-03-26T03:58:00Z</dcterms:created>
  <dc:creator>Sky123.Org</dc:creator>
  <cp:lastModifiedBy>DZ</cp:lastModifiedBy>
  <cp:lastPrinted>2024-05-15T02:16:00Z</cp:lastPrinted>
  <dcterms:modified xsi:type="dcterms:W3CDTF">2024-07-10T07:51:52Z</dcterms:modified>
  <dc:title>松江区公共交通智能化应用示范项目</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D9966749ACB543CBBEFA5CD6A2F8BAE8_13</vt:lpwstr>
  </property>
</Properties>
</file>