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D37AA">
      <w:pPr>
        <w:jc w:val="center"/>
        <w:rPr>
          <w:b/>
          <w:bCs/>
          <w:sz w:val="36"/>
          <w:szCs w:val="36"/>
          <w:highlight w:val="none"/>
        </w:rPr>
      </w:pPr>
      <w:r>
        <w:rPr>
          <w:rFonts w:hint="eastAsia"/>
          <w:b/>
          <w:bCs/>
          <w:sz w:val="36"/>
          <w:szCs w:val="36"/>
          <w:highlight w:val="none"/>
        </w:rPr>
        <w:t>练西公路警务站LED屏采购项目招标需求</w:t>
      </w:r>
    </w:p>
    <w:p w14:paraId="6B9EE57B">
      <w:pPr>
        <w:autoSpaceDE w:val="0"/>
        <w:autoSpaceDN w:val="0"/>
        <w:adjustRightInd w:val="0"/>
        <w:spacing w:before="199" w:line="288" w:lineRule="auto"/>
        <w:jc w:val="left"/>
        <w:rPr>
          <w:rFonts w:cs="宋体"/>
          <w:b/>
          <w:bCs/>
          <w:sz w:val="21"/>
          <w:szCs w:val="21"/>
          <w:highlight w:val="none"/>
        </w:rPr>
      </w:pPr>
      <w:r>
        <w:rPr>
          <w:rFonts w:hint="eastAsia" w:cs="宋体"/>
          <w:b/>
          <w:bCs/>
          <w:sz w:val="21"/>
          <w:szCs w:val="21"/>
          <w:highlight w:val="none"/>
        </w:rPr>
        <w:t>项目要求：</w:t>
      </w:r>
    </w:p>
    <w:p w14:paraId="0D3F477A">
      <w:pPr>
        <w:autoSpaceDE w:val="0"/>
        <w:autoSpaceDN w:val="0"/>
        <w:adjustRightInd w:val="0"/>
        <w:spacing w:line="288" w:lineRule="auto"/>
        <w:rPr>
          <w:rFonts w:cs="宋体"/>
          <w:spacing w:val="1"/>
          <w:sz w:val="21"/>
          <w:szCs w:val="21"/>
          <w:highlight w:val="none"/>
        </w:rPr>
      </w:pPr>
      <w:r>
        <w:rPr>
          <w:rFonts w:hint="eastAsia" w:cs="宋体"/>
          <w:sz w:val="21"/>
          <w:szCs w:val="21"/>
          <w:highlight w:val="none"/>
        </w:rPr>
        <w:t>1 本项目专门面向中小企业采购</w:t>
      </w:r>
      <w:r>
        <w:rPr>
          <w:rFonts w:hint="eastAsia" w:cs="宋体"/>
          <w:spacing w:val="1"/>
          <w:sz w:val="21"/>
          <w:szCs w:val="21"/>
          <w:highlight w:val="none"/>
        </w:rPr>
        <w:t>；</w:t>
      </w:r>
    </w:p>
    <w:p w14:paraId="1121FB5A">
      <w:pPr>
        <w:autoSpaceDE w:val="0"/>
        <w:autoSpaceDN w:val="0"/>
        <w:adjustRightInd w:val="0"/>
        <w:spacing w:line="288" w:lineRule="auto"/>
        <w:rPr>
          <w:rFonts w:cs="宋体"/>
          <w:spacing w:val="1"/>
          <w:sz w:val="21"/>
          <w:szCs w:val="21"/>
          <w:highlight w:val="none"/>
        </w:rPr>
      </w:pPr>
      <w:r>
        <w:rPr>
          <w:rFonts w:hint="eastAsia" w:cs="宋体"/>
          <w:sz w:val="21"/>
          <w:szCs w:val="21"/>
          <w:highlight w:val="none"/>
        </w:rPr>
        <w:t xml:space="preserve">2 </w:t>
      </w:r>
      <w:r>
        <w:rPr>
          <w:rFonts w:hint="eastAsia" w:cs="宋体"/>
          <w:spacing w:val="1"/>
          <w:sz w:val="21"/>
          <w:szCs w:val="21"/>
          <w:highlight w:val="none"/>
        </w:rPr>
        <w:t>采购预算为</w:t>
      </w:r>
      <w:r>
        <w:rPr>
          <w:rFonts w:hint="eastAsia" w:cs="宋体"/>
          <w:sz w:val="21"/>
          <w:szCs w:val="21"/>
          <w:highlight w:val="none"/>
          <w:u w:val="single"/>
        </w:rPr>
        <w:t>1324750</w:t>
      </w:r>
      <w:r>
        <w:rPr>
          <w:rFonts w:hint="eastAsia" w:cs="宋体"/>
          <w:spacing w:val="1"/>
          <w:sz w:val="21"/>
          <w:szCs w:val="21"/>
          <w:highlight w:val="none"/>
          <w:u w:val="single"/>
        </w:rPr>
        <w:t>元人民币</w:t>
      </w:r>
      <w:r>
        <w:rPr>
          <w:rFonts w:hint="eastAsia" w:cs="宋体"/>
          <w:spacing w:val="1"/>
          <w:sz w:val="21"/>
          <w:szCs w:val="21"/>
          <w:highlight w:val="none"/>
        </w:rPr>
        <w:t>，超过采购预算的报价不予接受；</w:t>
      </w:r>
    </w:p>
    <w:p w14:paraId="6CA5CC36">
      <w:pPr>
        <w:spacing w:line="288" w:lineRule="auto"/>
        <w:jc w:val="left"/>
        <w:rPr>
          <w:rFonts w:cs="宋体"/>
          <w:sz w:val="21"/>
          <w:szCs w:val="21"/>
          <w:highlight w:val="none"/>
        </w:rPr>
      </w:pPr>
      <w:r>
        <w:rPr>
          <w:rFonts w:hint="eastAsia" w:cs="宋体"/>
          <w:spacing w:val="1"/>
          <w:sz w:val="21"/>
          <w:szCs w:val="21"/>
          <w:highlight w:val="none"/>
        </w:rPr>
        <w:t xml:space="preserve">3 </w:t>
      </w:r>
      <w:r>
        <w:rPr>
          <w:rFonts w:hint="eastAsia" w:cs="宋体"/>
          <w:kern w:val="0"/>
          <w:sz w:val="21"/>
          <w:szCs w:val="21"/>
          <w:highlight w:val="none"/>
        </w:rPr>
        <w:t>交付日期：</w:t>
      </w:r>
      <w:r>
        <w:rPr>
          <w:rFonts w:hint="eastAsia" w:cs="宋体"/>
          <w:sz w:val="21"/>
          <w:szCs w:val="21"/>
          <w:highlight w:val="none"/>
        </w:rPr>
        <w:t>合同签订后</w:t>
      </w:r>
      <w:r>
        <w:rPr>
          <w:rFonts w:hint="eastAsia" w:cs="宋体"/>
          <w:sz w:val="21"/>
          <w:szCs w:val="21"/>
          <w:highlight w:val="none"/>
          <w:lang w:val="en-US" w:eastAsia="zh-CN"/>
        </w:rPr>
        <w:t>15</w:t>
      </w:r>
      <w:r>
        <w:rPr>
          <w:rFonts w:hint="eastAsia" w:cs="宋体"/>
          <w:sz w:val="21"/>
          <w:szCs w:val="21"/>
          <w:highlight w:val="none"/>
        </w:rPr>
        <w:t>个日历天内交付，并完成设备安装调试。</w:t>
      </w:r>
    </w:p>
    <w:p w14:paraId="0B006AA0">
      <w:pPr>
        <w:spacing w:line="288" w:lineRule="auto"/>
        <w:jc w:val="left"/>
        <w:rPr>
          <w:rFonts w:cs="宋体"/>
          <w:sz w:val="21"/>
          <w:szCs w:val="21"/>
          <w:highlight w:val="none"/>
        </w:rPr>
      </w:pPr>
      <w:r>
        <w:rPr>
          <w:rFonts w:hint="eastAsia" w:cs="宋体"/>
          <w:spacing w:val="1"/>
          <w:sz w:val="21"/>
          <w:szCs w:val="21"/>
          <w:highlight w:val="none"/>
        </w:rPr>
        <w:t>4</w:t>
      </w:r>
      <w:r>
        <w:rPr>
          <w:rFonts w:hint="eastAsia" w:cs="宋体"/>
          <w:sz w:val="21"/>
          <w:szCs w:val="21"/>
          <w:highlight w:val="none"/>
        </w:rPr>
        <w:t>质保期：自验收合格后不少于3年。</w:t>
      </w:r>
    </w:p>
    <w:p w14:paraId="4896ABE9">
      <w:pPr>
        <w:spacing w:line="288" w:lineRule="auto"/>
        <w:jc w:val="left"/>
        <w:rPr>
          <w:rFonts w:cs="宋体"/>
          <w:sz w:val="21"/>
          <w:szCs w:val="21"/>
          <w:highlight w:val="none"/>
        </w:rPr>
      </w:pPr>
      <w:r>
        <w:rPr>
          <w:rFonts w:hint="eastAsia" w:cs="宋体"/>
          <w:spacing w:val="1"/>
          <w:sz w:val="21"/>
          <w:szCs w:val="21"/>
          <w:highlight w:val="none"/>
        </w:rPr>
        <w:t xml:space="preserve">5 </w:t>
      </w:r>
      <w:r>
        <w:rPr>
          <w:rFonts w:hint="eastAsia" w:cs="宋体"/>
          <w:sz w:val="21"/>
          <w:szCs w:val="21"/>
          <w:highlight w:val="none"/>
        </w:rPr>
        <w:t>交付地点：采购人指定地点。</w:t>
      </w:r>
    </w:p>
    <w:p w14:paraId="59504AF9">
      <w:pPr>
        <w:spacing w:line="288" w:lineRule="auto"/>
        <w:jc w:val="left"/>
        <w:rPr>
          <w:rFonts w:cs="宋体"/>
          <w:sz w:val="21"/>
          <w:szCs w:val="21"/>
          <w:highlight w:val="none"/>
        </w:rPr>
      </w:pPr>
      <w:r>
        <w:rPr>
          <w:rFonts w:hint="eastAsia" w:cs="宋体"/>
          <w:sz w:val="21"/>
          <w:szCs w:val="21"/>
          <w:highlight w:val="none"/>
        </w:rPr>
        <w:t>7投标实样要求。</w:t>
      </w:r>
    </w:p>
    <w:p w14:paraId="320A8F66">
      <w:pPr>
        <w:spacing w:line="288" w:lineRule="auto"/>
        <w:jc w:val="left"/>
        <w:rPr>
          <w:rFonts w:cs="宋体"/>
          <w:spacing w:val="1"/>
          <w:sz w:val="21"/>
          <w:szCs w:val="21"/>
          <w:highlight w:val="none"/>
        </w:rPr>
      </w:pPr>
      <w:r>
        <w:rPr>
          <w:rFonts w:hint="eastAsia" w:cs="宋体"/>
          <w:b/>
          <w:bCs/>
          <w:spacing w:val="1"/>
          <w:sz w:val="21"/>
          <w:szCs w:val="21"/>
          <w:highlight w:val="none"/>
        </w:rPr>
        <w:t>1）投标实样送达地点：</w:t>
      </w:r>
      <w:r>
        <w:rPr>
          <w:rFonts w:hint="eastAsia" w:cs="宋体"/>
          <w:spacing w:val="1"/>
          <w:szCs w:val="21"/>
          <w:highlight w:val="none"/>
        </w:rPr>
        <w:t>青浦区西管水（果园路5号）。联系人：蔡卫忠13816689827</w:t>
      </w:r>
    </w:p>
    <w:p w14:paraId="181A3FFA">
      <w:pPr>
        <w:spacing w:line="288" w:lineRule="auto"/>
        <w:jc w:val="left"/>
        <w:rPr>
          <w:rFonts w:cs="宋体"/>
          <w:b/>
          <w:bCs/>
          <w:spacing w:val="1"/>
          <w:sz w:val="21"/>
          <w:szCs w:val="21"/>
          <w:highlight w:val="none"/>
        </w:rPr>
      </w:pPr>
      <w:r>
        <w:rPr>
          <w:rFonts w:hint="eastAsia" w:cs="宋体"/>
          <w:b/>
          <w:bCs/>
          <w:spacing w:val="1"/>
          <w:sz w:val="21"/>
          <w:szCs w:val="21"/>
          <w:highlight w:val="none"/>
        </w:rPr>
        <w:t>2）演示设备清单（包含硬件设备）</w:t>
      </w:r>
    </w:p>
    <w:tbl>
      <w:tblPr>
        <w:tblStyle w:val="13"/>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767"/>
        <w:gridCol w:w="1769"/>
        <w:gridCol w:w="1948"/>
      </w:tblGrid>
      <w:tr w14:paraId="476F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8" w:type="dxa"/>
            <w:noWrap/>
            <w:vAlign w:val="center"/>
          </w:tcPr>
          <w:p w14:paraId="3072E6F7">
            <w:pPr>
              <w:widowControl/>
              <w:spacing w:line="288" w:lineRule="auto"/>
              <w:jc w:val="left"/>
              <w:rPr>
                <w:rFonts w:cs="宋体"/>
                <w:spacing w:val="1"/>
                <w:sz w:val="21"/>
                <w:szCs w:val="21"/>
                <w:highlight w:val="none"/>
              </w:rPr>
            </w:pPr>
            <w:r>
              <w:rPr>
                <w:rFonts w:hint="eastAsia" w:cs="宋体"/>
                <w:spacing w:val="1"/>
                <w:sz w:val="21"/>
                <w:szCs w:val="21"/>
                <w:highlight w:val="none"/>
              </w:rPr>
              <w:t>序号</w:t>
            </w:r>
          </w:p>
        </w:tc>
        <w:tc>
          <w:tcPr>
            <w:tcW w:w="3767" w:type="dxa"/>
            <w:noWrap/>
            <w:vAlign w:val="center"/>
          </w:tcPr>
          <w:p w14:paraId="752590DD">
            <w:pPr>
              <w:widowControl/>
              <w:spacing w:line="288" w:lineRule="auto"/>
              <w:jc w:val="left"/>
              <w:rPr>
                <w:rFonts w:cs="宋体"/>
                <w:spacing w:val="1"/>
                <w:sz w:val="21"/>
                <w:szCs w:val="21"/>
                <w:highlight w:val="none"/>
              </w:rPr>
            </w:pPr>
            <w:r>
              <w:rPr>
                <w:rFonts w:hint="eastAsia" w:cs="宋体"/>
                <w:spacing w:val="1"/>
                <w:sz w:val="21"/>
                <w:szCs w:val="21"/>
                <w:highlight w:val="none"/>
              </w:rPr>
              <w:t>产品</w:t>
            </w:r>
          </w:p>
        </w:tc>
        <w:tc>
          <w:tcPr>
            <w:tcW w:w="1769" w:type="dxa"/>
            <w:noWrap/>
            <w:vAlign w:val="center"/>
          </w:tcPr>
          <w:p w14:paraId="45B94169">
            <w:pPr>
              <w:widowControl/>
              <w:spacing w:line="288" w:lineRule="auto"/>
              <w:jc w:val="left"/>
              <w:rPr>
                <w:rFonts w:cs="宋体"/>
                <w:spacing w:val="1"/>
                <w:sz w:val="21"/>
                <w:szCs w:val="21"/>
                <w:highlight w:val="none"/>
              </w:rPr>
            </w:pPr>
            <w:r>
              <w:rPr>
                <w:rFonts w:hint="eastAsia" w:cs="宋体"/>
                <w:spacing w:val="1"/>
                <w:sz w:val="21"/>
                <w:szCs w:val="21"/>
                <w:highlight w:val="none"/>
              </w:rPr>
              <w:t>数量</w:t>
            </w:r>
          </w:p>
        </w:tc>
        <w:tc>
          <w:tcPr>
            <w:tcW w:w="1948" w:type="dxa"/>
            <w:noWrap/>
            <w:vAlign w:val="center"/>
          </w:tcPr>
          <w:p w14:paraId="0FE86C42">
            <w:pPr>
              <w:widowControl/>
              <w:spacing w:line="288" w:lineRule="auto"/>
              <w:jc w:val="center"/>
              <w:rPr>
                <w:rFonts w:cs="宋体"/>
                <w:spacing w:val="1"/>
                <w:sz w:val="21"/>
                <w:szCs w:val="21"/>
                <w:highlight w:val="none"/>
              </w:rPr>
            </w:pPr>
            <w:r>
              <w:rPr>
                <w:rFonts w:hint="eastAsia" w:cs="宋体"/>
                <w:spacing w:val="1"/>
                <w:sz w:val="21"/>
                <w:szCs w:val="21"/>
                <w:highlight w:val="none"/>
              </w:rPr>
              <w:t>单位</w:t>
            </w:r>
          </w:p>
        </w:tc>
      </w:tr>
      <w:tr w14:paraId="3E13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noWrap/>
            <w:vAlign w:val="center"/>
          </w:tcPr>
          <w:p w14:paraId="635FF9B2">
            <w:pPr>
              <w:widowControl/>
              <w:spacing w:line="288" w:lineRule="auto"/>
              <w:jc w:val="left"/>
              <w:rPr>
                <w:rFonts w:cs="宋体"/>
                <w:spacing w:val="1"/>
                <w:sz w:val="21"/>
                <w:szCs w:val="21"/>
                <w:highlight w:val="none"/>
              </w:rPr>
            </w:pPr>
            <w:r>
              <w:rPr>
                <w:rFonts w:hint="eastAsia" w:cs="宋体"/>
                <w:spacing w:val="1"/>
                <w:sz w:val="21"/>
                <w:szCs w:val="21"/>
                <w:highlight w:val="none"/>
              </w:rPr>
              <w:t>1</w:t>
            </w:r>
          </w:p>
        </w:tc>
        <w:tc>
          <w:tcPr>
            <w:tcW w:w="3767" w:type="dxa"/>
            <w:noWrap/>
            <w:vAlign w:val="center"/>
          </w:tcPr>
          <w:p w14:paraId="7DA8A6D0">
            <w:pPr>
              <w:widowControl/>
              <w:spacing w:line="288" w:lineRule="auto"/>
              <w:jc w:val="left"/>
              <w:rPr>
                <w:rFonts w:eastAsia="宋体" w:cs="宋体"/>
                <w:spacing w:val="1"/>
                <w:sz w:val="21"/>
                <w:szCs w:val="21"/>
                <w:highlight w:val="none"/>
              </w:rPr>
            </w:pPr>
            <w:r>
              <w:rPr>
                <w:rFonts w:hint="eastAsia" w:ascii="宋体" w:hAnsi="宋体" w:eastAsia="宋体" w:cs="宋体"/>
                <w:color w:val="000000"/>
                <w:kern w:val="0"/>
                <w:sz w:val="21"/>
                <w:szCs w:val="21"/>
                <w:highlight w:val="none"/>
              </w:rPr>
              <w:t>LED显示屏（一）</w:t>
            </w:r>
            <w:r>
              <w:rPr>
                <w:rFonts w:hint="eastAsia"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核心产品</w:t>
            </w:r>
            <w:r>
              <w:rPr>
                <w:rFonts w:hint="eastAsia" w:cs="宋体"/>
                <w:color w:val="000000"/>
                <w:kern w:val="0"/>
                <w:sz w:val="21"/>
                <w:szCs w:val="21"/>
                <w:highlight w:val="none"/>
                <w:lang w:eastAsia="zh-CN"/>
              </w:rPr>
              <w:t>）</w:t>
            </w:r>
          </w:p>
        </w:tc>
        <w:tc>
          <w:tcPr>
            <w:tcW w:w="1769" w:type="dxa"/>
            <w:noWrap/>
            <w:vAlign w:val="center"/>
          </w:tcPr>
          <w:p w14:paraId="4881D37F">
            <w:pPr>
              <w:widowControl/>
              <w:spacing w:line="288" w:lineRule="auto"/>
              <w:jc w:val="left"/>
              <w:rPr>
                <w:rFonts w:cs="宋体"/>
                <w:spacing w:val="1"/>
                <w:sz w:val="21"/>
                <w:szCs w:val="21"/>
                <w:highlight w:val="none"/>
              </w:rPr>
            </w:pPr>
            <w:r>
              <w:rPr>
                <w:rFonts w:hint="eastAsia" w:cs="宋体"/>
                <w:spacing w:val="1"/>
                <w:sz w:val="21"/>
                <w:szCs w:val="21"/>
                <w:highlight w:val="none"/>
              </w:rPr>
              <w:t>1</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尺寸</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-1.5</w:t>
            </w:r>
            <w:r>
              <w:rPr>
                <w:rFonts w:hint="eastAsia" w:ascii="宋体" w:hAnsi="宋体" w:eastAsia="宋体" w:cs="宋体"/>
                <w:color w:val="000000"/>
                <w:kern w:val="0"/>
                <w:sz w:val="21"/>
                <w:szCs w:val="21"/>
                <w:highlight w:val="none"/>
              </w:rPr>
              <w:t>m²）</w:t>
            </w:r>
          </w:p>
        </w:tc>
        <w:tc>
          <w:tcPr>
            <w:tcW w:w="1948" w:type="dxa"/>
            <w:noWrap/>
            <w:vAlign w:val="center"/>
          </w:tcPr>
          <w:p w14:paraId="03C104BB">
            <w:pPr>
              <w:widowControl/>
              <w:spacing w:line="288" w:lineRule="auto"/>
              <w:jc w:val="center"/>
              <w:rPr>
                <w:rFonts w:hint="eastAsia" w:eastAsia="宋体" w:cs="宋体"/>
                <w:spacing w:val="1"/>
                <w:sz w:val="21"/>
                <w:szCs w:val="21"/>
                <w:highlight w:val="none"/>
                <w:lang w:eastAsia="zh-CN"/>
              </w:rPr>
            </w:pPr>
            <w:r>
              <w:rPr>
                <w:rFonts w:hint="eastAsia" w:eastAsia="宋体" w:cs="宋体"/>
                <w:spacing w:val="1"/>
                <w:sz w:val="21"/>
                <w:szCs w:val="21"/>
                <w:highlight w:val="none"/>
                <w:lang w:eastAsia="zh-CN"/>
              </w:rPr>
              <w:t>组</w:t>
            </w:r>
          </w:p>
        </w:tc>
      </w:tr>
      <w:tr w14:paraId="729B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8" w:type="dxa"/>
            <w:noWrap/>
            <w:vAlign w:val="center"/>
          </w:tcPr>
          <w:p w14:paraId="737F11F3">
            <w:pPr>
              <w:widowControl/>
              <w:spacing w:line="288" w:lineRule="auto"/>
              <w:jc w:val="left"/>
              <w:rPr>
                <w:rFonts w:cs="宋体"/>
                <w:spacing w:val="1"/>
                <w:sz w:val="21"/>
                <w:szCs w:val="21"/>
                <w:highlight w:val="none"/>
              </w:rPr>
            </w:pPr>
            <w:r>
              <w:rPr>
                <w:rFonts w:hint="eastAsia" w:cs="宋体"/>
                <w:spacing w:val="1"/>
                <w:sz w:val="21"/>
                <w:szCs w:val="21"/>
                <w:highlight w:val="none"/>
              </w:rPr>
              <w:t>2</w:t>
            </w:r>
          </w:p>
        </w:tc>
        <w:tc>
          <w:tcPr>
            <w:tcW w:w="3767" w:type="dxa"/>
            <w:noWrap/>
            <w:vAlign w:val="center"/>
          </w:tcPr>
          <w:p w14:paraId="553AEE81">
            <w:pPr>
              <w:widowControl/>
              <w:spacing w:line="288" w:lineRule="auto"/>
              <w:jc w:val="left"/>
              <w:rPr>
                <w:rFonts w:eastAsia="宋体" w:cs="宋体"/>
                <w:spacing w:val="1"/>
                <w:sz w:val="21"/>
                <w:szCs w:val="21"/>
                <w:highlight w:val="none"/>
              </w:rPr>
            </w:pPr>
            <w:r>
              <w:rPr>
                <w:rFonts w:hint="eastAsia" w:ascii="宋体" w:hAnsi="宋体" w:eastAsia="宋体" w:cs="宋体"/>
                <w:color w:val="000000"/>
                <w:kern w:val="0"/>
                <w:sz w:val="21"/>
                <w:szCs w:val="21"/>
                <w:highlight w:val="none"/>
              </w:rPr>
              <w:t>拼接处理器</w:t>
            </w:r>
          </w:p>
        </w:tc>
        <w:tc>
          <w:tcPr>
            <w:tcW w:w="1769" w:type="dxa"/>
            <w:noWrap/>
            <w:vAlign w:val="center"/>
          </w:tcPr>
          <w:p w14:paraId="7008107D">
            <w:pPr>
              <w:widowControl/>
              <w:spacing w:line="288" w:lineRule="auto"/>
              <w:jc w:val="left"/>
              <w:rPr>
                <w:rFonts w:cs="宋体"/>
                <w:spacing w:val="1"/>
                <w:sz w:val="21"/>
                <w:szCs w:val="21"/>
                <w:highlight w:val="none"/>
              </w:rPr>
            </w:pPr>
            <w:r>
              <w:rPr>
                <w:rFonts w:hint="eastAsia" w:cs="宋体"/>
                <w:spacing w:val="1"/>
                <w:sz w:val="21"/>
                <w:szCs w:val="21"/>
                <w:highlight w:val="none"/>
              </w:rPr>
              <w:t>1</w:t>
            </w:r>
          </w:p>
        </w:tc>
        <w:tc>
          <w:tcPr>
            <w:tcW w:w="1948" w:type="dxa"/>
            <w:noWrap/>
            <w:vAlign w:val="center"/>
          </w:tcPr>
          <w:p w14:paraId="349B7C44">
            <w:pPr>
              <w:widowControl/>
              <w:spacing w:line="288" w:lineRule="auto"/>
              <w:jc w:val="center"/>
              <w:rPr>
                <w:rFonts w:eastAsia="宋体" w:cs="宋体"/>
                <w:spacing w:val="1"/>
                <w:sz w:val="21"/>
                <w:szCs w:val="21"/>
                <w:highlight w:val="none"/>
              </w:rPr>
            </w:pPr>
            <w:r>
              <w:rPr>
                <w:rFonts w:hint="eastAsia" w:cs="宋体"/>
                <w:spacing w:val="1"/>
                <w:sz w:val="21"/>
                <w:szCs w:val="21"/>
                <w:highlight w:val="none"/>
              </w:rPr>
              <w:t>台</w:t>
            </w:r>
          </w:p>
        </w:tc>
      </w:tr>
    </w:tbl>
    <w:p w14:paraId="223A1FE1">
      <w:pPr>
        <w:pStyle w:val="22"/>
        <w:numPr>
          <w:ilvl w:val="0"/>
          <w:numId w:val="0"/>
        </w:numPr>
        <w:ind w:left="-420" w:firstLine="420"/>
        <w:outlineLvl w:val="0"/>
        <w:rPr>
          <w:rFonts w:cs="宋体"/>
          <w:sz w:val="21"/>
          <w:szCs w:val="21"/>
          <w:highlight w:val="none"/>
        </w:rPr>
      </w:pPr>
      <w:r>
        <w:rPr>
          <w:rFonts w:hint="eastAsia" w:cs="宋体"/>
          <w:sz w:val="21"/>
          <w:szCs w:val="21"/>
          <w:highlight w:val="none"/>
        </w:rPr>
        <w:t>备注：其他演示所需由投标人自行准备。</w:t>
      </w:r>
    </w:p>
    <w:p w14:paraId="4BA5C0DC">
      <w:pPr>
        <w:numPr>
          <w:ilvl w:val="0"/>
          <w:numId w:val="2"/>
        </w:numPr>
        <w:spacing w:line="288" w:lineRule="auto"/>
        <w:jc w:val="left"/>
        <w:rPr>
          <w:rFonts w:cs="宋体"/>
          <w:b/>
          <w:bCs/>
          <w:spacing w:val="1"/>
          <w:sz w:val="21"/>
          <w:szCs w:val="21"/>
          <w:highlight w:val="none"/>
        </w:rPr>
      </w:pPr>
      <w:r>
        <w:rPr>
          <w:rFonts w:hint="eastAsia" w:cs="宋体"/>
          <w:b/>
          <w:bCs/>
          <w:spacing w:val="1"/>
          <w:sz w:val="21"/>
          <w:szCs w:val="21"/>
          <w:highlight w:val="none"/>
        </w:rPr>
        <w:t>样品要求：</w:t>
      </w:r>
    </w:p>
    <w:p w14:paraId="6D48D5C1">
      <w:pPr>
        <w:spacing w:line="288" w:lineRule="auto"/>
        <w:jc w:val="left"/>
        <w:rPr>
          <w:rFonts w:cs="宋体"/>
          <w:spacing w:val="1"/>
          <w:sz w:val="21"/>
          <w:szCs w:val="21"/>
          <w:highlight w:val="none"/>
        </w:rPr>
      </w:pPr>
      <w:r>
        <w:rPr>
          <w:rFonts w:hint="eastAsia" w:cs="宋体"/>
          <w:spacing w:val="1"/>
          <w:sz w:val="21"/>
          <w:szCs w:val="21"/>
          <w:highlight w:val="none"/>
        </w:rPr>
        <w:t xml:space="preserve">（1）投标单位应在投标截止时间前提交与所投标设备规格型号一致的样品和必要配件如 </w:t>
      </w:r>
    </w:p>
    <w:p w14:paraId="456E4BC3">
      <w:pPr>
        <w:spacing w:line="288" w:lineRule="auto"/>
        <w:jc w:val="left"/>
        <w:rPr>
          <w:rFonts w:cs="宋体"/>
          <w:spacing w:val="1"/>
          <w:sz w:val="21"/>
          <w:szCs w:val="21"/>
          <w:highlight w:val="none"/>
        </w:rPr>
      </w:pPr>
      <w:r>
        <w:rPr>
          <w:rFonts w:hint="eastAsia" w:cs="宋体"/>
          <w:spacing w:val="1"/>
          <w:sz w:val="21"/>
          <w:szCs w:val="21"/>
          <w:highlight w:val="none"/>
        </w:rPr>
        <w:t xml:space="preserve">网线、插座等； </w:t>
      </w:r>
    </w:p>
    <w:p w14:paraId="751B8040">
      <w:pPr>
        <w:spacing w:line="288" w:lineRule="auto"/>
        <w:jc w:val="left"/>
        <w:rPr>
          <w:rFonts w:cs="宋体"/>
          <w:spacing w:val="1"/>
          <w:sz w:val="21"/>
          <w:szCs w:val="21"/>
          <w:highlight w:val="none"/>
        </w:rPr>
      </w:pPr>
      <w:r>
        <w:rPr>
          <w:rFonts w:hint="eastAsia" w:cs="宋体"/>
          <w:spacing w:val="1"/>
          <w:sz w:val="21"/>
          <w:szCs w:val="21"/>
          <w:highlight w:val="none"/>
        </w:rPr>
        <w:t xml:space="preserve">（2）样品需在明显位置标明设备的名称、品牌及投标单位，以便在开标后能清晰呈现。 </w:t>
      </w:r>
    </w:p>
    <w:p w14:paraId="2DFB8C5C">
      <w:pPr>
        <w:spacing w:line="288" w:lineRule="auto"/>
        <w:jc w:val="left"/>
        <w:rPr>
          <w:rFonts w:cs="宋体"/>
          <w:spacing w:val="1"/>
          <w:sz w:val="21"/>
          <w:szCs w:val="21"/>
          <w:highlight w:val="none"/>
        </w:rPr>
      </w:pPr>
      <w:r>
        <w:rPr>
          <w:rFonts w:hint="eastAsia" w:cs="宋体"/>
          <w:spacing w:val="1"/>
          <w:sz w:val="21"/>
          <w:szCs w:val="21"/>
          <w:highlight w:val="none"/>
        </w:rPr>
        <w:t xml:space="preserve">但在进场前，应使用有效方式遮盖产品上能识别品牌商标的 LOGO、字母、图片或文字等； </w:t>
      </w:r>
    </w:p>
    <w:p w14:paraId="1058512F">
      <w:pPr>
        <w:spacing w:line="288" w:lineRule="auto"/>
        <w:jc w:val="left"/>
        <w:rPr>
          <w:rFonts w:cs="宋体"/>
          <w:spacing w:val="1"/>
          <w:sz w:val="21"/>
          <w:szCs w:val="21"/>
          <w:highlight w:val="none"/>
        </w:rPr>
      </w:pPr>
      <w:r>
        <w:rPr>
          <w:rFonts w:hint="eastAsia" w:cs="宋体"/>
          <w:spacing w:val="1"/>
          <w:sz w:val="21"/>
          <w:szCs w:val="21"/>
          <w:highlight w:val="none"/>
        </w:rPr>
        <w:t xml:space="preserve">未对样品进行标识或标识不清、样品提供与投标文件不一致等一律按样品提交有误拒收； </w:t>
      </w:r>
    </w:p>
    <w:p w14:paraId="12F79B3A">
      <w:pPr>
        <w:numPr>
          <w:ilvl w:val="0"/>
          <w:numId w:val="3"/>
        </w:numPr>
        <w:spacing w:line="288" w:lineRule="auto"/>
        <w:jc w:val="left"/>
        <w:rPr>
          <w:rFonts w:cs="宋体"/>
          <w:spacing w:val="1"/>
          <w:sz w:val="21"/>
          <w:szCs w:val="21"/>
          <w:highlight w:val="none"/>
        </w:rPr>
      </w:pPr>
      <w:r>
        <w:rPr>
          <w:rFonts w:hint="eastAsia" w:cs="宋体"/>
          <w:spacing w:val="1"/>
          <w:sz w:val="21"/>
          <w:szCs w:val="21"/>
          <w:highlight w:val="none"/>
        </w:rPr>
        <w:t>搭样全程做好保密工作，搭建完成后将整个样品遮住，不外露。</w:t>
      </w:r>
    </w:p>
    <w:p w14:paraId="36C1E99C">
      <w:pPr>
        <w:spacing w:line="288" w:lineRule="auto"/>
        <w:jc w:val="left"/>
        <w:rPr>
          <w:rFonts w:cs="宋体"/>
          <w:spacing w:val="1"/>
          <w:sz w:val="21"/>
          <w:szCs w:val="21"/>
          <w:highlight w:val="none"/>
        </w:rPr>
      </w:pPr>
    </w:p>
    <w:p w14:paraId="7EF43DDF">
      <w:pPr>
        <w:numPr>
          <w:ilvl w:val="0"/>
          <w:numId w:val="2"/>
        </w:numPr>
        <w:spacing w:line="288" w:lineRule="auto"/>
        <w:jc w:val="left"/>
        <w:rPr>
          <w:rFonts w:cs="宋体"/>
          <w:b/>
          <w:bCs/>
          <w:spacing w:val="1"/>
          <w:sz w:val="21"/>
          <w:szCs w:val="21"/>
          <w:highlight w:val="none"/>
        </w:rPr>
      </w:pPr>
      <w:r>
        <w:rPr>
          <w:rFonts w:hint="eastAsia" w:cs="宋体"/>
          <w:b/>
          <w:bCs/>
          <w:spacing w:val="1"/>
          <w:sz w:val="21"/>
          <w:szCs w:val="21"/>
          <w:highlight w:val="none"/>
        </w:rPr>
        <w:t>送样、封样、调试地点时间：所有实样均应注明投标人名称、品牌和产品名称，于2025 年</w:t>
      </w:r>
      <w:r>
        <w:rPr>
          <w:rFonts w:hint="eastAsia" w:cs="宋体"/>
          <w:b/>
          <w:bCs/>
          <w:spacing w:val="1"/>
          <w:sz w:val="21"/>
          <w:szCs w:val="21"/>
          <w:highlight w:val="none"/>
          <w:lang w:val="en-US" w:eastAsia="zh-CN"/>
        </w:rPr>
        <w:t>05</w:t>
      </w:r>
      <w:r>
        <w:rPr>
          <w:rFonts w:hint="eastAsia" w:cs="宋体"/>
          <w:b/>
          <w:bCs/>
          <w:spacing w:val="1"/>
          <w:sz w:val="21"/>
          <w:szCs w:val="21"/>
          <w:highlight w:val="none"/>
        </w:rPr>
        <w:t>月</w:t>
      </w:r>
      <w:r>
        <w:rPr>
          <w:rFonts w:hint="eastAsia" w:cs="宋体"/>
          <w:b/>
          <w:bCs/>
          <w:spacing w:val="1"/>
          <w:sz w:val="21"/>
          <w:szCs w:val="21"/>
          <w:highlight w:val="none"/>
          <w:lang w:val="en-US" w:eastAsia="zh-CN"/>
        </w:rPr>
        <w:t>19</w:t>
      </w:r>
      <w:r>
        <w:rPr>
          <w:rFonts w:hint="eastAsia" w:cs="宋体"/>
          <w:b/>
          <w:bCs/>
          <w:spacing w:val="1"/>
          <w:sz w:val="21"/>
          <w:szCs w:val="21"/>
          <w:highlight w:val="none"/>
        </w:rPr>
        <w:t>日</w:t>
      </w:r>
      <w:r>
        <w:rPr>
          <w:rFonts w:hint="eastAsia" w:cs="宋体"/>
          <w:b/>
          <w:bCs/>
          <w:spacing w:val="1"/>
          <w:sz w:val="21"/>
          <w:szCs w:val="21"/>
          <w:highlight w:val="none"/>
          <w:lang w:val="en-US" w:eastAsia="zh-CN"/>
        </w:rPr>
        <w:t>09:00</w:t>
      </w:r>
      <w:r>
        <w:rPr>
          <w:rFonts w:hint="eastAsia" w:cs="宋体"/>
          <w:b/>
          <w:bCs/>
          <w:spacing w:val="1"/>
          <w:sz w:val="21"/>
          <w:szCs w:val="21"/>
          <w:highlight w:val="none"/>
        </w:rPr>
        <w:t>至投标截止时间前送达并自行搭建演示基础环境。逾期或未送达视为放弃演示环节。演示时间为评标当天，具体时间另行通知。</w:t>
      </w:r>
    </w:p>
    <w:p w14:paraId="7A44480B">
      <w:pPr>
        <w:numPr>
          <w:ilvl w:val="0"/>
          <w:numId w:val="2"/>
        </w:numPr>
        <w:spacing w:line="288" w:lineRule="auto"/>
        <w:jc w:val="left"/>
        <w:rPr>
          <w:rFonts w:cs="宋体"/>
          <w:b/>
          <w:bCs/>
          <w:spacing w:val="1"/>
          <w:sz w:val="21"/>
          <w:szCs w:val="21"/>
          <w:highlight w:val="none"/>
        </w:rPr>
      </w:pPr>
      <w:r>
        <w:rPr>
          <w:rFonts w:hint="eastAsia" w:cs="宋体"/>
          <w:b/>
          <w:bCs/>
          <w:spacing w:val="1"/>
          <w:sz w:val="21"/>
          <w:szCs w:val="21"/>
          <w:highlight w:val="none"/>
        </w:rPr>
        <w:t>采购结束后投标实样处置：</w:t>
      </w:r>
    </w:p>
    <w:p w14:paraId="29762EB3">
      <w:pPr>
        <w:spacing w:line="288" w:lineRule="auto"/>
        <w:jc w:val="left"/>
        <w:rPr>
          <w:rFonts w:cs="宋体"/>
          <w:spacing w:val="1"/>
          <w:sz w:val="21"/>
          <w:szCs w:val="21"/>
          <w:highlight w:val="none"/>
        </w:rPr>
      </w:pPr>
      <w:r>
        <w:rPr>
          <w:rFonts w:hint="eastAsia" w:cs="宋体"/>
          <w:spacing w:val="1"/>
          <w:sz w:val="21"/>
          <w:szCs w:val="21"/>
          <w:highlight w:val="none"/>
        </w:rPr>
        <w:t xml:space="preserve">（1）最终中标单位的样品将被封存，以供批量验收时比对。 </w:t>
      </w:r>
    </w:p>
    <w:p w14:paraId="1550530E">
      <w:pPr>
        <w:spacing w:line="288" w:lineRule="auto"/>
        <w:jc w:val="left"/>
        <w:rPr>
          <w:rFonts w:cs="宋体"/>
          <w:spacing w:val="1"/>
          <w:sz w:val="21"/>
          <w:szCs w:val="21"/>
          <w:highlight w:val="none"/>
        </w:rPr>
      </w:pPr>
      <w:r>
        <w:rPr>
          <w:rFonts w:hint="eastAsia" w:cs="宋体"/>
          <w:spacing w:val="1"/>
          <w:sz w:val="21"/>
          <w:szCs w:val="21"/>
          <w:highlight w:val="none"/>
        </w:rPr>
        <w:t xml:space="preserve">（2）未中标实样处置：采购结果公告发布后一个月内未中标人可与采购人联系，约定 </w:t>
      </w:r>
    </w:p>
    <w:p w14:paraId="547B8B3F">
      <w:pPr>
        <w:spacing w:line="288" w:lineRule="auto"/>
        <w:jc w:val="left"/>
        <w:rPr>
          <w:rFonts w:cs="宋体"/>
          <w:spacing w:val="1"/>
          <w:sz w:val="21"/>
          <w:szCs w:val="21"/>
          <w:highlight w:val="none"/>
        </w:rPr>
      </w:pPr>
      <w:r>
        <w:rPr>
          <w:rFonts w:hint="eastAsia" w:cs="宋体"/>
          <w:spacing w:val="1"/>
          <w:sz w:val="21"/>
          <w:szCs w:val="21"/>
          <w:highlight w:val="none"/>
        </w:rPr>
        <w:t xml:space="preserve">时间取回投标实样，逾期不领的将由采购人统一处置。如项目发生质疑、投诉，取回投标 </w:t>
      </w:r>
    </w:p>
    <w:p w14:paraId="7CA15F37">
      <w:pPr>
        <w:spacing w:line="288" w:lineRule="auto"/>
        <w:jc w:val="left"/>
        <w:rPr>
          <w:rFonts w:cs="宋体"/>
          <w:spacing w:val="1"/>
          <w:sz w:val="21"/>
          <w:szCs w:val="21"/>
          <w:highlight w:val="none"/>
        </w:rPr>
      </w:pPr>
      <w:r>
        <w:rPr>
          <w:rFonts w:hint="eastAsia" w:cs="宋体"/>
          <w:spacing w:val="1"/>
          <w:sz w:val="21"/>
          <w:szCs w:val="21"/>
          <w:highlight w:val="none"/>
        </w:rPr>
        <w:t>实样时间将根据具体情况后延。</w:t>
      </w:r>
    </w:p>
    <w:p w14:paraId="5AA0ED1C">
      <w:pPr>
        <w:spacing w:line="288" w:lineRule="auto"/>
        <w:jc w:val="left"/>
        <w:rPr>
          <w:rFonts w:cs="宋体"/>
          <w:b/>
          <w:bCs/>
          <w:spacing w:val="1"/>
          <w:sz w:val="21"/>
          <w:szCs w:val="21"/>
          <w:highlight w:val="none"/>
        </w:rPr>
      </w:pPr>
    </w:p>
    <w:p w14:paraId="5F04D2E8">
      <w:pPr>
        <w:numPr>
          <w:ilvl w:val="0"/>
          <w:numId w:val="2"/>
        </w:numPr>
        <w:spacing w:line="288" w:lineRule="auto"/>
        <w:jc w:val="left"/>
        <w:rPr>
          <w:rFonts w:cs="宋体"/>
          <w:b/>
          <w:bCs/>
          <w:spacing w:val="1"/>
          <w:sz w:val="21"/>
          <w:szCs w:val="21"/>
          <w:highlight w:val="none"/>
        </w:rPr>
      </w:pPr>
      <w:r>
        <w:rPr>
          <w:rFonts w:hint="eastAsia" w:cs="宋体"/>
          <w:b/>
          <w:bCs/>
          <w:spacing w:val="1"/>
          <w:sz w:val="21"/>
          <w:szCs w:val="21"/>
          <w:highlight w:val="none"/>
        </w:rPr>
        <w:t>现场演示要求：</w:t>
      </w:r>
    </w:p>
    <w:p w14:paraId="4C9C479B">
      <w:pPr>
        <w:spacing w:line="288" w:lineRule="auto"/>
        <w:jc w:val="left"/>
        <w:rPr>
          <w:rFonts w:cs="宋体"/>
          <w:spacing w:val="1"/>
          <w:sz w:val="21"/>
          <w:szCs w:val="21"/>
          <w:highlight w:val="none"/>
        </w:rPr>
      </w:pPr>
      <w:r>
        <w:rPr>
          <w:rFonts w:hint="eastAsia" w:cs="宋体"/>
          <w:spacing w:val="1"/>
          <w:sz w:val="21"/>
          <w:szCs w:val="21"/>
          <w:highlight w:val="none"/>
        </w:rPr>
        <w:t>1、评标演示前，各投标人有</w:t>
      </w:r>
      <w:r>
        <w:rPr>
          <w:rFonts w:cs="宋体"/>
          <w:spacing w:val="1"/>
          <w:sz w:val="21"/>
          <w:szCs w:val="21"/>
          <w:highlight w:val="none"/>
        </w:rPr>
        <w:t>1</w:t>
      </w:r>
      <w:r>
        <w:rPr>
          <w:rFonts w:hint="eastAsia" w:cs="宋体"/>
          <w:spacing w:val="1"/>
          <w:sz w:val="21"/>
          <w:szCs w:val="21"/>
          <w:highlight w:val="none"/>
          <w:lang w:val="en-US" w:eastAsia="zh-CN"/>
        </w:rPr>
        <w:t>0</w:t>
      </w:r>
      <w:r>
        <w:rPr>
          <w:rFonts w:hint="eastAsia" w:cs="宋体"/>
          <w:spacing w:val="1"/>
          <w:sz w:val="21"/>
          <w:szCs w:val="21"/>
          <w:highlight w:val="none"/>
        </w:rPr>
        <w:t xml:space="preserve">分钟的准备时间，所有投标人同时进场，做好相应开机 </w:t>
      </w:r>
    </w:p>
    <w:p w14:paraId="596616C8">
      <w:pPr>
        <w:spacing w:line="288" w:lineRule="auto"/>
        <w:jc w:val="left"/>
        <w:rPr>
          <w:rFonts w:cs="宋体"/>
          <w:spacing w:val="1"/>
          <w:sz w:val="21"/>
          <w:szCs w:val="21"/>
          <w:highlight w:val="none"/>
        </w:rPr>
      </w:pPr>
      <w:r>
        <w:rPr>
          <w:rFonts w:hint="eastAsia" w:cs="宋体"/>
          <w:spacing w:val="1"/>
          <w:sz w:val="21"/>
          <w:szCs w:val="21"/>
          <w:highlight w:val="none"/>
        </w:rPr>
        <w:t>调试，</w:t>
      </w:r>
      <w:r>
        <w:rPr>
          <w:rFonts w:cs="宋体"/>
          <w:spacing w:val="1"/>
          <w:sz w:val="21"/>
          <w:szCs w:val="21"/>
          <w:highlight w:val="none"/>
        </w:rPr>
        <w:t>1</w:t>
      </w:r>
      <w:r>
        <w:rPr>
          <w:rFonts w:hint="eastAsia" w:cs="宋体"/>
          <w:spacing w:val="1"/>
          <w:sz w:val="21"/>
          <w:szCs w:val="21"/>
          <w:highlight w:val="none"/>
          <w:lang w:val="en-US" w:eastAsia="zh-CN"/>
        </w:rPr>
        <w:t>0</w:t>
      </w:r>
      <w:r>
        <w:rPr>
          <w:rFonts w:hint="eastAsia" w:cs="宋体"/>
          <w:spacing w:val="1"/>
          <w:sz w:val="21"/>
          <w:szCs w:val="21"/>
          <w:highlight w:val="none"/>
        </w:rPr>
        <w:t xml:space="preserve">分钟到点后清场封门，等待评审组入场。 </w:t>
      </w:r>
    </w:p>
    <w:p w14:paraId="066B4692">
      <w:pPr>
        <w:spacing w:line="288" w:lineRule="auto"/>
        <w:jc w:val="left"/>
        <w:rPr>
          <w:rFonts w:cs="宋体"/>
          <w:spacing w:val="1"/>
          <w:sz w:val="21"/>
          <w:szCs w:val="21"/>
          <w:highlight w:val="none"/>
        </w:rPr>
      </w:pPr>
      <w:r>
        <w:rPr>
          <w:rFonts w:cs="宋体"/>
          <w:spacing w:val="1"/>
          <w:sz w:val="21"/>
          <w:szCs w:val="21"/>
          <w:highlight w:val="none"/>
        </w:rPr>
        <w:t>2</w:t>
      </w:r>
      <w:r>
        <w:rPr>
          <w:rFonts w:hint="eastAsia" w:cs="宋体"/>
          <w:spacing w:val="1"/>
          <w:sz w:val="21"/>
          <w:szCs w:val="21"/>
          <w:highlight w:val="none"/>
        </w:rPr>
        <w:t>、正式演示时间为每家投标单位1</w:t>
      </w:r>
      <w:r>
        <w:rPr>
          <w:rFonts w:hint="eastAsia" w:cs="宋体"/>
          <w:spacing w:val="1"/>
          <w:sz w:val="21"/>
          <w:szCs w:val="21"/>
          <w:highlight w:val="none"/>
          <w:lang w:val="en-US" w:eastAsia="zh-CN"/>
        </w:rPr>
        <w:t>5</w:t>
      </w:r>
      <w:r>
        <w:rPr>
          <w:rFonts w:hint="eastAsia" w:cs="宋体"/>
          <w:spacing w:val="1"/>
          <w:sz w:val="21"/>
          <w:szCs w:val="21"/>
          <w:highlight w:val="none"/>
        </w:rPr>
        <w:t xml:space="preserve">分钟演示，按照抽签顺序进场，如在正式评标时 </w:t>
      </w:r>
    </w:p>
    <w:p w14:paraId="6A4EF80E">
      <w:pPr>
        <w:spacing w:line="288" w:lineRule="auto"/>
        <w:jc w:val="left"/>
        <w:rPr>
          <w:rFonts w:cs="宋体"/>
          <w:spacing w:val="1"/>
          <w:sz w:val="21"/>
          <w:szCs w:val="21"/>
          <w:highlight w:val="none"/>
        </w:rPr>
      </w:pPr>
      <w:r>
        <w:rPr>
          <w:rFonts w:hint="eastAsia" w:cs="宋体"/>
          <w:spacing w:val="1"/>
          <w:sz w:val="21"/>
          <w:szCs w:val="21"/>
          <w:highlight w:val="none"/>
        </w:rPr>
        <w:t>因设备故障</w:t>
      </w:r>
      <w:r>
        <w:rPr>
          <w:rFonts w:hint="eastAsia" w:cs="宋体"/>
          <w:spacing w:val="1"/>
          <w:sz w:val="21"/>
          <w:szCs w:val="21"/>
          <w:highlight w:val="none"/>
          <w:lang w:eastAsia="zh-CN"/>
        </w:rPr>
        <w:t>、</w:t>
      </w:r>
      <w:r>
        <w:rPr>
          <w:rFonts w:hint="eastAsia" w:cs="宋体"/>
          <w:spacing w:val="1"/>
          <w:sz w:val="21"/>
          <w:szCs w:val="21"/>
          <w:highlight w:val="none"/>
        </w:rPr>
        <w:t>调试问题</w:t>
      </w:r>
      <w:r>
        <w:rPr>
          <w:rFonts w:hint="eastAsia" w:cs="宋体"/>
          <w:spacing w:val="1"/>
          <w:sz w:val="21"/>
          <w:szCs w:val="21"/>
          <w:highlight w:val="none"/>
          <w:lang w:eastAsia="zh-CN"/>
        </w:rPr>
        <w:t>、</w:t>
      </w:r>
      <w:r>
        <w:rPr>
          <w:rFonts w:hint="eastAsia" w:cs="宋体"/>
          <w:spacing w:val="1"/>
          <w:sz w:val="21"/>
          <w:szCs w:val="21"/>
          <w:highlight w:val="none"/>
          <w:lang w:val="en-US" w:eastAsia="zh-CN"/>
        </w:rPr>
        <w:t>未准备完备等原因导致</w:t>
      </w:r>
      <w:r>
        <w:rPr>
          <w:rFonts w:hint="eastAsia" w:cs="宋体"/>
          <w:spacing w:val="1"/>
          <w:sz w:val="21"/>
          <w:szCs w:val="21"/>
          <w:highlight w:val="none"/>
        </w:rPr>
        <w:t>无法演示的，均视为投标人放弃演示环节。</w:t>
      </w:r>
      <w:r>
        <w:rPr>
          <w:rFonts w:cs="宋体"/>
          <w:spacing w:val="1"/>
          <w:sz w:val="21"/>
          <w:szCs w:val="21"/>
          <w:highlight w:val="none"/>
        </w:rPr>
        <w:t>1</w:t>
      </w:r>
      <w:r>
        <w:rPr>
          <w:rFonts w:hint="eastAsia" w:cs="宋体"/>
          <w:spacing w:val="1"/>
          <w:sz w:val="21"/>
          <w:szCs w:val="21"/>
          <w:highlight w:val="none"/>
          <w:lang w:val="en-US" w:eastAsia="zh-CN"/>
        </w:rPr>
        <w:t>5</w:t>
      </w:r>
      <w:r>
        <w:rPr>
          <w:rFonts w:hint="eastAsia" w:cs="宋体"/>
          <w:spacing w:val="1"/>
          <w:sz w:val="21"/>
          <w:szCs w:val="21"/>
          <w:highlight w:val="none"/>
        </w:rPr>
        <w:t xml:space="preserve">分钟到点后不允许再有任何操作行为。 </w:t>
      </w:r>
    </w:p>
    <w:p w14:paraId="6039022A">
      <w:pPr>
        <w:spacing w:line="288" w:lineRule="auto"/>
        <w:jc w:val="left"/>
        <w:rPr>
          <w:rFonts w:cs="宋体"/>
          <w:spacing w:val="1"/>
          <w:sz w:val="21"/>
          <w:szCs w:val="21"/>
          <w:highlight w:val="none"/>
        </w:rPr>
      </w:pPr>
      <w:r>
        <w:rPr>
          <w:rFonts w:cs="宋体"/>
          <w:spacing w:val="1"/>
          <w:sz w:val="21"/>
          <w:szCs w:val="21"/>
          <w:highlight w:val="none"/>
        </w:rPr>
        <w:t>3</w:t>
      </w:r>
      <w:r>
        <w:rPr>
          <w:rFonts w:hint="eastAsia" w:cs="宋体"/>
          <w:spacing w:val="1"/>
          <w:sz w:val="21"/>
          <w:szCs w:val="21"/>
          <w:highlight w:val="none"/>
        </w:rPr>
        <w:t xml:space="preserve">、开标后不允许更换送样后的任何产品。 </w:t>
      </w:r>
    </w:p>
    <w:p w14:paraId="6438AFE8">
      <w:pPr>
        <w:spacing w:line="288" w:lineRule="auto"/>
        <w:jc w:val="left"/>
        <w:rPr>
          <w:rFonts w:cs="宋体"/>
          <w:spacing w:val="1"/>
          <w:sz w:val="21"/>
          <w:szCs w:val="21"/>
          <w:highlight w:val="none"/>
        </w:rPr>
      </w:pPr>
      <w:r>
        <w:rPr>
          <w:rFonts w:cs="宋体"/>
          <w:spacing w:val="1"/>
          <w:sz w:val="21"/>
          <w:szCs w:val="21"/>
          <w:highlight w:val="none"/>
        </w:rPr>
        <w:t>4</w:t>
      </w:r>
      <w:r>
        <w:rPr>
          <w:rFonts w:hint="eastAsia" w:cs="宋体"/>
          <w:spacing w:val="1"/>
          <w:sz w:val="21"/>
          <w:szCs w:val="21"/>
          <w:highlight w:val="none"/>
        </w:rPr>
        <w:t>、投标人允许派</w:t>
      </w:r>
      <w:r>
        <w:rPr>
          <w:rFonts w:cs="宋体"/>
          <w:spacing w:val="1"/>
          <w:sz w:val="21"/>
          <w:szCs w:val="21"/>
          <w:highlight w:val="none"/>
        </w:rPr>
        <w:t>1-2</w:t>
      </w:r>
      <w:r>
        <w:rPr>
          <w:rFonts w:hint="eastAsia" w:cs="宋体"/>
          <w:spacing w:val="1"/>
          <w:sz w:val="21"/>
          <w:szCs w:val="21"/>
          <w:highlight w:val="none"/>
        </w:rPr>
        <w:t>名工作人员携带法定代表人授权书进场，超过</w:t>
      </w:r>
      <w:r>
        <w:rPr>
          <w:rFonts w:cs="宋体"/>
          <w:spacing w:val="1"/>
          <w:sz w:val="21"/>
          <w:szCs w:val="21"/>
          <w:highlight w:val="none"/>
        </w:rPr>
        <w:t>2</w:t>
      </w:r>
      <w:r>
        <w:rPr>
          <w:rFonts w:hint="eastAsia" w:cs="宋体"/>
          <w:spacing w:val="1"/>
          <w:sz w:val="21"/>
          <w:szCs w:val="21"/>
          <w:highlight w:val="none"/>
        </w:rPr>
        <w:t xml:space="preserve">名不允许进入演 </w:t>
      </w:r>
    </w:p>
    <w:p w14:paraId="0CFB4A4A">
      <w:pPr>
        <w:spacing w:line="288" w:lineRule="auto"/>
        <w:jc w:val="left"/>
        <w:rPr>
          <w:rFonts w:cs="宋体"/>
          <w:b/>
          <w:bCs/>
          <w:spacing w:val="1"/>
          <w:sz w:val="21"/>
          <w:szCs w:val="21"/>
          <w:highlight w:val="none"/>
        </w:rPr>
      </w:pPr>
      <w:r>
        <w:rPr>
          <w:rFonts w:hint="eastAsia" w:cs="宋体"/>
          <w:spacing w:val="1"/>
          <w:sz w:val="21"/>
          <w:szCs w:val="21"/>
          <w:highlight w:val="none"/>
        </w:rPr>
        <w:t>示现场。</w:t>
      </w:r>
    </w:p>
    <w:p w14:paraId="01D6E642">
      <w:pPr>
        <w:spacing w:line="288" w:lineRule="auto"/>
        <w:jc w:val="left"/>
        <w:rPr>
          <w:rFonts w:cs="宋体"/>
          <w:spacing w:val="1"/>
          <w:sz w:val="21"/>
          <w:szCs w:val="21"/>
          <w:highlight w:val="none"/>
        </w:rPr>
      </w:pPr>
      <w:r>
        <w:rPr>
          <w:rFonts w:hint="eastAsia" w:cs="宋体"/>
          <w:spacing w:val="1"/>
          <w:sz w:val="21"/>
          <w:szCs w:val="21"/>
          <w:highlight w:val="none"/>
        </w:rPr>
        <w:t>具体演示内容如下：</w:t>
      </w:r>
    </w:p>
    <w:p w14:paraId="31A69508">
      <w:pPr>
        <w:spacing w:line="288" w:lineRule="auto"/>
        <w:jc w:val="left"/>
        <w:rPr>
          <w:rFonts w:cs="宋体"/>
          <w:b/>
          <w:bCs/>
          <w:spacing w:val="1"/>
          <w:sz w:val="21"/>
          <w:szCs w:val="21"/>
          <w:highlight w:val="none"/>
        </w:rPr>
      </w:pPr>
      <w:r>
        <w:rPr>
          <w:rFonts w:cs="宋体"/>
          <w:b/>
          <w:bCs/>
          <w:spacing w:val="1"/>
          <w:sz w:val="21"/>
          <w:szCs w:val="21"/>
          <w:highlight w:val="none"/>
        </w:rPr>
        <w:t>1、led显示屏功能、外观及展示效果</w:t>
      </w:r>
    </w:p>
    <w:p w14:paraId="34DBA652">
      <w:pPr>
        <w:numPr>
          <w:ilvl w:val="0"/>
          <w:numId w:val="4"/>
        </w:numPr>
        <w:spacing w:line="288" w:lineRule="auto"/>
        <w:ind w:left="425" w:leftChars="0" w:hanging="425" w:firstLineChars="0"/>
        <w:jc w:val="left"/>
        <w:rPr>
          <w:rFonts w:cs="宋体"/>
          <w:spacing w:val="1"/>
          <w:sz w:val="21"/>
          <w:szCs w:val="21"/>
          <w:highlight w:val="none"/>
        </w:rPr>
      </w:pPr>
      <w:r>
        <w:rPr>
          <w:rFonts w:hint="eastAsia" w:cs="宋体"/>
          <w:spacing w:val="1"/>
          <w:sz w:val="21"/>
          <w:szCs w:val="21"/>
          <w:highlight w:val="none"/>
          <w:lang w:val="en-US" w:eastAsia="zh-CN"/>
        </w:rPr>
        <w:t>显示屏的显示效果、拼装平整度度、模块和接收卡是否支持热插拔、维护方式便捷性等进行综合评价。（0-2分）</w:t>
      </w:r>
    </w:p>
    <w:p w14:paraId="5685DD10">
      <w:pPr>
        <w:numPr>
          <w:ilvl w:val="0"/>
          <w:numId w:val="4"/>
        </w:numPr>
        <w:spacing w:line="288" w:lineRule="auto"/>
        <w:ind w:left="425" w:leftChars="0" w:hanging="425" w:firstLineChars="0"/>
        <w:jc w:val="left"/>
        <w:rPr>
          <w:rFonts w:cs="宋体"/>
          <w:spacing w:val="1"/>
          <w:sz w:val="21"/>
          <w:szCs w:val="21"/>
          <w:highlight w:val="none"/>
        </w:rPr>
      </w:pPr>
      <w:r>
        <w:rPr>
          <w:rFonts w:hint="eastAsia" w:cs="宋体"/>
          <w:spacing w:val="1"/>
          <w:sz w:val="21"/>
          <w:szCs w:val="21"/>
          <w:highlight w:val="none"/>
        </w:rPr>
        <w:t>显示屏</w:t>
      </w:r>
      <w:r>
        <w:rPr>
          <w:rFonts w:hint="eastAsia" w:cs="宋体"/>
          <w:spacing w:val="1"/>
          <w:sz w:val="21"/>
          <w:szCs w:val="21"/>
          <w:highlight w:val="none"/>
          <w:lang w:val="en-US" w:eastAsia="zh-CN"/>
        </w:rPr>
        <w:t>的</w:t>
      </w:r>
      <w:r>
        <w:rPr>
          <w:rFonts w:hint="eastAsia" w:cs="宋体"/>
          <w:spacing w:val="1"/>
          <w:sz w:val="21"/>
          <w:szCs w:val="21"/>
          <w:highlight w:val="none"/>
        </w:rPr>
        <w:t>防尘防潮</w:t>
      </w:r>
      <w:r>
        <w:rPr>
          <w:rFonts w:hint="eastAsia" w:cs="宋体"/>
          <w:spacing w:val="1"/>
          <w:sz w:val="21"/>
          <w:szCs w:val="21"/>
          <w:highlight w:val="none"/>
          <w:lang w:val="en-US" w:eastAsia="zh-CN"/>
        </w:rPr>
        <w:t>性能评价</w:t>
      </w:r>
      <w:r>
        <w:rPr>
          <w:rFonts w:hint="eastAsia" w:cs="宋体"/>
          <w:spacing w:val="1"/>
          <w:sz w:val="21"/>
          <w:szCs w:val="21"/>
          <w:highlight w:val="none"/>
        </w:rPr>
        <w:t>，模组背面</w:t>
      </w:r>
      <w:r>
        <w:rPr>
          <w:rFonts w:hint="eastAsia" w:cs="宋体"/>
          <w:spacing w:val="1"/>
          <w:sz w:val="21"/>
          <w:szCs w:val="21"/>
          <w:highlight w:val="none"/>
          <w:lang w:val="en-US" w:eastAsia="zh-CN"/>
        </w:rPr>
        <w:t>应完成</w:t>
      </w:r>
      <w:r>
        <w:rPr>
          <w:rFonts w:hint="eastAsia" w:cs="宋体"/>
          <w:spacing w:val="1"/>
          <w:sz w:val="21"/>
          <w:szCs w:val="21"/>
          <w:highlight w:val="none"/>
        </w:rPr>
        <w:t>三防处理，有效避免元气件受潮氧化</w:t>
      </w:r>
      <w:r>
        <w:rPr>
          <w:rFonts w:hint="eastAsia" w:cs="宋体"/>
          <w:spacing w:val="1"/>
          <w:sz w:val="21"/>
          <w:szCs w:val="21"/>
          <w:highlight w:val="none"/>
          <w:lang w:eastAsia="zh-CN"/>
        </w:rPr>
        <w:t>。</w:t>
      </w:r>
      <w:r>
        <w:rPr>
          <w:rFonts w:hint="eastAsia" w:cs="宋体"/>
          <w:spacing w:val="1"/>
          <w:sz w:val="21"/>
          <w:szCs w:val="21"/>
          <w:highlight w:val="none"/>
          <w:lang w:val="en-US" w:eastAsia="zh-CN"/>
        </w:rPr>
        <w:t>（0-2分）</w:t>
      </w:r>
    </w:p>
    <w:p w14:paraId="3283CB47">
      <w:pPr>
        <w:numPr>
          <w:ilvl w:val="1"/>
          <w:numId w:val="4"/>
        </w:numPr>
        <w:spacing w:line="288" w:lineRule="auto"/>
        <w:ind w:left="840" w:leftChars="0" w:hanging="420" w:firstLineChars="0"/>
        <w:jc w:val="left"/>
        <w:rPr>
          <w:rFonts w:cs="宋体"/>
          <w:spacing w:val="1"/>
          <w:sz w:val="21"/>
          <w:szCs w:val="21"/>
          <w:highlight w:val="none"/>
        </w:rPr>
      </w:pPr>
      <w:r>
        <w:rPr>
          <w:rFonts w:hint="eastAsia" w:cs="宋体"/>
          <w:spacing w:val="1"/>
          <w:sz w:val="21"/>
          <w:szCs w:val="21"/>
          <w:highlight w:val="none"/>
        </w:rPr>
        <w:t>模组背面具有三防漆处理，得2分</w:t>
      </w:r>
      <w:r>
        <w:rPr>
          <w:rFonts w:hint="eastAsia" w:cs="宋体"/>
          <w:spacing w:val="1"/>
          <w:sz w:val="21"/>
          <w:szCs w:val="21"/>
          <w:highlight w:val="none"/>
          <w:lang w:eastAsia="zh-CN"/>
        </w:rPr>
        <w:t>；</w:t>
      </w:r>
    </w:p>
    <w:p w14:paraId="7E439803">
      <w:pPr>
        <w:numPr>
          <w:ilvl w:val="1"/>
          <w:numId w:val="4"/>
        </w:numPr>
        <w:spacing w:line="288" w:lineRule="auto"/>
        <w:ind w:left="840" w:leftChars="0" w:hanging="420" w:firstLineChars="0"/>
        <w:jc w:val="left"/>
        <w:rPr>
          <w:rFonts w:cs="宋体"/>
          <w:spacing w:val="1"/>
          <w:sz w:val="21"/>
          <w:szCs w:val="21"/>
          <w:highlight w:val="none"/>
        </w:rPr>
      </w:pPr>
      <w:r>
        <w:rPr>
          <w:rFonts w:hint="eastAsia" w:cs="宋体"/>
          <w:spacing w:val="1"/>
          <w:sz w:val="21"/>
          <w:szCs w:val="21"/>
          <w:highlight w:val="none"/>
        </w:rPr>
        <w:t>模组背面无三防漆处理，不得分</w:t>
      </w:r>
      <w:r>
        <w:rPr>
          <w:rFonts w:hint="eastAsia" w:cs="宋体"/>
          <w:spacing w:val="1"/>
          <w:sz w:val="21"/>
          <w:szCs w:val="21"/>
          <w:highlight w:val="none"/>
          <w:lang w:eastAsia="zh-CN"/>
        </w:rPr>
        <w:t>；</w:t>
      </w:r>
    </w:p>
    <w:p w14:paraId="309B4374">
      <w:pPr>
        <w:numPr>
          <w:ilvl w:val="0"/>
          <w:numId w:val="4"/>
        </w:numPr>
        <w:spacing w:line="288" w:lineRule="auto"/>
        <w:ind w:left="425" w:leftChars="0" w:hanging="425" w:firstLineChars="0"/>
        <w:jc w:val="left"/>
        <w:rPr>
          <w:rFonts w:hint="eastAsia" w:cs="宋体"/>
          <w:spacing w:val="1"/>
          <w:sz w:val="21"/>
          <w:szCs w:val="21"/>
          <w:highlight w:val="none"/>
          <w:lang w:val="en-US" w:eastAsia="zh-CN"/>
        </w:rPr>
      </w:pPr>
      <w:r>
        <w:rPr>
          <w:rFonts w:hint="eastAsia" w:cs="宋体"/>
          <w:spacing w:val="1"/>
          <w:sz w:val="21"/>
          <w:szCs w:val="21"/>
          <w:highlight w:val="none"/>
          <w:lang w:val="en-US" w:eastAsia="zh-CN"/>
        </w:rPr>
        <w:t>显示屏的箱体应采用轻薄设计，测试箱体厚度，使用由投标单位自备在检验有效期内的游标卡尺测量：（0-3分）</w:t>
      </w:r>
    </w:p>
    <w:p w14:paraId="22E64CCF">
      <w:pPr>
        <w:numPr>
          <w:ilvl w:val="0"/>
          <w:numId w:val="5"/>
        </w:numPr>
        <w:spacing w:line="288" w:lineRule="auto"/>
        <w:ind w:left="0" w:leftChars="0" w:firstLine="424" w:firstLineChars="200"/>
        <w:jc w:val="left"/>
        <w:rPr>
          <w:rFonts w:hint="eastAsia" w:cs="宋体"/>
          <w:spacing w:val="1"/>
          <w:sz w:val="21"/>
          <w:szCs w:val="21"/>
          <w:highlight w:val="none"/>
          <w:lang w:val="en-US" w:eastAsia="zh-CN"/>
        </w:rPr>
      </w:pPr>
      <w:r>
        <w:rPr>
          <w:rFonts w:hint="eastAsia" w:cs="宋体"/>
          <w:spacing w:val="1"/>
          <w:sz w:val="21"/>
          <w:szCs w:val="21"/>
          <w:highlight w:val="none"/>
          <w:lang w:val="en-US" w:eastAsia="zh-CN"/>
        </w:rPr>
        <w:t>厚度＜30mm，得3分；</w:t>
      </w:r>
    </w:p>
    <w:p w14:paraId="6C99BBBD">
      <w:pPr>
        <w:numPr>
          <w:ilvl w:val="0"/>
          <w:numId w:val="5"/>
        </w:numPr>
        <w:spacing w:line="288" w:lineRule="auto"/>
        <w:ind w:left="0" w:leftChars="0" w:firstLine="424" w:firstLineChars="200"/>
        <w:jc w:val="left"/>
        <w:rPr>
          <w:rFonts w:hint="eastAsia" w:cs="宋体"/>
          <w:spacing w:val="1"/>
          <w:sz w:val="21"/>
          <w:szCs w:val="21"/>
          <w:highlight w:val="none"/>
          <w:lang w:val="en-US" w:eastAsia="zh-CN"/>
        </w:rPr>
      </w:pPr>
      <w:r>
        <w:rPr>
          <w:rFonts w:hint="eastAsia" w:cs="宋体"/>
          <w:spacing w:val="1"/>
          <w:sz w:val="21"/>
          <w:szCs w:val="21"/>
          <w:highlight w:val="none"/>
          <w:lang w:val="en-US" w:eastAsia="zh-CN"/>
        </w:rPr>
        <w:t>厚度≥30mm＜40mm，得1分；</w:t>
      </w:r>
    </w:p>
    <w:p w14:paraId="0CEEA776">
      <w:pPr>
        <w:numPr>
          <w:ilvl w:val="0"/>
          <w:numId w:val="5"/>
        </w:numPr>
        <w:spacing w:line="288" w:lineRule="auto"/>
        <w:ind w:left="0" w:leftChars="0" w:firstLine="424" w:firstLineChars="200"/>
        <w:jc w:val="left"/>
        <w:rPr>
          <w:rFonts w:hint="eastAsia" w:cs="宋体"/>
          <w:spacing w:val="1"/>
          <w:sz w:val="21"/>
          <w:szCs w:val="21"/>
          <w:highlight w:val="none"/>
          <w:lang w:val="en-US" w:eastAsia="zh-CN"/>
        </w:rPr>
      </w:pPr>
      <w:r>
        <w:rPr>
          <w:rFonts w:hint="eastAsia" w:cs="宋体"/>
          <w:spacing w:val="1"/>
          <w:sz w:val="21"/>
          <w:szCs w:val="21"/>
          <w:highlight w:val="none"/>
          <w:lang w:val="en-US" w:eastAsia="zh-CN"/>
        </w:rPr>
        <w:t>厚度≥40mm，不得分；</w:t>
      </w:r>
    </w:p>
    <w:p w14:paraId="657E6241">
      <w:pPr>
        <w:numPr>
          <w:ilvl w:val="0"/>
          <w:numId w:val="4"/>
        </w:numPr>
        <w:spacing w:line="288" w:lineRule="auto"/>
        <w:ind w:left="425" w:leftChars="0" w:hanging="425" w:firstLineChars="0"/>
        <w:jc w:val="left"/>
        <w:rPr>
          <w:rFonts w:hint="eastAsia" w:cs="宋体"/>
          <w:spacing w:val="1"/>
          <w:sz w:val="21"/>
          <w:szCs w:val="21"/>
          <w:highlight w:val="none"/>
          <w:lang w:val="en-US" w:eastAsia="zh-CN"/>
        </w:rPr>
      </w:pPr>
      <w:r>
        <w:rPr>
          <w:rFonts w:hint="eastAsia" w:cs="宋体"/>
          <w:spacing w:val="1"/>
          <w:sz w:val="21"/>
          <w:szCs w:val="21"/>
          <w:highlight w:val="none"/>
          <w:lang w:val="en-US" w:eastAsia="zh-CN"/>
        </w:rPr>
        <w:t>测试工作功耗：将显示屏在600nit下切换白平衡模式，稳定工作8分钟后测试屏幕功耗，使用由投标单位自备在检验有效期内的功率计测量：（0-3分）</w:t>
      </w:r>
    </w:p>
    <w:p w14:paraId="17AA502A">
      <w:pPr>
        <w:numPr>
          <w:ilvl w:val="0"/>
          <w:numId w:val="6"/>
        </w:numPr>
        <w:spacing w:line="288" w:lineRule="auto"/>
        <w:ind w:left="0" w:leftChars="0" w:firstLine="424" w:firstLineChars="200"/>
        <w:jc w:val="left"/>
        <w:rPr>
          <w:rFonts w:hint="eastAsia" w:cs="宋体"/>
          <w:spacing w:val="1"/>
          <w:sz w:val="21"/>
          <w:szCs w:val="21"/>
          <w:highlight w:val="none"/>
          <w:lang w:val="en-US" w:eastAsia="zh-CN"/>
        </w:rPr>
      </w:pPr>
      <w:r>
        <w:rPr>
          <w:rFonts w:hint="eastAsia" w:cs="宋体"/>
          <w:spacing w:val="1"/>
          <w:sz w:val="21"/>
          <w:szCs w:val="21"/>
          <w:highlight w:val="none"/>
          <w:lang w:val="en-US" w:eastAsia="zh-CN"/>
        </w:rPr>
        <w:t>功耗＜250W/㎡，得3分；</w:t>
      </w:r>
    </w:p>
    <w:p w14:paraId="5A528106">
      <w:pPr>
        <w:numPr>
          <w:ilvl w:val="0"/>
          <w:numId w:val="6"/>
        </w:numPr>
        <w:spacing w:line="288" w:lineRule="auto"/>
        <w:ind w:left="0" w:leftChars="0" w:firstLine="424" w:firstLineChars="200"/>
        <w:jc w:val="left"/>
        <w:rPr>
          <w:rFonts w:hint="eastAsia" w:cs="宋体"/>
          <w:spacing w:val="1"/>
          <w:sz w:val="21"/>
          <w:szCs w:val="21"/>
          <w:highlight w:val="none"/>
          <w:lang w:val="en-US" w:eastAsia="zh-CN"/>
        </w:rPr>
      </w:pPr>
      <w:r>
        <w:rPr>
          <w:rFonts w:hint="eastAsia" w:cs="宋体"/>
          <w:spacing w:val="1"/>
          <w:sz w:val="21"/>
          <w:szCs w:val="21"/>
          <w:highlight w:val="none"/>
          <w:lang w:val="en-US" w:eastAsia="zh-CN"/>
        </w:rPr>
        <w:t>功耗≥250W/㎡＜300W/㎡，得1分；</w:t>
      </w:r>
    </w:p>
    <w:p w14:paraId="5E9BE07C">
      <w:pPr>
        <w:numPr>
          <w:ilvl w:val="0"/>
          <w:numId w:val="6"/>
        </w:numPr>
        <w:spacing w:line="288" w:lineRule="auto"/>
        <w:ind w:left="0" w:leftChars="0" w:firstLine="424" w:firstLineChars="200"/>
        <w:jc w:val="left"/>
        <w:rPr>
          <w:rFonts w:hint="eastAsia" w:cs="宋体"/>
          <w:spacing w:val="1"/>
          <w:sz w:val="21"/>
          <w:szCs w:val="21"/>
          <w:highlight w:val="none"/>
          <w:lang w:val="en-US" w:eastAsia="zh-CN"/>
        </w:rPr>
      </w:pPr>
      <w:r>
        <w:rPr>
          <w:rFonts w:hint="eastAsia" w:cs="宋体"/>
          <w:spacing w:val="1"/>
          <w:sz w:val="21"/>
          <w:szCs w:val="21"/>
          <w:highlight w:val="none"/>
          <w:lang w:val="en-US" w:eastAsia="zh-CN"/>
        </w:rPr>
        <w:t>功耗≥300W/㎡，不得分；</w:t>
      </w:r>
    </w:p>
    <w:p w14:paraId="09B2F5FD">
      <w:pPr>
        <w:spacing w:line="288" w:lineRule="auto"/>
        <w:jc w:val="left"/>
        <w:rPr>
          <w:rFonts w:cs="宋体"/>
          <w:b/>
          <w:bCs/>
          <w:spacing w:val="1"/>
          <w:sz w:val="21"/>
          <w:szCs w:val="21"/>
          <w:highlight w:val="none"/>
        </w:rPr>
      </w:pPr>
      <w:r>
        <w:rPr>
          <w:rFonts w:cs="宋体"/>
          <w:b/>
          <w:bCs/>
          <w:spacing w:val="1"/>
          <w:sz w:val="21"/>
          <w:szCs w:val="21"/>
          <w:highlight w:val="none"/>
        </w:rPr>
        <w:t>2、拼接处理器演示要求</w:t>
      </w:r>
    </w:p>
    <w:p w14:paraId="339A513F">
      <w:pPr>
        <w:spacing w:line="288" w:lineRule="auto"/>
        <w:jc w:val="left"/>
        <w:rPr>
          <w:rFonts w:cs="宋体"/>
          <w:spacing w:val="1"/>
          <w:sz w:val="21"/>
          <w:szCs w:val="21"/>
          <w:highlight w:val="none"/>
        </w:rPr>
      </w:pPr>
      <w:r>
        <w:rPr>
          <w:rFonts w:cs="宋体"/>
          <w:spacing w:val="1"/>
          <w:sz w:val="21"/>
          <w:szCs w:val="21"/>
          <w:highlight w:val="none"/>
        </w:rPr>
        <w:t>（1）场景轮巡演示：设备已设置的多个场景可添加至轮询，根据需求设置轮巡时间，即可实现场景自动切换。（0-2分）</w:t>
      </w:r>
    </w:p>
    <w:p w14:paraId="7C10560F">
      <w:pPr>
        <w:spacing w:line="288" w:lineRule="auto"/>
        <w:jc w:val="left"/>
        <w:rPr>
          <w:rFonts w:cs="宋体"/>
          <w:spacing w:val="1"/>
          <w:sz w:val="21"/>
          <w:szCs w:val="21"/>
          <w:highlight w:val="none"/>
        </w:rPr>
        <w:sectPr>
          <w:footerReference r:id="rId5" w:type="default"/>
          <w:pgSz w:w="11906" w:h="16838"/>
          <w:pgMar w:top="1440" w:right="1800" w:bottom="1440" w:left="1800" w:header="851" w:footer="992" w:gutter="0"/>
          <w:cols w:space="425" w:num="1"/>
          <w:docGrid w:type="lines" w:linePitch="326" w:charSpace="0"/>
        </w:sectPr>
      </w:pPr>
      <w:r>
        <w:rPr>
          <w:rFonts w:cs="宋体"/>
          <w:spacing w:val="1"/>
          <w:sz w:val="21"/>
          <w:szCs w:val="21"/>
          <w:highlight w:val="none"/>
        </w:rPr>
        <w:t>（2）大屏开窗演示：软件可设置参考线功能，针对画布可快速任意比例和大小开窗，快速给信号源，并保存为相应的场景，进行场景切换。（0-2分）</w:t>
      </w:r>
    </w:p>
    <w:p w14:paraId="3D944C50">
      <w:pPr>
        <w:pStyle w:val="22"/>
        <w:outlineLvl w:val="0"/>
        <w:rPr>
          <w:rFonts w:cs="宋体"/>
          <w:sz w:val="21"/>
          <w:szCs w:val="21"/>
          <w:highlight w:val="none"/>
        </w:rPr>
      </w:pPr>
      <w:r>
        <w:rPr>
          <w:rFonts w:hint="eastAsia" w:cs="宋体"/>
          <w:sz w:val="21"/>
          <w:szCs w:val="21"/>
          <w:highlight w:val="none"/>
        </w:rPr>
        <w:t>建设背景</w:t>
      </w:r>
    </w:p>
    <w:p w14:paraId="2A49C67E">
      <w:pPr>
        <w:pStyle w:val="18"/>
        <w:ind w:firstLine="420"/>
        <w:rPr>
          <w:rFonts w:cs="宋体"/>
          <w:b w:val="0"/>
          <w:bCs/>
          <w:sz w:val="21"/>
          <w:szCs w:val="21"/>
          <w:highlight w:val="none"/>
        </w:rPr>
      </w:pPr>
      <w:r>
        <w:rPr>
          <w:rFonts w:hint="eastAsia" w:cs="宋体"/>
          <w:b w:val="0"/>
          <w:bCs/>
          <w:sz w:val="21"/>
          <w:szCs w:val="21"/>
          <w:highlight w:val="none"/>
        </w:rPr>
        <w:t>上海市青浦区练西公路警务站位于上海市青浦区练西公路与房地所路交叉口，练西公路警务站</w:t>
      </w:r>
      <w:r>
        <w:rPr>
          <w:rFonts w:hint="eastAsia"/>
          <w:b w:val="0"/>
          <w:bCs/>
          <w:color w:val="000000"/>
          <w:highlight w:val="none"/>
        </w:rPr>
        <w:t>本</w:t>
      </w:r>
      <w:r>
        <w:rPr>
          <w:rFonts w:hint="eastAsia" w:cs="宋体"/>
          <w:b w:val="0"/>
          <w:bCs/>
          <w:sz w:val="21"/>
          <w:szCs w:val="21"/>
          <w:highlight w:val="none"/>
        </w:rPr>
        <w:t>采购项目建设可为实现区域社会稳定、保证长治久安、构建和谐社会起到积极作用。按照市局“智慧公安”建设的部署，能进一步提高公安机关的利民便民服务水平，为打造大美青浦，创造和谐、平安青浦奠定基础。</w:t>
      </w:r>
    </w:p>
    <w:p w14:paraId="336AEA09">
      <w:pPr>
        <w:pStyle w:val="19"/>
        <w:ind w:firstLine="422"/>
        <w:rPr>
          <w:rFonts w:cs="宋体"/>
          <w:b/>
          <w:sz w:val="21"/>
          <w:szCs w:val="21"/>
          <w:highlight w:val="none"/>
        </w:rPr>
      </w:pPr>
    </w:p>
    <w:p w14:paraId="13AF9EDC">
      <w:pPr>
        <w:pStyle w:val="22"/>
        <w:outlineLvl w:val="0"/>
        <w:rPr>
          <w:rFonts w:cs="宋体"/>
          <w:sz w:val="21"/>
          <w:szCs w:val="21"/>
          <w:highlight w:val="none"/>
        </w:rPr>
      </w:pPr>
      <w:r>
        <w:rPr>
          <w:rFonts w:hint="eastAsia" w:cs="宋体"/>
          <w:sz w:val="21"/>
          <w:szCs w:val="21"/>
          <w:highlight w:val="none"/>
        </w:rPr>
        <w:t>建设依据</w:t>
      </w:r>
    </w:p>
    <w:p w14:paraId="09EE4A2B">
      <w:pPr>
        <w:ind w:firstLine="420" w:firstLineChars="200"/>
        <w:rPr>
          <w:rFonts w:cs="宋体"/>
          <w:sz w:val="21"/>
          <w:szCs w:val="21"/>
          <w:highlight w:val="none"/>
        </w:rPr>
      </w:pPr>
      <w:r>
        <w:rPr>
          <w:rFonts w:hint="eastAsia" w:cs="宋体"/>
          <w:sz w:val="21"/>
          <w:szCs w:val="21"/>
          <w:highlight w:val="none"/>
        </w:rPr>
        <w:t>GB51348-2019《民用建筑电气设计规范》</w:t>
      </w:r>
    </w:p>
    <w:p w14:paraId="3FC93308">
      <w:pPr>
        <w:ind w:firstLine="420" w:firstLineChars="200"/>
        <w:rPr>
          <w:rFonts w:cs="宋体"/>
          <w:sz w:val="21"/>
          <w:szCs w:val="21"/>
          <w:highlight w:val="none"/>
        </w:rPr>
      </w:pPr>
      <w:r>
        <w:rPr>
          <w:rFonts w:hint="eastAsia" w:cs="宋体"/>
          <w:sz w:val="21"/>
          <w:szCs w:val="21"/>
          <w:highlight w:val="none"/>
        </w:rPr>
        <w:t>GB50606-2010《智能建筑工程施工规范》</w:t>
      </w:r>
    </w:p>
    <w:p w14:paraId="75D8C2A3">
      <w:pPr>
        <w:ind w:firstLine="420" w:firstLineChars="200"/>
        <w:rPr>
          <w:rFonts w:cs="宋体"/>
          <w:sz w:val="21"/>
          <w:szCs w:val="21"/>
          <w:highlight w:val="none"/>
        </w:rPr>
      </w:pPr>
      <w:r>
        <w:rPr>
          <w:rFonts w:hint="eastAsia" w:cs="宋体"/>
          <w:sz w:val="21"/>
          <w:szCs w:val="21"/>
          <w:highlight w:val="none"/>
        </w:rPr>
        <w:t>GB50339-2013《智能建筑工程质量验收规范》</w:t>
      </w:r>
    </w:p>
    <w:p w14:paraId="4518ACEE">
      <w:pPr>
        <w:ind w:firstLine="420" w:firstLineChars="200"/>
        <w:rPr>
          <w:rFonts w:cs="宋体"/>
          <w:sz w:val="21"/>
          <w:szCs w:val="21"/>
          <w:highlight w:val="none"/>
        </w:rPr>
      </w:pPr>
      <w:r>
        <w:rPr>
          <w:rFonts w:hint="eastAsia" w:cs="宋体"/>
          <w:sz w:val="21"/>
          <w:szCs w:val="21"/>
          <w:highlight w:val="none"/>
        </w:rPr>
        <w:t>GB50300-2013《建筑工程施工质量验收统一标准》</w:t>
      </w:r>
    </w:p>
    <w:p w14:paraId="502E6B24">
      <w:pPr>
        <w:ind w:firstLine="420" w:firstLineChars="200"/>
        <w:rPr>
          <w:rFonts w:cs="宋体"/>
          <w:sz w:val="21"/>
          <w:szCs w:val="21"/>
          <w:highlight w:val="none"/>
        </w:rPr>
      </w:pPr>
      <w:r>
        <w:rPr>
          <w:rFonts w:hint="eastAsia" w:cs="宋体"/>
          <w:sz w:val="21"/>
          <w:szCs w:val="21"/>
          <w:highlight w:val="none"/>
        </w:rPr>
        <w:t>GB50169-2016《电气装置安装工程接地装置施工及验收规范》</w:t>
      </w:r>
    </w:p>
    <w:p w14:paraId="4FE9B727">
      <w:pPr>
        <w:ind w:firstLine="420" w:firstLineChars="200"/>
        <w:rPr>
          <w:rFonts w:cs="宋体"/>
          <w:sz w:val="21"/>
          <w:szCs w:val="21"/>
          <w:highlight w:val="none"/>
        </w:rPr>
      </w:pPr>
      <w:r>
        <w:rPr>
          <w:rFonts w:hint="eastAsia" w:cs="宋体"/>
          <w:sz w:val="21"/>
          <w:szCs w:val="21"/>
          <w:highlight w:val="none"/>
        </w:rPr>
        <w:t>GB50303-2002《建筑电气安装工程施工质量验收规范》（现行）</w:t>
      </w:r>
    </w:p>
    <w:p w14:paraId="57019F3C">
      <w:pPr>
        <w:ind w:firstLine="420" w:firstLineChars="200"/>
        <w:rPr>
          <w:rFonts w:cs="宋体"/>
          <w:sz w:val="21"/>
          <w:szCs w:val="21"/>
          <w:highlight w:val="none"/>
        </w:rPr>
      </w:pPr>
      <w:r>
        <w:rPr>
          <w:rFonts w:hint="eastAsia" w:cs="宋体"/>
          <w:sz w:val="21"/>
          <w:szCs w:val="21"/>
          <w:highlight w:val="none"/>
        </w:rPr>
        <w:t xml:space="preserve">GB50198-2011《民用闭路监视电视系统工程技术规范》 </w:t>
      </w:r>
    </w:p>
    <w:p w14:paraId="19D3F333">
      <w:pPr>
        <w:ind w:firstLine="420" w:firstLineChars="200"/>
        <w:rPr>
          <w:rFonts w:cs="宋体"/>
          <w:sz w:val="21"/>
          <w:szCs w:val="21"/>
          <w:highlight w:val="none"/>
        </w:rPr>
      </w:pPr>
      <w:r>
        <w:rPr>
          <w:rFonts w:hint="eastAsia" w:cs="宋体"/>
          <w:sz w:val="21"/>
          <w:szCs w:val="21"/>
          <w:highlight w:val="none"/>
        </w:rPr>
        <w:t>GB50395-2007《视频安防监控系统工程设计规范》</w:t>
      </w:r>
    </w:p>
    <w:p w14:paraId="61F9F94B">
      <w:pPr>
        <w:ind w:firstLine="420" w:firstLineChars="200"/>
        <w:rPr>
          <w:rFonts w:cs="宋体"/>
          <w:sz w:val="21"/>
          <w:szCs w:val="21"/>
          <w:highlight w:val="none"/>
        </w:rPr>
      </w:pPr>
      <w:r>
        <w:rPr>
          <w:rFonts w:hint="eastAsia" w:cs="宋体"/>
          <w:sz w:val="21"/>
          <w:szCs w:val="21"/>
          <w:highlight w:val="none"/>
        </w:rPr>
        <w:t>《发光二极管(LED)显示屏通用规范》（SJ/T 11141-2017）</w:t>
      </w:r>
    </w:p>
    <w:p w14:paraId="585AE373">
      <w:pPr>
        <w:ind w:firstLine="420" w:firstLineChars="200"/>
        <w:rPr>
          <w:rFonts w:cs="宋体"/>
          <w:sz w:val="21"/>
          <w:szCs w:val="21"/>
          <w:highlight w:val="none"/>
        </w:rPr>
      </w:pPr>
      <w:r>
        <w:rPr>
          <w:rFonts w:hint="eastAsia" w:cs="宋体"/>
          <w:sz w:val="21"/>
          <w:szCs w:val="21"/>
          <w:highlight w:val="none"/>
        </w:rPr>
        <w:t>《计算机场地通用规范》（GB/T 2887-2011）</w:t>
      </w:r>
    </w:p>
    <w:p w14:paraId="18D77C56">
      <w:pPr>
        <w:ind w:firstLine="420" w:firstLineChars="200"/>
        <w:rPr>
          <w:rFonts w:cs="宋体"/>
          <w:sz w:val="21"/>
          <w:szCs w:val="21"/>
          <w:highlight w:val="none"/>
        </w:rPr>
      </w:pPr>
      <w:r>
        <w:rPr>
          <w:rFonts w:hint="eastAsia" w:cs="宋体"/>
          <w:sz w:val="21"/>
          <w:szCs w:val="21"/>
          <w:highlight w:val="none"/>
        </w:rPr>
        <w:t>《民用建筑电气设计规范》（GB51348-2019）</w:t>
      </w:r>
    </w:p>
    <w:p w14:paraId="39B95810">
      <w:pPr>
        <w:ind w:firstLine="420" w:firstLineChars="200"/>
        <w:rPr>
          <w:rFonts w:cs="宋体"/>
          <w:sz w:val="21"/>
          <w:szCs w:val="21"/>
          <w:highlight w:val="none"/>
        </w:rPr>
      </w:pPr>
      <w:r>
        <w:rPr>
          <w:rFonts w:hint="eastAsia" w:cs="宋体"/>
          <w:sz w:val="21"/>
          <w:szCs w:val="21"/>
          <w:highlight w:val="none"/>
        </w:rPr>
        <w:t>配电系统电气装置安装工程施工及验收规范》（DL/T 5759-2017）</w:t>
      </w:r>
    </w:p>
    <w:p w14:paraId="19FA76A4">
      <w:pPr>
        <w:ind w:firstLine="420" w:firstLineChars="200"/>
        <w:rPr>
          <w:rFonts w:cs="宋体"/>
          <w:sz w:val="21"/>
          <w:szCs w:val="21"/>
          <w:highlight w:val="none"/>
        </w:rPr>
      </w:pPr>
      <w:r>
        <w:rPr>
          <w:rFonts w:hint="eastAsia" w:cs="宋体"/>
          <w:sz w:val="21"/>
          <w:szCs w:val="21"/>
          <w:highlight w:val="none"/>
        </w:rPr>
        <w:t>《发光二极管(LED)显示屏测试方法》（SJ/T 11281-2017）</w:t>
      </w:r>
    </w:p>
    <w:p w14:paraId="53D0CB84">
      <w:pPr>
        <w:ind w:firstLine="420" w:firstLineChars="200"/>
        <w:rPr>
          <w:rFonts w:cs="宋体"/>
          <w:sz w:val="21"/>
          <w:szCs w:val="21"/>
          <w:highlight w:val="none"/>
        </w:rPr>
      </w:pPr>
      <w:r>
        <w:rPr>
          <w:rFonts w:hint="eastAsia" w:cs="宋体"/>
          <w:sz w:val="21"/>
          <w:szCs w:val="21"/>
          <w:highlight w:val="none"/>
        </w:rPr>
        <w:t>其它符合要求的国家规范、地方性规范要求；</w:t>
      </w:r>
    </w:p>
    <w:p w14:paraId="6FA16812">
      <w:pPr>
        <w:ind w:firstLine="420" w:firstLineChars="200"/>
        <w:rPr>
          <w:rFonts w:cs="宋体"/>
          <w:sz w:val="21"/>
          <w:szCs w:val="21"/>
          <w:highlight w:val="none"/>
        </w:rPr>
      </w:pPr>
      <w:r>
        <w:rPr>
          <w:rFonts w:hint="eastAsia" w:cs="宋体"/>
          <w:sz w:val="21"/>
          <w:szCs w:val="21"/>
          <w:highlight w:val="none"/>
        </w:rPr>
        <w:t>如上述标准版本更新的，以最新版本的规定为准。</w:t>
      </w:r>
    </w:p>
    <w:p w14:paraId="7046023D">
      <w:pPr>
        <w:pStyle w:val="18"/>
        <w:ind w:firstLine="422"/>
        <w:rPr>
          <w:rFonts w:cs="宋体"/>
          <w:sz w:val="21"/>
          <w:szCs w:val="21"/>
          <w:highlight w:val="none"/>
        </w:rPr>
      </w:pPr>
    </w:p>
    <w:p w14:paraId="37A0491C">
      <w:pPr>
        <w:pStyle w:val="22"/>
        <w:outlineLvl w:val="0"/>
        <w:rPr>
          <w:rFonts w:cs="宋体"/>
          <w:sz w:val="21"/>
          <w:szCs w:val="21"/>
          <w:highlight w:val="none"/>
        </w:rPr>
      </w:pPr>
      <w:r>
        <w:rPr>
          <w:rFonts w:hint="eastAsia" w:cs="宋体"/>
          <w:sz w:val="21"/>
          <w:szCs w:val="21"/>
          <w:highlight w:val="none"/>
        </w:rPr>
        <w:t>建设内容</w:t>
      </w:r>
    </w:p>
    <w:p w14:paraId="127A0370">
      <w:pPr>
        <w:pStyle w:val="18"/>
        <w:ind w:firstLine="420"/>
        <w:rPr>
          <w:rFonts w:cs="宋体"/>
          <w:b w:val="0"/>
          <w:bCs/>
          <w:sz w:val="21"/>
          <w:szCs w:val="21"/>
          <w:highlight w:val="none"/>
        </w:rPr>
      </w:pPr>
      <w:r>
        <w:rPr>
          <w:rFonts w:hint="eastAsia" w:cs="宋体"/>
          <w:b w:val="0"/>
          <w:bCs/>
          <w:sz w:val="21"/>
          <w:szCs w:val="21"/>
          <w:highlight w:val="none"/>
        </w:rPr>
        <w:t>本项目是练西公路警务站弱电设备建设中技术</w:t>
      </w:r>
      <w:r>
        <w:rPr>
          <w:rFonts w:hint="eastAsia" w:cs="宋体"/>
          <w:b w:val="0"/>
          <w:bCs/>
          <w:sz w:val="21"/>
          <w:szCs w:val="21"/>
          <w:highlight w:val="none"/>
          <w:lang w:val="en-US" w:eastAsia="zh-CN"/>
        </w:rPr>
        <w:t xml:space="preserve"> </w:t>
      </w:r>
      <w:r>
        <w:rPr>
          <w:rFonts w:hint="eastAsia" w:cs="宋体"/>
          <w:b w:val="0"/>
          <w:bCs/>
          <w:sz w:val="21"/>
          <w:szCs w:val="21"/>
          <w:highlight w:val="none"/>
        </w:rPr>
        <w:t>监控室建设系统的重要组成部分。本项目主要建设内容为：</w:t>
      </w:r>
    </w:p>
    <w:p w14:paraId="60FEB839">
      <w:pPr>
        <w:pStyle w:val="18"/>
        <w:ind w:firstLine="420"/>
        <w:rPr>
          <w:rFonts w:cs="宋体"/>
          <w:b w:val="0"/>
          <w:bCs/>
          <w:sz w:val="21"/>
          <w:szCs w:val="21"/>
          <w:highlight w:val="none"/>
        </w:rPr>
      </w:pPr>
      <w:r>
        <w:rPr>
          <w:rFonts w:hint="eastAsia" w:cs="宋体"/>
          <w:b w:val="0"/>
          <w:bCs/>
          <w:sz w:val="21"/>
          <w:szCs w:val="21"/>
          <w:highlight w:val="none"/>
        </w:rPr>
        <w:t>在练西公路警务站建设LED</w:t>
      </w:r>
      <w:r>
        <w:rPr>
          <w:rFonts w:hint="eastAsia" w:cs="宋体"/>
          <w:b w:val="0"/>
          <w:bCs/>
          <w:sz w:val="21"/>
          <w:szCs w:val="21"/>
          <w:highlight w:val="none"/>
          <w:lang w:eastAsia="zh-CN"/>
        </w:rPr>
        <w:t>室内</w:t>
      </w:r>
      <w:r>
        <w:rPr>
          <w:rFonts w:hint="eastAsia" w:cs="宋体"/>
          <w:b w:val="0"/>
          <w:bCs/>
          <w:sz w:val="21"/>
          <w:szCs w:val="21"/>
          <w:highlight w:val="none"/>
        </w:rPr>
        <w:t>显示屏（一）、LED</w:t>
      </w:r>
      <w:r>
        <w:rPr>
          <w:rFonts w:hint="eastAsia" w:cs="宋体"/>
          <w:b w:val="0"/>
          <w:bCs/>
          <w:sz w:val="21"/>
          <w:szCs w:val="21"/>
          <w:highlight w:val="none"/>
          <w:lang w:eastAsia="zh-CN"/>
        </w:rPr>
        <w:t>室内</w:t>
      </w:r>
      <w:r>
        <w:rPr>
          <w:rFonts w:hint="eastAsia" w:cs="宋体"/>
          <w:b w:val="0"/>
          <w:bCs/>
          <w:sz w:val="21"/>
          <w:szCs w:val="21"/>
          <w:highlight w:val="none"/>
        </w:rPr>
        <w:t>显示屏（二）、LED屏底座、拼接处理器、配电箱、配电线缆、连接线等设备。</w:t>
      </w:r>
    </w:p>
    <w:p w14:paraId="202FB292">
      <w:pPr>
        <w:pStyle w:val="22"/>
        <w:rPr>
          <w:rFonts w:cs="宋体"/>
          <w:sz w:val="21"/>
          <w:szCs w:val="21"/>
          <w:highlight w:val="none"/>
        </w:rPr>
      </w:pPr>
      <w:r>
        <w:rPr>
          <w:rFonts w:hint="eastAsia" w:cs="宋体"/>
          <w:sz w:val="21"/>
          <w:szCs w:val="21"/>
          <w:highlight w:val="none"/>
        </w:rPr>
        <w:t>设备清单</w:t>
      </w:r>
    </w:p>
    <w:tbl>
      <w:tblPr>
        <w:tblStyle w:val="12"/>
        <w:tblW w:w="8211" w:type="dxa"/>
        <w:jc w:val="center"/>
        <w:tblLayout w:type="fixed"/>
        <w:tblCellMar>
          <w:top w:w="0" w:type="dxa"/>
          <w:left w:w="108" w:type="dxa"/>
          <w:bottom w:w="0" w:type="dxa"/>
          <w:right w:w="108" w:type="dxa"/>
        </w:tblCellMar>
      </w:tblPr>
      <w:tblGrid>
        <w:gridCol w:w="707"/>
        <w:gridCol w:w="1880"/>
        <w:gridCol w:w="3928"/>
        <w:gridCol w:w="792"/>
        <w:gridCol w:w="904"/>
      </w:tblGrid>
      <w:tr w14:paraId="00462EDA">
        <w:tblPrEx>
          <w:tblCellMar>
            <w:top w:w="0" w:type="dxa"/>
            <w:left w:w="108" w:type="dxa"/>
            <w:bottom w:w="0" w:type="dxa"/>
            <w:right w:w="108" w:type="dxa"/>
          </w:tblCellMar>
        </w:tblPrEx>
        <w:trPr>
          <w:trHeight w:val="480" w:hRule="atLeast"/>
          <w:jc w:val="center"/>
        </w:trPr>
        <w:tc>
          <w:tcPr>
            <w:tcW w:w="707" w:type="dxa"/>
            <w:tcBorders>
              <w:top w:val="single" w:color="000000" w:sz="4" w:space="0"/>
              <w:left w:val="single" w:color="000000" w:sz="4" w:space="0"/>
              <w:bottom w:val="nil"/>
              <w:right w:val="single" w:color="000000" w:sz="4" w:space="0"/>
            </w:tcBorders>
            <w:shd w:val="clear" w:color="auto" w:fill="auto"/>
            <w:vAlign w:val="center"/>
          </w:tcPr>
          <w:p w14:paraId="5CE2F145">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序号</w:t>
            </w:r>
          </w:p>
        </w:tc>
        <w:tc>
          <w:tcPr>
            <w:tcW w:w="1880" w:type="dxa"/>
            <w:tcBorders>
              <w:top w:val="single" w:color="000000" w:sz="4" w:space="0"/>
              <w:left w:val="single" w:color="000000" w:sz="4" w:space="0"/>
              <w:bottom w:val="nil"/>
              <w:right w:val="single" w:color="000000" w:sz="4" w:space="0"/>
            </w:tcBorders>
            <w:shd w:val="clear" w:color="auto" w:fill="auto"/>
            <w:vAlign w:val="center"/>
          </w:tcPr>
          <w:p w14:paraId="726F1986">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设备材料/分项名称</w:t>
            </w:r>
          </w:p>
        </w:tc>
        <w:tc>
          <w:tcPr>
            <w:tcW w:w="3928" w:type="dxa"/>
            <w:tcBorders>
              <w:top w:val="single" w:color="000000" w:sz="4" w:space="0"/>
              <w:left w:val="single" w:color="000000" w:sz="4" w:space="0"/>
              <w:bottom w:val="nil"/>
              <w:right w:val="single" w:color="000000" w:sz="4" w:space="0"/>
            </w:tcBorders>
            <w:shd w:val="clear" w:color="auto" w:fill="auto"/>
            <w:vAlign w:val="center"/>
          </w:tcPr>
          <w:p w14:paraId="6EB0B5B5">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工可参数</w:t>
            </w:r>
          </w:p>
        </w:tc>
        <w:tc>
          <w:tcPr>
            <w:tcW w:w="792" w:type="dxa"/>
            <w:tcBorders>
              <w:top w:val="single" w:color="000000" w:sz="4" w:space="0"/>
              <w:left w:val="single" w:color="000000" w:sz="4" w:space="0"/>
              <w:bottom w:val="nil"/>
              <w:right w:val="single" w:color="000000" w:sz="4" w:space="0"/>
            </w:tcBorders>
            <w:shd w:val="clear" w:color="auto" w:fill="auto"/>
            <w:vAlign w:val="center"/>
          </w:tcPr>
          <w:p w14:paraId="6ED132F1">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单位</w:t>
            </w:r>
          </w:p>
        </w:tc>
        <w:tc>
          <w:tcPr>
            <w:tcW w:w="9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1729D4">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数量</w:t>
            </w:r>
          </w:p>
        </w:tc>
      </w:tr>
      <w:tr w14:paraId="6735D39D">
        <w:tblPrEx>
          <w:tblCellMar>
            <w:top w:w="0" w:type="dxa"/>
            <w:left w:w="108" w:type="dxa"/>
            <w:bottom w:w="0" w:type="dxa"/>
            <w:right w:w="108" w:type="dxa"/>
          </w:tblCellMar>
        </w:tblPrEx>
        <w:trPr>
          <w:trHeight w:val="38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463B">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C62B">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LED室内显示屏（一）（核心产品）</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3404">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详见主要设备技术指标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FC8A">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C919">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19.5</w:t>
            </w:r>
          </w:p>
        </w:tc>
      </w:tr>
      <w:tr w14:paraId="5DA4A09A">
        <w:tblPrEx>
          <w:tblCellMar>
            <w:top w:w="0" w:type="dxa"/>
            <w:left w:w="108" w:type="dxa"/>
            <w:bottom w:w="0" w:type="dxa"/>
            <w:right w:w="108" w:type="dxa"/>
          </w:tblCellMar>
        </w:tblPrEx>
        <w:trPr>
          <w:trHeight w:val="38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3CA6">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6F51">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LED室内显示屏（二）</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6966">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详见主要设备技术指标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ABF8">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9F6B">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5</w:t>
            </w:r>
          </w:p>
        </w:tc>
      </w:tr>
      <w:tr w14:paraId="3868E6C8">
        <w:tblPrEx>
          <w:tblCellMar>
            <w:top w:w="0" w:type="dxa"/>
            <w:left w:w="108" w:type="dxa"/>
            <w:bottom w:w="0" w:type="dxa"/>
            <w:right w:w="108" w:type="dxa"/>
          </w:tblCellMar>
        </w:tblPrEx>
        <w:trPr>
          <w:trHeight w:val="38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AD90">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4348">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LED屏底座</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C5C5">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详见主要设备技术指标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269E">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B03A">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24.5</w:t>
            </w:r>
          </w:p>
        </w:tc>
      </w:tr>
      <w:tr w14:paraId="5D895A6E">
        <w:tblPrEx>
          <w:tblCellMar>
            <w:top w:w="0" w:type="dxa"/>
            <w:left w:w="108" w:type="dxa"/>
            <w:bottom w:w="0" w:type="dxa"/>
            <w:right w:w="108" w:type="dxa"/>
          </w:tblCellMar>
        </w:tblPrEx>
        <w:trPr>
          <w:trHeight w:val="38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9FEC">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AB87">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拼接处理器</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68A3">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详见主要设备技术指标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4406">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套</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B316">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r>
      <w:tr w14:paraId="35925B7D">
        <w:tblPrEx>
          <w:tblCellMar>
            <w:top w:w="0" w:type="dxa"/>
            <w:left w:w="108" w:type="dxa"/>
            <w:bottom w:w="0" w:type="dxa"/>
            <w:right w:w="108" w:type="dxa"/>
          </w:tblCellMar>
        </w:tblPrEx>
        <w:trPr>
          <w:trHeight w:val="38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5E68">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5</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F491">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配电箱</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FD37">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详见主要设备技术指标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E545">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套</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07F0">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r>
      <w:tr w14:paraId="6B6CAFF5">
        <w:tblPrEx>
          <w:tblCellMar>
            <w:top w:w="0" w:type="dxa"/>
            <w:left w:w="108" w:type="dxa"/>
            <w:bottom w:w="0" w:type="dxa"/>
            <w:right w:w="108" w:type="dxa"/>
          </w:tblCellMar>
        </w:tblPrEx>
        <w:trPr>
          <w:trHeight w:val="38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FD77">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6</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2D37">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配电辅材线缆</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2AB5">
            <w:pPr>
              <w:jc w:val="left"/>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包含ZR-YJV-4*10+1*10mm电缆、ZR-YJV-3*2.5mm电缆、</w:t>
            </w:r>
            <w:r>
              <w:rPr>
                <w:rFonts w:hint="eastAsia" w:ascii="宋体" w:hAnsi="宋体" w:eastAsia="宋体" w:cs="宋体"/>
                <w:color w:val="000000"/>
                <w:kern w:val="0"/>
                <w:sz w:val="21"/>
                <w:szCs w:val="21"/>
                <w:highlight w:val="none"/>
                <w:lang w:val="en-US" w:eastAsia="zh-CN"/>
              </w:rPr>
              <w:t>RVV3*2.5mm²线</w:t>
            </w:r>
            <w:r>
              <w:rPr>
                <w:rFonts w:hint="eastAsia" w:cs="宋体"/>
                <w:color w:val="000000"/>
                <w:kern w:val="0"/>
                <w:sz w:val="21"/>
                <w:szCs w:val="21"/>
                <w:highlight w:val="none"/>
                <w:lang w:val="en-US" w:eastAsia="zh-CN"/>
              </w:rPr>
              <w:t>缆、</w:t>
            </w:r>
            <w:r>
              <w:rPr>
                <w:rFonts w:hint="eastAsia" w:ascii="宋体" w:hAnsi="宋体" w:eastAsia="宋体" w:cs="宋体"/>
                <w:color w:val="000000"/>
                <w:kern w:val="0"/>
                <w:sz w:val="21"/>
                <w:szCs w:val="21"/>
                <w:highlight w:val="none"/>
              </w:rPr>
              <w:t>高清连接线（20米DVI）</w:t>
            </w:r>
            <w:r>
              <w:rPr>
                <w:rFonts w:hint="eastAsia" w:cs="宋体"/>
                <w:color w:val="000000"/>
                <w:kern w:val="0"/>
                <w:sz w:val="21"/>
                <w:szCs w:val="21"/>
                <w:highlight w:val="none"/>
                <w:lang w:val="en-US" w:eastAsia="zh-CN"/>
              </w:rPr>
              <w:t>等全部配套辅材</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1562">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批</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DF3D">
            <w:pPr>
              <w:jc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r>
    </w:tbl>
    <w:p w14:paraId="6DB37C4C">
      <w:pPr>
        <w:pStyle w:val="18"/>
        <w:ind w:firstLine="422"/>
        <w:rPr>
          <w:rFonts w:cs="宋体"/>
          <w:sz w:val="21"/>
          <w:szCs w:val="21"/>
          <w:highlight w:val="none"/>
        </w:rPr>
      </w:pPr>
    </w:p>
    <w:p w14:paraId="1DB84DA6">
      <w:pPr>
        <w:pStyle w:val="19"/>
        <w:rPr>
          <w:rFonts w:cs="宋体"/>
          <w:sz w:val="21"/>
          <w:szCs w:val="21"/>
          <w:highlight w:val="none"/>
        </w:rPr>
      </w:pPr>
    </w:p>
    <w:tbl>
      <w:tblPr>
        <w:tblStyle w:val="13"/>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886"/>
        <w:gridCol w:w="3628"/>
      </w:tblGrid>
      <w:tr w14:paraId="6DD7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9" w:type="dxa"/>
          </w:tcPr>
          <w:p w14:paraId="5CAEC4B7">
            <w:pPr>
              <w:widowControl w:val="0"/>
              <w:jc w:val="center"/>
              <w:rPr>
                <w:rFonts w:hint="eastAsia" w:eastAsia="宋体"/>
                <w:highlight w:val="none"/>
                <w:vertAlign w:val="baseline"/>
                <w:lang w:eastAsia="zh-CN"/>
              </w:rPr>
            </w:pPr>
            <w:r>
              <w:rPr>
                <w:rFonts w:hint="eastAsia"/>
                <w:highlight w:val="none"/>
                <w:vertAlign w:val="baseline"/>
                <w:lang w:eastAsia="zh-CN"/>
              </w:rPr>
              <w:t>序号</w:t>
            </w:r>
          </w:p>
        </w:tc>
        <w:tc>
          <w:tcPr>
            <w:tcW w:w="3886" w:type="dxa"/>
          </w:tcPr>
          <w:p w14:paraId="615777EC">
            <w:pPr>
              <w:widowControl w:val="0"/>
              <w:rPr>
                <w:rFonts w:hint="eastAsia" w:eastAsia="宋体"/>
                <w:highlight w:val="none"/>
                <w:vertAlign w:val="baseline"/>
                <w:lang w:eastAsia="zh-CN"/>
              </w:rPr>
            </w:pPr>
            <w:r>
              <w:rPr>
                <w:rFonts w:hint="eastAsia"/>
                <w:highlight w:val="none"/>
                <w:vertAlign w:val="baseline"/>
                <w:lang w:eastAsia="zh-CN"/>
              </w:rPr>
              <w:t>产品类别</w:t>
            </w:r>
          </w:p>
        </w:tc>
        <w:tc>
          <w:tcPr>
            <w:tcW w:w="3628" w:type="dxa"/>
          </w:tcPr>
          <w:p w14:paraId="788CB944">
            <w:pPr>
              <w:widowControl w:val="0"/>
              <w:rPr>
                <w:highlight w:val="none"/>
                <w:vertAlign w:val="baseline"/>
              </w:rPr>
            </w:pPr>
            <w:r>
              <w:rPr>
                <w:rStyle w:val="21"/>
                <w:rFonts w:cs="宋体"/>
                <w:sz w:val="21"/>
                <w:szCs w:val="21"/>
                <w:highlight w:val="none"/>
              </w:rPr>
              <w:t>3C认证证书</w:t>
            </w:r>
          </w:p>
        </w:tc>
      </w:tr>
      <w:tr w14:paraId="3DA1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9ABBA56">
            <w:pPr>
              <w:widowControl w:val="0"/>
              <w:jc w:val="center"/>
              <w:rPr>
                <w:rFonts w:hint="eastAsia" w:eastAsia="宋体"/>
                <w:highlight w:val="none"/>
                <w:vertAlign w:val="baseline"/>
                <w:lang w:val="en-US" w:eastAsia="zh-CN"/>
              </w:rPr>
            </w:pPr>
            <w:r>
              <w:rPr>
                <w:rFonts w:hint="eastAsia"/>
                <w:highlight w:val="none"/>
                <w:vertAlign w:val="baseline"/>
                <w:lang w:val="en-US" w:eastAsia="zh-CN"/>
              </w:rPr>
              <w:t>1</w:t>
            </w:r>
          </w:p>
        </w:tc>
        <w:tc>
          <w:tcPr>
            <w:tcW w:w="3886" w:type="dxa"/>
          </w:tcPr>
          <w:p w14:paraId="7600866B">
            <w:pPr>
              <w:widowControl w:val="0"/>
              <w:rPr>
                <w:highlight w:val="none"/>
                <w:vertAlign w:val="baseline"/>
              </w:rPr>
            </w:pPr>
            <w:r>
              <w:rPr>
                <w:rFonts w:hint="eastAsia" w:ascii="宋体" w:hAnsi="宋体" w:eastAsia="宋体" w:cs="宋体"/>
                <w:color w:val="000000"/>
                <w:kern w:val="0"/>
                <w:sz w:val="21"/>
                <w:szCs w:val="21"/>
                <w:highlight w:val="none"/>
              </w:rPr>
              <w:t>LED室内显示屏（一）（核心产品）</w:t>
            </w:r>
          </w:p>
        </w:tc>
        <w:tc>
          <w:tcPr>
            <w:tcW w:w="3628" w:type="dxa"/>
          </w:tcPr>
          <w:p w14:paraId="7C6AE6FA">
            <w:pPr>
              <w:widowControl w:val="0"/>
              <w:rPr>
                <w:rFonts w:hint="eastAsia" w:eastAsia="宋体"/>
                <w:highlight w:val="none"/>
                <w:vertAlign w:val="baseline"/>
                <w:lang w:eastAsia="zh-CN"/>
              </w:rPr>
            </w:pPr>
            <w:r>
              <w:rPr>
                <w:rStyle w:val="21"/>
                <w:rFonts w:cs="宋体"/>
                <w:sz w:val="21"/>
                <w:szCs w:val="21"/>
                <w:highlight w:val="none"/>
              </w:rPr>
              <w:t>3C</w:t>
            </w:r>
            <w:r>
              <w:rPr>
                <w:rFonts w:hint="eastAsia" w:cs="宋体"/>
                <w:color w:val="000000"/>
                <w:sz w:val="21"/>
                <w:szCs w:val="21"/>
                <w:highlight w:val="none"/>
              </w:rPr>
              <w:t>国家强制认证</w:t>
            </w:r>
            <w:r>
              <w:rPr>
                <w:rFonts w:hint="eastAsia" w:cs="宋体"/>
                <w:color w:val="000000"/>
                <w:sz w:val="21"/>
                <w:szCs w:val="21"/>
                <w:highlight w:val="none"/>
                <w:lang w:eastAsia="zh-CN"/>
              </w:rPr>
              <w:t>证书</w:t>
            </w:r>
          </w:p>
        </w:tc>
      </w:tr>
      <w:tr w14:paraId="1025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B536D3B">
            <w:pPr>
              <w:widowControl w:val="0"/>
              <w:jc w:val="center"/>
              <w:rPr>
                <w:rFonts w:hint="eastAsia" w:eastAsia="宋体"/>
                <w:highlight w:val="none"/>
                <w:vertAlign w:val="baseline"/>
                <w:lang w:val="en-US" w:eastAsia="zh-CN"/>
              </w:rPr>
            </w:pPr>
            <w:r>
              <w:rPr>
                <w:rFonts w:hint="eastAsia"/>
                <w:highlight w:val="none"/>
                <w:vertAlign w:val="baseline"/>
                <w:lang w:val="en-US" w:eastAsia="zh-CN"/>
              </w:rPr>
              <w:t>2</w:t>
            </w:r>
          </w:p>
        </w:tc>
        <w:tc>
          <w:tcPr>
            <w:tcW w:w="3886" w:type="dxa"/>
          </w:tcPr>
          <w:p w14:paraId="68BDA16A">
            <w:pPr>
              <w:widowControl w:val="0"/>
              <w:rPr>
                <w:highlight w:val="none"/>
                <w:vertAlign w:val="baseline"/>
              </w:rPr>
            </w:pPr>
            <w:r>
              <w:rPr>
                <w:rFonts w:hint="eastAsia" w:ascii="宋体" w:hAnsi="宋体" w:eastAsia="宋体" w:cs="宋体"/>
                <w:color w:val="000000"/>
                <w:kern w:val="0"/>
                <w:sz w:val="21"/>
                <w:szCs w:val="21"/>
                <w:highlight w:val="none"/>
              </w:rPr>
              <w:t>LED室内显示屏（一）（核心产品）</w:t>
            </w:r>
          </w:p>
        </w:tc>
        <w:tc>
          <w:tcPr>
            <w:tcW w:w="3628" w:type="dxa"/>
          </w:tcPr>
          <w:p w14:paraId="3F7D38F3">
            <w:pPr>
              <w:widowControl w:val="0"/>
              <w:rPr>
                <w:highlight w:val="none"/>
                <w:vertAlign w:val="baseline"/>
              </w:rPr>
            </w:pPr>
            <w:r>
              <w:rPr>
                <w:rStyle w:val="21"/>
                <w:rFonts w:cs="宋体"/>
                <w:sz w:val="21"/>
                <w:szCs w:val="21"/>
                <w:highlight w:val="none"/>
              </w:rPr>
              <w:t>3C</w:t>
            </w:r>
            <w:r>
              <w:rPr>
                <w:rFonts w:hint="eastAsia" w:cs="宋体"/>
                <w:color w:val="000000"/>
                <w:sz w:val="21"/>
                <w:szCs w:val="21"/>
                <w:highlight w:val="none"/>
              </w:rPr>
              <w:t>国家强制认证</w:t>
            </w:r>
            <w:r>
              <w:rPr>
                <w:rFonts w:hint="eastAsia" w:cs="宋体"/>
                <w:color w:val="000000"/>
                <w:sz w:val="21"/>
                <w:szCs w:val="21"/>
                <w:highlight w:val="none"/>
                <w:lang w:eastAsia="zh-CN"/>
              </w:rPr>
              <w:t>证书</w:t>
            </w:r>
          </w:p>
        </w:tc>
      </w:tr>
      <w:tr w14:paraId="51C9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264CD2B">
            <w:pPr>
              <w:widowControl w:val="0"/>
              <w:jc w:val="center"/>
              <w:rPr>
                <w:rFonts w:hint="eastAsia" w:eastAsia="宋体"/>
                <w:highlight w:val="none"/>
                <w:vertAlign w:val="baseline"/>
                <w:lang w:val="en-US" w:eastAsia="zh-CN"/>
              </w:rPr>
            </w:pPr>
            <w:r>
              <w:rPr>
                <w:rFonts w:hint="eastAsia"/>
                <w:highlight w:val="none"/>
                <w:vertAlign w:val="baseline"/>
                <w:lang w:val="en-US" w:eastAsia="zh-CN"/>
              </w:rPr>
              <w:t>3</w:t>
            </w:r>
          </w:p>
        </w:tc>
        <w:tc>
          <w:tcPr>
            <w:tcW w:w="3886" w:type="dxa"/>
          </w:tcPr>
          <w:p w14:paraId="7295023D">
            <w:pPr>
              <w:widowControl w:val="0"/>
              <w:rPr>
                <w:highlight w:val="none"/>
                <w:vertAlign w:val="baseline"/>
              </w:rPr>
            </w:pPr>
            <w:r>
              <w:rPr>
                <w:rFonts w:hint="eastAsia" w:cs="宋体"/>
                <w:color w:val="000000"/>
                <w:kern w:val="0"/>
                <w:sz w:val="21"/>
                <w:szCs w:val="21"/>
                <w:highlight w:val="none"/>
                <w:lang w:val="en-US" w:eastAsia="zh-CN"/>
              </w:rPr>
              <w:t>RVV3*2.5mm²线缆</w:t>
            </w:r>
          </w:p>
        </w:tc>
        <w:tc>
          <w:tcPr>
            <w:tcW w:w="3628" w:type="dxa"/>
          </w:tcPr>
          <w:p w14:paraId="44F30D6B">
            <w:pPr>
              <w:widowControl w:val="0"/>
              <w:rPr>
                <w:highlight w:val="none"/>
                <w:vertAlign w:val="baseline"/>
              </w:rPr>
            </w:pPr>
            <w:r>
              <w:rPr>
                <w:rStyle w:val="21"/>
                <w:rFonts w:cs="宋体"/>
                <w:sz w:val="21"/>
                <w:szCs w:val="21"/>
                <w:highlight w:val="none"/>
              </w:rPr>
              <w:t>3C</w:t>
            </w:r>
            <w:r>
              <w:rPr>
                <w:rFonts w:hint="eastAsia" w:cs="宋体"/>
                <w:color w:val="000000"/>
                <w:sz w:val="21"/>
                <w:szCs w:val="21"/>
                <w:highlight w:val="none"/>
              </w:rPr>
              <w:t>国家强制认证</w:t>
            </w:r>
            <w:r>
              <w:rPr>
                <w:rFonts w:hint="eastAsia" w:cs="宋体"/>
                <w:color w:val="000000"/>
                <w:sz w:val="21"/>
                <w:szCs w:val="21"/>
                <w:highlight w:val="none"/>
                <w:lang w:eastAsia="zh-CN"/>
              </w:rPr>
              <w:t>证书</w:t>
            </w:r>
          </w:p>
        </w:tc>
      </w:tr>
      <w:tr w14:paraId="2387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E712275">
            <w:pPr>
              <w:widowControl w:val="0"/>
              <w:jc w:val="center"/>
              <w:rPr>
                <w:rFonts w:hint="eastAsia" w:eastAsia="宋体"/>
                <w:highlight w:val="none"/>
                <w:vertAlign w:val="baseline"/>
                <w:lang w:val="en-US" w:eastAsia="zh-CN"/>
              </w:rPr>
            </w:pPr>
            <w:r>
              <w:rPr>
                <w:rFonts w:hint="eastAsia"/>
                <w:highlight w:val="none"/>
                <w:vertAlign w:val="baseline"/>
                <w:lang w:val="en-US" w:eastAsia="zh-CN"/>
              </w:rPr>
              <w:t>4</w:t>
            </w:r>
          </w:p>
        </w:tc>
        <w:tc>
          <w:tcPr>
            <w:tcW w:w="3886" w:type="dxa"/>
          </w:tcPr>
          <w:p w14:paraId="18742FA7">
            <w:pPr>
              <w:widowControl w:val="0"/>
              <w:rPr>
                <w:rFonts w:hint="eastAsia" w:cs="宋体"/>
                <w:color w:val="000000"/>
                <w:kern w:val="0"/>
                <w:sz w:val="21"/>
                <w:szCs w:val="21"/>
                <w:highlight w:val="none"/>
                <w:lang w:val="en-US" w:eastAsia="zh-CN"/>
              </w:rPr>
            </w:pPr>
            <w:r>
              <w:rPr>
                <w:rStyle w:val="21"/>
                <w:rFonts w:hint="eastAsia" w:cs="宋体"/>
                <w:color w:val="auto"/>
                <w:sz w:val="21"/>
                <w:szCs w:val="21"/>
                <w:highlight w:val="none"/>
                <w:lang w:val="en-US" w:eastAsia="zh-CN"/>
              </w:rPr>
              <w:t>开关电源</w:t>
            </w:r>
          </w:p>
        </w:tc>
        <w:tc>
          <w:tcPr>
            <w:tcW w:w="3628" w:type="dxa"/>
          </w:tcPr>
          <w:p w14:paraId="0899396E">
            <w:pPr>
              <w:widowControl w:val="0"/>
              <w:rPr>
                <w:highlight w:val="none"/>
                <w:vertAlign w:val="baseline"/>
              </w:rPr>
            </w:pPr>
            <w:r>
              <w:rPr>
                <w:rStyle w:val="21"/>
                <w:rFonts w:cs="宋体"/>
                <w:sz w:val="21"/>
                <w:szCs w:val="21"/>
                <w:highlight w:val="none"/>
              </w:rPr>
              <w:t>3C</w:t>
            </w:r>
            <w:r>
              <w:rPr>
                <w:rFonts w:hint="eastAsia" w:cs="宋体"/>
                <w:color w:val="000000"/>
                <w:sz w:val="21"/>
                <w:szCs w:val="21"/>
                <w:highlight w:val="none"/>
              </w:rPr>
              <w:t>国家强制认证</w:t>
            </w:r>
            <w:r>
              <w:rPr>
                <w:rFonts w:hint="eastAsia" w:cs="宋体"/>
                <w:color w:val="000000"/>
                <w:sz w:val="21"/>
                <w:szCs w:val="21"/>
                <w:highlight w:val="none"/>
                <w:lang w:eastAsia="zh-CN"/>
              </w:rPr>
              <w:t>证书</w:t>
            </w:r>
          </w:p>
        </w:tc>
      </w:tr>
      <w:tr w14:paraId="5CC1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05F92C">
            <w:pPr>
              <w:widowControl w:val="0"/>
              <w:jc w:val="center"/>
              <w:rPr>
                <w:rFonts w:hint="default"/>
                <w:highlight w:val="none"/>
                <w:vertAlign w:val="baseline"/>
                <w:lang w:val="en-US" w:eastAsia="zh-CN"/>
              </w:rPr>
            </w:pPr>
            <w:r>
              <w:rPr>
                <w:rFonts w:hint="eastAsia"/>
                <w:highlight w:val="none"/>
                <w:vertAlign w:val="baseline"/>
                <w:lang w:val="en-US" w:eastAsia="zh-CN"/>
              </w:rPr>
              <w:t>5</w:t>
            </w:r>
          </w:p>
        </w:tc>
        <w:tc>
          <w:tcPr>
            <w:tcW w:w="3886" w:type="dxa"/>
          </w:tcPr>
          <w:p w14:paraId="03899A49">
            <w:pPr>
              <w:widowControl w:val="0"/>
              <w:rPr>
                <w:rStyle w:val="21"/>
                <w:rFonts w:hint="eastAsia" w:cs="宋体"/>
                <w:color w:val="auto"/>
                <w:sz w:val="21"/>
                <w:szCs w:val="21"/>
                <w:highlight w:val="none"/>
                <w:lang w:val="en-US" w:eastAsia="zh-CN"/>
              </w:rPr>
            </w:pPr>
            <w:r>
              <w:rPr>
                <w:rFonts w:hint="eastAsia" w:ascii="宋体" w:hAnsi="宋体" w:eastAsia="宋体" w:cs="宋体"/>
                <w:color w:val="000000"/>
                <w:kern w:val="0"/>
                <w:sz w:val="21"/>
                <w:szCs w:val="21"/>
                <w:highlight w:val="none"/>
              </w:rPr>
              <w:t>配电箱</w:t>
            </w:r>
          </w:p>
        </w:tc>
        <w:tc>
          <w:tcPr>
            <w:tcW w:w="3628" w:type="dxa"/>
          </w:tcPr>
          <w:p w14:paraId="6A2F3826">
            <w:pPr>
              <w:widowControl w:val="0"/>
              <w:rPr>
                <w:highlight w:val="none"/>
                <w:vertAlign w:val="baseline"/>
              </w:rPr>
            </w:pPr>
            <w:r>
              <w:rPr>
                <w:rFonts w:hint="eastAsia" w:cs="宋体"/>
                <w:sz w:val="21"/>
                <w:szCs w:val="21"/>
                <w:highlight w:val="none"/>
              </w:rPr>
              <w:t>提供</w:t>
            </w:r>
            <w:r>
              <w:rPr>
                <w:rStyle w:val="21"/>
                <w:rFonts w:cs="宋体"/>
                <w:sz w:val="21"/>
                <w:szCs w:val="21"/>
                <w:highlight w:val="none"/>
              </w:rPr>
              <w:t>3C认证证书</w:t>
            </w:r>
            <w:r>
              <w:rPr>
                <w:rStyle w:val="21"/>
                <w:rFonts w:cs="宋体"/>
                <w:color w:val="BF0000"/>
                <w:sz w:val="21"/>
                <w:szCs w:val="21"/>
                <w:highlight w:val="none"/>
                <w:lang w:val="en-US"/>
              </w:rPr>
              <w:t>(</w:t>
            </w:r>
            <w:r>
              <w:rPr>
                <w:rStyle w:val="21"/>
                <w:rFonts w:hint="eastAsia" w:cs="宋体"/>
                <w:color w:val="BF0000"/>
                <w:sz w:val="21"/>
                <w:szCs w:val="21"/>
                <w:highlight w:val="none"/>
                <w:lang w:val="en-US" w:eastAsia="zh-CN"/>
              </w:rPr>
              <w:t>自我评价方式</w:t>
            </w:r>
            <w:r>
              <w:rPr>
                <w:rStyle w:val="21"/>
                <w:rFonts w:hint="default" w:cs="宋体"/>
                <w:color w:val="BF0000"/>
                <w:sz w:val="21"/>
                <w:szCs w:val="21"/>
                <w:highlight w:val="none"/>
                <w:lang w:val="en-US" w:eastAsia="zh-CN"/>
              </w:rPr>
              <w:t>)</w:t>
            </w:r>
          </w:p>
        </w:tc>
      </w:tr>
    </w:tbl>
    <w:p w14:paraId="3631B643"/>
    <w:p w14:paraId="55A9F4BA">
      <w:pPr>
        <w:pStyle w:val="22"/>
        <w:rPr>
          <w:rFonts w:cs="宋体"/>
          <w:sz w:val="21"/>
          <w:szCs w:val="21"/>
          <w:highlight w:val="none"/>
        </w:rPr>
      </w:pPr>
      <w:r>
        <w:rPr>
          <w:rFonts w:hint="eastAsia" w:cs="宋体"/>
          <w:sz w:val="21"/>
          <w:szCs w:val="21"/>
          <w:highlight w:val="none"/>
        </w:rPr>
        <w:t>主要设备技术指标</w:t>
      </w:r>
    </w:p>
    <w:p w14:paraId="7A542081">
      <w:pPr>
        <w:pStyle w:val="18"/>
        <w:ind w:firstLine="422"/>
        <w:outlineLvl w:val="1"/>
        <w:rPr>
          <w:rStyle w:val="20"/>
          <w:rFonts w:hint="default" w:ascii="宋体" w:hAnsi="宋体" w:eastAsia="宋体" w:cs="宋体"/>
          <w:sz w:val="21"/>
          <w:szCs w:val="21"/>
          <w:highlight w:val="none"/>
        </w:rPr>
      </w:pPr>
      <w:r>
        <w:rPr>
          <w:rFonts w:hint="eastAsia" w:cs="宋体"/>
          <w:sz w:val="21"/>
          <w:szCs w:val="21"/>
          <w:highlight w:val="none"/>
        </w:rPr>
        <w:t>（一）</w:t>
      </w:r>
      <w:r>
        <w:rPr>
          <w:rStyle w:val="20"/>
          <w:rFonts w:hint="default" w:ascii="宋体" w:hAnsi="宋体" w:eastAsia="宋体" w:cs="宋体"/>
          <w:sz w:val="21"/>
          <w:szCs w:val="21"/>
          <w:highlight w:val="none"/>
        </w:rPr>
        <w:t>LED</w:t>
      </w:r>
      <w:r>
        <w:rPr>
          <w:rStyle w:val="20"/>
          <w:rFonts w:cs="宋体"/>
          <w:sz w:val="21"/>
          <w:szCs w:val="21"/>
          <w:highlight w:val="none"/>
        </w:rPr>
        <w:t>室内</w:t>
      </w:r>
      <w:r>
        <w:rPr>
          <w:rStyle w:val="20"/>
          <w:rFonts w:hint="default" w:ascii="宋体" w:hAnsi="宋体" w:eastAsia="宋体" w:cs="宋体"/>
          <w:sz w:val="21"/>
          <w:szCs w:val="21"/>
          <w:highlight w:val="none"/>
        </w:rPr>
        <w:t>显示屏</w:t>
      </w:r>
      <w:r>
        <w:rPr>
          <w:rStyle w:val="20"/>
          <w:rFonts w:hint="default" w:cs="宋体"/>
          <w:sz w:val="21"/>
          <w:szCs w:val="21"/>
          <w:highlight w:val="none"/>
        </w:rPr>
        <w:t>（一）</w:t>
      </w:r>
      <w:r>
        <w:rPr>
          <w:rStyle w:val="20"/>
          <w:rFonts w:hint="default" w:ascii="宋体" w:hAnsi="宋体" w:eastAsia="宋体" w:cs="宋体"/>
          <w:color w:val="auto"/>
          <w:sz w:val="21"/>
          <w:szCs w:val="21"/>
          <w:highlight w:val="none"/>
        </w:rPr>
        <w:t>﹙核心产品﹚</w:t>
      </w:r>
    </w:p>
    <w:p w14:paraId="1B478750">
      <w:pPr>
        <w:numPr>
          <w:ilvl w:val="0"/>
          <w:numId w:val="7"/>
        </w:numPr>
        <w:rPr>
          <w:rStyle w:val="21"/>
          <w:rFonts w:hint="default" w:cs="宋体"/>
          <w:sz w:val="21"/>
          <w:szCs w:val="21"/>
          <w:highlight w:val="none"/>
        </w:rPr>
      </w:pPr>
      <w:r>
        <w:rPr>
          <w:rFonts w:hint="eastAsia" w:cs="宋体"/>
          <w:sz w:val="21"/>
          <w:szCs w:val="21"/>
          <w:highlight w:val="none"/>
        </w:rPr>
        <w:t>★</w:t>
      </w:r>
      <w:r>
        <w:rPr>
          <w:rStyle w:val="21"/>
          <w:rFonts w:hint="default" w:cs="宋体"/>
          <w:sz w:val="21"/>
          <w:szCs w:val="21"/>
          <w:highlight w:val="none"/>
        </w:rPr>
        <w:t>点间距≤1.25mm</w:t>
      </w:r>
      <w:r>
        <w:rPr>
          <w:rStyle w:val="21"/>
          <w:rFonts w:hint="eastAsia" w:eastAsia="宋体" w:cs="宋体"/>
          <w:sz w:val="21"/>
          <w:szCs w:val="21"/>
          <w:highlight w:val="none"/>
          <w:lang w:eastAsia="zh-CN"/>
        </w:rPr>
        <w:t>；</w:t>
      </w:r>
    </w:p>
    <w:p w14:paraId="1DBA8A45">
      <w:pPr>
        <w:numPr>
          <w:ilvl w:val="0"/>
          <w:numId w:val="7"/>
        </w:numPr>
        <w:rPr>
          <w:rStyle w:val="21"/>
          <w:rFonts w:hint="default" w:cs="宋体"/>
          <w:sz w:val="21"/>
          <w:szCs w:val="21"/>
          <w:highlight w:val="none"/>
        </w:rPr>
      </w:pPr>
      <w:r>
        <w:rPr>
          <w:rStyle w:val="21"/>
          <w:rFonts w:hint="default" w:cs="宋体"/>
          <w:sz w:val="21"/>
          <w:szCs w:val="21"/>
          <w:highlight w:val="none"/>
        </w:rPr>
        <w:t>像素密度≥640000点/㎡，</w:t>
      </w:r>
      <w:r>
        <w:rPr>
          <w:rStyle w:val="21"/>
          <w:rFonts w:hint="default" w:cs="宋体"/>
          <w:color w:val="auto"/>
          <w:sz w:val="21"/>
          <w:szCs w:val="21"/>
          <w:highlight w:val="none"/>
        </w:rPr>
        <w:t>屏幕显示尺寸≥19.5㎡</w:t>
      </w:r>
      <w:r>
        <w:rPr>
          <w:rFonts w:hint="eastAsia"/>
          <w:highlight w:val="none"/>
          <w:lang w:eastAsia="zh-CN"/>
        </w:rPr>
        <w:t>、</w:t>
      </w:r>
      <w:r>
        <w:rPr>
          <w:rStyle w:val="21"/>
          <w:rFonts w:hint="default" w:cs="宋体"/>
          <w:color w:val="000000"/>
          <w:sz w:val="21"/>
          <w:szCs w:val="21"/>
          <w:highlight w:val="none"/>
        </w:rPr>
        <w:t>尺寸</w:t>
      </w:r>
      <w:r>
        <w:rPr>
          <w:rStyle w:val="21"/>
          <w:rFonts w:cs="宋体"/>
          <w:color w:val="000000"/>
          <w:sz w:val="21"/>
          <w:szCs w:val="21"/>
          <w:highlight w:val="none"/>
        </w:rPr>
        <w:t>不小于</w:t>
      </w:r>
      <w:r>
        <w:rPr>
          <w:rStyle w:val="21"/>
          <w:rFonts w:hint="default" w:cs="宋体"/>
          <w:color w:val="000000"/>
          <w:sz w:val="21"/>
          <w:szCs w:val="21"/>
          <w:highlight w:val="none"/>
        </w:rPr>
        <w:t>8.40m×2.3</w:t>
      </w:r>
      <w:r>
        <w:rPr>
          <w:rStyle w:val="21"/>
          <w:rFonts w:cs="宋体"/>
          <w:color w:val="000000"/>
          <w:sz w:val="21"/>
          <w:szCs w:val="21"/>
          <w:highlight w:val="none"/>
        </w:rPr>
        <w:t>22</w:t>
      </w:r>
      <w:r>
        <w:rPr>
          <w:rStyle w:val="21"/>
          <w:rFonts w:hint="default" w:cs="宋体"/>
          <w:color w:val="000000"/>
          <w:sz w:val="21"/>
          <w:szCs w:val="21"/>
          <w:highlight w:val="none"/>
        </w:rPr>
        <w:t>m</w:t>
      </w:r>
      <w:r>
        <w:rPr>
          <w:rStyle w:val="21"/>
          <w:rFonts w:hint="default" w:cs="宋体"/>
          <w:sz w:val="21"/>
          <w:szCs w:val="21"/>
          <w:highlight w:val="none"/>
        </w:rPr>
        <w:t>；</w:t>
      </w:r>
    </w:p>
    <w:p w14:paraId="65F26605">
      <w:pPr>
        <w:numPr>
          <w:ilvl w:val="0"/>
          <w:numId w:val="7"/>
        </w:numPr>
        <w:rPr>
          <w:rStyle w:val="21"/>
          <w:rFonts w:hint="default" w:cs="宋体"/>
          <w:sz w:val="21"/>
          <w:szCs w:val="21"/>
          <w:highlight w:val="none"/>
        </w:rPr>
      </w:pPr>
      <w:r>
        <w:rPr>
          <w:rStyle w:val="21"/>
          <w:rFonts w:hint="default" w:cs="宋体"/>
          <w:sz w:val="21"/>
          <w:szCs w:val="21"/>
          <w:highlight w:val="none"/>
        </w:rPr>
        <w:t>封装方式：采用不低于表贴三合一金线或COB全倒装的封装方式；</w:t>
      </w:r>
    </w:p>
    <w:p w14:paraId="39A37086">
      <w:pPr>
        <w:numPr>
          <w:ilvl w:val="0"/>
          <w:numId w:val="7"/>
        </w:numPr>
        <w:rPr>
          <w:rStyle w:val="21"/>
          <w:rFonts w:hint="default" w:cs="宋体"/>
          <w:sz w:val="21"/>
          <w:szCs w:val="21"/>
          <w:highlight w:val="none"/>
        </w:rPr>
      </w:pPr>
      <w:r>
        <w:rPr>
          <w:rStyle w:val="21"/>
          <w:rFonts w:hint="default" w:cs="宋体"/>
          <w:sz w:val="21"/>
          <w:szCs w:val="21"/>
          <w:highlight w:val="none"/>
        </w:rPr>
        <w:t>驱动方式：支持恒流驱动；</w:t>
      </w:r>
    </w:p>
    <w:p w14:paraId="6F1E0165">
      <w:pPr>
        <w:numPr>
          <w:ilvl w:val="0"/>
          <w:numId w:val="7"/>
        </w:numPr>
        <w:rPr>
          <w:rStyle w:val="21"/>
          <w:rFonts w:hint="default" w:cs="宋体"/>
          <w:sz w:val="21"/>
          <w:szCs w:val="21"/>
          <w:highlight w:val="none"/>
        </w:rPr>
      </w:pPr>
      <w:r>
        <w:rPr>
          <w:rStyle w:val="21"/>
          <w:rFonts w:hint="default" w:cs="宋体"/>
          <w:sz w:val="21"/>
          <w:szCs w:val="21"/>
          <w:highlight w:val="none"/>
        </w:rPr>
        <w:t>亮度≥800cd/㎡，支持0-100%亮度可调</w:t>
      </w:r>
      <w:r>
        <w:rPr>
          <w:rStyle w:val="21"/>
          <w:rFonts w:hint="eastAsia" w:cs="宋体"/>
          <w:sz w:val="21"/>
          <w:szCs w:val="21"/>
          <w:highlight w:val="none"/>
          <w:lang w:eastAsia="zh-CN"/>
        </w:rPr>
        <w:t>；</w:t>
      </w:r>
    </w:p>
    <w:p w14:paraId="2675C36D">
      <w:pPr>
        <w:numPr>
          <w:ilvl w:val="0"/>
          <w:numId w:val="7"/>
        </w:numPr>
        <w:rPr>
          <w:rStyle w:val="21"/>
          <w:rFonts w:hint="default" w:cs="宋体"/>
          <w:sz w:val="21"/>
          <w:szCs w:val="21"/>
          <w:highlight w:val="none"/>
        </w:rPr>
      </w:pPr>
      <w:r>
        <w:rPr>
          <w:rStyle w:val="21"/>
          <w:rFonts w:hint="default" w:cs="宋体"/>
          <w:sz w:val="21"/>
          <w:szCs w:val="21"/>
          <w:highlight w:val="none"/>
        </w:rPr>
        <w:t>对比度≥8000:1，灰度≥16bit，支持低亮高灰；</w:t>
      </w:r>
    </w:p>
    <w:p w14:paraId="2303DBF2">
      <w:pPr>
        <w:numPr>
          <w:ilvl w:val="0"/>
          <w:numId w:val="7"/>
        </w:numPr>
        <w:rPr>
          <w:rStyle w:val="21"/>
          <w:rFonts w:hint="default" w:cs="宋体"/>
          <w:sz w:val="21"/>
          <w:szCs w:val="21"/>
          <w:highlight w:val="none"/>
        </w:rPr>
      </w:pPr>
      <w:r>
        <w:rPr>
          <w:rStyle w:val="21"/>
          <w:rFonts w:hint="default" w:cs="宋体"/>
          <w:sz w:val="21"/>
          <w:szCs w:val="21"/>
          <w:highlight w:val="none"/>
        </w:rPr>
        <w:t>色温：1000K-12000K可调；</w:t>
      </w:r>
    </w:p>
    <w:p w14:paraId="7D5D8DA6">
      <w:pPr>
        <w:numPr>
          <w:ilvl w:val="0"/>
          <w:numId w:val="7"/>
        </w:numPr>
        <w:rPr>
          <w:rStyle w:val="21"/>
          <w:rFonts w:hint="default" w:cs="宋体"/>
          <w:sz w:val="21"/>
          <w:szCs w:val="21"/>
          <w:highlight w:val="none"/>
        </w:rPr>
      </w:pPr>
      <w:r>
        <w:rPr>
          <w:rStyle w:val="21"/>
          <w:rFonts w:hint="default" w:cs="宋体"/>
          <w:sz w:val="21"/>
          <w:szCs w:val="21"/>
          <w:highlight w:val="none"/>
        </w:rPr>
        <w:t>视角：水平视角≥160°，垂直视角≥160°；</w:t>
      </w:r>
    </w:p>
    <w:p w14:paraId="75127710">
      <w:pPr>
        <w:numPr>
          <w:ilvl w:val="0"/>
          <w:numId w:val="7"/>
        </w:numPr>
        <w:rPr>
          <w:rStyle w:val="21"/>
          <w:rFonts w:hint="default" w:cs="宋体"/>
          <w:sz w:val="21"/>
          <w:szCs w:val="21"/>
          <w:highlight w:val="none"/>
        </w:rPr>
      </w:pPr>
      <w:r>
        <w:rPr>
          <w:rStyle w:val="21"/>
          <w:rFonts w:hint="default" w:cs="宋体"/>
          <w:sz w:val="21"/>
          <w:szCs w:val="21"/>
          <w:highlight w:val="none"/>
        </w:rPr>
        <w:t>刷新频率≥3840Hz，换帧频率：50-60Hz；</w:t>
      </w:r>
    </w:p>
    <w:p w14:paraId="354DFF88">
      <w:pPr>
        <w:numPr>
          <w:ilvl w:val="0"/>
          <w:numId w:val="7"/>
        </w:numPr>
        <w:rPr>
          <w:rStyle w:val="21"/>
          <w:rFonts w:hint="default" w:cs="宋体"/>
          <w:sz w:val="21"/>
          <w:szCs w:val="21"/>
          <w:highlight w:val="none"/>
        </w:rPr>
      </w:pPr>
      <w:r>
        <w:rPr>
          <w:rStyle w:val="21"/>
          <w:rFonts w:hint="default" w:cs="宋体"/>
          <w:sz w:val="21"/>
          <w:szCs w:val="21"/>
          <w:highlight w:val="none"/>
        </w:rPr>
        <w:t>发光点中心距偏差≤2%，像素失控率≤0.00001,无连续失控点；</w:t>
      </w:r>
    </w:p>
    <w:p w14:paraId="1230828F">
      <w:pPr>
        <w:numPr>
          <w:ilvl w:val="0"/>
          <w:numId w:val="7"/>
        </w:numPr>
        <w:rPr>
          <w:rStyle w:val="21"/>
          <w:rFonts w:hint="default" w:cs="宋体"/>
          <w:color w:val="auto"/>
          <w:sz w:val="21"/>
          <w:szCs w:val="21"/>
          <w:highlight w:val="none"/>
        </w:rPr>
      </w:pPr>
      <w:r>
        <w:rPr>
          <w:rStyle w:val="21"/>
          <w:rFonts w:hint="default" w:cs="宋体"/>
          <w:color w:val="auto"/>
          <w:sz w:val="21"/>
          <w:szCs w:val="21"/>
          <w:highlight w:val="none"/>
        </w:rPr>
        <w:t>▲</w:t>
      </w:r>
      <w:r>
        <w:rPr>
          <w:rStyle w:val="21"/>
          <w:rFonts w:hint="default" w:cs="宋体"/>
          <w:sz w:val="21"/>
          <w:szCs w:val="21"/>
          <w:highlight w:val="none"/>
        </w:rPr>
        <w:t>亮度均匀性≥98%，色度均匀性：±0.003CxCy内；</w:t>
      </w:r>
      <w:r>
        <w:rPr>
          <w:rStyle w:val="21"/>
          <w:rFonts w:hint="default" w:cs="宋体"/>
          <w:color w:val="auto"/>
          <w:sz w:val="21"/>
          <w:szCs w:val="21"/>
          <w:highlight w:val="none"/>
        </w:rPr>
        <w:t>（提供具有CNAS、CMA标识的第三方检测报告复印件并加盖原厂公章）</w:t>
      </w:r>
    </w:p>
    <w:p w14:paraId="6B1FC835">
      <w:pPr>
        <w:numPr>
          <w:ilvl w:val="0"/>
          <w:numId w:val="7"/>
        </w:numPr>
        <w:rPr>
          <w:rStyle w:val="21"/>
          <w:rFonts w:hint="default" w:cs="宋体"/>
          <w:sz w:val="21"/>
          <w:szCs w:val="21"/>
          <w:highlight w:val="none"/>
        </w:rPr>
      </w:pPr>
      <w:r>
        <w:rPr>
          <w:rStyle w:val="21"/>
          <w:rFonts w:hint="default" w:cs="宋体"/>
          <w:sz w:val="21"/>
          <w:szCs w:val="21"/>
          <w:highlight w:val="none"/>
        </w:rPr>
        <w:t>色域覆盖率≥120%NTSC；</w:t>
      </w:r>
    </w:p>
    <w:p w14:paraId="77B30CDC">
      <w:pPr>
        <w:numPr>
          <w:ilvl w:val="0"/>
          <w:numId w:val="7"/>
        </w:numPr>
        <w:rPr>
          <w:rStyle w:val="21"/>
          <w:rFonts w:hint="default" w:cs="宋体"/>
          <w:sz w:val="21"/>
          <w:szCs w:val="21"/>
          <w:highlight w:val="none"/>
        </w:rPr>
      </w:pPr>
      <w:r>
        <w:rPr>
          <w:rStyle w:val="21"/>
          <w:rFonts w:hint="default" w:cs="宋体"/>
          <w:sz w:val="21"/>
          <w:szCs w:val="21"/>
          <w:highlight w:val="none"/>
        </w:rPr>
        <w:t>平整度≤0.1mm；</w:t>
      </w:r>
    </w:p>
    <w:p w14:paraId="2E9DA1D2">
      <w:pPr>
        <w:numPr>
          <w:ilvl w:val="0"/>
          <w:numId w:val="7"/>
        </w:numPr>
        <w:rPr>
          <w:rStyle w:val="21"/>
          <w:rFonts w:hint="default" w:cs="宋体"/>
          <w:sz w:val="21"/>
          <w:szCs w:val="21"/>
          <w:highlight w:val="none"/>
        </w:rPr>
      </w:pPr>
      <w:r>
        <w:rPr>
          <w:rStyle w:val="21"/>
          <w:rFonts w:hint="default" w:cs="宋体"/>
          <w:sz w:val="21"/>
          <w:szCs w:val="21"/>
          <w:highlight w:val="none"/>
        </w:rPr>
        <w:t>支持毛毛虫消除现象功能和降噪、增强、运动补偿、色坐标变换等图像处理功能，LED显示屏正常工作时，显示画面无毛毛虫、鬼影跟随现象，无几何失真和非线性失真现象，无单列或单行像素失控现象；</w:t>
      </w:r>
    </w:p>
    <w:p w14:paraId="24230905">
      <w:pPr>
        <w:numPr>
          <w:ilvl w:val="0"/>
          <w:numId w:val="7"/>
        </w:numPr>
        <w:rPr>
          <w:rStyle w:val="21"/>
          <w:rFonts w:hint="default" w:cs="宋体"/>
          <w:sz w:val="21"/>
          <w:szCs w:val="21"/>
          <w:highlight w:val="none"/>
        </w:rPr>
      </w:pPr>
      <w:r>
        <w:rPr>
          <w:rStyle w:val="21"/>
          <w:rFonts w:hint="default" w:cs="宋体"/>
          <w:sz w:val="21"/>
          <w:szCs w:val="21"/>
          <w:highlight w:val="none"/>
        </w:rPr>
        <w:t>支持4K超高清显示和HDR高动态图像显示；</w:t>
      </w:r>
    </w:p>
    <w:p w14:paraId="4946C6DC">
      <w:pPr>
        <w:numPr>
          <w:ilvl w:val="0"/>
          <w:numId w:val="7"/>
        </w:numPr>
        <w:rPr>
          <w:rStyle w:val="21"/>
          <w:rFonts w:hint="default" w:cs="宋体"/>
          <w:sz w:val="21"/>
          <w:szCs w:val="21"/>
          <w:highlight w:val="none"/>
        </w:rPr>
      </w:pPr>
      <w:r>
        <w:rPr>
          <w:rStyle w:val="21"/>
          <w:rFonts w:hint="default" w:cs="宋体"/>
          <w:sz w:val="21"/>
          <w:szCs w:val="21"/>
          <w:highlight w:val="none"/>
        </w:rPr>
        <w:t>平均无故障运行时间≥100000小时；</w:t>
      </w:r>
    </w:p>
    <w:p w14:paraId="51E4A07E">
      <w:pPr>
        <w:numPr>
          <w:ilvl w:val="0"/>
          <w:numId w:val="7"/>
        </w:numPr>
        <w:rPr>
          <w:rStyle w:val="21"/>
          <w:rFonts w:hint="default" w:cs="宋体"/>
          <w:sz w:val="21"/>
          <w:szCs w:val="21"/>
          <w:highlight w:val="none"/>
        </w:rPr>
      </w:pPr>
      <w:r>
        <w:rPr>
          <w:rStyle w:val="21"/>
          <w:rFonts w:hint="default" w:cs="宋体"/>
          <w:sz w:val="21"/>
          <w:szCs w:val="21"/>
          <w:highlight w:val="none"/>
        </w:rPr>
        <w:t>支持屏体自检功能，包括LED单点检测、通讯检测、温度检测、电源检测等；</w:t>
      </w:r>
    </w:p>
    <w:p w14:paraId="0475BD2C">
      <w:pPr>
        <w:numPr>
          <w:ilvl w:val="0"/>
          <w:numId w:val="7"/>
        </w:numPr>
        <w:rPr>
          <w:rStyle w:val="21"/>
          <w:rFonts w:hint="default" w:cs="宋体"/>
          <w:sz w:val="21"/>
          <w:szCs w:val="21"/>
          <w:highlight w:val="none"/>
        </w:rPr>
      </w:pPr>
      <w:r>
        <w:rPr>
          <w:rStyle w:val="21"/>
          <w:rFonts w:hint="default" w:cs="宋体"/>
          <w:color w:val="auto"/>
          <w:sz w:val="21"/>
          <w:szCs w:val="21"/>
          <w:highlight w:val="none"/>
        </w:rPr>
        <w:t>▲</w:t>
      </w:r>
      <w:r>
        <w:rPr>
          <w:rStyle w:val="21"/>
          <w:rFonts w:hint="default" w:cs="宋体"/>
          <w:sz w:val="21"/>
          <w:szCs w:val="21"/>
          <w:highlight w:val="none"/>
        </w:rPr>
        <w:t>功耗:峰值功耗≤</w:t>
      </w:r>
      <w:r>
        <w:rPr>
          <w:rStyle w:val="21"/>
          <w:rFonts w:hint="eastAsia" w:cs="宋体"/>
          <w:sz w:val="21"/>
          <w:szCs w:val="21"/>
          <w:highlight w:val="none"/>
          <w:lang w:val="en-US" w:eastAsia="zh-CN"/>
        </w:rPr>
        <w:t>250</w:t>
      </w:r>
      <w:r>
        <w:rPr>
          <w:rStyle w:val="21"/>
          <w:rFonts w:hint="default" w:cs="宋体"/>
          <w:sz w:val="21"/>
          <w:szCs w:val="21"/>
          <w:highlight w:val="none"/>
        </w:rPr>
        <w:t>W/m²，平均功耗≤</w:t>
      </w:r>
      <w:r>
        <w:rPr>
          <w:rStyle w:val="21"/>
          <w:rFonts w:hint="eastAsia" w:cs="宋体"/>
          <w:sz w:val="21"/>
          <w:szCs w:val="21"/>
          <w:highlight w:val="none"/>
          <w:lang w:val="en-US" w:eastAsia="zh-CN"/>
        </w:rPr>
        <w:t>125</w:t>
      </w:r>
      <w:r>
        <w:rPr>
          <w:rStyle w:val="21"/>
          <w:rFonts w:hint="default" w:cs="宋体"/>
          <w:sz w:val="21"/>
          <w:szCs w:val="21"/>
          <w:highlight w:val="none"/>
        </w:rPr>
        <w:t>W/m²；</w:t>
      </w:r>
      <w:r>
        <w:rPr>
          <w:rStyle w:val="21"/>
          <w:rFonts w:hint="default" w:cs="宋体"/>
          <w:color w:val="auto"/>
          <w:sz w:val="21"/>
          <w:szCs w:val="21"/>
          <w:highlight w:val="none"/>
        </w:rPr>
        <w:t>（提供具有CNAS、CMA标识的第三方检测报告复印件并加盖原厂公章）</w:t>
      </w:r>
    </w:p>
    <w:p w14:paraId="0B3C4057">
      <w:pPr>
        <w:numPr>
          <w:ilvl w:val="0"/>
          <w:numId w:val="7"/>
        </w:numPr>
        <w:rPr>
          <w:rStyle w:val="21"/>
          <w:rFonts w:hint="default" w:cs="宋体"/>
          <w:sz w:val="21"/>
          <w:szCs w:val="21"/>
          <w:highlight w:val="none"/>
        </w:rPr>
      </w:pPr>
      <w:r>
        <w:rPr>
          <w:rStyle w:val="21"/>
          <w:rFonts w:hint="default" w:cs="宋体"/>
          <w:sz w:val="21"/>
          <w:szCs w:val="21"/>
          <w:highlight w:val="none"/>
        </w:rPr>
        <w:t>反光率≤2%；</w:t>
      </w:r>
    </w:p>
    <w:p w14:paraId="033C399B">
      <w:pPr>
        <w:numPr>
          <w:ilvl w:val="0"/>
          <w:numId w:val="7"/>
        </w:numPr>
        <w:rPr>
          <w:rStyle w:val="21"/>
          <w:rFonts w:hint="default" w:cs="宋体"/>
          <w:sz w:val="21"/>
          <w:szCs w:val="21"/>
          <w:highlight w:val="none"/>
        </w:rPr>
      </w:pPr>
      <w:r>
        <w:rPr>
          <w:rStyle w:val="21"/>
          <w:rFonts w:hint="default" w:cs="宋体"/>
          <w:sz w:val="21"/>
          <w:szCs w:val="21"/>
          <w:highlight w:val="none"/>
        </w:rPr>
        <w:t>符合光生物安全要求:显示屏通过蓝光危害测试，光生物安全LED蓝光危害幅亮度符合测试要求；</w:t>
      </w:r>
    </w:p>
    <w:p w14:paraId="3FC92F24">
      <w:pPr>
        <w:numPr>
          <w:ilvl w:val="0"/>
          <w:numId w:val="7"/>
        </w:numPr>
        <w:rPr>
          <w:rStyle w:val="21"/>
          <w:rFonts w:hint="default" w:cs="宋体"/>
          <w:color w:val="auto"/>
          <w:sz w:val="21"/>
          <w:szCs w:val="21"/>
          <w:highlight w:val="none"/>
        </w:rPr>
      </w:pPr>
      <w:r>
        <w:rPr>
          <w:rStyle w:val="21"/>
          <w:rFonts w:hint="default" w:cs="宋体"/>
          <w:color w:val="auto"/>
          <w:sz w:val="21"/>
          <w:szCs w:val="21"/>
          <w:highlight w:val="none"/>
        </w:rPr>
        <w:t>▲LED显示屏温升低，要求环境温度在25℃时，屏体在600nits白屏状态下，运行3小时，屏体表面温升≤15℃；LED显示屏正常使用达到热平衡后，屏体结构金属部分、绝缘材料温升≤15℃；（提供具有CNAS、CMA标识的第三方检测报告复印件并加盖原厂公章）</w:t>
      </w:r>
    </w:p>
    <w:p w14:paraId="2F14937B">
      <w:pPr>
        <w:numPr>
          <w:ilvl w:val="0"/>
          <w:numId w:val="7"/>
        </w:numPr>
        <w:rPr>
          <w:rStyle w:val="21"/>
          <w:rFonts w:hint="default" w:cs="宋体"/>
          <w:color w:val="auto"/>
          <w:sz w:val="21"/>
          <w:szCs w:val="21"/>
          <w:highlight w:val="none"/>
        </w:rPr>
      </w:pPr>
      <w:r>
        <w:rPr>
          <w:rStyle w:val="21"/>
          <w:rFonts w:hint="default" w:cs="宋体"/>
          <w:color w:val="auto"/>
          <w:sz w:val="21"/>
          <w:szCs w:val="21"/>
          <w:highlight w:val="none"/>
        </w:rPr>
        <w:t>▲LED显示屏产品应符合显示设备显示性能和视觉健康认证技术规范，提供</w:t>
      </w:r>
      <w:r>
        <w:rPr>
          <w:rStyle w:val="21"/>
          <w:rFonts w:cs="宋体"/>
          <w:color w:val="000000"/>
          <w:sz w:val="21"/>
          <w:szCs w:val="21"/>
          <w:highlight w:val="none"/>
        </w:rPr>
        <w:t>第三方</w:t>
      </w:r>
      <w:r>
        <w:rPr>
          <w:rStyle w:val="21"/>
          <w:rFonts w:hint="default" w:cs="宋体"/>
          <w:color w:val="auto"/>
          <w:sz w:val="21"/>
          <w:szCs w:val="21"/>
          <w:highlight w:val="none"/>
        </w:rPr>
        <w:t>权威机构出具的认证证书复印件并加盖原厂公章；</w:t>
      </w:r>
    </w:p>
    <w:p w14:paraId="0EC4EB11">
      <w:pPr>
        <w:numPr>
          <w:ilvl w:val="0"/>
          <w:numId w:val="7"/>
        </w:numPr>
        <w:rPr>
          <w:rStyle w:val="21"/>
          <w:rFonts w:hint="default" w:cs="宋体"/>
          <w:color w:val="auto"/>
          <w:sz w:val="21"/>
          <w:szCs w:val="21"/>
          <w:highlight w:val="none"/>
        </w:rPr>
      </w:pPr>
      <w:r>
        <w:rPr>
          <w:rStyle w:val="21"/>
          <w:rFonts w:hint="default" w:cs="宋体"/>
          <w:color w:val="auto"/>
          <w:sz w:val="21"/>
          <w:szCs w:val="21"/>
          <w:highlight w:val="none"/>
        </w:rPr>
        <w:t>LED显示屏碳足迹应符合ISO14067：2018的要求</w:t>
      </w:r>
      <w:r>
        <w:rPr>
          <w:rStyle w:val="21"/>
          <w:rFonts w:hint="eastAsia" w:cs="宋体"/>
          <w:color w:val="auto"/>
          <w:sz w:val="21"/>
          <w:szCs w:val="21"/>
          <w:highlight w:val="none"/>
          <w:lang w:eastAsia="zh-CN"/>
        </w:rPr>
        <w:t>。</w:t>
      </w:r>
    </w:p>
    <w:p w14:paraId="2E6066C7">
      <w:pPr>
        <w:numPr>
          <w:ilvl w:val="0"/>
          <w:numId w:val="7"/>
        </w:numPr>
        <w:rPr>
          <w:rStyle w:val="21"/>
          <w:rFonts w:hint="default" w:cs="宋体"/>
          <w:color w:val="auto"/>
          <w:sz w:val="21"/>
          <w:szCs w:val="21"/>
          <w:highlight w:val="none"/>
          <w:lang w:eastAsia="zh-CN"/>
        </w:rPr>
      </w:pPr>
      <w:r>
        <w:rPr>
          <w:rStyle w:val="21"/>
          <w:rFonts w:hint="default" w:cs="宋体"/>
          <w:color w:val="auto"/>
          <w:sz w:val="21"/>
          <w:szCs w:val="21"/>
          <w:highlight w:val="none"/>
        </w:rPr>
        <w:t>▲LED显示屏需采用完全国产关键元器件</w:t>
      </w:r>
      <w:r>
        <w:rPr>
          <w:rStyle w:val="21"/>
          <w:rFonts w:hint="eastAsia" w:cs="宋体"/>
          <w:color w:val="auto"/>
          <w:sz w:val="21"/>
          <w:szCs w:val="21"/>
          <w:highlight w:val="none"/>
          <w:lang w:eastAsia="zh-CN"/>
        </w:rPr>
        <w:t>，</w:t>
      </w:r>
      <w:r>
        <w:rPr>
          <w:rStyle w:val="21"/>
          <w:rFonts w:hint="eastAsia" w:cs="宋体"/>
          <w:color w:val="auto"/>
          <w:sz w:val="21"/>
          <w:szCs w:val="21"/>
          <w:highlight w:val="none"/>
          <w:lang w:val="en-US" w:eastAsia="zh-CN"/>
        </w:rPr>
        <w:t>包括但不限于线缆、开关电源（输出电压DC3.8-5V,输出功率不小于200W）等配套设施。需提供市级及以上质量监督检测中心出具的100%国产化专项检验报告复印件并加盖原厂公章。</w:t>
      </w:r>
    </w:p>
    <w:p w14:paraId="5E5F65CA">
      <w:pPr>
        <w:numPr>
          <w:ilvl w:val="0"/>
          <w:numId w:val="7"/>
        </w:numPr>
        <w:rPr>
          <w:rStyle w:val="21"/>
          <w:rFonts w:hint="default" w:cs="宋体"/>
          <w:color w:val="auto"/>
          <w:sz w:val="21"/>
          <w:szCs w:val="21"/>
          <w:highlight w:val="none"/>
        </w:rPr>
      </w:pPr>
      <w:r>
        <w:rPr>
          <w:rFonts w:hint="eastAsia" w:cs="宋体"/>
          <w:sz w:val="21"/>
          <w:szCs w:val="21"/>
          <w:highlight w:val="none"/>
        </w:rPr>
        <w:t>不少于三年原厂质保服务承诺并加盖原厂公章和投标单位公章</w:t>
      </w:r>
      <w:r>
        <w:rPr>
          <w:rFonts w:hint="eastAsia" w:cs="宋体"/>
          <w:sz w:val="21"/>
          <w:szCs w:val="21"/>
          <w:highlight w:val="none"/>
          <w:lang w:eastAsia="zh-CN"/>
        </w:rPr>
        <w:t>；</w:t>
      </w:r>
    </w:p>
    <w:p w14:paraId="36F85166">
      <w:pPr>
        <w:numPr>
          <w:ilvl w:val="0"/>
          <w:numId w:val="7"/>
        </w:numPr>
        <w:rPr>
          <w:rStyle w:val="21"/>
          <w:rFonts w:hint="default" w:cs="宋体"/>
          <w:color w:val="auto"/>
          <w:sz w:val="21"/>
          <w:szCs w:val="21"/>
          <w:highlight w:val="none"/>
        </w:rPr>
      </w:pPr>
      <w:r>
        <w:rPr>
          <w:rStyle w:val="21"/>
          <w:rFonts w:hint="default" w:cs="宋体"/>
          <w:color w:val="auto"/>
          <w:sz w:val="21"/>
          <w:szCs w:val="21"/>
          <w:highlight w:val="none"/>
        </w:rPr>
        <w:t>提供1</w:t>
      </w:r>
      <w:r>
        <w:rPr>
          <w:rStyle w:val="21"/>
          <w:rFonts w:hint="eastAsia" w:eastAsia="宋体" w:cs="宋体"/>
          <w:color w:val="auto"/>
          <w:sz w:val="21"/>
          <w:szCs w:val="21"/>
          <w:highlight w:val="none"/>
          <w:lang w:eastAsia="zh-CN"/>
        </w:rPr>
        <w:t>套</w:t>
      </w:r>
      <w:r>
        <w:rPr>
          <w:rStyle w:val="21"/>
          <w:rFonts w:hint="default" w:cs="宋体"/>
          <w:color w:val="auto"/>
          <w:sz w:val="21"/>
          <w:szCs w:val="21"/>
          <w:highlight w:val="none"/>
        </w:rPr>
        <w:t>样品现场演示</w:t>
      </w:r>
      <w:r>
        <w:rPr>
          <w:rStyle w:val="21"/>
          <w:rFonts w:hint="eastAsia" w:eastAsia="宋体" w:cs="宋体"/>
          <w:color w:val="auto"/>
          <w:sz w:val="21"/>
          <w:szCs w:val="21"/>
          <w:highlight w:val="none"/>
          <w:lang w:eastAsia="zh-CN"/>
        </w:rPr>
        <w:t>（</w:t>
      </w:r>
      <w:r>
        <w:rPr>
          <w:rStyle w:val="21"/>
          <w:rFonts w:hint="eastAsia" w:eastAsia="宋体" w:cs="宋体"/>
          <w:color w:val="auto"/>
          <w:sz w:val="21"/>
          <w:szCs w:val="21"/>
          <w:highlight w:val="none"/>
          <w:lang w:val="en-US" w:eastAsia="zh-CN"/>
        </w:rPr>
        <w:t>出样场地空间受限、</w:t>
      </w:r>
      <w:r>
        <w:rPr>
          <w:rStyle w:val="21"/>
          <w:rFonts w:hint="eastAsia" w:eastAsia="宋体" w:cs="宋体"/>
          <w:color w:val="auto"/>
          <w:sz w:val="21"/>
          <w:szCs w:val="21"/>
          <w:highlight w:val="none"/>
          <w:lang w:eastAsia="zh-CN"/>
        </w:rPr>
        <w:t>显示屏尺寸控制在</w:t>
      </w:r>
      <w:r>
        <w:rPr>
          <w:rStyle w:val="21"/>
          <w:rFonts w:hint="eastAsia" w:eastAsia="宋体" w:cs="宋体"/>
          <w:color w:val="auto"/>
          <w:sz w:val="21"/>
          <w:szCs w:val="21"/>
          <w:highlight w:val="none"/>
          <w:lang w:val="en-US" w:eastAsia="zh-CN"/>
        </w:rPr>
        <w:t>1-1.5M</w:t>
      </w:r>
      <w:r>
        <w:rPr>
          <w:rStyle w:val="21"/>
          <w:rFonts w:hint="eastAsia" w:eastAsia="宋体" w:cs="宋体"/>
          <w:color w:val="auto"/>
          <w:sz w:val="21"/>
          <w:szCs w:val="21"/>
          <w:highlight w:val="none"/>
          <w:vertAlign w:val="superscript"/>
          <w:lang w:val="en-US" w:eastAsia="zh-CN"/>
        </w:rPr>
        <w:t>2</w:t>
      </w:r>
      <w:r>
        <w:rPr>
          <w:rStyle w:val="21"/>
          <w:rFonts w:hint="eastAsia" w:eastAsia="宋体" w:cs="宋体"/>
          <w:color w:val="auto"/>
          <w:sz w:val="21"/>
          <w:szCs w:val="21"/>
          <w:highlight w:val="none"/>
          <w:lang w:eastAsia="zh-CN"/>
        </w:rPr>
        <w:t>）</w:t>
      </w:r>
      <w:r>
        <w:rPr>
          <w:rStyle w:val="21"/>
          <w:rFonts w:hint="default" w:cs="宋体"/>
          <w:color w:val="auto"/>
          <w:sz w:val="21"/>
          <w:szCs w:val="21"/>
          <w:highlight w:val="none"/>
        </w:rPr>
        <w:t>。</w:t>
      </w:r>
    </w:p>
    <w:p w14:paraId="7C2B3B97">
      <w:pPr>
        <w:pStyle w:val="18"/>
        <w:ind w:firstLine="422"/>
        <w:rPr>
          <w:rFonts w:cs="宋体"/>
          <w:sz w:val="21"/>
          <w:szCs w:val="21"/>
          <w:highlight w:val="none"/>
        </w:rPr>
      </w:pPr>
    </w:p>
    <w:p w14:paraId="61FEE527">
      <w:pPr>
        <w:pStyle w:val="18"/>
        <w:ind w:firstLine="422"/>
        <w:outlineLvl w:val="1"/>
        <w:rPr>
          <w:rStyle w:val="20"/>
          <w:rFonts w:hint="default" w:ascii="宋体" w:hAnsi="宋体" w:eastAsia="宋体" w:cs="宋体"/>
          <w:sz w:val="21"/>
          <w:szCs w:val="21"/>
          <w:highlight w:val="none"/>
        </w:rPr>
      </w:pPr>
      <w:r>
        <w:rPr>
          <w:rFonts w:hint="eastAsia" w:cs="宋体"/>
          <w:sz w:val="21"/>
          <w:szCs w:val="21"/>
          <w:highlight w:val="none"/>
        </w:rPr>
        <w:t>（二）</w:t>
      </w:r>
      <w:r>
        <w:rPr>
          <w:rStyle w:val="20"/>
          <w:rFonts w:hint="default" w:ascii="宋体" w:hAnsi="宋体" w:eastAsia="宋体" w:cs="宋体"/>
          <w:sz w:val="21"/>
          <w:szCs w:val="21"/>
          <w:highlight w:val="none"/>
        </w:rPr>
        <w:t>LED</w:t>
      </w:r>
      <w:r>
        <w:rPr>
          <w:rStyle w:val="20"/>
          <w:rFonts w:cs="宋体"/>
          <w:sz w:val="21"/>
          <w:szCs w:val="21"/>
          <w:highlight w:val="none"/>
        </w:rPr>
        <w:t>室内</w:t>
      </w:r>
      <w:r>
        <w:rPr>
          <w:rStyle w:val="20"/>
          <w:rFonts w:hint="default" w:ascii="宋体" w:hAnsi="宋体" w:eastAsia="宋体" w:cs="宋体"/>
          <w:sz w:val="21"/>
          <w:szCs w:val="21"/>
          <w:highlight w:val="none"/>
        </w:rPr>
        <w:t>显示屏</w:t>
      </w:r>
      <w:r>
        <w:rPr>
          <w:rStyle w:val="20"/>
          <w:rFonts w:hint="default" w:cs="宋体"/>
          <w:sz w:val="21"/>
          <w:szCs w:val="21"/>
          <w:highlight w:val="none"/>
        </w:rPr>
        <w:t>（</w:t>
      </w:r>
      <w:r>
        <w:rPr>
          <w:rFonts w:hint="eastAsia" w:ascii="宋体" w:hAnsi="宋体" w:eastAsia="宋体" w:cs="宋体"/>
          <w:sz w:val="21"/>
          <w:szCs w:val="21"/>
          <w:highlight w:val="none"/>
        </w:rPr>
        <w:t>二</w:t>
      </w:r>
      <w:r>
        <w:rPr>
          <w:rStyle w:val="20"/>
          <w:rFonts w:hint="default" w:cs="宋体"/>
          <w:sz w:val="21"/>
          <w:szCs w:val="21"/>
          <w:highlight w:val="none"/>
        </w:rPr>
        <w:t>）</w:t>
      </w:r>
    </w:p>
    <w:p w14:paraId="34278425">
      <w:pPr>
        <w:numPr>
          <w:ilvl w:val="0"/>
          <w:numId w:val="8"/>
        </w:numPr>
        <w:rPr>
          <w:rStyle w:val="21"/>
          <w:rFonts w:hint="default" w:cs="宋体"/>
          <w:sz w:val="21"/>
          <w:szCs w:val="21"/>
          <w:highlight w:val="none"/>
        </w:rPr>
      </w:pPr>
      <w:r>
        <w:rPr>
          <w:rFonts w:hint="eastAsia" w:cs="宋体"/>
          <w:sz w:val="21"/>
          <w:szCs w:val="21"/>
          <w:highlight w:val="none"/>
        </w:rPr>
        <w:t>★</w:t>
      </w:r>
      <w:r>
        <w:rPr>
          <w:rStyle w:val="21"/>
          <w:rFonts w:hint="default" w:cs="宋体"/>
          <w:sz w:val="21"/>
          <w:szCs w:val="21"/>
          <w:highlight w:val="none"/>
        </w:rPr>
        <w:t>点间距≤1.25mm</w:t>
      </w:r>
      <w:r>
        <w:rPr>
          <w:rStyle w:val="21"/>
          <w:rFonts w:hint="eastAsia" w:eastAsia="宋体" w:cs="宋体"/>
          <w:sz w:val="21"/>
          <w:szCs w:val="21"/>
          <w:highlight w:val="none"/>
          <w:lang w:eastAsia="zh-CN"/>
        </w:rPr>
        <w:t>；</w:t>
      </w:r>
    </w:p>
    <w:p w14:paraId="2DB10DD4">
      <w:pPr>
        <w:numPr>
          <w:ilvl w:val="0"/>
          <w:numId w:val="8"/>
        </w:numPr>
        <w:rPr>
          <w:rStyle w:val="21"/>
          <w:rFonts w:hint="default" w:cs="宋体"/>
          <w:sz w:val="21"/>
          <w:szCs w:val="21"/>
          <w:highlight w:val="none"/>
        </w:rPr>
      </w:pPr>
      <w:r>
        <w:rPr>
          <w:rStyle w:val="21"/>
          <w:rFonts w:hint="default" w:cs="宋体"/>
          <w:sz w:val="21"/>
          <w:szCs w:val="21"/>
          <w:highlight w:val="none"/>
        </w:rPr>
        <w:t>像素密度≥640000点/㎡，屏幕显示尺寸≥5㎡</w:t>
      </w:r>
      <w:r>
        <w:rPr>
          <w:rFonts w:hint="eastAsia"/>
          <w:highlight w:val="none"/>
          <w:lang w:eastAsia="zh-CN"/>
        </w:rPr>
        <w:t>、</w:t>
      </w:r>
      <w:r>
        <w:rPr>
          <w:rStyle w:val="21"/>
          <w:rFonts w:hint="default" w:cs="宋体"/>
          <w:sz w:val="21"/>
          <w:szCs w:val="21"/>
          <w:highlight w:val="none"/>
        </w:rPr>
        <w:t>尺寸</w:t>
      </w:r>
      <w:r>
        <w:rPr>
          <w:rStyle w:val="21"/>
          <w:rFonts w:cs="宋体"/>
          <w:sz w:val="21"/>
          <w:szCs w:val="21"/>
          <w:highlight w:val="none"/>
        </w:rPr>
        <w:t>不小于</w:t>
      </w:r>
      <w:r>
        <w:rPr>
          <w:rStyle w:val="21"/>
          <w:rFonts w:cs="宋体"/>
          <w:color w:val="auto"/>
          <w:sz w:val="21"/>
          <w:szCs w:val="21"/>
          <w:highlight w:val="none"/>
        </w:rPr>
        <w:t>3</w:t>
      </w:r>
      <w:r>
        <w:rPr>
          <w:rStyle w:val="21"/>
          <w:rFonts w:hint="default" w:cs="宋体"/>
          <w:color w:val="auto"/>
          <w:sz w:val="21"/>
          <w:szCs w:val="21"/>
          <w:highlight w:val="none"/>
        </w:rPr>
        <w:t>m×</w:t>
      </w:r>
      <w:r>
        <w:rPr>
          <w:rStyle w:val="21"/>
          <w:rFonts w:cs="宋体"/>
          <w:color w:val="auto"/>
          <w:sz w:val="21"/>
          <w:szCs w:val="21"/>
          <w:highlight w:val="none"/>
        </w:rPr>
        <w:t>1.666</w:t>
      </w:r>
      <w:r>
        <w:rPr>
          <w:rStyle w:val="21"/>
          <w:rFonts w:hint="default" w:cs="宋体"/>
          <w:color w:val="auto"/>
          <w:sz w:val="21"/>
          <w:szCs w:val="21"/>
          <w:highlight w:val="none"/>
        </w:rPr>
        <w:t>m</w:t>
      </w:r>
      <w:r>
        <w:rPr>
          <w:rStyle w:val="21"/>
          <w:rFonts w:hint="default" w:cs="宋体"/>
          <w:sz w:val="21"/>
          <w:szCs w:val="21"/>
          <w:highlight w:val="none"/>
        </w:rPr>
        <w:t>；</w:t>
      </w:r>
    </w:p>
    <w:p w14:paraId="2B5624E9">
      <w:pPr>
        <w:numPr>
          <w:ilvl w:val="0"/>
          <w:numId w:val="8"/>
        </w:numPr>
        <w:rPr>
          <w:rStyle w:val="21"/>
          <w:rFonts w:hint="default" w:cs="宋体"/>
          <w:sz w:val="21"/>
          <w:szCs w:val="21"/>
          <w:highlight w:val="none"/>
        </w:rPr>
      </w:pPr>
      <w:r>
        <w:rPr>
          <w:rStyle w:val="21"/>
          <w:rFonts w:hint="default" w:cs="宋体"/>
          <w:sz w:val="21"/>
          <w:szCs w:val="21"/>
          <w:highlight w:val="none"/>
        </w:rPr>
        <w:t>封装方式：采用不低于表贴三合一金线或COB全倒装的封装方式;</w:t>
      </w:r>
    </w:p>
    <w:p w14:paraId="04805FF9">
      <w:pPr>
        <w:numPr>
          <w:ilvl w:val="0"/>
          <w:numId w:val="8"/>
        </w:numPr>
        <w:rPr>
          <w:rStyle w:val="21"/>
          <w:rFonts w:hint="default" w:cs="宋体"/>
          <w:sz w:val="21"/>
          <w:szCs w:val="21"/>
          <w:highlight w:val="none"/>
        </w:rPr>
      </w:pPr>
      <w:r>
        <w:rPr>
          <w:rStyle w:val="21"/>
          <w:rFonts w:hint="default" w:cs="宋体"/>
          <w:sz w:val="21"/>
          <w:szCs w:val="21"/>
          <w:highlight w:val="none"/>
        </w:rPr>
        <w:t>驱动方式：支持恒流驱动；</w:t>
      </w:r>
    </w:p>
    <w:p w14:paraId="5AEC0410">
      <w:pPr>
        <w:numPr>
          <w:ilvl w:val="0"/>
          <w:numId w:val="8"/>
        </w:numPr>
        <w:rPr>
          <w:rStyle w:val="21"/>
          <w:rFonts w:hint="default" w:cs="宋体"/>
          <w:sz w:val="21"/>
          <w:szCs w:val="21"/>
          <w:highlight w:val="none"/>
        </w:rPr>
      </w:pPr>
      <w:r>
        <w:rPr>
          <w:rStyle w:val="21"/>
          <w:rFonts w:hint="default" w:cs="宋体"/>
          <w:color w:val="auto"/>
          <w:sz w:val="21"/>
          <w:szCs w:val="21"/>
          <w:highlight w:val="none"/>
        </w:rPr>
        <w:t>▲</w:t>
      </w:r>
      <w:r>
        <w:rPr>
          <w:rStyle w:val="21"/>
          <w:rFonts w:hint="default" w:cs="宋体"/>
          <w:sz w:val="21"/>
          <w:szCs w:val="21"/>
          <w:highlight w:val="none"/>
        </w:rPr>
        <w:t>亮度≥800cd/㎡，支持0-100%亮度可调</w:t>
      </w:r>
      <w:r>
        <w:rPr>
          <w:rStyle w:val="21"/>
          <w:rFonts w:hint="eastAsia" w:cs="宋体"/>
          <w:sz w:val="21"/>
          <w:szCs w:val="21"/>
          <w:highlight w:val="none"/>
          <w:lang w:eastAsia="zh-CN"/>
        </w:rPr>
        <w:t>（</w:t>
      </w:r>
      <w:r>
        <w:rPr>
          <w:rStyle w:val="21"/>
          <w:rFonts w:hint="default" w:cs="宋体"/>
          <w:sz w:val="21"/>
          <w:szCs w:val="21"/>
          <w:highlight w:val="none"/>
        </w:rPr>
        <w:t>提供具有CNAS、CMA标识的第三方检测报告复印件并加盖原厂公章</w:t>
      </w:r>
      <w:r>
        <w:rPr>
          <w:rStyle w:val="21"/>
          <w:rFonts w:hint="eastAsia" w:cs="宋体"/>
          <w:sz w:val="21"/>
          <w:szCs w:val="21"/>
          <w:highlight w:val="none"/>
          <w:lang w:eastAsia="zh-CN"/>
        </w:rPr>
        <w:t>）；</w:t>
      </w:r>
    </w:p>
    <w:p w14:paraId="12336776">
      <w:pPr>
        <w:numPr>
          <w:ilvl w:val="0"/>
          <w:numId w:val="8"/>
        </w:numPr>
        <w:rPr>
          <w:rStyle w:val="21"/>
          <w:rFonts w:hint="default" w:cs="宋体"/>
          <w:sz w:val="21"/>
          <w:szCs w:val="21"/>
          <w:highlight w:val="none"/>
        </w:rPr>
      </w:pPr>
      <w:r>
        <w:rPr>
          <w:rStyle w:val="21"/>
          <w:rFonts w:hint="default" w:cs="宋体"/>
          <w:sz w:val="21"/>
          <w:szCs w:val="21"/>
          <w:highlight w:val="none"/>
        </w:rPr>
        <w:t>对比度≥8000:1，灰度≥16bit，支持低亮高灰；</w:t>
      </w:r>
    </w:p>
    <w:p w14:paraId="6CAAF357">
      <w:pPr>
        <w:numPr>
          <w:ilvl w:val="0"/>
          <w:numId w:val="8"/>
        </w:numPr>
        <w:rPr>
          <w:rStyle w:val="21"/>
          <w:rFonts w:hint="default" w:cs="宋体"/>
          <w:sz w:val="21"/>
          <w:szCs w:val="21"/>
          <w:highlight w:val="none"/>
        </w:rPr>
      </w:pPr>
      <w:r>
        <w:rPr>
          <w:rStyle w:val="21"/>
          <w:rFonts w:hint="default" w:cs="宋体"/>
          <w:sz w:val="21"/>
          <w:szCs w:val="21"/>
          <w:highlight w:val="none"/>
        </w:rPr>
        <w:t>色温：1000K-12000K可调；</w:t>
      </w:r>
    </w:p>
    <w:p w14:paraId="7B63C55B">
      <w:pPr>
        <w:numPr>
          <w:ilvl w:val="0"/>
          <w:numId w:val="8"/>
        </w:numPr>
        <w:rPr>
          <w:rStyle w:val="21"/>
          <w:rFonts w:hint="default" w:cs="宋体"/>
          <w:sz w:val="21"/>
          <w:szCs w:val="21"/>
          <w:highlight w:val="none"/>
        </w:rPr>
      </w:pPr>
      <w:r>
        <w:rPr>
          <w:rStyle w:val="21"/>
          <w:rFonts w:hint="default" w:cs="宋体"/>
          <w:sz w:val="21"/>
          <w:szCs w:val="21"/>
          <w:highlight w:val="none"/>
        </w:rPr>
        <w:t>视角：水平视角≥160°，垂直视角≥160°；</w:t>
      </w:r>
    </w:p>
    <w:p w14:paraId="4743D12B">
      <w:pPr>
        <w:numPr>
          <w:ilvl w:val="0"/>
          <w:numId w:val="8"/>
        </w:numPr>
        <w:rPr>
          <w:rStyle w:val="21"/>
          <w:rFonts w:hint="default" w:cs="宋体"/>
          <w:sz w:val="21"/>
          <w:szCs w:val="21"/>
          <w:highlight w:val="none"/>
        </w:rPr>
      </w:pPr>
      <w:r>
        <w:rPr>
          <w:rStyle w:val="21"/>
          <w:rFonts w:hint="default" w:cs="宋体"/>
          <w:sz w:val="21"/>
          <w:szCs w:val="21"/>
          <w:highlight w:val="none"/>
        </w:rPr>
        <w:t>刷新频率≥3840Hz，换帧频率：50-60Hz；</w:t>
      </w:r>
    </w:p>
    <w:p w14:paraId="27A812C1">
      <w:pPr>
        <w:numPr>
          <w:ilvl w:val="0"/>
          <w:numId w:val="8"/>
        </w:numPr>
        <w:rPr>
          <w:rStyle w:val="21"/>
          <w:rFonts w:hint="default" w:cs="宋体"/>
          <w:sz w:val="21"/>
          <w:szCs w:val="21"/>
          <w:highlight w:val="none"/>
        </w:rPr>
      </w:pPr>
      <w:r>
        <w:rPr>
          <w:rStyle w:val="21"/>
          <w:rFonts w:hint="default" w:cs="宋体"/>
          <w:sz w:val="21"/>
          <w:szCs w:val="21"/>
          <w:highlight w:val="none"/>
        </w:rPr>
        <w:t>发光点中心距偏差≤2%，像素失控率≤0.00001,无连续失控点；</w:t>
      </w:r>
    </w:p>
    <w:p w14:paraId="065B9BB8">
      <w:pPr>
        <w:numPr>
          <w:ilvl w:val="0"/>
          <w:numId w:val="8"/>
        </w:numPr>
        <w:rPr>
          <w:rStyle w:val="21"/>
          <w:rFonts w:hint="default" w:cs="宋体"/>
          <w:color w:val="auto"/>
          <w:sz w:val="21"/>
          <w:szCs w:val="21"/>
          <w:highlight w:val="none"/>
        </w:rPr>
      </w:pPr>
      <w:r>
        <w:rPr>
          <w:rStyle w:val="21"/>
          <w:rFonts w:hint="default" w:cs="宋体"/>
          <w:sz w:val="21"/>
          <w:szCs w:val="21"/>
          <w:highlight w:val="none"/>
        </w:rPr>
        <w:t>亮度均匀性≥98%，色度均匀性：±0.003CxCy内；</w:t>
      </w:r>
    </w:p>
    <w:p w14:paraId="104814B0">
      <w:pPr>
        <w:numPr>
          <w:ilvl w:val="0"/>
          <w:numId w:val="8"/>
        </w:numPr>
        <w:rPr>
          <w:rStyle w:val="21"/>
          <w:rFonts w:hint="default" w:cs="宋体"/>
          <w:sz w:val="21"/>
          <w:szCs w:val="21"/>
          <w:highlight w:val="none"/>
        </w:rPr>
      </w:pPr>
      <w:r>
        <w:rPr>
          <w:rStyle w:val="21"/>
          <w:rFonts w:hint="default" w:cs="宋体"/>
          <w:sz w:val="21"/>
          <w:szCs w:val="21"/>
          <w:highlight w:val="none"/>
        </w:rPr>
        <w:t>色域覆盖率≥120%NTSC；</w:t>
      </w:r>
    </w:p>
    <w:p w14:paraId="4EBB5E7B">
      <w:pPr>
        <w:numPr>
          <w:ilvl w:val="0"/>
          <w:numId w:val="8"/>
        </w:numPr>
        <w:rPr>
          <w:rStyle w:val="21"/>
          <w:rFonts w:hint="default" w:cs="宋体"/>
          <w:sz w:val="21"/>
          <w:szCs w:val="21"/>
          <w:highlight w:val="none"/>
        </w:rPr>
      </w:pPr>
      <w:r>
        <w:rPr>
          <w:rStyle w:val="21"/>
          <w:rFonts w:hint="default" w:cs="宋体"/>
          <w:sz w:val="21"/>
          <w:szCs w:val="21"/>
          <w:highlight w:val="none"/>
        </w:rPr>
        <w:t>平整度≤0.1mm；</w:t>
      </w:r>
    </w:p>
    <w:p w14:paraId="526D41C3">
      <w:pPr>
        <w:numPr>
          <w:ilvl w:val="0"/>
          <w:numId w:val="8"/>
        </w:numPr>
        <w:rPr>
          <w:rStyle w:val="21"/>
          <w:rFonts w:hint="default" w:cs="宋体"/>
          <w:sz w:val="21"/>
          <w:szCs w:val="21"/>
          <w:highlight w:val="none"/>
        </w:rPr>
      </w:pPr>
      <w:r>
        <w:rPr>
          <w:rStyle w:val="21"/>
          <w:rFonts w:hint="default" w:cs="宋体"/>
          <w:sz w:val="21"/>
          <w:szCs w:val="21"/>
          <w:highlight w:val="none"/>
        </w:rPr>
        <w:t>支持毛毛虫消除现象功能和降噪、增强、运动补偿、色坐标变换等图像处理功能，LED显示屏正常工作时，显示画面无毛毛虫、鬼影跟随现象，无几何失真和非线性失真现象，无单列或单行像素失控现象；</w:t>
      </w:r>
    </w:p>
    <w:p w14:paraId="6FF5C4D5">
      <w:pPr>
        <w:numPr>
          <w:ilvl w:val="0"/>
          <w:numId w:val="8"/>
        </w:numPr>
        <w:rPr>
          <w:rStyle w:val="21"/>
          <w:rFonts w:hint="default" w:cs="宋体"/>
          <w:sz w:val="21"/>
          <w:szCs w:val="21"/>
          <w:highlight w:val="none"/>
        </w:rPr>
      </w:pPr>
      <w:r>
        <w:rPr>
          <w:rStyle w:val="21"/>
          <w:rFonts w:hint="default" w:cs="宋体"/>
          <w:sz w:val="21"/>
          <w:szCs w:val="21"/>
          <w:highlight w:val="none"/>
        </w:rPr>
        <w:t>支持4K超高清显示和HDR高动态图像显示；</w:t>
      </w:r>
    </w:p>
    <w:p w14:paraId="0F5C08EF">
      <w:pPr>
        <w:numPr>
          <w:ilvl w:val="0"/>
          <w:numId w:val="8"/>
        </w:numPr>
        <w:rPr>
          <w:rStyle w:val="21"/>
          <w:rFonts w:hint="default" w:cs="宋体"/>
          <w:sz w:val="21"/>
          <w:szCs w:val="21"/>
          <w:highlight w:val="none"/>
        </w:rPr>
      </w:pPr>
      <w:r>
        <w:rPr>
          <w:rStyle w:val="21"/>
          <w:rFonts w:hint="default" w:cs="宋体"/>
          <w:sz w:val="21"/>
          <w:szCs w:val="21"/>
          <w:highlight w:val="none"/>
        </w:rPr>
        <w:t>平均无故障运行时间≥100000小时；</w:t>
      </w:r>
    </w:p>
    <w:p w14:paraId="7855D471">
      <w:pPr>
        <w:numPr>
          <w:ilvl w:val="0"/>
          <w:numId w:val="8"/>
        </w:numPr>
        <w:rPr>
          <w:rStyle w:val="21"/>
          <w:rFonts w:hint="default" w:cs="宋体"/>
          <w:sz w:val="21"/>
          <w:szCs w:val="21"/>
          <w:highlight w:val="none"/>
        </w:rPr>
      </w:pPr>
      <w:r>
        <w:rPr>
          <w:rStyle w:val="21"/>
          <w:rFonts w:hint="default" w:cs="宋体"/>
          <w:sz w:val="21"/>
          <w:szCs w:val="21"/>
          <w:highlight w:val="none"/>
        </w:rPr>
        <w:t>支持屏体自检功能，包括LED单点检测、通讯检测、温度检测、电源检测等；</w:t>
      </w:r>
    </w:p>
    <w:p w14:paraId="6CCF368C">
      <w:pPr>
        <w:numPr>
          <w:ilvl w:val="0"/>
          <w:numId w:val="8"/>
        </w:numPr>
        <w:rPr>
          <w:rStyle w:val="21"/>
          <w:rFonts w:hint="default" w:cs="宋体"/>
          <w:sz w:val="21"/>
          <w:szCs w:val="21"/>
          <w:highlight w:val="none"/>
        </w:rPr>
      </w:pPr>
      <w:r>
        <w:rPr>
          <w:rStyle w:val="21"/>
          <w:rFonts w:hint="default" w:cs="宋体"/>
          <w:sz w:val="21"/>
          <w:szCs w:val="21"/>
          <w:highlight w:val="none"/>
        </w:rPr>
        <w:t>功耗:峰值功耗≤450W/m²，平均功耗≤150W/m²；</w:t>
      </w:r>
    </w:p>
    <w:p w14:paraId="498038C8">
      <w:pPr>
        <w:numPr>
          <w:ilvl w:val="0"/>
          <w:numId w:val="8"/>
        </w:numPr>
        <w:rPr>
          <w:rStyle w:val="21"/>
          <w:rFonts w:hint="default" w:cs="宋体"/>
          <w:sz w:val="21"/>
          <w:szCs w:val="21"/>
          <w:highlight w:val="none"/>
        </w:rPr>
      </w:pPr>
      <w:r>
        <w:rPr>
          <w:rStyle w:val="21"/>
          <w:rFonts w:hint="default" w:cs="宋体"/>
          <w:sz w:val="21"/>
          <w:szCs w:val="21"/>
          <w:highlight w:val="none"/>
        </w:rPr>
        <w:t>反光率≤2%；</w:t>
      </w:r>
    </w:p>
    <w:p w14:paraId="56C75E58">
      <w:pPr>
        <w:numPr>
          <w:ilvl w:val="0"/>
          <w:numId w:val="8"/>
        </w:numPr>
        <w:rPr>
          <w:rStyle w:val="21"/>
          <w:rFonts w:hint="default" w:cs="宋体"/>
          <w:sz w:val="21"/>
          <w:szCs w:val="21"/>
          <w:highlight w:val="none"/>
        </w:rPr>
      </w:pPr>
      <w:r>
        <w:rPr>
          <w:rStyle w:val="21"/>
          <w:rFonts w:hint="default" w:cs="宋体"/>
          <w:sz w:val="21"/>
          <w:szCs w:val="21"/>
          <w:highlight w:val="none"/>
        </w:rPr>
        <w:t>符合光生物安全要求:显示屏通过蓝光危害测试，光生物安全LED蓝光危害幅亮度符合测试要求；</w:t>
      </w:r>
    </w:p>
    <w:p w14:paraId="6AB94B3F">
      <w:pPr>
        <w:numPr>
          <w:ilvl w:val="0"/>
          <w:numId w:val="8"/>
        </w:numPr>
        <w:rPr>
          <w:rStyle w:val="21"/>
          <w:rFonts w:hint="default" w:cs="宋体"/>
          <w:sz w:val="21"/>
          <w:szCs w:val="21"/>
          <w:highlight w:val="none"/>
        </w:rPr>
      </w:pPr>
      <w:r>
        <w:rPr>
          <w:rStyle w:val="21"/>
          <w:rFonts w:hint="default" w:cs="宋体"/>
          <w:sz w:val="21"/>
          <w:szCs w:val="21"/>
          <w:highlight w:val="none"/>
        </w:rPr>
        <w:t>外置接口：HDMI IN≥2个，USB3.0≥3个，USB2.0≥1个，SPDIF OUT≥1个,Audio out≥1个，RJ45≥2个；</w:t>
      </w:r>
    </w:p>
    <w:p w14:paraId="7FF84BC2">
      <w:pPr>
        <w:numPr>
          <w:ilvl w:val="0"/>
          <w:numId w:val="8"/>
        </w:numPr>
        <w:rPr>
          <w:rStyle w:val="21"/>
          <w:rFonts w:hint="default" w:cs="宋体"/>
          <w:sz w:val="21"/>
          <w:szCs w:val="21"/>
          <w:highlight w:val="none"/>
        </w:rPr>
      </w:pPr>
      <w:r>
        <w:rPr>
          <w:rStyle w:val="21"/>
          <w:rFonts w:hint="default" w:cs="宋体"/>
          <w:sz w:val="21"/>
          <w:szCs w:val="21"/>
          <w:highlight w:val="none"/>
        </w:rPr>
        <w:t>支持多平台，跨终端无线投屏，包含不限于电脑软件投屏，手机投屏，投屏器投屏，且最大支持不低于9画面分屏；</w:t>
      </w:r>
    </w:p>
    <w:p w14:paraId="04F59792">
      <w:pPr>
        <w:numPr>
          <w:ilvl w:val="0"/>
          <w:numId w:val="8"/>
        </w:numPr>
        <w:rPr>
          <w:rStyle w:val="21"/>
          <w:rFonts w:hint="default" w:cs="宋体"/>
          <w:sz w:val="21"/>
          <w:szCs w:val="21"/>
          <w:highlight w:val="none"/>
        </w:rPr>
      </w:pPr>
      <w:r>
        <w:rPr>
          <w:rStyle w:val="21"/>
          <w:rFonts w:hint="default" w:cs="宋体"/>
          <w:color w:val="auto"/>
          <w:sz w:val="21"/>
          <w:szCs w:val="21"/>
          <w:highlight w:val="none"/>
        </w:rPr>
        <w:t>▲</w:t>
      </w:r>
      <w:r>
        <w:rPr>
          <w:rStyle w:val="21"/>
          <w:rFonts w:hint="default" w:cs="宋体"/>
          <w:sz w:val="21"/>
          <w:szCs w:val="21"/>
          <w:highlight w:val="none"/>
        </w:rPr>
        <w:t>内嵌系统主板不低于64G存储内存，不低于8G运行内存，内置不低于一颗8核64位CPU；</w:t>
      </w:r>
      <w:r>
        <w:rPr>
          <w:rStyle w:val="21"/>
          <w:rFonts w:hint="default" w:cs="宋体"/>
          <w:color w:val="auto"/>
          <w:sz w:val="21"/>
          <w:szCs w:val="21"/>
          <w:highlight w:val="none"/>
        </w:rPr>
        <w:t>（提供具有CNAS、CMA标识的第三方检测报告复印件并加盖原厂公章）</w:t>
      </w:r>
    </w:p>
    <w:p w14:paraId="6472063F">
      <w:pPr>
        <w:numPr>
          <w:ilvl w:val="0"/>
          <w:numId w:val="8"/>
        </w:numPr>
        <w:rPr>
          <w:rStyle w:val="21"/>
          <w:rFonts w:hint="default" w:cs="宋体"/>
          <w:color w:val="auto"/>
          <w:sz w:val="21"/>
          <w:szCs w:val="21"/>
          <w:highlight w:val="none"/>
        </w:rPr>
      </w:pPr>
      <w:r>
        <w:rPr>
          <w:rFonts w:hint="eastAsia" w:cs="宋体"/>
          <w:sz w:val="21"/>
          <w:szCs w:val="21"/>
          <w:highlight w:val="none"/>
        </w:rPr>
        <w:t>提供不少于三年原厂质保服务承诺并加盖原厂公章和投标单位公章</w:t>
      </w:r>
      <w:r>
        <w:rPr>
          <w:rFonts w:hint="eastAsia" w:cs="宋体"/>
          <w:sz w:val="21"/>
          <w:szCs w:val="21"/>
          <w:highlight w:val="none"/>
          <w:lang w:eastAsia="zh-CN"/>
        </w:rPr>
        <w:t>；</w:t>
      </w:r>
    </w:p>
    <w:p w14:paraId="724440CE">
      <w:pPr>
        <w:rPr>
          <w:highlight w:val="none"/>
        </w:rPr>
      </w:pPr>
      <w:r>
        <w:rPr>
          <w:highlight w:val="none"/>
        </w:rPr>
        <w:br w:type="page"/>
      </w:r>
    </w:p>
    <w:p w14:paraId="26DB2406">
      <w:pPr>
        <w:pStyle w:val="18"/>
        <w:ind w:firstLine="422"/>
        <w:outlineLvl w:val="1"/>
        <w:rPr>
          <w:rStyle w:val="20"/>
          <w:rFonts w:hint="default" w:ascii="宋体" w:hAnsi="宋体" w:eastAsia="宋体" w:cs="宋体"/>
          <w:sz w:val="21"/>
          <w:szCs w:val="21"/>
          <w:highlight w:val="none"/>
        </w:rPr>
      </w:pPr>
      <w:r>
        <w:rPr>
          <w:rFonts w:hint="eastAsia" w:cs="宋体"/>
          <w:sz w:val="21"/>
          <w:szCs w:val="21"/>
          <w:highlight w:val="none"/>
        </w:rPr>
        <w:t>（三）</w:t>
      </w:r>
      <w:r>
        <w:rPr>
          <w:rStyle w:val="20"/>
          <w:rFonts w:hint="default" w:ascii="宋体" w:hAnsi="宋体" w:eastAsia="宋体" w:cs="宋体"/>
          <w:sz w:val="21"/>
          <w:szCs w:val="21"/>
          <w:highlight w:val="none"/>
        </w:rPr>
        <w:t>LED屏底座</w:t>
      </w:r>
    </w:p>
    <w:p w14:paraId="42DF909F">
      <w:pPr>
        <w:numPr>
          <w:ilvl w:val="0"/>
          <w:numId w:val="9"/>
        </w:numPr>
        <w:rPr>
          <w:rStyle w:val="21"/>
          <w:rFonts w:hint="default" w:cs="宋体"/>
          <w:sz w:val="21"/>
          <w:szCs w:val="21"/>
          <w:highlight w:val="none"/>
        </w:rPr>
      </w:pPr>
      <w:r>
        <w:rPr>
          <w:rStyle w:val="21"/>
          <w:rFonts w:hint="default" w:cs="宋体"/>
          <w:sz w:val="21"/>
          <w:szCs w:val="21"/>
          <w:highlight w:val="none"/>
        </w:rPr>
        <w:t>选用定制安装结构铝型材（或国标Q235B钢材）制作，满足静态与动态机械强度和刚度要求；</w:t>
      </w:r>
    </w:p>
    <w:p w14:paraId="1236A390">
      <w:pPr>
        <w:numPr>
          <w:ilvl w:val="0"/>
          <w:numId w:val="9"/>
        </w:numPr>
        <w:rPr>
          <w:rStyle w:val="21"/>
          <w:rFonts w:hint="default" w:cs="宋体"/>
          <w:sz w:val="21"/>
          <w:szCs w:val="21"/>
          <w:highlight w:val="none"/>
        </w:rPr>
      </w:pPr>
      <w:r>
        <w:rPr>
          <w:rStyle w:val="21"/>
          <w:rFonts w:hint="default" w:cs="宋体"/>
          <w:sz w:val="21"/>
          <w:szCs w:val="21"/>
          <w:highlight w:val="none"/>
        </w:rPr>
        <w:t>安装结构满足显示屏和地面承重；</w:t>
      </w:r>
    </w:p>
    <w:p w14:paraId="2CB7255A">
      <w:pPr>
        <w:numPr>
          <w:ilvl w:val="0"/>
          <w:numId w:val="9"/>
        </w:numPr>
        <w:rPr>
          <w:rStyle w:val="21"/>
          <w:rFonts w:hint="default" w:cs="宋体"/>
          <w:sz w:val="21"/>
          <w:szCs w:val="21"/>
          <w:highlight w:val="none"/>
        </w:rPr>
      </w:pPr>
      <w:r>
        <w:rPr>
          <w:rStyle w:val="21"/>
          <w:rFonts w:hint="default" w:cs="宋体"/>
          <w:sz w:val="21"/>
          <w:szCs w:val="21"/>
          <w:highlight w:val="none"/>
        </w:rPr>
        <w:t>预留维护平台，装饰要求应与会场环境相匹配；</w:t>
      </w:r>
    </w:p>
    <w:p w14:paraId="1063AF09">
      <w:pPr>
        <w:numPr>
          <w:ilvl w:val="0"/>
          <w:numId w:val="9"/>
        </w:numPr>
        <w:rPr>
          <w:rStyle w:val="21"/>
          <w:rFonts w:hint="default" w:cs="宋体"/>
          <w:sz w:val="21"/>
          <w:szCs w:val="21"/>
          <w:highlight w:val="none"/>
        </w:rPr>
      </w:pPr>
      <w:r>
        <w:rPr>
          <w:rStyle w:val="21"/>
          <w:rFonts w:hint="default" w:cs="宋体"/>
          <w:sz w:val="21"/>
          <w:szCs w:val="21"/>
          <w:highlight w:val="none"/>
        </w:rPr>
        <w:t>边框和包边与会场环境相匹配。</w:t>
      </w:r>
    </w:p>
    <w:p w14:paraId="72E9D6EF">
      <w:pPr>
        <w:rPr>
          <w:rFonts w:cs="宋体"/>
          <w:sz w:val="21"/>
          <w:szCs w:val="21"/>
          <w:highlight w:val="none"/>
        </w:rPr>
      </w:pPr>
    </w:p>
    <w:p w14:paraId="06006901">
      <w:pPr>
        <w:ind w:firstLine="422" w:firstLineChars="200"/>
        <w:outlineLvl w:val="1"/>
        <w:rPr>
          <w:rStyle w:val="20"/>
          <w:rFonts w:hint="default" w:ascii="宋体" w:hAnsi="宋体" w:eastAsia="宋体" w:cs="宋体"/>
          <w:b/>
          <w:i/>
          <w:sz w:val="21"/>
          <w:szCs w:val="21"/>
          <w:highlight w:val="none"/>
        </w:rPr>
      </w:pPr>
      <w:r>
        <w:rPr>
          <w:rFonts w:hint="eastAsia" w:cs="宋体"/>
          <w:b/>
          <w:sz w:val="21"/>
          <w:szCs w:val="21"/>
          <w:highlight w:val="none"/>
        </w:rPr>
        <w:t>（</w:t>
      </w:r>
      <w:r>
        <w:rPr>
          <w:rFonts w:hint="eastAsia" w:cs="宋体"/>
          <w:b/>
          <w:sz w:val="21"/>
          <w:szCs w:val="21"/>
          <w:highlight w:val="none"/>
          <w:lang w:eastAsia="zh-CN"/>
        </w:rPr>
        <w:t>四</w:t>
      </w:r>
      <w:r>
        <w:rPr>
          <w:rFonts w:hint="eastAsia" w:cs="宋体"/>
          <w:b/>
          <w:sz w:val="21"/>
          <w:szCs w:val="21"/>
          <w:highlight w:val="none"/>
        </w:rPr>
        <w:t>）拼接处理器</w:t>
      </w:r>
    </w:p>
    <w:p w14:paraId="66E677EE">
      <w:pPr>
        <w:numPr>
          <w:ilvl w:val="0"/>
          <w:numId w:val="10"/>
        </w:numPr>
        <w:rPr>
          <w:rStyle w:val="21"/>
          <w:rFonts w:hint="default" w:cs="宋体"/>
          <w:sz w:val="21"/>
          <w:szCs w:val="21"/>
          <w:highlight w:val="none"/>
        </w:rPr>
      </w:pPr>
      <w:r>
        <w:rPr>
          <w:rStyle w:val="21"/>
          <w:rFonts w:hint="default" w:cs="宋体"/>
          <w:sz w:val="21"/>
          <w:szCs w:val="21"/>
          <w:highlight w:val="none"/>
        </w:rPr>
        <w:t>采用纯硬件FPGA架构，不会出现死机、黑屏现象，无病毒感染、非法入侵和系统崩溃的危险。</w:t>
      </w:r>
      <w:r>
        <w:rPr>
          <w:rStyle w:val="21"/>
          <w:rFonts w:hint="eastAsia" w:cs="宋体"/>
          <w:sz w:val="21"/>
          <w:szCs w:val="21"/>
          <w:highlight w:val="none"/>
          <w:lang w:val="en-US" w:eastAsia="zh-CN"/>
        </w:rPr>
        <w:t>实际配置</w:t>
      </w:r>
      <w:r>
        <w:rPr>
          <w:rStyle w:val="21"/>
          <w:rFonts w:hint="default" w:cs="宋体"/>
          <w:sz w:val="21"/>
          <w:szCs w:val="21"/>
          <w:highlight w:val="none"/>
        </w:rPr>
        <w:t>不少于56路DVI输入端口，不少于8路HDMI输入端口，不少于40路网口输出端口；</w:t>
      </w:r>
    </w:p>
    <w:p w14:paraId="09185F91">
      <w:pPr>
        <w:numPr>
          <w:ilvl w:val="0"/>
          <w:numId w:val="11"/>
        </w:numPr>
        <w:rPr>
          <w:rStyle w:val="21"/>
          <w:rFonts w:hint="default" w:cs="宋体"/>
          <w:sz w:val="21"/>
          <w:szCs w:val="21"/>
          <w:highlight w:val="none"/>
        </w:rPr>
      </w:pPr>
      <w:r>
        <w:rPr>
          <w:rStyle w:val="21"/>
          <w:rFonts w:hint="default" w:cs="宋体"/>
          <w:sz w:val="21"/>
          <w:szCs w:val="21"/>
          <w:highlight w:val="none"/>
        </w:rPr>
        <w:t>支持7x24小时不间断运行，平均修复时间(MTTR)&lt;10秒；</w:t>
      </w:r>
    </w:p>
    <w:p w14:paraId="1D3EEF5D">
      <w:pPr>
        <w:numPr>
          <w:ilvl w:val="0"/>
          <w:numId w:val="11"/>
        </w:numPr>
        <w:rPr>
          <w:rStyle w:val="21"/>
          <w:rFonts w:hint="default" w:cs="宋体"/>
          <w:sz w:val="21"/>
          <w:szCs w:val="21"/>
          <w:highlight w:val="none"/>
        </w:rPr>
      </w:pPr>
      <w:r>
        <w:rPr>
          <w:rStyle w:val="21"/>
          <w:rFonts w:hint="default" w:cs="宋体"/>
          <w:color w:val="auto"/>
          <w:sz w:val="21"/>
          <w:szCs w:val="21"/>
          <w:highlight w:val="none"/>
        </w:rPr>
        <w:t>▲</w:t>
      </w:r>
      <w:r>
        <w:rPr>
          <w:rStyle w:val="21"/>
          <w:rFonts w:hint="default" w:cs="宋体"/>
          <w:sz w:val="21"/>
          <w:szCs w:val="21"/>
          <w:highlight w:val="none"/>
        </w:rPr>
        <w:t>输入卡可混插到输入和输出槽位；（提供具有CNAS、CMA标识的第三方检测报告复印件并加盖原厂公章）</w:t>
      </w:r>
    </w:p>
    <w:p w14:paraId="6FFA2B49">
      <w:pPr>
        <w:numPr>
          <w:ilvl w:val="0"/>
          <w:numId w:val="11"/>
        </w:numPr>
        <w:rPr>
          <w:rStyle w:val="21"/>
          <w:rFonts w:hint="default" w:cs="宋体"/>
          <w:sz w:val="21"/>
          <w:szCs w:val="21"/>
          <w:highlight w:val="none"/>
        </w:rPr>
      </w:pPr>
      <w:r>
        <w:rPr>
          <w:rStyle w:val="21"/>
          <w:rFonts w:hint="default" w:cs="宋体"/>
          <w:sz w:val="21"/>
          <w:szCs w:val="21"/>
          <w:highlight w:val="none"/>
        </w:rPr>
        <w:t>支持多种信号接口：CVBS、VGA、DVI、HD-SDI、双链DVI(支持分辨率不低于2560×1600@60Hz)、HDMI、DisplayPort（支持分辨率不低于3840×2160@60Hz、7680×2160@30Hz）、光纤等，其中HDMI接口应支持HDCP标准保护协议，保证信息安全。</w:t>
      </w:r>
    </w:p>
    <w:p w14:paraId="586CF40D">
      <w:pPr>
        <w:numPr>
          <w:ilvl w:val="0"/>
          <w:numId w:val="11"/>
        </w:numPr>
        <w:rPr>
          <w:rStyle w:val="21"/>
          <w:rFonts w:hint="default" w:cs="宋体"/>
          <w:sz w:val="21"/>
          <w:szCs w:val="21"/>
          <w:highlight w:val="none"/>
        </w:rPr>
      </w:pPr>
      <w:r>
        <w:rPr>
          <w:rStyle w:val="21"/>
          <w:rFonts w:hint="default" w:cs="宋体"/>
          <w:sz w:val="21"/>
          <w:szCs w:val="21"/>
          <w:highlight w:val="none"/>
        </w:rPr>
        <w:t>输入输出延迟低于2帧；</w:t>
      </w:r>
    </w:p>
    <w:p w14:paraId="0F560E76">
      <w:pPr>
        <w:numPr>
          <w:ilvl w:val="0"/>
          <w:numId w:val="11"/>
        </w:numPr>
        <w:rPr>
          <w:rStyle w:val="21"/>
          <w:rFonts w:hint="default" w:cs="宋体"/>
          <w:sz w:val="21"/>
          <w:szCs w:val="21"/>
          <w:highlight w:val="none"/>
        </w:rPr>
      </w:pPr>
      <w:r>
        <w:rPr>
          <w:rStyle w:val="21"/>
          <w:rFonts w:hint="default" w:cs="宋体"/>
          <w:sz w:val="21"/>
          <w:szCs w:val="21"/>
          <w:highlight w:val="none"/>
        </w:rPr>
        <w:t>电信级的背板交换结构，背板为每路高清信号单独提供不少于6.25Gbps串行带宽，单输入板不少于25Gbps带宽，单输出板卡不少于50Gbps带宽，背板总带宽不少于2Tbps；</w:t>
      </w:r>
    </w:p>
    <w:p w14:paraId="4F4DABB8">
      <w:pPr>
        <w:numPr>
          <w:ilvl w:val="0"/>
          <w:numId w:val="11"/>
        </w:numPr>
        <w:rPr>
          <w:rStyle w:val="21"/>
          <w:rFonts w:hint="default" w:cs="宋体"/>
          <w:sz w:val="21"/>
          <w:szCs w:val="21"/>
          <w:highlight w:val="none"/>
        </w:rPr>
      </w:pPr>
      <w:r>
        <w:rPr>
          <w:rStyle w:val="21"/>
          <w:rFonts w:hint="default" w:cs="宋体"/>
          <w:sz w:val="21"/>
          <w:szCs w:val="21"/>
          <w:highlight w:val="none"/>
        </w:rPr>
        <w:t>支持输入多接口8K-16K信号保证所有输出同步，8K-16K显示不撕裂、不丢帧、高度同步；</w:t>
      </w:r>
    </w:p>
    <w:p w14:paraId="38E109F3">
      <w:pPr>
        <w:numPr>
          <w:ilvl w:val="0"/>
          <w:numId w:val="11"/>
        </w:numPr>
        <w:rPr>
          <w:rStyle w:val="21"/>
          <w:rFonts w:hint="default" w:cs="宋体"/>
          <w:sz w:val="21"/>
          <w:szCs w:val="21"/>
          <w:highlight w:val="none"/>
        </w:rPr>
      </w:pPr>
      <w:r>
        <w:rPr>
          <w:rStyle w:val="21"/>
          <w:rFonts w:hint="default" w:cs="宋体"/>
          <w:sz w:val="21"/>
          <w:szCs w:val="21"/>
          <w:highlight w:val="none"/>
        </w:rPr>
        <w:t>支持4:4:4图像无损处理，不丢失任何像素细节，内部处理信号不丢帧不降帧，任何分辨率下60Hz不丢帧；</w:t>
      </w:r>
    </w:p>
    <w:p w14:paraId="29F6AFE0">
      <w:pPr>
        <w:numPr>
          <w:ilvl w:val="0"/>
          <w:numId w:val="11"/>
        </w:numPr>
        <w:rPr>
          <w:rStyle w:val="21"/>
          <w:rFonts w:hint="default" w:cs="宋体"/>
          <w:sz w:val="21"/>
          <w:szCs w:val="21"/>
          <w:highlight w:val="none"/>
        </w:rPr>
      </w:pPr>
      <w:r>
        <w:rPr>
          <w:rStyle w:val="21"/>
          <w:rFonts w:hint="default" w:cs="宋体"/>
          <w:sz w:val="21"/>
          <w:szCs w:val="21"/>
          <w:highlight w:val="none"/>
        </w:rPr>
        <w:t>支持输出通道测试，可以自定义测试颜色及网格图像；</w:t>
      </w:r>
    </w:p>
    <w:p w14:paraId="0667B2C1">
      <w:pPr>
        <w:numPr>
          <w:ilvl w:val="0"/>
          <w:numId w:val="11"/>
        </w:numPr>
        <w:rPr>
          <w:rStyle w:val="21"/>
          <w:rFonts w:hint="default" w:cs="宋体"/>
          <w:sz w:val="21"/>
          <w:szCs w:val="21"/>
          <w:highlight w:val="none"/>
        </w:rPr>
      </w:pPr>
      <w:r>
        <w:rPr>
          <w:rStyle w:val="21"/>
          <w:rFonts w:hint="default" w:cs="宋体"/>
          <w:sz w:val="21"/>
          <w:szCs w:val="21"/>
          <w:highlight w:val="none"/>
        </w:rPr>
        <w:t>输入输出接口分辨率可自定义为非标准分辨率；支持在线修改EDID，无需第三方工具；自定义输出有效范围达到4096x4096，支持奇数水平像数输出(比如1921x1080),有效输出区域完全可自定义。支持输入输出图像裁剪，实现图像切边、局部放大等功能；</w:t>
      </w:r>
    </w:p>
    <w:p w14:paraId="3AAEFA16">
      <w:pPr>
        <w:numPr>
          <w:ilvl w:val="0"/>
          <w:numId w:val="11"/>
        </w:numPr>
        <w:rPr>
          <w:rStyle w:val="21"/>
          <w:rFonts w:hint="default" w:cs="宋体"/>
          <w:sz w:val="21"/>
          <w:szCs w:val="21"/>
          <w:highlight w:val="none"/>
        </w:rPr>
      </w:pPr>
      <w:r>
        <w:rPr>
          <w:rStyle w:val="21"/>
          <w:rFonts w:hint="default" w:cs="宋体"/>
          <w:sz w:val="21"/>
          <w:szCs w:val="21"/>
          <w:highlight w:val="none"/>
        </w:rPr>
        <w:t>支持故障检测功能，支持输入信号信息检测功能，彩色标示；</w:t>
      </w:r>
    </w:p>
    <w:p w14:paraId="5B266E22">
      <w:pPr>
        <w:numPr>
          <w:ilvl w:val="0"/>
          <w:numId w:val="11"/>
        </w:numPr>
        <w:rPr>
          <w:rStyle w:val="21"/>
          <w:rFonts w:hint="default" w:cs="宋体"/>
          <w:sz w:val="21"/>
          <w:szCs w:val="21"/>
          <w:highlight w:val="none"/>
        </w:rPr>
      </w:pPr>
      <w:r>
        <w:rPr>
          <w:rStyle w:val="21"/>
          <w:rFonts w:hint="default" w:cs="宋体"/>
          <w:sz w:val="21"/>
          <w:szCs w:val="21"/>
          <w:highlight w:val="none"/>
        </w:rPr>
        <w:t>图像开窗响应速度＜16ms；</w:t>
      </w:r>
    </w:p>
    <w:p w14:paraId="017BADE8">
      <w:pPr>
        <w:numPr>
          <w:ilvl w:val="0"/>
          <w:numId w:val="11"/>
        </w:numPr>
        <w:rPr>
          <w:rStyle w:val="21"/>
          <w:rFonts w:hint="default" w:cs="宋体"/>
          <w:sz w:val="21"/>
          <w:szCs w:val="21"/>
          <w:highlight w:val="none"/>
        </w:rPr>
      </w:pPr>
      <w:r>
        <w:rPr>
          <w:rStyle w:val="21"/>
          <w:rFonts w:hint="default" w:cs="宋体"/>
          <w:sz w:val="21"/>
          <w:szCs w:val="21"/>
          <w:highlight w:val="none"/>
        </w:rPr>
        <w:t>输出通道支持色差校正，支持纯白和RGB多阶色差校正；</w:t>
      </w:r>
    </w:p>
    <w:p w14:paraId="5AB7B5A9">
      <w:pPr>
        <w:numPr>
          <w:ilvl w:val="0"/>
          <w:numId w:val="11"/>
        </w:numPr>
        <w:rPr>
          <w:rStyle w:val="21"/>
          <w:rFonts w:hint="default" w:cs="宋体"/>
          <w:sz w:val="21"/>
          <w:szCs w:val="21"/>
          <w:highlight w:val="none"/>
        </w:rPr>
      </w:pPr>
      <w:r>
        <w:rPr>
          <w:rStyle w:val="21"/>
          <w:rFonts w:hint="default" w:cs="宋体"/>
          <w:sz w:val="21"/>
          <w:szCs w:val="21"/>
          <w:highlight w:val="none"/>
        </w:rPr>
        <w:t>支持RS232串口和网络TCP/IP控制，支持处理器控制软件，完全开放控制协议；</w:t>
      </w:r>
    </w:p>
    <w:p w14:paraId="4C8F6258">
      <w:pPr>
        <w:numPr>
          <w:ilvl w:val="0"/>
          <w:numId w:val="11"/>
        </w:numPr>
        <w:rPr>
          <w:rStyle w:val="21"/>
          <w:rFonts w:hint="default" w:cs="宋体"/>
          <w:sz w:val="21"/>
          <w:szCs w:val="21"/>
          <w:highlight w:val="none"/>
        </w:rPr>
      </w:pPr>
      <w:r>
        <w:rPr>
          <w:rStyle w:val="21"/>
          <w:rFonts w:hint="default" w:cs="宋体"/>
          <w:sz w:val="21"/>
          <w:szCs w:val="21"/>
          <w:highlight w:val="none"/>
        </w:rPr>
        <w:t>▲支持128个场景的本地保存与调用，同时支持场景自动定时轮巡；支持场景分组功能，支持任意场景读取功能；（提供具有CNAS、CMA标识的第三方检测报告复印件并加盖原厂公章）</w:t>
      </w:r>
    </w:p>
    <w:p w14:paraId="30122479">
      <w:pPr>
        <w:numPr>
          <w:ilvl w:val="0"/>
          <w:numId w:val="11"/>
        </w:numPr>
        <w:rPr>
          <w:rStyle w:val="21"/>
          <w:rFonts w:hint="default" w:cs="宋体"/>
          <w:sz w:val="21"/>
          <w:szCs w:val="21"/>
          <w:highlight w:val="none"/>
        </w:rPr>
      </w:pPr>
      <w:r>
        <w:rPr>
          <w:rStyle w:val="21"/>
          <w:rFonts w:hint="default" w:cs="宋体"/>
          <w:sz w:val="21"/>
          <w:szCs w:val="21"/>
          <w:highlight w:val="none"/>
        </w:rPr>
        <w:t>▲支持1+1冗余电源、支持热插拔、支持负载均衡；（提供具有CNAS、CMA标识的第三方检测报告复印件并加盖原厂公章）</w:t>
      </w:r>
    </w:p>
    <w:p w14:paraId="4C98D1F2">
      <w:pPr>
        <w:numPr>
          <w:ilvl w:val="0"/>
          <w:numId w:val="11"/>
        </w:numPr>
        <w:rPr>
          <w:rStyle w:val="21"/>
          <w:rFonts w:hint="default" w:cs="宋体"/>
          <w:sz w:val="21"/>
          <w:szCs w:val="21"/>
          <w:highlight w:val="none"/>
        </w:rPr>
      </w:pPr>
      <w:r>
        <w:rPr>
          <w:rStyle w:val="21"/>
          <w:rFonts w:hint="default" w:cs="宋体"/>
          <w:sz w:val="21"/>
          <w:szCs w:val="21"/>
          <w:highlight w:val="none"/>
        </w:rPr>
        <w:t>提供控制软件终身使用授权；</w:t>
      </w:r>
    </w:p>
    <w:p w14:paraId="53C95E88">
      <w:pPr>
        <w:numPr>
          <w:ilvl w:val="0"/>
          <w:numId w:val="11"/>
        </w:numPr>
        <w:rPr>
          <w:rStyle w:val="21"/>
          <w:rFonts w:hint="default" w:cs="宋体"/>
          <w:sz w:val="21"/>
          <w:szCs w:val="21"/>
          <w:highlight w:val="none"/>
        </w:rPr>
      </w:pPr>
      <w:r>
        <w:rPr>
          <w:rStyle w:val="21"/>
          <w:rFonts w:hint="default" w:cs="宋体"/>
          <w:sz w:val="21"/>
          <w:szCs w:val="21"/>
          <w:highlight w:val="none"/>
        </w:rPr>
        <w:t>提供不少于三年原厂质保服务承诺并加盖原厂公章和投标单位公章。</w:t>
      </w:r>
    </w:p>
    <w:p w14:paraId="3A6CF53E">
      <w:pPr>
        <w:rPr>
          <w:rFonts w:cs="宋体"/>
          <w:sz w:val="21"/>
          <w:szCs w:val="21"/>
          <w:highlight w:val="none"/>
        </w:rPr>
      </w:pPr>
    </w:p>
    <w:p w14:paraId="31285C3E">
      <w:pPr>
        <w:pStyle w:val="19"/>
        <w:ind w:firstLine="422"/>
        <w:outlineLvl w:val="1"/>
        <w:rPr>
          <w:rStyle w:val="20"/>
          <w:rFonts w:hint="default" w:ascii="宋体" w:hAnsi="宋体" w:eastAsia="宋体" w:cs="宋体"/>
          <w:b/>
          <w:i/>
          <w:sz w:val="21"/>
          <w:szCs w:val="21"/>
          <w:highlight w:val="none"/>
        </w:rPr>
      </w:pPr>
      <w:r>
        <w:rPr>
          <w:rFonts w:hint="eastAsia" w:cs="宋体"/>
          <w:b/>
          <w:bCs/>
          <w:sz w:val="21"/>
          <w:szCs w:val="21"/>
          <w:highlight w:val="none"/>
        </w:rPr>
        <w:t>（</w:t>
      </w:r>
      <w:r>
        <w:rPr>
          <w:rFonts w:hint="eastAsia" w:cs="宋体"/>
          <w:b/>
          <w:bCs/>
          <w:sz w:val="21"/>
          <w:szCs w:val="21"/>
          <w:highlight w:val="none"/>
          <w:lang w:eastAsia="zh-CN"/>
        </w:rPr>
        <w:t>五</w:t>
      </w:r>
      <w:r>
        <w:rPr>
          <w:rFonts w:hint="eastAsia" w:cs="宋体"/>
          <w:b/>
          <w:bCs/>
          <w:sz w:val="21"/>
          <w:szCs w:val="21"/>
          <w:highlight w:val="none"/>
        </w:rPr>
        <w:t>）配电箱</w:t>
      </w:r>
    </w:p>
    <w:p w14:paraId="43C7DC19">
      <w:pPr>
        <w:numPr>
          <w:ilvl w:val="0"/>
          <w:numId w:val="12"/>
        </w:numPr>
        <w:rPr>
          <w:rStyle w:val="21"/>
          <w:rFonts w:hint="default" w:cs="宋体"/>
          <w:color w:val="000000" w:themeColor="text1"/>
          <w:sz w:val="21"/>
          <w:szCs w:val="21"/>
          <w:highlight w:val="none"/>
          <w14:textFill>
            <w14:solidFill>
              <w14:schemeClr w14:val="tx1"/>
            </w14:solidFill>
          </w14:textFill>
        </w:rPr>
      </w:pPr>
      <w:r>
        <w:rPr>
          <w:rStyle w:val="21"/>
          <w:rFonts w:hint="default" w:cs="宋体"/>
          <w:color w:val="000000" w:themeColor="text1"/>
          <w:sz w:val="21"/>
          <w:szCs w:val="21"/>
          <w:highlight w:val="none"/>
          <w14:textFill>
            <w14:solidFill>
              <w14:schemeClr w14:val="tx1"/>
            </w14:solidFill>
          </w14:textFill>
        </w:rPr>
        <w:t>尺寸</w:t>
      </w:r>
      <w:r>
        <w:rPr>
          <w:rStyle w:val="21"/>
          <w:rFonts w:cs="宋体"/>
          <w:color w:val="000000" w:themeColor="text1"/>
          <w:sz w:val="21"/>
          <w:szCs w:val="21"/>
          <w:highlight w:val="none"/>
          <w14:textFill>
            <w14:solidFill>
              <w14:schemeClr w14:val="tx1"/>
            </w14:solidFill>
          </w14:textFill>
        </w:rPr>
        <w:t>不小于</w:t>
      </w:r>
      <w:r>
        <w:rPr>
          <w:rStyle w:val="21"/>
          <w:rFonts w:hint="default" w:cs="宋体"/>
          <w:color w:val="000000" w:themeColor="text1"/>
          <w:sz w:val="21"/>
          <w:szCs w:val="21"/>
          <w:highlight w:val="none"/>
          <w14:textFill>
            <w14:solidFill>
              <w14:schemeClr w14:val="tx1"/>
            </w14:solidFill>
          </w14:textFill>
        </w:rPr>
        <w:t>700H*500W*200D</w:t>
      </w:r>
      <w:r>
        <w:rPr>
          <w:rStyle w:val="21"/>
          <w:rFonts w:hint="eastAsia" w:cs="宋体"/>
          <w:color w:val="000000" w:themeColor="text1"/>
          <w:sz w:val="21"/>
          <w:szCs w:val="21"/>
          <w:highlight w:val="none"/>
          <w:lang w:eastAsia="zh-CN"/>
          <w14:textFill>
            <w14:solidFill>
              <w14:schemeClr w14:val="tx1"/>
            </w14:solidFill>
          </w14:textFill>
        </w:rPr>
        <w:t>、不大于</w:t>
      </w:r>
      <w:r>
        <w:rPr>
          <w:rStyle w:val="21"/>
          <w:rFonts w:hint="default" w:cs="宋体"/>
          <w:color w:val="000000" w:themeColor="text1"/>
          <w:sz w:val="21"/>
          <w:szCs w:val="21"/>
          <w:highlight w:val="none"/>
          <w14:textFill>
            <w14:solidFill>
              <w14:schemeClr w14:val="tx1"/>
            </w14:solidFill>
          </w14:textFill>
        </w:rPr>
        <w:t>7</w:t>
      </w:r>
      <w:r>
        <w:rPr>
          <w:rStyle w:val="21"/>
          <w:rFonts w:hint="eastAsia" w:cs="宋体"/>
          <w:color w:val="000000" w:themeColor="text1"/>
          <w:sz w:val="21"/>
          <w:szCs w:val="21"/>
          <w:highlight w:val="none"/>
          <w:lang w:val="en-US" w:eastAsia="zh-CN"/>
          <w14:textFill>
            <w14:solidFill>
              <w14:schemeClr w14:val="tx1"/>
            </w14:solidFill>
          </w14:textFill>
        </w:rPr>
        <w:t>7</w:t>
      </w:r>
      <w:r>
        <w:rPr>
          <w:rStyle w:val="21"/>
          <w:rFonts w:hint="default" w:cs="宋体"/>
          <w:color w:val="000000" w:themeColor="text1"/>
          <w:sz w:val="21"/>
          <w:szCs w:val="21"/>
          <w:highlight w:val="none"/>
          <w14:textFill>
            <w14:solidFill>
              <w14:schemeClr w14:val="tx1"/>
            </w14:solidFill>
          </w14:textFill>
        </w:rPr>
        <w:t>0H*5</w:t>
      </w:r>
      <w:r>
        <w:rPr>
          <w:rStyle w:val="21"/>
          <w:rFonts w:hint="eastAsia" w:cs="宋体"/>
          <w:color w:val="000000" w:themeColor="text1"/>
          <w:sz w:val="21"/>
          <w:szCs w:val="21"/>
          <w:highlight w:val="none"/>
          <w:lang w:val="en-US" w:eastAsia="zh-CN"/>
          <w14:textFill>
            <w14:solidFill>
              <w14:schemeClr w14:val="tx1"/>
            </w14:solidFill>
          </w14:textFill>
        </w:rPr>
        <w:t>5</w:t>
      </w:r>
      <w:r>
        <w:rPr>
          <w:rStyle w:val="21"/>
          <w:rFonts w:hint="default" w:cs="宋体"/>
          <w:color w:val="000000" w:themeColor="text1"/>
          <w:sz w:val="21"/>
          <w:szCs w:val="21"/>
          <w:highlight w:val="none"/>
          <w14:textFill>
            <w14:solidFill>
              <w14:schemeClr w14:val="tx1"/>
            </w14:solidFill>
          </w14:textFill>
        </w:rPr>
        <w:t>0W*2</w:t>
      </w:r>
      <w:r>
        <w:rPr>
          <w:rStyle w:val="21"/>
          <w:rFonts w:hint="eastAsia" w:cs="宋体"/>
          <w:color w:val="000000" w:themeColor="text1"/>
          <w:sz w:val="21"/>
          <w:szCs w:val="21"/>
          <w:highlight w:val="none"/>
          <w:lang w:val="en-US" w:eastAsia="zh-CN"/>
          <w14:textFill>
            <w14:solidFill>
              <w14:schemeClr w14:val="tx1"/>
            </w14:solidFill>
          </w14:textFill>
        </w:rPr>
        <w:t>2</w:t>
      </w:r>
      <w:r>
        <w:rPr>
          <w:rStyle w:val="21"/>
          <w:rFonts w:hint="default" w:cs="宋体"/>
          <w:color w:val="000000" w:themeColor="text1"/>
          <w:sz w:val="21"/>
          <w:szCs w:val="21"/>
          <w:highlight w:val="none"/>
          <w14:textFill>
            <w14:solidFill>
              <w14:schemeClr w14:val="tx1"/>
            </w14:solidFill>
          </w14:textFill>
        </w:rPr>
        <w:t>0D（</w:t>
      </w:r>
      <w:r>
        <w:rPr>
          <w:rStyle w:val="21"/>
          <w:rFonts w:hint="eastAsia" w:eastAsia="宋体" w:cs="宋体"/>
          <w:color w:val="000000" w:themeColor="text1"/>
          <w:sz w:val="21"/>
          <w:szCs w:val="21"/>
          <w:highlight w:val="none"/>
          <w:lang w:eastAsia="zh-CN"/>
          <w14:textFill>
            <w14:solidFill>
              <w14:schemeClr w14:val="tx1"/>
            </w14:solidFill>
          </w14:textFill>
        </w:rPr>
        <w:t>单位</w:t>
      </w:r>
      <w:r>
        <w:rPr>
          <w:rStyle w:val="21"/>
          <w:rFonts w:hint="eastAsia" w:cs="宋体"/>
          <w:color w:val="000000" w:themeColor="text1"/>
          <w:sz w:val="21"/>
          <w:szCs w:val="21"/>
          <w:highlight w:val="none"/>
          <w:lang w:eastAsia="zh-CN"/>
          <w14:textFill>
            <w14:solidFill>
              <w14:schemeClr w14:val="tx1"/>
            </w14:solidFill>
          </w14:textFill>
        </w:rPr>
        <w:t>：</w:t>
      </w:r>
      <w:r>
        <w:rPr>
          <w:rStyle w:val="21"/>
          <w:rFonts w:hint="eastAsia" w:eastAsia="宋体" w:cs="宋体"/>
          <w:color w:val="000000" w:themeColor="text1"/>
          <w:sz w:val="21"/>
          <w:szCs w:val="21"/>
          <w:highlight w:val="none"/>
          <w:lang w:eastAsia="zh-CN"/>
          <w14:textFill>
            <w14:solidFill>
              <w14:schemeClr w14:val="tx1"/>
            </w14:solidFill>
          </w14:textFill>
        </w:rPr>
        <w:t>毫米</w:t>
      </w:r>
      <w:r>
        <w:rPr>
          <w:rStyle w:val="21"/>
          <w:rFonts w:hint="default" w:cs="宋体"/>
          <w:color w:val="000000" w:themeColor="text1"/>
          <w:sz w:val="21"/>
          <w:szCs w:val="21"/>
          <w:highlight w:val="none"/>
          <w14:textFill>
            <w14:solidFill>
              <w14:schemeClr w14:val="tx1"/>
            </w14:solidFill>
          </w14:textFill>
        </w:rPr>
        <w:t>）；</w:t>
      </w:r>
    </w:p>
    <w:p w14:paraId="556443F3">
      <w:pPr>
        <w:numPr>
          <w:ilvl w:val="0"/>
          <w:numId w:val="12"/>
        </w:numPr>
        <w:rPr>
          <w:rStyle w:val="21"/>
          <w:rFonts w:hint="default" w:cs="宋体"/>
          <w:sz w:val="21"/>
          <w:szCs w:val="21"/>
          <w:highlight w:val="none"/>
        </w:rPr>
      </w:pPr>
      <w:r>
        <w:rPr>
          <w:rStyle w:val="21"/>
          <w:rFonts w:hint="default" w:cs="宋体"/>
          <w:sz w:val="21"/>
          <w:szCs w:val="21"/>
          <w:highlight w:val="none"/>
        </w:rPr>
        <w:t>LED显示屏具有独立配电系统，配电系统采用三相五线制供电，配电系统保证三相平衡，减少对电网的冲击影响，同时还应配备过流、短路、断路、过压、欠压、温度过高等保护措施，以及相应的故障指示装置；</w:t>
      </w:r>
    </w:p>
    <w:p w14:paraId="591F69F9">
      <w:pPr>
        <w:numPr>
          <w:ilvl w:val="0"/>
          <w:numId w:val="12"/>
        </w:numPr>
        <w:rPr>
          <w:rStyle w:val="21"/>
          <w:rFonts w:hint="default" w:cs="宋体"/>
          <w:sz w:val="21"/>
          <w:szCs w:val="21"/>
          <w:highlight w:val="none"/>
        </w:rPr>
      </w:pPr>
      <w:r>
        <w:rPr>
          <w:rStyle w:val="21"/>
          <w:rFonts w:hint="default" w:cs="宋体"/>
          <w:sz w:val="21"/>
          <w:szCs w:val="21"/>
          <w:highlight w:val="none"/>
        </w:rPr>
        <w:t>配电柜中需安装功能可靠的防护装置，并为系统提供短路、过流、断路、过压、欠压等保护功能；</w:t>
      </w:r>
    </w:p>
    <w:p w14:paraId="678EBD48">
      <w:pPr>
        <w:numPr>
          <w:ilvl w:val="0"/>
          <w:numId w:val="12"/>
        </w:numPr>
        <w:rPr>
          <w:rStyle w:val="21"/>
          <w:rFonts w:hint="default" w:cs="宋体"/>
          <w:sz w:val="21"/>
          <w:szCs w:val="21"/>
          <w:highlight w:val="none"/>
        </w:rPr>
      </w:pPr>
      <w:r>
        <w:rPr>
          <w:rStyle w:val="21"/>
          <w:rFonts w:hint="default" w:cs="宋体"/>
          <w:sz w:val="21"/>
          <w:szCs w:val="21"/>
          <w:highlight w:val="none"/>
        </w:rPr>
        <w:t>支持在配电柜操作面板上手动本地控制和远程信号控制两种控制方式，远程控制可做到显示系统的开关和分步加电；</w:t>
      </w:r>
    </w:p>
    <w:p w14:paraId="66B70F66">
      <w:pPr>
        <w:numPr>
          <w:ilvl w:val="0"/>
          <w:numId w:val="12"/>
        </w:numPr>
        <w:rPr>
          <w:rStyle w:val="21"/>
          <w:rFonts w:hint="default" w:cs="宋体"/>
          <w:sz w:val="21"/>
          <w:szCs w:val="21"/>
          <w:highlight w:val="none"/>
        </w:rPr>
      </w:pPr>
      <w:r>
        <w:rPr>
          <w:rStyle w:val="21"/>
          <w:rFonts w:hint="default" w:cs="宋体"/>
          <w:sz w:val="21"/>
          <w:szCs w:val="21"/>
          <w:highlight w:val="none"/>
        </w:rPr>
        <w:t>配电柜具有分布式上电功能。</w:t>
      </w:r>
    </w:p>
    <w:p w14:paraId="2A4507CB">
      <w:pPr>
        <w:numPr>
          <w:ilvl w:val="0"/>
          <w:numId w:val="12"/>
        </w:numPr>
        <w:rPr>
          <w:rStyle w:val="21"/>
          <w:rFonts w:hint="default" w:cs="宋体"/>
          <w:sz w:val="21"/>
          <w:szCs w:val="21"/>
          <w:highlight w:val="none"/>
        </w:rPr>
      </w:pPr>
      <w:r>
        <w:rPr>
          <w:rFonts w:hint="eastAsia" w:cs="宋体"/>
          <w:sz w:val="21"/>
          <w:szCs w:val="21"/>
          <w:highlight w:val="none"/>
        </w:rPr>
        <w:t>★提供</w:t>
      </w:r>
      <w:r>
        <w:rPr>
          <w:rStyle w:val="21"/>
          <w:rFonts w:cs="宋体"/>
          <w:sz w:val="21"/>
          <w:szCs w:val="21"/>
          <w:highlight w:val="none"/>
        </w:rPr>
        <w:t>3C认证证书</w:t>
      </w:r>
      <w:r>
        <w:rPr>
          <w:rStyle w:val="21"/>
          <w:rFonts w:cs="宋体"/>
          <w:color w:val="BF0000"/>
          <w:sz w:val="21"/>
          <w:szCs w:val="21"/>
          <w:highlight w:val="none"/>
          <w:lang w:val="en-US"/>
        </w:rPr>
        <w:t>(</w:t>
      </w:r>
      <w:r>
        <w:rPr>
          <w:rStyle w:val="21"/>
          <w:rFonts w:hint="eastAsia" w:cs="宋体"/>
          <w:color w:val="BF0000"/>
          <w:sz w:val="21"/>
          <w:szCs w:val="21"/>
          <w:highlight w:val="none"/>
          <w:lang w:val="en-US" w:eastAsia="zh-CN"/>
        </w:rPr>
        <w:t>自我评价方式</w:t>
      </w:r>
      <w:r>
        <w:rPr>
          <w:rStyle w:val="21"/>
          <w:rFonts w:hint="default" w:cs="宋体"/>
          <w:color w:val="BF0000"/>
          <w:sz w:val="21"/>
          <w:szCs w:val="21"/>
          <w:highlight w:val="none"/>
          <w:lang w:val="en-US" w:eastAsia="zh-CN"/>
        </w:rPr>
        <w:t>)</w:t>
      </w:r>
      <w:r>
        <w:rPr>
          <w:rStyle w:val="21"/>
          <w:rFonts w:cs="宋体"/>
          <w:sz w:val="21"/>
          <w:szCs w:val="21"/>
          <w:highlight w:val="none"/>
        </w:rPr>
        <w:t>，并加盖原厂公章。</w:t>
      </w:r>
    </w:p>
    <w:p w14:paraId="38396AB5">
      <w:pPr>
        <w:pStyle w:val="19"/>
        <w:rPr>
          <w:highlight w:val="none"/>
        </w:rPr>
        <w:sectPr>
          <w:pgSz w:w="11906" w:h="16838"/>
          <w:pgMar w:top="1440" w:right="1800" w:bottom="1440" w:left="1800" w:header="851" w:footer="992" w:gutter="0"/>
          <w:cols w:space="425" w:num="1"/>
          <w:docGrid w:type="lines" w:linePitch="326" w:charSpace="0"/>
        </w:sectPr>
      </w:pPr>
    </w:p>
    <w:p w14:paraId="3DDB512F">
      <w:pPr>
        <w:pStyle w:val="22"/>
        <w:ind w:firstLine="640"/>
        <w:outlineLvl w:val="0"/>
        <w:rPr>
          <w:rFonts w:cs="宋体"/>
          <w:sz w:val="21"/>
          <w:szCs w:val="21"/>
          <w:highlight w:val="none"/>
        </w:rPr>
      </w:pPr>
      <w:r>
        <w:rPr>
          <w:rFonts w:hint="eastAsia" w:cs="宋体"/>
          <w:sz w:val="21"/>
          <w:szCs w:val="21"/>
          <w:highlight w:val="none"/>
        </w:rPr>
        <w:t>项目要求</w:t>
      </w:r>
    </w:p>
    <w:p w14:paraId="2207D7F0">
      <w:pPr>
        <w:pStyle w:val="22"/>
        <w:numPr>
          <w:ilvl w:val="0"/>
          <w:numId w:val="13"/>
        </w:numPr>
        <w:outlineLvl w:val="1"/>
        <w:rPr>
          <w:rFonts w:cs="宋体"/>
          <w:b w:val="0"/>
          <w:sz w:val="21"/>
          <w:szCs w:val="21"/>
          <w:highlight w:val="none"/>
        </w:rPr>
      </w:pPr>
      <w:r>
        <w:rPr>
          <w:rFonts w:hint="eastAsia" w:cs="宋体"/>
          <w:b w:val="0"/>
          <w:sz w:val="21"/>
          <w:szCs w:val="21"/>
          <w:highlight w:val="none"/>
        </w:rPr>
        <w:t>投标要求</w:t>
      </w:r>
    </w:p>
    <w:p w14:paraId="72B4851B">
      <w:pPr>
        <w:pStyle w:val="22"/>
        <w:numPr>
          <w:ilvl w:val="0"/>
          <w:numId w:val="14"/>
        </w:numPr>
        <w:rPr>
          <w:rFonts w:cs="宋体"/>
          <w:b w:val="0"/>
          <w:sz w:val="21"/>
          <w:szCs w:val="21"/>
          <w:highlight w:val="none"/>
        </w:rPr>
      </w:pPr>
      <w:r>
        <w:rPr>
          <w:rFonts w:hint="eastAsia" w:cs="宋体"/>
          <w:b w:val="0"/>
          <w:sz w:val="21"/>
          <w:szCs w:val="21"/>
          <w:highlight w:val="none"/>
        </w:rPr>
        <w:t>投标文件应包括必要的报价清单，清楚列出每单件设备。材料的计量单位、数量、规格型号、单价及总价。投标单位应充分考虑现场实际情况，包括供配电、安装空间、开挖、静电地板拆除修复、线管线缆铺设等情况，都应包含在整体报价中。</w:t>
      </w:r>
    </w:p>
    <w:p w14:paraId="4624F17A">
      <w:pPr>
        <w:pStyle w:val="22"/>
        <w:numPr>
          <w:ilvl w:val="0"/>
          <w:numId w:val="14"/>
        </w:numPr>
        <w:rPr>
          <w:rFonts w:cs="宋体"/>
          <w:b w:val="0"/>
          <w:sz w:val="21"/>
          <w:szCs w:val="21"/>
          <w:highlight w:val="none"/>
        </w:rPr>
      </w:pPr>
      <w:r>
        <w:rPr>
          <w:rFonts w:hint="eastAsia" w:cs="宋体"/>
          <w:b w:val="0"/>
          <w:sz w:val="21"/>
          <w:szCs w:val="21"/>
          <w:highlight w:val="none"/>
        </w:rPr>
        <w:t>投标清单内所有设备必须标注其生产厂商或品牌，产地及规格、型号、技术性能指标。</w:t>
      </w:r>
    </w:p>
    <w:p w14:paraId="6F1F034B">
      <w:pPr>
        <w:pStyle w:val="22"/>
        <w:numPr>
          <w:ilvl w:val="0"/>
          <w:numId w:val="14"/>
        </w:numPr>
        <w:rPr>
          <w:rFonts w:hint="eastAsia" w:cs="宋体"/>
          <w:b w:val="0"/>
          <w:sz w:val="21"/>
          <w:szCs w:val="21"/>
          <w:highlight w:val="none"/>
        </w:rPr>
      </w:pPr>
      <w:r>
        <w:rPr>
          <w:rFonts w:hint="eastAsia" w:cs="宋体"/>
          <w:b w:val="0"/>
          <w:sz w:val="21"/>
          <w:szCs w:val="21"/>
          <w:highlight w:val="none"/>
          <w:lang w:val="en-US" w:eastAsia="zh-CN"/>
        </w:rPr>
        <w:t>投标单位在编制响应文件时，</w:t>
      </w:r>
      <w:r>
        <w:rPr>
          <w:rFonts w:hint="eastAsia" w:cs="宋体"/>
          <w:b w:val="0"/>
          <w:sz w:val="21"/>
          <w:szCs w:val="21"/>
          <w:highlight w:val="none"/>
        </w:rPr>
        <w:t>须</w:t>
      </w:r>
      <w:r>
        <w:rPr>
          <w:rFonts w:hint="eastAsia" w:cs="宋体"/>
          <w:b w:val="0"/>
          <w:sz w:val="21"/>
          <w:szCs w:val="21"/>
          <w:highlight w:val="none"/>
          <w:lang w:val="en-US" w:eastAsia="zh-CN"/>
        </w:rPr>
        <w:t>按照评分细则提交实施方案，包括但不限于：施工进度计划、施工重难点分析、施工质量保证及安全文明施工措施、应急预案等。</w:t>
      </w:r>
    </w:p>
    <w:p w14:paraId="5B1A5CB9">
      <w:pPr>
        <w:pStyle w:val="22"/>
        <w:numPr>
          <w:ilvl w:val="0"/>
          <w:numId w:val="14"/>
        </w:numPr>
        <w:rPr>
          <w:rFonts w:hint="eastAsia" w:cs="宋体"/>
          <w:b w:val="0"/>
          <w:sz w:val="21"/>
          <w:szCs w:val="21"/>
          <w:highlight w:val="none"/>
          <w:lang w:val="en-US" w:eastAsia="zh-CN"/>
        </w:rPr>
      </w:pPr>
      <w:r>
        <w:rPr>
          <w:rFonts w:hint="eastAsia" w:cs="宋体"/>
          <w:b w:val="0"/>
          <w:sz w:val="21"/>
          <w:szCs w:val="21"/>
          <w:highlight w:val="none"/>
          <w:lang w:val="en-US" w:eastAsia="zh-CN"/>
        </w:rPr>
        <w:t>投标方技术方案除满足上述招标需求内容外，须提交技术图纸，包括但不限于:布局设计、效果图、各系统架构图、工艺大样图、整体布局图、后端设备机柜布置图、设备连线图、各系统图、配电系统图、等以及必要的配套配合图纸等技术深化图纸。</w:t>
      </w:r>
    </w:p>
    <w:p w14:paraId="54303EF5">
      <w:pPr>
        <w:pStyle w:val="22"/>
        <w:numPr>
          <w:ilvl w:val="0"/>
          <w:numId w:val="14"/>
        </w:numPr>
        <w:rPr>
          <w:rFonts w:hint="eastAsia" w:cs="宋体"/>
          <w:b w:val="0"/>
          <w:sz w:val="21"/>
          <w:szCs w:val="21"/>
          <w:highlight w:val="none"/>
          <w:lang w:val="en-US" w:eastAsia="zh-CN"/>
        </w:rPr>
      </w:pPr>
      <w:r>
        <w:rPr>
          <w:rFonts w:hint="eastAsia" w:cs="宋体"/>
          <w:b w:val="0"/>
          <w:sz w:val="21"/>
          <w:szCs w:val="21"/>
          <w:highlight w:val="none"/>
          <w:lang w:val="en-US" w:eastAsia="zh-CN"/>
        </w:rPr>
        <w:t>投标单位须提供质量管理体系、环境管理体系及职业健康安全体系等认证证书，在项目实施过程中建立适当和可行的质量管理、环境管理及职业健康安全体系，并保证项目实施的全部过程符合该体系的要求。</w:t>
      </w:r>
    </w:p>
    <w:p w14:paraId="110FA75B">
      <w:pPr>
        <w:pStyle w:val="22"/>
        <w:numPr>
          <w:ilvl w:val="0"/>
          <w:numId w:val="14"/>
        </w:numPr>
        <w:rPr>
          <w:rFonts w:cs="宋体"/>
          <w:b w:val="0"/>
          <w:sz w:val="21"/>
          <w:szCs w:val="21"/>
          <w:highlight w:val="none"/>
        </w:rPr>
      </w:pPr>
      <w:r>
        <w:rPr>
          <w:rFonts w:hint="eastAsia" w:cs="宋体"/>
          <w:b w:val="0"/>
          <w:sz w:val="21"/>
          <w:szCs w:val="21"/>
          <w:highlight w:val="none"/>
        </w:rPr>
        <w:t>投标单位在进行技术响应时应注意，招标人在招标需求中指出的工艺，材料和设备的参数供参考作用，并没有任何指定性，投标单位在投标时可以选择实质上优于或相当于招标需求中的产品。</w:t>
      </w:r>
    </w:p>
    <w:p w14:paraId="7BE16DBB">
      <w:pPr>
        <w:pStyle w:val="22"/>
        <w:numPr>
          <w:ilvl w:val="0"/>
          <w:numId w:val="14"/>
        </w:numPr>
        <w:rPr>
          <w:rFonts w:cs="宋体"/>
          <w:b w:val="0"/>
          <w:sz w:val="21"/>
          <w:szCs w:val="21"/>
          <w:highlight w:val="none"/>
        </w:rPr>
      </w:pPr>
      <w:r>
        <w:rPr>
          <w:rFonts w:hint="eastAsia" w:cs="宋体"/>
          <w:b w:val="0"/>
          <w:sz w:val="21"/>
          <w:szCs w:val="21"/>
          <w:highlight w:val="none"/>
        </w:rPr>
        <w:t>招标方不组织现场踏勘，投标单位自行踏勘。</w:t>
      </w:r>
    </w:p>
    <w:p w14:paraId="58815836">
      <w:pPr>
        <w:pStyle w:val="22"/>
        <w:numPr>
          <w:ilvl w:val="0"/>
          <w:numId w:val="14"/>
        </w:numPr>
        <w:rPr>
          <w:rFonts w:cs="宋体"/>
          <w:b w:val="0"/>
          <w:sz w:val="21"/>
          <w:szCs w:val="21"/>
          <w:highlight w:val="none"/>
        </w:rPr>
      </w:pPr>
      <w:r>
        <w:rPr>
          <w:rFonts w:hint="eastAsia" w:cs="宋体"/>
          <w:b w:val="0"/>
          <w:sz w:val="21"/>
          <w:szCs w:val="21"/>
          <w:highlight w:val="none"/>
        </w:rPr>
        <w:t>投标单位应负责全部投标产品的设计、供货、运输、保险、卸货、安装连接就位、配合及指导安装调试、验收合格、培训及保修等，以上发生的所有费用均应包含在报价中，采购人不再另行支付其他任何费用。</w:t>
      </w:r>
    </w:p>
    <w:p w14:paraId="5EFEC402">
      <w:pPr>
        <w:pStyle w:val="22"/>
        <w:numPr>
          <w:ilvl w:val="0"/>
          <w:numId w:val="14"/>
        </w:numPr>
        <w:rPr>
          <w:rFonts w:cs="宋体"/>
          <w:b w:val="0"/>
          <w:sz w:val="21"/>
          <w:szCs w:val="21"/>
          <w:highlight w:val="none"/>
        </w:rPr>
      </w:pPr>
      <w:r>
        <w:rPr>
          <w:rFonts w:hint="eastAsia" w:cs="宋体"/>
          <w:b w:val="0"/>
          <w:sz w:val="21"/>
          <w:szCs w:val="21"/>
          <w:highlight w:val="none"/>
        </w:rPr>
        <w:t>★本项目需无条件配合分局开办弱电采购项目中的承建方完成项目的整体施工。本项目投标的设备需无缝接入和兼容练西公路警务站弱电设备采购项目的整体系统中。系统对接如产生费用（包含额外产生的人工费、相关设备费）计入总价中，采购人不再另行支付其他任何费用。投标单位须在投标文件中提供承诺书需加盖投标单位公章。</w:t>
      </w:r>
    </w:p>
    <w:p w14:paraId="64CFAF08">
      <w:pPr>
        <w:numPr>
          <w:ilvl w:val="0"/>
          <w:numId w:val="14"/>
        </w:numPr>
        <w:rPr>
          <w:rFonts w:cs="宋体"/>
          <w:color w:val="000000"/>
          <w:sz w:val="21"/>
          <w:szCs w:val="21"/>
          <w:highlight w:val="yellow"/>
        </w:rPr>
      </w:pPr>
      <w:r>
        <w:rPr>
          <w:rFonts w:hint="eastAsia" w:cs="宋体"/>
          <w:color w:val="000000"/>
          <w:sz w:val="21"/>
          <w:szCs w:val="21"/>
          <w:highlight w:val="none"/>
        </w:rPr>
        <w:t>若本项目涉及国家强制认证产品（</w:t>
      </w:r>
      <w:r>
        <w:rPr>
          <w:rFonts w:hint="default" w:cs="宋体"/>
          <w:color w:val="BF0000"/>
          <w:sz w:val="21"/>
          <w:szCs w:val="21"/>
          <w:highlight w:val="none"/>
          <w:lang w:val="en-US"/>
        </w:rPr>
        <w:t>3</w:t>
      </w:r>
      <w:r>
        <w:rPr>
          <w:rFonts w:hint="eastAsia" w:cs="宋体"/>
          <w:color w:val="000000"/>
          <w:sz w:val="21"/>
          <w:szCs w:val="21"/>
          <w:highlight w:val="none"/>
        </w:rPr>
        <w:t>C认证产品、节能产品），则根据国家有关规定，投标人必须提供该产品按国家标准认证颁发的有效认证证书</w:t>
      </w:r>
      <w:r>
        <w:rPr>
          <w:rFonts w:hint="eastAsia" w:cs="宋体"/>
          <w:color w:val="000000"/>
          <w:sz w:val="21"/>
          <w:szCs w:val="21"/>
          <w:highlight w:val="none"/>
          <w:lang w:eastAsia="zh-CN"/>
        </w:rPr>
        <w:t>并加盖原厂公章</w:t>
      </w:r>
      <w:r>
        <w:rPr>
          <w:rFonts w:hint="eastAsia" w:cs="宋体"/>
          <w:color w:val="000000"/>
          <w:sz w:val="21"/>
          <w:szCs w:val="21"/>
          <w:highlight w:val="none"/>
        </w:rPr>
        <w:t>，否则视为非实质性响应，其投标无效；若本项目涉及国家实行进网许可制度的电信设备，投标人必须提供相应的承诺书并加盖</w:t>
      </w:r>
      <w:r>
        <w:rPr>
          <w:rFonts w:hint="eastAsia" w:cs="宋体"/>
          <w:color w:val="000000"/>
          <w:sz w:val="21"/>
          <w:szCs w:val="21"/>
          <w:highlight w:val="none"/>
          <w:lang w:val="en-US" w:eastAsia="zh-CN"/>
        </w:rPr>
        <w:t>投标单位</w:t>
      </w:r>
      <w:r>
        <w:rPr>
          <w:rFonts w:hint="eastAsia" w:cs="宋体"/>
          <w:color w:val="000000"/>
          <w:sz w:val="21"/>
          <w:szCs w:val="21"/>
          <w:highlight w:val="none"/>
        </w:rPr>
        <w:t>公章（格式详见</w:t>
      </w:r>
      <w:r>
        <w:rPr>
          <w:rFonts w:hint="eastAsia" w:cs="宋体"/>
          <w:color w:val="000000"/>
          <w:sz w:val="21"/>
          <w:szCs w:val="21"/>
          <w:highlight w:val="none"/>
          <w:lang w:val="en-US" w:eastAsia="zh-CN"/>
        </w:rPr>
        <w:t>附件）</w:t>
      </w:r>
      <w:r>
        <w:rPr>
          <w:rFonts w:hint="eastAsia" w:cs="宋体"/>
          <w:color w:val="000000"/>
          <w:sz w:val="21"/>
          <w:szCs w:val="21"/>
          <w:highlight w:val="none"/>
          <w:lang w:eastAsia="zh-CN"/>
        </w:rPr>
        <w:t>。</w:t>
      </w:r>
    </w:p>
    <w:p w14:paraId="700835BD">
      <w:pPr>
        <w:pStyle w:val="22"/>
        <w:numPr>
          <w:ilvl w:val="0"/>
          <w:numId w:val="13"/>
        </w:numPr>
        <w:outlineLvl w:val="1"/>
        <w:rPr>
          <w:rFonts w:cs="宋体"/>
          <w:b w:val="0"/>
          <w:sz w:val="21"/>
          <w:szCs w:val="21"/>
          <w:highlight w:val="none"/>
        </w:rPr>
      </w:pPr>
      <w:r>
        <w:rPr>
          <w:rFonts w:hint="eastAsia" w:cs="宋体"/>
          <w:b w:val="0"/>
          <w:sz w:val="21"/>
          <w:szCs w:val="21"/>
          <w:highlight w:val="none"/>
        </w:rPr>
        <w:t>质量要求</w:t>
      </w:r>
    </w:p>
    <w:p w14:paraId="677C0E0C">
      <w:pPr>
        <w:pStyle w:val="22"/>
        <w:numPr>
          <w:ilvl w:val="0"/>
          <w:numId w:val="15"/>
        </w:numPr>
        <w:rPr>
          <w:rFonts w:cs="宋体"/>
          <w:b w:val="0"/>
          <w:sz w:val="21"/>
          <w:szCs w:val="21"/>
          <w:highlight w:val="none"/>
        </w:rPr>
      </w:pPr>
      <w:r>
        <w:rPr>
          <w:rFonts w:hint="eastAsia" w:cs="宋体"/>
          <w:b w:val="0"/>
          <w:sz w:val="21"/>
          <w:szCs w:val="21"/>
          <w:highlight w:val="none"/>
        </w:rPr>
        <w:t>本项目实施质量标准必须符合中华人民共和国国家标准。若工程质量标准高于国家标准，则按本技术规格书约定的标准执行。本项目还应符合国家和上海市有关智能信息化系统运行安全之规定，以及公安内部相关规定。</w:t>
      </w:r>
    </w:p>
    <w:p w14:paraId="284F395F">
      <w:pPr>
        <w:pStyle w:val="22"/>
        <w:numPr>
          <w:ilvl w:val="0"/>
          <w:numId w:val="15"/>
        </w:numPr>
        <w:rPr>
          <w:rFonts w:cs="宋体"/>
          <w:b w:val="0"/>
          <w:sz w:val="21"/>
          <w:szCs w:val="21"/>
          <w:highlight w:val="none"/>
        </w:rPr>
      </w:pPr>
      <w:r>
        <w:rPr>
          <w:rFonts w:hint="eastAsia" w:cs="宋体"/>
          <w:b w:val="0"/>
          <w:sz w:val="21"/>
          <w:szCs w:val="21"/>
          <w:highlight w:val="none"/>
        </w:rPr>
        <w:t>投标单位应按照ISO9001质量管理标准为工程实施、竣工和弥补缺陷建立适当和可行的质量保证体系，并保证工程的实施、竣工和弥补缺陷的全部过程符合该质量保证体系的要求。应按照质量保证体系的要求提供、填写、整理并保存任何必要的过程记录。这些过程记录应随时可供建设方、监理工程师或有关主管部门查阅。</w:t>
      </w:r>
    </w:p>
    <w:p w14:paraId="1ECCFB16">
      <w:pPr>
        <w:pStyle w:val="22"/>
        <w:numPr>
          <w:ilvl w:val="0"/>
          <w:numId w:val="15"/>
        </w:numPr>
        <w:rPr>
          <w:rFonts w:cs="宋体"/>
          <w:b w:val="0"/>
          <w:sz w:val="21"/>
          <w:szCs w:val="21"/>
          <w:highlight w:val="none"/>
        </w:rPr>
      </w:pPr>
      <w:r>
        <w:rPr>
          <w:rFonts w:hint="eastAsia" w:cs="宋体"/>
          <w:b w:val="0"/>
          <w:sz w:val="21"/>
          <w:szCs w:val="21"/>
          <w:highlight w:val="none"/>
        </w:rPr>
        <w:t>项目隐蔽工程或中间验收部位在被覆盖或隐蔽之前，必须经过检验并得到业主或监理工程师的批准。</w:t>
      </w:r>
    </w:p>
    <w:p w14:paraId="7614D641">
      <w:pPr>
        <w:pStyle w:val="22"/>
        <w:numPr>
          <w:ilvl w:val="0"/>
          <w:numId w:val="15"/>
        </w:numPr>
        <w:rPr>
          <w:rFonts w:cs="宋体"/>
          <w:b w:val="0"/>
          <w:sz w:val="21"/>
          <w:szCs w:val="21"/>
          <w:highlight w:val="none"/>
        </w:rPr>
      </w:pPr>
      <w:r>
        <w:rPr>
          <w:rFonts w:hint="eastAsia" w:cs="宋体"/>
          <w:b w:val="0"/>
          <w:sz w:val="21"/>
          <w:szCs w:val="21"/>
          <w:highlight w:val="none"/>
        </w:rPr>
        <w:t>项目竣工后，投标单位应向采购人提供完整的技术资料,包括设备随机资料采购人手册、管理员手册、安装指南等采购人纸质和电子文档资料。</w:t>
      </w:r>
    </w:p>
    <w:p w14:paraId="70AADB8A">
      <w:pPr>
        <w:pStyle w:val="22"/>
        <w:numPr>
          <w:ilvl w:val="0"/>
          <w:numId w:val="0"/>
        </w:numPr>
        <w:ind w:left="420"/>
        <w:rPr>
          <w:rFonts w:cs="宋体"/>
          <w:b w:val="0"/>
          <w:sz w:val="21"/>
          <w:szCs w:val="21"/>
          <w:highlight w:val="none"/>
        </w:rPr>
      </w:pPr>
    </w:p>
    <w:p w14:paraId="7B189E19">
      <w:pPr>
        <w:pStyle w:val="22"/>
        <w:numPr>
          <w:ilvl w:val="0"/>
          <w:numId w:val="13"/>
        </w:numPr>
        <w:tabs>
          <w:tab w:val="left" w:pos="5501"/>
        </w:tabs>
        <w:outlineLvl w:val="1"/>
        <w:rPr>
          <w:rFonts w:cs="宋体"/>
          <w:b w:val="0"/>
          <w:sz w:val="21"/>
          <w:szCs w:val="21"/>
          <w:highlight w:val="none"/>
        </w:rPr>
      </w:pPr>
      <w:r>
        <w:rPr>
          <w:rFonts w:hint="eastAsia" w:cs="宋体"/>
          <w:b w:val="0"/>
          <w:sz w:val="21"/>
          <w:szCs w:val="21"/>
          <w:highlight w:val="none"/>
        </w:rPr>
        <w:t>项目工期要求</w:t>
      </w:r>
      <w:r>
        <w:rPr>
          <w:rFonts w:hint="eastAsia" w:cs="宋体"/>
          <w:b w:val="0"/>
          <w:sz w:val="21"/>
          <w:szCs w:val="21"/>
          <w:highlight w:val="none"/>
        </w:rPr>
        <w:tab/>
      </w:r>
    </w:p>
    <w:p w14:paraId="63E5E26F">
      <w:pPr>
        <w:pStyle w:val="22"/>
        <w:numPr>
          <w:ilvl w:val="0"/>
          <w:numId w:val="0"/>
        </w:numPr>
        <w:rPr>
          <w:rFonts w:cs="宋体"/>
          <w:b w:val="0"/>
          <w:sz w:val="21"/>
          <w:szCs w:val="21"/>
          <w:highlight w:val="none"/>
        </w:rPr>
      </w:pPr>
      <w:r>
        <w:rPr>
          <w:rFonts w:hint="eastAsia" w:cs="宋体"/>
          <w:b w:val="0"/>
          <w:sz w:val="21"/>
          <w:szCs w:val="21"/>
          <w:highlight w:val="none"/>
        </w:rPr>
        <w:t>1）本项目的施工工期要求为</w:t>
      </w:r>
      <w:r>
        <w:rPr>
          <w:rFonts w:hint="eastAsia" w:cs="宋体"/>
          <w:sz w:val="21"/>
          <w:szCs w:val="21"/>
          <w:highlight w:val="none"/>
        </w:rPr>
        <w:t>合同签订后</w:t>
      </w:r>
      <w:r>
        <w:rPr>
          <w:rFonts w:hint="eastAsia" w:cs="宋体"/>
          <w:sz w:val="21"/>
          <w:szCs w:val="21"/>
          <w:highlight w:val="none"/>
          <w:lang w:val="en-US" w:eastAsia="zh-CN"/>
        </w:rPr>
        <w:t>15</w:t>
      </w:r>
      <w:r>
        <w:rPr>
          <w:rFonts w:hint="eastAsia" w:cs="宋体"/>
          <w:sz w:val="21"/>
          <w:szCs w:val="21"/>
          <w:highlight w:val="none"/>
        </w:rPr>
        <w:t>个日历天内交付，并完成设备安装调试。</w:t>
      </w:r>
      <w:r>
        <w:rPr>
          <w:rFonts w:hint="eastAsia" w:cs="宋体"/>
          <w:b w:val="0"/>
          <w:sz w:val="21"/>
          <w:szCs w:val="21"/>
          <w:highlight w:val="none"/>
          <w:lang w:val="en-US" w:eastAsia="zh-CN"/>
        </w:rPr>
        <w:t>★投标单位须提供工期违约处罚承诺并加盖投标单位公章，</w:t>
      </w:r>
      <w:r>
        <w:rPr>
          <w:rFonts w:hint="eastAsia" w:cs="宋体"/>
          <w:b w:val="0"/>
          <w:sz w:val="21"/>
          <w:szCs w:val="21"/>
          <w:highlight w:val="none"/>
        </w:rPr>
        <w:t>若</w:t>
      </w:r>
      <w:r>
        <w:rPr>
          <w:rFonts w:hint="eastAsia" w:cs="宋体"/>
          <w:b w:val="0"/>
          <w:sz w:val="21"/>
          <w:szCs w:val="21"/>
          <w:highlight w:val="none"/>
          <w:lang w:val="en-US" w:eastAsia="zh-CN"/>
        </w:rPr>
        <w:t>中标方工期</w:t>
      </w:r>
      <w:r>
        <w:rPr>
          <w:rFonts w:hint="eastAsia" w:cs="宋体"/>
          <w:b w:val="0"/>
          <w:sz w:val="21"/>
          <w:szCs w:val="21"/>
          <w:highlight w:val="none"/>
        </w:rPr>
        <w:t>逾期</w:t>
      </w:r>
      <w:r>
        <w:rPr>
          <w:rFonts w:hint="eastAsia" w:cs="宋体"/>
          <w:b w:val="0"/>
          <w:sz w:val="21"/>
          <w:szCs w:val="21"/>
          <w:highlight w:val="none"/>
          <w:lang w:eastAsia="zh-CN"/>
        </w:rPr>
        <w:t>，</w:t>
      </w:r>
      <w:r>
        <w:rPr>
          <w:rFonts w:hint="eastAsia" w:cs="宋体"/>
          <w:b w:val="0"/>
          <w:sz w:val="21"/>
          <w:szCs w:val="21"/>
          <w:highlight w:val="none"/>
        </w:rPr>
        <w:t>将按合同</w:t>
      </w:r>
      <w:r>
        <w:rPr>
          <w:rFonts w:hint="eastAsia" w:cs="宋体"/>
          <w:b w:val="0"/>
          <w:sz w:val="21"/>
          <w:szCs w:val="21"/>
          <w:highlight w:val="none"/>
          <w:lang w:val="en-US" w:eastAsia="zh-CN"/>
        </w:rPr>
        <w:t>条款</w:t>
      </w:r>
      <w:r>
        <w:rPr>
          <w:rFonts w:hint="eastAsia" w:cs="宋体"/>
          <w:b w:val="0"/>
          <w:sz w:val="21"/>
          <w:szCs w:val="21"/>
          <w:highlight w:val="none"/>
        </w:rPr>
        <w:t>违约赔偿，</w:t>
      </w:r>
      <w:r>
        <w:rPr>
          <w:rFonts w:hint="eastAsia" w:cs="宋体"/>
          <w:b w:val="0"/>
          <w:sz w:val="21"/>
          <w:szCs w:val="21"/>
          <w:highlight w:val="none"/>
          <w:lang w:val="en-US" w:eastAsia="zh-CN"/>
        </w:rPr>
        <w:t>已经</w:t>
      </w:r>
      <w:r>
        <w:rPr>
          <w:rFonts w:hint="eastAsia" w:cs="宋体"/>
          <w:b w:val="0"/>
          <w:sz w:val="21"/>
          <w:szCs w:val="21"/>
          <w:highlight w:val="none"/>
        </w:rPr>
        <w:t>安装的设备</w:t>
      </w:r>
      <w:r>
        <w:rPr>
          <w:rFonts w:hint="eastAsia" w:cs="宋体"/>
          <w:b w:val="0"/>
          <w:sz w:val="21"/>
          <w:szCs w:val="21"/>
          <w:highlight w:val="none"/>
          <w:lang w:val="en-US" w:eastAsia="zh-CN"/>
        </w:rPr>
        <w:t>应</w:t>
      </w:r>
      <w:r>
        <w:rPr>
          <w:rFonts w:hint="eastAsia" w:cs="宋体"/>
          <w:b w:val="0"/>
          <w:sz w:val="21"/>
          <w:szCs w:val="21"/>
          <w:highlight w:val="none"/>
        </w:rPr>
        <w:t>免费拆除并赔偿由此产生的一切损失</w:t>
      </w:r>
      <w:r>
        <w:rPr>
          <w:rFonts w:hint="eastAsia" w:cs="宋体"/>
          <w:b w:val="0"/>
          <w:sz w:val="21"/>
          <w:szCs w:val="21"/>
          <w:highlight w:val="none"/>
          <w:lang w:eastAsia="zh-CN"/>
        </w:rPr>
        <w:t>。</w:t>
      </w:r>
      <w:r>
        <w:rPr>
          <w:rFonts w:hint="eastAsia" w:cs="宋体"/>
          <w:b w:val="0"/>
          <w:sz w:val="21"/>
          <w:szCs w:val="21"/>
          <w:highlight w:val="none"/>
        </w:rPr>
        <w:t>投标单位完成所有设备安装调试工作经自检合格通过预验收；预验收后不少于1个月的试运行，满足验收条件即可进行终验收。本项目调试安排及试用期间管理将纳入采购人的管理范围，投标单位在此过程中须服从采购人的时间和管理协调。</w:t>
      </w:r>
    </w:p>
    <w:p w14:paraId="5D33DC9E">
      <w:pPr>
        <w:pStyle w:val="22"/>
        <w:numPr>
          <w:ilvl w:val="0"/>
          <w:numId w:val="0"/>
        </w:numPr>
        <w:rPr>
          <w:rFonts w:cs="宋体"/>
          <w:b w:val="0"/>
          <w:sz w:val="21"/>
          <w:szCs w:val="21"/>
          <w:highlight w:val="none"/>
        </w:rPr>
      </w:pPr>
      <w:r>
        <w:rPr>
          <w:rFonts w:hint="eastAsia" w:cs="宋体"/>
          <w:b w:val="0"/>
          <w:sz w:val="21"/>
          <w:szCs w:val="21"/>
          <w:highlight w:val="none"/>
        </w:rPr>
        <w:t>2）投标单位须根据招标需求，对项目进行详细的施工设计，并经采购人确认。主要设备采购前，需将货物的技术资料和使用条件报采购人确认后，方可订货（或组织生产）和确定具体供货、施工；投标单位提供的设备必须是全新、成熟、稳定、可靠的，适合长时间连续工作的。</w:t>
      </w:r>
    </w:p>
    <w:p w14:paraId="7291AF98">
      <w:pPr>
        <w:pStyle w:val="22"/>
        <w:numPr>
          <w:ilvl w:val="0"/>
          <w:numId w:val="0"/>
        </w:numPr>
        <w:rPr>
          <w:rFonts w:cs="宋体"/>
          <w:b w:val="0"/>
          <w:sz w:val="21"/>
          <w:szCs w:val="21"/>
          <w:highlight w:val="none"/>
        </w:rPr>
      </w:pPr>
      <w:r>
        <w:rPr>
          <w:rFonts w:hint="eastAsia" w:cs="宋体"/>
          <w:b w:val="0"/>
          <w:sz w:val="21"/>
          <w:szCs w:val="21"/>
          <w:highlight w:val="none"/>
        </w:rPr>
        <w:t>3）投标单位应充分考虑现场实际情况，包括静电地板拆除切割修复、线管线缆铺设、机房工作界面协调、甲供设备的协调等情况，都应包含在整体报价中。</w:t>
      </w:r>
    </w:p>
    <w:p w14:paraId="67A808BB">
      <w:pPr>
        <w:adjustRightInd w:val="0"/>
        <w:jc w:val="left"/>
        <w:textAlignment w:val="baseline"/>
        <w:rPr>
          <w:rFonts w:cs="宋体"/>
          <w:sz w:val="21"/>
          <w:szCs w:val="21"/>
          <w:highlight w:val="none"/>
        </w:rPr>
      </w:pPr>
      <w:r>
        <w:rPr>
          <w:rFonts w:hint="eastAsia" w:cs="宋体"/>
          <w:bCs/>
          <w:color w:val="000000"/>
          <w:sz w:val="21"/>
          <w:szCs w:val="21"/>
          <w:highlight w:val="none"/>
        </w:rPr>
        <w:t>4）投标单位应密切配合项目工程监理方，并配合练西公路警务站弱电设备采购项目的整体施工进度做好所有设备的配送、安装及调试等相关工作。</w:t>
      </w:r>
      <w:r>
        <w:rPr>
          <w:rFonts w:hint="eastAsia" w:cs="宋体"/>
          <w:sz w:val="21"/>
          <w:szCs w:val="21"/>
          <w:highlight w:val="none"/>
        </w:rPr>
        <w:t>由于投标单位未及时完成供货或安装调试，造成</w:t>
      </w:r>
      <w:r>
        <w:rPr>
          <w:rFonts w:hint="eastAsia" w:cs="宋体"/>
          <w:bCs/>
          <w:color w:val="000000"/>
          <w:sz w:val="21"/>
          <w:szCs w:val="21"/>
          <w:highlight w:val="none"/>
        </w:rPr>
        <w:t>练西公路警务站弱电设备采购项目整体施工滞后，而引发的违约责任全部由投标单位承担。</w:t>
      </w:r>
      <w:r>
        <w:rPr>
          <w:rFonts w:hint="eastAsia" w:cs="宋体"/>
          <w:sz w:val="21"/>
          <w:szCs w:val="21"/>
          <w:highlight w:val="none"/>
        </w:rPr>
        <w:t>造成严重影响的，采购人可以单方面解除合同。</w:t>
      </w:r>
    </w:p>
    <w:p w14:paraId="15F0E940">
      <w:pPr>
        <w:adjustRightInd w:val="0"/>
        <w:jc w:val="left"/>
        <w:textAlignment w:val="baseline"/>
        <w:rPr>
          <w:rFonts w:cs="宋体"/>
          <w:sz w:val="21"/>
          <w:szCs w:val="21"/>
          <w:highlight w:val="none"/>
        </w:rPr>
      </w:pPr>
      <w:r>
        <w:rPr>
          <w:rFonts w:hint="eastAsia" w:cs="宋体"/>
          <w:sz w:val="21"/>
          <w:szCs w:val="21"/>
          <w:highlight w:val="none"/>
        </w:rPr>
        <w:t>5）投标单位应负责各系统及各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投标单位管理与安全措施不力造成事故的责任和因此发生的费用，由投标单位承担。</w:t>
      </w:r>
    </w:p>
    <w:p w14:paraId="0958881F">
      <w:pPr>
        <w:pStyle w:val="22"/>
        <w:numPr>
          <w:ilvl w:val="0"/>
          <w:numId w:val="0"/>
        </w:numPr>
        <w:ind w:left="980"/>
        <w:rPr>
          <w:rFonts w:cs="宋体"/>
          <w:b w:val="0"/>
          <w:sz w:val="21"/>
          <w:szCs w:val="21"/>
          <w:highlight w:val="none"/>
        </w:rPr>
      </w:pPr>
    </w:p>
    <w:p w14:paraId="580FB063">
      <w:pPr>
        <w:pStyle w:val="22"/>
        <w:numPr>
          <w:ilvl w:val="0"/>
          <w:numId w:val="13"/>
        </w:numPr>
        <w:outlineLvl w:val="1"/>
        <w:rPr>
          <w:rFonts w:cs="宋体"/>
          <w:b w:val="0"/>
          <w:kern w:val="2"/>
          <w:sz w:val="21"/>
          <w:szCs w:val="21"/>
          <w:highlight w:val="none"/>
        </w:rPr>
      </w:pPr>
      <w:r>
        <w:rPr>
          <w:rFonts w:hint="eastAsia" w:cs="宋体"/>
          <w:b w:val="0"/>
          <w:kern w:val="2"/>
          <w:sz w:val="21"/>
          <w:szCs w:val="21"/>
          <w:highlight w:val="none"/>
        </w:rPr>
        <w:t>项目</w:t>
      </w:r>
      <w:r>
        <w:rPr>
          <w:rFonts w:hint="eastAsia" w:cs="宋体"/>
          <w:b w:val="0"/>
          <w:kern w:val="2"/>
          <w:sz w:val="21"/>
          <w:szCs w:val="21"/>
          <w:highlight w:val="none"/>
          <w:lang w:val="en-US" w:eastAsia="zh-CN"/>
        </w:rPr>
        <w:t>组</w:t>
      </w:r>
      <w:r>
        <w:rPr>
          <w:rFonts w:hint="eastAsia" w:cs="宋体"/>
          <w:b w:val="0"/>
          <w:kern w:val="2"/>
          <w:sz w:val="21"/>
          <w:szCs w:val="21"/>
          <w:highlight w:val="none"/>
        </w:rPr>
        <w:t>人员要求</w:t>
      </w:r>
    </w:p>
    <w:p w14:paraId="6B161A48">
      <w:pPr>
        <w:ind w:firstLine="420" w:firstLineChars="200"/>
        <w:rPr>
          <w:rFonts w:cs="宋体"/>
          <w:sz w:val="21"/>
          <w:szCs w:val="21"/>
          <w:highlight w:val="none"/>
        </w:rPr>
      </w:pPr>
      <w:r>
        <w:rPr>
          <w:rFonts w:cs="宋体"/>
          <w:sz w:val="21"/>
          <w:szCs w:val="21"/>
          <w:highlight w:val="none"/>
        </w:rPr>
        <w:t>根据本项目特点和实际情况，为保障项目顺利实施以及后续的运维保障和具备快速修复的能力，要求项目的团队人员具有一定的相关技能能力，</w:t>
      </w:r>
      <w:r>
        <w:rPr>
          <w:rFonts w:hint="eastAsia" w:cs="宋体"/>
          <w:sz w:val="21"/>
          <w:szCs w:val="21"/>
          <w:highlight w:val="none"/>
        </w:rPr>
        <w:t>须提供2024年</w:t>
      </w:r>
      <w:r>
        <w:rPr>
          <w:rFonts w:hint="eastAsia" w:cs="宋体"/>
          <w:sz w:val="21"/>
          <w:szCs w:val="21"/>
          <w:highlight w:val="none"/>
          <w:lang w:val="en-US" w:eastAsia="zh-CN"/>
        </w:rPr>
        <w:t>11</w:t>
      </w:r>
      <w:r>
        <w:rPr>
          <w:rFonts w:hint="eastAsia" w:cs="宋体"/>
          <w:sz w:val="21"/>
          <w:szCs w:val="21"/>
          <w:highlight w:val="none"/>
        </w:rPr>
        <w:t>月1日至本项目开标日内任意连续三个月投标单位为项目成员缴纳社保证明</w:t>
      </w:r>
      <w:r>
        <w:rPr>
          <w:rFonts w:cs="宋体"/>
          <w:sz w:val="21"/>
          <w:szCs w:val="21"/>
          <w:highlight w:val="none"/>
        </w:rPr>
        <w:t>且需持证上岗。具体人员和岗位职责如下：</w:t>
      </w:r>
    </w:p>
    <w:p w14:paraId="5FFA2C0C">
      <w:pPr>
        <w:rPr>
          <w:rFonts w:cs="宋体"/>
          <w:color w:val="auto"/>
          <w:sz w:val="21"/>
          <w:szCs w:val="21"/>
          <w:highlight w:val="none"/>
        </w:rPr>
      </w:pPr>
      <w:r>
        <w:rPr>
          <w:rFonts w:hint="eastAsia" w:cs="宋体"/>
          <w:sz w:val="21"/>
          <w:szCs w:val="21"/>
          <w:highlight w:val="none"/>
        </w:rPr>
        <w:t>1）</w:t>
      </w:r>
      <w:r>
        <w:rPr>
          <w:rFonts w:hint="eastAsia" w:cs="宋体"/>
          <w:color w:val="auto"/>
          <w:sz w:val="21"/>
          <w:szCs w:val="21"/>
          <w:highlight w:val="none"/>
        </w:rPr>
        <w:t>项目经理1名，项目经理是项目的总负责人，全面负责项目的管理、实施、协调等方面的工作，须具有政府住房和城乡建设部门颁发的机电工程专业二级或以上建造师</w:t>
      </w:r>
      <w:r>
        <w:rPr>
          <w:rFonts w:hint="eastAsia" w:cs="宋体"/>
          <w:color w:val="auto"/>
          <w:sz w:val="21"/>
          <w:szCs w:val="21"/>
          <w:highlight w:val="none"/>
          <w:lang w:val="en-US" w:eastAsia="zh-CN"/>
        </w:rPr>
        <w:t>证书</w:t>
      </w:r>
      <w:r>
        <w:rPr>
          <w:rFonts w:hint="eastAsia" w:cs="宋体"/>
          <w:color w:val="auto"/>
          <w:sz w:val="21"/>
          <w:szCs w:val="21"/>
          <w:highlight w:val="none"/>
          <w:lang w:eastAsia="zh-CN"/>
        </w:rPr>
        <w:t>、</w:t>
      </w:r>
      <w:r>
        <w:rPr>
          <w:rFonts w:hint="eastAsia" w:cs="宋体"/>
          <w:color w:val="auto"/>
          <w:sz w:val="21"/>
          <w:szCs w:val="21"/>
          <w:highlight w:val="none"/>
        </w:rPr>
        <w:t>省级及以上人力资源和社会保障部门颁发的系统集成项目管理中级或以上</w:t>
      </w:r>
      <w:r>
        <w:rPr>
          <w:rFonts w:hint="eastAsia" w:cs="宋体"/>
          <w:color w:val="auto"/>
          <w:sz w:val="21"/>
          <w:szCs w:val="21"/>
          <w:highlight w:val="none"/>
          <w:lang w:val="en-US" w:eastAsia="zh-CN"/>
        </w:rPr>
        <w:t>资格</w:t>
      </w:r>
      <w:r>
        <w:rPr>
          <w:rFonts w:hint="eastAsia" w:cs="宋体"/>
          <w:color w:val="auto"/>
          <w:sz w:val="21"/>
          <w:szCs w:val="21"/>
          <w:highlight w:val="none"/>
        </w:rPr>
        <w:t>证书</w:t>
      </w:r>
      <w:r>
        <w:rPr>
          <w:rFonts w:hint="eastAsia" w:cs="宋体"/>
          <w:color w:val="auto"/>
          <w:sz w:val="21"/>
          <w:szCs w:val="21"/>
          <w:highlight w:val="none"/>
          <w:lang w:val="en-US" w:eastAsia="zh-CN"/>
        </w:rPr>
        <w:t>和建筑智能化专业中级及以上专业技术职称证书</w:t>
      </w:r>
      <w:r>
        <w:rPr>
          <w:rFonts w:hint="eastAsia" w:cs="宋体"/>
          <w:color w:val="auto"/>
          <w:sz w:val="21"/>
          <w:szCs w:val="21"/>
          <w:highlight w:val="none"/>
        </w:rPr>
        <w:t>。</w:t>
      </w:r>
    </w:p>
    <w:p w14:paraId="7A72CDE0">
      <w:pPr>
        <w:pStyle w:val="22"/>
        <w:numPr>
          <w:ilvl w:val="0"/>
          <w:numId w:val="0"/>
        </w:numPr>
        <w:rPr>
          <w:rFonts w:hint="eastAsia" w:cs="宋体"/>
          <w:b w:val="0"/>
          <w:color w:val="auto"/>
          <w:kern w:val="2"/>
          <w:sz w:val="21"/>
          <w:szCs w:val="21"/>
          <w:highlight w:val="none"/>
          <w:lang w:val="en-US" w:eastAsia="zh-CN"/>
        </w:rPr>
      </w:pPr>
      <w:r>
        <w:rPr>
          <w:rFonts w:hint="eastAsia" w:cs="宋体"/>
          <w:b w:val="0"/>
          <w:color w:val="auto"/>
          <w:kern w:val="2"/>
          <w:sz w:val="21"/>
          <w:szCs w:val="21"/>
          <w:highlight w:val="none"/>
        </w:rPr>
        <w:t>2）项目实施团队负责项目施工过程中的钢结构和电气作业等，</w:t>
      </w:r>
      <w:r>
        <w:rPr>
          <w:rFonts w:hint="eastAsia" w:cs="宋体"/>
          <w:b w:val="0"/>
          <w:color w:val="auto"/>
          <w:kern w:val="2"/>
          <w:sz w:val="21"/>
          <w:szCs w:val="21"/>
          <w:highlight w:val="none"/>
          <w:lang w:val="en-US" w:eastAsia="zh-CN"/>
        </w:rPr>
        <w:t>具体人员要求如下：</w:t>
      </w:r>
    </w:p>
    <w:p w14:paraId="4D4F67A5">
      <w:pPr>
        <w:pStyle w:val="22"/>
        <w:numPr>
          <w:ilvl w:val="0"/>
          <w:numId w:val="16"/>
        </w:numPr>
        <w:ind w:left="0" w:leftChars="0" w:firstLine="420" w:firstLineChars="200"/>
        <w:rPr>
          <w:rFonts w:cs="宋体"/>
          <w:b w:val="0"/>
          <w:kern w:val="2"/>
          <w:sz w:val="21"/>
          <w:szCs w:val="21"/>
          <w:highlight w:val="none"/>
        </w:rPr>
      </w:pPr>
      <w:r>
        <w:rPr>
          <w:rFonts w:hint="eastAsia" w:cs="宋体"/>
          <w:b w:val="0"/>
          <w:color w:val="auto"/>
          <w:kern w:val="2"/>
          <w:sz w:val="21"/>
          <w:szCs w:val="21"/>
          <w:highlight w:val="none"/>
          <w:lang w:val="en-US" w:eastAsia="zh-CN"/>
        </w:rPr>
        <w:t>本项目采购的LED屏及管理系统应接入内部网络，团队技术人员中具有由中国信息安全测评中心颁发的国家信息安全水平证书或国家工信部或政府人力资源和社会保障部门颁发的信息安全专业中级及以上职称证书的不少于 2 人；团队技术人员中具有工程系列电气自动化专业或计算机专业中级及以上职称证书的专业技术人员不少于1人；</w:t>
      </w:r>
    </w:p>
    <w:p w14:paraId="5A0EE534">
      <w:pPr>
        <w:pStyle w:val="22"/>
        <w:numPr>
          <w:ilvl w:val="0"/>
          <w:numId w:val="16"/>
        </w:numPr>
        <w:ind w:left="0" w:leftChars="0" w:firstLine="420" w:firstLineChars="200"/>
        <w:rPr>
          <w:rFonts w:hint="eastAsia" w:cs="宋体"/>
          <w:b w:val="0"/>
          <w:color w:val="auto"/>
          <w:kern w:val="2"/>
          <w:sz w:val="21"/>
          <w:szCs w:val="21"/>
          <w:highlight w:val="none"/>
          <w:lang w:val="en-US" w:eastAsia="zh-CN"/>
        </w:rPr>
      </w:pPr>
      <w:r>
        <w:rPr>
          <w:rFonts w:hint="eastAsia" w:cs="宋体"/>
          <w:b w:val="0"/>
          <w:color w:val="auto"/>
          <w:kern w:val="2"/>
          <w:sz w:val="21"/>
          <w:szCs w:val="21"/>
          <w:highlight w:val="none"/>
          <w:lang w:val="en-US" w:eastAsia="zh-CN"/>
        </w:rPr>
        <w:t>现场管理人员，如质量员、安全员、施工员等相关管理人员应配置齐全并持证上岗；特种作业人员应持有有效期的《中华人民共和国特种作业操作证》。</w:t>
      </w:r>
    </w:p>
    <w:p w14:paraId="2C2889CF">
      <w:pPr>
        <w:outlineLvl w:val="1"/>
        <w:rPr>
          <w:rFonts w:cs="宋体"/>
          <w:sz w:val="21"/>
          <w:szCs w:val="21"/>
          <w:highlight w:val="none"/>
        </w:rPr>
      </w:pPr>
      <w:r>
        <w:rPr>
          <w:rFonts w:hint="eastAsia" w:cs="宋体"/>
          <w:sz w:val="21"/>
          <w:szCs w:val="21"/>
          <w:highlight w:val="none"/>
        </w:rPr>
        <w:t>3）项目售后团队负责控制电脑、拼接处理器等硬件维护，LED大屏使用过程中的数据安全防护，阻挡系统入侵和安全策略规划，参与信息安全相关系统、设备、资源的权限管理，</w:t>
      </w:r>
      <w:r>
        <w:rPr>
          <w:rFonts w:hint="eastAsia" w:cs="宋体"/>
          <w:sz w:val="21"/>
          <w:szCs w:val="21"/>
          <w:highlight w:val="none"/>
          <w:lang w:val="en-US" w:eastAsia="zh-CN"/>
        </w:rPr>
        <w:t>应配备具有</w:t>
      </w:r>
      <w:r>
        <w:rPr>
          <w:rFonts w:hint="eastAsia" w:cs="宋体"/>
          <w:sz w:val="21"/>
          <w:szCs w:val="21"/>
          <w:highlight w:val="none"/>
        </w:rPr>
        <w:t>计算机维修工程师中级及以上职业技能等级证书的</w:t>
      </w:r>
      <w:r>
        <w:rPr>
          <w:rFonts w:hint="eastAsia" w:cs="宋体"/>
          <w:sz w:val="21"/>
          <w:szCs w:val="21"/>
          <w:highlight w:val="none"/>
          <w:lang w:val="en-US" w:eastAsia="zh-CN"/>
        </w:rPr>
        <w:t>专业维修人员不少于1名，具有IT服务工程师（ITSS）证书的服务人员不少于1人</w:t>
      </w:r>
      <w:r>
        <w:rPr>
          <w:rFonts w:hint="eastAsia" w:cs="宋体"/>
          <w:sz w:val="21"/>
          <w:szCs w:val="21"/>
          <w:highlight w:val="none"/>
        </w:rPr>
        <w:t>。</w:t>
      </w:r>
    </w:p>
    <w:p w14:paraId="49E790DE">
      <w:pPr>
        <w:pStyle w:val="22"/>
        <w:numPr>
          <w:ilvl w:val="0"/>
          <w:numId w:val="13"/>
        </w:numPr>
        <w:outlineLvl w:val="1"/>
        <w:rPr>
          <w:rFonts w:cs="宋体"/>
          <w:b w:val="0"/>
          <w:sz w:val="21"/>
          <w:szCs w:val="21"/>
          <w:highlight w:val="none"/>
        </w:rPr>
      </w:pPr>
      <w:r>
        <w:rPr>
          <w:rFonts w:hint="eastAsia" w:cs="宋体"/>
          <w:b w:val="0"/>
          <w:sz w:val="21"/>
          <w:szCs w:val="21"/>
          <w:highlight w:val="none"/>
        </w:rPr>
        <w:t>成品保护要求</w:t>
      </w:r>
    </w:p>
    <w:p w14:paraId="2B589930">
      <w:pPr>
        <w:pStyle w:val="22"/>
        <w:numPr>
          <w:ilvl w:val="0"/>
          <w:numId w:val="17"/>
        </w:numPr>
        <w:rPr>
          <w:rFonts w:cs="宋体"/>
          <w:b w:val="0"/>
          <w:sz w:val="21"/>
          <w:szCs w:val="21"/>
          <w:highlight w:val="none"/>
        </w:rPr>
      </w:pPr>
      <w:r>
        <w:rPr>
          <w:rFonts w:hint="eastAsia" w:cs="宋体"/>
          <w:b w:val="0"/>
          <w:sz w:val="21"/>
          <w:szCs w:val="21"/>
          <w:highlight w:val="none"/>
        </w:rPr>
        <w:t>投标单位在组织项目实施时必须按安装施工计划协调好现场施工（安装）工作，在项目验收合格移交前对到场货物承担保管责任。投标单位在项目实施期间必须保护好施工区域内的环境和原有建筑、装饰、设备以及第三方设备，并承担修复的一切费用。</w:t>
      </w:r>
    </w:p>
    <w:p w14:paraId="15E8DB62">
      <w:pPr>
        <w:pStyle w:val="22"/>
        <w:numPr>
          <w:ilvl w:val="0"/>
          <w:numId w:val="17"/>
        </w:numPr>
        <w:rPr>
          <w:rFonts w:cs="宋体"/>
          <w:b w:val="0"/>
          <w:sz w:val="21"/>
          <w:szCs w:val="21"/>
          <w:highlight w:val="none"/>
        </w:rPr>
      </w:pPr>
      <w:r>
        <w:rPr>
          <w:rFonts w:hint="eastAsia" w:cs="宋体"/>
          <w:b w:val="0"/>
          <w:sz w:val="21"/>
          <w:szCs w:val="21"/>
          <w:highlight w:val="none"/>
        </w:rPr>
        <w:t>施工组织设计内容应含有专业的成品保护方案，成品保护方案中需要含有材料、设备的进场、下车、转运、入库、安装、使用等条件下的成品保护措施。</w:t>
      </w:r>
    </w:p>
    <w:p w14:paraId="1E9C9748">
      <w:pPr>
        <w:pStyle w:val="22"/>
        <w:numPr>
          <w:ilvl w:val="0"/>
          <w:numId w:val="17"/>
        </w:numPr>
        <w:rPr>
          <w:rFonts w:cs="宋体"/>
          <w:b w:val="0"/>
          <w:sz w:val="21"/>
          <w:szCs w:val="21"/>
          <w:highlight w:val="none"/>
        </w:rPr>
      </w:pPr>
      <w:r>
        <w:rPr>
          <w:rFonts w:hint="eastAsia" w:cs="宋体"/>
          <w:b w:val="0"/>
          <w:sz w:val="21"/>
          <w:szCs w:val="21"/>
          <w:highlight w:val="none"/>
        </w:rPr>
        <w:t>保护范围：一切材料、设备、成品、半成品，以及在土建弱电内实施完毕的内容。</w:t>
      </w:r>
    </w:p>
    <w:p w14:paraId="207E8609">
      <w:pPr>
        <w:pStyle w:val="22"/>
        <w:numPr>
          <w:ilvl w:val="0"/>
          <w:numId w:val="17"/>
        </w:numPr>
        <w:rPr>
          <w:rFonts w:cs="宋体"/>
          <w:b w:val="0"/>
          <w:sz w:val="21"/>
          <w:szCs w:val="21"/>
          <w:highlight w:val="none"/>
        </w:rPr>
      </w:pPr>
      <w:r>
        <w:rPr>
          <w:rFonts w:hint="eastAsia" w:cs="宋体"/>
          <w:b w:val="0"/>
          <w:sz w:val="21"/>
          <w:szCs w:val="21"/>
          <w:highlight w:val="none"/>
        </w:rPr>
        <w:t>成品的修复：若中标单位在施工过程中对第三方单位或者甲方的设备材料、半成品或成品产生了损坏，由第三方单位或者甲方进行修复或更换,所产生的一切费用由中标单位承担。</w:t>
      </w:r>
    </w:p>
    <w:p w14:paraId="05393E97">
      <w:pPr>
        <w:pStyle w:val="22"/>
        <w:numPr>
          <w:ilvl w:val="0"/>
          <w:numId w:val="0"/>
        </w:numPr>
        <w:ind w:left="420"/>
        <w:rPr>
          <w:rFonts w:cs="宋体"/>
          <w:b w:val="0"/>
          <w:sz w:val="21"/>
          <w:szCs w:val="21"/>
          <w:highlight w:val="none"/>
        </w:rPr>
      </w:pPr>
    </w:p>
    <w:p w14:paraId="3A426BCF">
      <w:pPr>
        <w:pStyle w:val="22"/>
        <w:numPr>
          <w:ilvl w:val="0"/>
          <w:numId w:val="13"/>
        </w:numPr>
        <w:outlineLvl w:val="1"/>
        <w:rPr>
          <w:rFonts w:cs="宋体"/>
          <w:b w:val="0"/>
          <w:sz w:val="21"/>
          <w:szCs w:val="21"/>
          <w:highlight w:val="none"/>
        </w:rPr>
      </w:pPr>
      <w:r>
        <w:rPr>
          <w:rFonts w:hint="eastAsia" w:cs="宋体"/>
          <w:b w:val="0"/>
          <w:sz w:val="21"/>
          <w:szCs w:val="21"/>
          <w:highlight w:val="none"/>
        </w:rPr>
        <w:t>竣工验收要求</w:t>
      </w:r>
    </w:p>
    <w:p w14:paraId="172FE5CB">
      <w:pPr>
        <w:pStyle w:val="22"/>
        <w:numPr>
          <w:ilvl w:val="0"/>
          <w:numId w:val="18"/>
        </w:numPr>
        <w:rPr>
          <w:rFonts w:cs="宋体"/>
          <w:b w:val="0"/>
          <w:sz w:val="21"/>
          <w:szCs w:val="21"/>
          <w:highlight w:val="none"/>
        </w:rPr>
      </w:pPr>
      <w:r>
        <w:rPr>
          <w:rFonts w:hint="eastAsia" w:cs="宋体"/>
          <w:b w:val="0"/>
          <w:sz w:val="21"/>
          <w:szCs w:val="21"/>
          <w:highlight w:val="none"/>
        </w:rPr>
        <w:t>项目安装完毕交付招标人前，招标人将聘请第三方专家（或机构）对项目产品技术参数及其功能进行验收。如若验收不合格，投标单位需承担安装设备的拆除、更换、装修恢复等费用并承担合同规定的违约赔偿责任。</w:t>
      </w:r>
      <w:r>
        <w:rPr>
          <w:rFonts w:hint="eastAsia" w:cs="宋体"/>
          <w:b w:val="0"/>
          <w:sz w:val="21"/>
          <w:szCs w:val="21"/>
          <w:highlight w:val="none"/>
          <w:lang w:val="en-US" w:eastAsia="zh-CN"/>
        </w:rPr>
        <w:t>★</w:t>
      </w:r>
      <w:r>
        <w:rPr>
          <w:rFonts w:hint="eastAsia" w:cs="宋体"/>
          <w:b w:val="0"/>
          <w:sz w:val="21"/>
          <w:szCs w:val="21"/>
          <w:highlight w:val="none"/>
        </w:rPr>
        <w:t>投标单位须在投标文件中提供承诺书：承诺提供的设备满足招标文件的各项技术参数及功能要求，如若验收不合格，投标单位需承担安装设备的拆除、更换、装修恢复等费用并承担合同规定的违约赔偿责任。</w:t>
      </w:r>
    </w:p>
    <w:p w14:paraId="3C04A107">
      <w:pPr>
        <w:pStyle w:val="22"/>
        <w:numPr>
          <w:ilvl w:val="0"/>
          <w:numId w:val="18"/>
        </w:numPr>
        <w:rPr>
          <w:rFonts w:cs="宋体"/>
          <w:b w:val="0"/>
          <w:sz w:val="21"/>
          <w:szCs w:val="21"/>
          <w:highlight w:val="none"/>
        </w:rPr>
      </w:pPr>
      <w:r>
        <w:rPr>
          <w:rFonts w:hint="eastAsia" w:cs="宋体"/>
          <w:b w:val="0"/>
          <w:sz w:val="21"/>
          <w:szCs w:val="21"/>
          <w:highlight w:val="none"/>
        </w:rPr>
        <w:t>项目由采购人验收，若双方对产品质量发生争议，由相关部门的质量监督检验机构进行检验。</w:t>
      </w:r>
    </w:p>
    <w:p w14:paraId="4F1ADB66">
      <w:pPr>
        <w:pStyle w:val="22"/>
        <w:numPr>
          <w:ilvl w:val="0"/>
          <w:numId w:val="18"/>
        </w:numPr>
        <w:rPr>
          <w:rFonts w:cs="宋体"/>
          <w:b w:val="0"/>
          <w:sz w:val="21"/>
          <w:szCs w:val="21"/>
          <w:highlight w:val="none"/>
        </w:rPr>
      </w:pPr>
      <w:r>
        <w:rPr>
          <w:rFonts w:hint="eastAsia" w:cs="宋体"/>
          <w:b w:val="0"/>
          <w:sz w:val="21"/>
          <w:szCs w:val="21"/>
          <w:highlight w:val="none"/>
        </w:rPr>
        <w:t>如验收未获通过，采购人有权要求更换或退货并按照合同约定的违约处理。</w:t>
      </w:r>
    </w:p>
    <w:p w14:paraId="4FB04D48">
      <w:pPr>
        <w:pStyle w:val="22"/>
        <w:numPr>
          <w:ilvl w:val="0"/>
          <w:numId w:val="18"/>
        </w:numPr>
        <w:rPr>
          <w:rFonts w:cs="宋体"/>
          <w:b w:val="0"/>
          <w:sz w:val="21"/>
          <w:szCs w:val="21"/>
          <w:highlight w:val="none"/>
        </w:rPr>
      </w:pPr>
      <w:r>
        <w:rPr>
          <w:rFonts w:hint="eastAsia" w:cs="宋体"/>
          <w:b w:val="0"/>
          <w:sz w:val="21"/>
          <w:szCs w:val="21"/>
          <w:highlight w:val="none"/>
        </w:rPr>
        <w:t>项目竣工后，投标单位应制定相应的培训计划，对采购人进行免费培训，免费培训采购人操作人员，培训内容、培训场所、操作人员数量由采购人安排。投标单位应提供现场技术培训，就设备的安装、调试、使用和维护，培训采购人方技术人员，直到采购人方工作人员全部掌握运行操作、保养技术，并能达到正确维护、排除一般故障为止，培训费用由投标单位承担。</w:t>
      </w:r>
      <w:r>
        <w:rPr>
          <w:rFonts w:hint="eastAsia" w:cs="宋体"/>
          <w:b w:val="0"/>
          <w:sz w:val="21"/>
          <w:szCs w:val="21"/>
          <w:highlight w:val="none"/>
          <w:lang w:val="en-US" w:eastAsia="zh-CN"/>
        </w:rPr>
        <w:t>中标</w:t>
      </w:r>
      <w:r>
        <w:rPr>
          <w:rFonts w:hint="eastAsia" w:cs="宋体"/>
          <w:b w:val="0"/>
          <w:sz w:val="21"/>
          <w:szCs w:val="21"/>
          <w:highlight w:val="none"/>
        </w:rPr>
        <w:t>单位在免费保修期内每季度对本项系统开展不少于一次的定期巡检。</w:t>
      </w:r>
    </w:p>
    <w:p w14:paraId="280CE7DB">
      <w:pPr>
        <w:pStyle w:val="22"/>
        <w:numPr>
          <w:ilvl w:val="0"/>
          <w:numId w:val="18"/>
        </w:numPr>
        <w:rPr>
          <w:rFonts w:cs="宋体"/>
          <w:b w:val="0"/>
          <w:sz w:val="21"/>
          <w:szCs w:val="21"/>
          <w:highlight w:val="none"/>
        </w:rPr>
      </w:pPr>
      <w:r>
        <w:rPr>
          <w:rFonts w:hint="eastAsia" w:cs="宋体"/>
          <w:b w:val="0"/>
          <w:sz w:val="21"/>
          <w:szCs w:val="21"/>
          <w:highlight w:val="none"/>
        </w:rPr>
        <w:t>项目竣工后，投标单位应向采购人提供完整的技术资料，包括设备随机资料、应用软件源程序及介质、采购人手册、管理员手册、安装指南、竣工图纸、使用说明等采购人纸质和电子文档资料。</w:t>
      </w:r>
    </w:p>
    <w:p w14:paraId="60F5A936">
      <w:pPr>
        <w:pStyle w:val="22"/>
        <w:numPr>
          <w:ilvl w:val="0"/>
          <w:numId w:val="0"/>
        </w:numPr>
        <w:ind w:left="420"/>
        <w:rPr>
          <w:rFonts w:cs="宋体"/>
          <w:b w:val="0"/>
          <w:sz w:val="21"/>
          <w:szCs w:val="21"/>
          <w:highlight w:val="none"/>
        </w:rPr>
      </w:pPr>
    </w:p>
    <w:p w14:paraId="621AA0F8">
      <w:pPr>
        <w:pStyle w:val="22"/>
        <w:numPr>
          <w:ilvl w:val="0"/>
          <w:numId w:val="13"/>
        </w:numPr>
        <w:outlineLvl w:val="1"/>
        <w:rPr>
          <w:rFonts w:cs="宋体"/>
          <w:b w:val="0"/>
          <w:sz w:val="21"/>
          <w:szCs w:val="21"/>
          <w:highlight w:val="none"/>
        </w:rPr>
      </w:pPr>
      <w:r>
        <w:rPr>
          <w:rFonts w:hint="eastAsia" w:cs="宋体"/>
          <w:b w:val="0"/>
          <w:sz w:val="21"/>
          <w:szCs w:val="21"/>
          <w:highlight w:val="none"/>
        </w:rPr>
        <w:t>项目的保密和知识产权要求</w:t>
      </w:r>
    </w:p>
    <w:p w14:paraId="1CDFDFD2">
      <w:pPr>
        <w:pStyle w:val="22"/>
        <w:numPr>
          <w:ilvl w:val="0"/>
          <w:numId w:val="19"/>
        </w:numPr>
        <w:rPr>
          <w:rFonts w:cs="宋体"/>
          <w:b w:val="0"/>
          <w:sz w:val="21"/>
          <w:szCs w:val="21"/>
          <w:highlight w:val="none"/>
        </w:rPr>
      </w:pPr>
      <w:r>
        <w:rPr>
          <w:rFonts w:hint="eastAsia" w:cs="宋体"/>
          <w:b w:val="0"/>
          <w:sz w:val="21"/>
          <w:szCs w:val="21"/>
          <w:highlight w:val="none"/>
        </w:rPr>
        <w:t>投标单位保证对其提供的服务及出售的货物享有合法的权利，应保证在其出售的标的物上不存在任何未曾向采购人透露的担保物权，如抵押权、质押权、留置权等。</w:t>
      </w:r>
    </w:p>
    <w:p w14:paraId="0311156E">
      <w:pPr>
        <w:pStyle w:val="22"/>
        <w:numPr>
          <w:ilvl w:val="0"/>
          <w:numId w:val="19"/>
        </w:numPr>
        <w:rPr>
          <w:rFonts w:cs="宋体"/>
          <w:b w:val="0"/>
          <w:sz w:val="21"/>
          <w:szCs w:val="21"/>
          <w:highlight w:val="none"/>
        </w:rPr>
      </w:pPr>
      <w:r>
        <w:rPr>
          <w:rFonts w:hint="eastAsia" w:cs="宋体"/>
          <w:b w:val="0"/>
          <w:sz w:val="21"/>
          <w:szCs w:val="21"/>
          <w:highlight w:val="none"/>
        </w:rPr>
        <w:t>采购人委托开发软件的知识产权归采购人所有。投标单位向采购人交付使用的信息系统已享有知识产权的，采购人可在合同文件明确的范围内自主使用。</w:t>
      </w:r>
    </w:p>
    <w:p w14:paraId="262F4611">
      <w:pPr>
        <w:pStyle w:val="22"/>
        <w:numPr>
          <w:ilvl w:val="0"/>
          <w:numId w:val="19"/>
        </w:numPr>
        <w:rPr>
          <w:rFonts w:cs="宋体"/>
          <w:b w:val="0"/>
          <w:sz w:val="21"/>
          <w:szCs w:val="21"/>
          <w:highlight w:val="none"/>
        </w:rPr>
      </w:pPr>
      <w:r>
        <w:rPr>
          <w:rFonts w:hint="eastAsia" w:cs="宋体"/>
          <w:b w:val="0"/>
          <w:sz w:val="21"/>
          <w:szCs w:val="21"/>
          <w:highlight w:val="none"/>
        </w:rPr>
        <w:t>在本合同项下的任何权利和义务不因投标单位发生收购、兼并、重组、分立而发生变化。如果发生上述情形，则投标单位的权利随之转移至收购、兼并、重组后的企业继续履行合同，分立后成立的企业共同对采购人承担连带责任。</w:t>
      </w:r>
    </w:p>
    <w:p w14:paraId="3FA67D3B">
      <w:pPr>
        <w:pStyle w:val="22"/>
        <w:numPr>
          <w:ilvl w:val="0"/>
          <w:numId w:val="19"/>
        </w:numPr>
        <w:rPr>
          <w:rFonts w:cs="宋体"/>
          <w:b w:val="0"/>
          <w:sz w:val="21"/>
          <w:szCs w:val="21"/>
          <w:highlight w:val="none"/>
        </w:rPr>
      </w:pPr>
      <w:r>
        <w:rPr>
          <w:rFonts w:hint="eastAsia" w:cs="宋体"/>
          <w:b w:val="0"/>
          <w:sz w:val="21"/>
          <w:szCs w:val="21"/>
          <w:highlight w:val="none"/>
        </w:rPr>
        <w:t>投标单位应遵守合同文件约定内容的保密要求。如果采购人提供的内容属于保密的，应签订保密协议，且双方均有保密义务。</w:t>
      </w:r>
    </w:p>
    <w:p w14:paraId="1BA5DF20">
      <w:pPr>
        <w:pStyle w:val="22"/>
        <w:numPr>
          <w:ilvl w:val="0"/>
          <w:numId w:val="19"/>
        </w:numPr>
        <w:rPr>
          <w:rFonts w:cs="宋体"/>
          <w:b w:val="0"/>
          <w:sz w:val="21"/>
          <w:szCs w:val="21"/>
          <w:highlight w:val="none"/>
        </w:rPr>
      </w:pPr>
      <w:r>
        <w:rPr>
          <w:rFonts w:hint="eastAsia" w:cs="宋体"/>
          <w:b w:val="0"/>
          <w:sz w:val="21"/>
          <w:szCs w:val="21"/>
          <w:highlight w:val="none"/>
        </w:rPr>
        <w:t>采购人具有本项目内全部定制开发软件(如有)源代码的修改权和永久使用权，采购人对本项目内全部定制开发软件(如有)软件拥有产权。投标单位在售后维护期内(包括续签的售后服务期)应提供项目内全部定制开发软件(如有)的后续升级及因定制开发软件升级导致的应用软件升级服务，</w:t>
      </w:r>
      <w:r>
        <w:rPr>
          <w:rFonts w:hint="eastAsia" w:cs="宋体"/>
          <w:b w:val="0"/>
          <w:sz w:val="21"/>
          <w:szCs w:val="21"/>
          <w:highlight w:val="none"/>
          <w:lang w:val="en-US" w:eastAsia="zh-CN"/>
        </w:rPr>
        <w:t>★</w:t>
      </w:r>
      <w:r>
        <w:rPr>
          <w:rFonts w:hint="eastAsia" w:cs="宋体"/>
          <w:b w:val="0"/>
          <w:sz w:val="21"/>
          <w:szCs w:val="21"/>
          <w:highlight w:val="none"/>
        </w:rPr>
        <w:t>投标单位须提供保修期内成品软件的免费升级服务承诺书并加盖原厂公章和投标单位公章。如采购人使用该标的物构成上述侵权的，则投标单位承担全部责任。</w:t>
      </w:r>
    </w:p>
    <w:p w14:paraId="7C033AEF">
      <w:pPr>
        <w:pStyle w:val="22"/>
        <w:numPr>
          <w:ilvl w:val="0"/>
          <w:numId w:val="0"/>
        </w:numPr>
        <w:ind w:left="420"/>
        <w:rPr>
          <w:rFonts w:cs="宋体"/>
          <w:b w:val="0"/>
          <w:sz w:val="21"/>
          <w:szCs w:val="21"/>
          <w:highlight w:val="none"/>
        </w:rPr>
      </w:pPr>
    </w:p>
    <w:p w14:paraId="399F9290">
      <w:pPr>
        <w:pStyle w:val="22"/>
        <w:numPr>
          <w:ilvl w:val="0"/>
          <w:numId w:val="13"/>
        </w:numPr>
        <w:outlineLvl w:val="1"/>
        <w:rPr>
          <w:rFonts w:cs="宋体"/>
          <w:b w:val="0"/>
          <w:sz w:val="21"/>
          <w:szCs w:val="21"/>
          <w:highlight w:val="none"/>
        </w:rPr>
      </w:pPr>
      <w:r>
        <w:rPr>
          <w:rFonts w:hint="eastAsia" w:cs="宋体"/>
          <w:b w:val="0"/>
          <w:sz w:val="21"/>
          <w:szCs w:val="21"/>
          <w:highlight w:val="none"/>
        </w:rPr>
        <w:t>付款方式</w:t>
      </w:r>
    </w:p>
    <w:p w14:paraId="636F521E">
      <w:pPr>
        <w:pStyle w:val="3"/>
        <w:ind w:firstLineChars="200"/>
        <w:rPr>
          <w:rFonts w:cs="宋体"/>
          <w:bCs/>
          <w:sz w:val="21"/>
          <w:szCs w:val="21"/>
          <w:highlight w:val="none"/>
        </w:rPr>
      </w:pPr>
      <w:r>
        <w:rPr>
          <w:rFonts w:hint="eastAsia" w:cs="宋体"/>
          <w:bCs/>
          <w:sz w:val="21"/>
          <w:szCs w:val="21"/>
          <w:highlight w:val="none"/>
        </w:rPr>
        <w:t>合同签订后，采购人支付中标方不超出合同价的30%作为预付款；项目整体完成、通过最终验收，并收到中标方开具的正规有效增值税普通发票后，采购人一次性支付项目余款。（每次实际支付金额以财政年度安排资金为准）。</w:t>
      </w:r>
    </w:p>
    <w:p w14:paraId="38960848">
      <w:pPr>
        <w:pStyle w:val="22"/>
        <w:numPr>
          <w:ilvl w:val="0"/>
          <w:numId w:val="0"/>
        </w:numPr>
        <w:rPr>
          <w:rFonts w:cs="宋体"/>
          <w:b w:val="0"/>
          <w:sz w:val="21"/>
          <w:szCs w:val="21"/>
          <w:highlight w:val="none"/>
        </w:rPr>
      </w:pPr>
    </w:p>
    <w:p w14:paraId="6CEF2E4B">
      <w:pPr>
        <w:pStyle w:val="22"/>
        <w:numPr>
          <w:ilvl w:val="0"/>
          <w:numId w:val="13"/>
        </w:numPr>
        <w:outlineLvl w:val="1"/>
        <w:rPr>
          <w:rFonts w:cs="宋体"/>
          <w:b w:val="0"/>
          <w:sz w:val="21"/>
          <w:szCs w:val="21"/>
          <w:highlight w:val="none"/>
        </w:rPr>
      </w:pPr>
      <w:r>
        <w:rPr>
          <w:rFonts w:hint="eastAsia" w:cs="宋体"/>
          <w:b w:val="0"/>
          <w:sz w:val="21"/>
          <w:szCs w:val="21"/>
          <w:highlight w:val="none"/>
        </w:rPr>
        <w:t>售后服务要求</w:t>
      </w:r>
    </w:p>
    <w:p w14:paraId="23B2D573">
      <w:pPr>
        <w:pStyle w:val="22"/>
        <w:numPr>
          <w:ilvl w:val="0"/>
          <w:numId w:val="20"/>
        </w:numPr>
        <w:outlineLvl w:val="2"/>
        <w:rPr>
          <w:rFonts w:cs="宋体"/>
          <w:b w:val="0"/>
          <w:sz w:val="21"/>
          <w:szCs w:val="21"/>
          <w:highlight w:val="none"/>
        </w:rPr>
      </w:pPr>
      <w:r>
        <w:rPr>
          <w:rFonts w:hint="eastAsia" w:cs="宋体"/>
          <w:b w:val="0"/>
          <w:sz w:val="21"/>
          <w:szCs w:val="21"/>
          <w:highlight w:val="none"/>
        </w:rPr>
        <w:t>项目验收合格后进入系统保修阶段，系统保修期为三年，所有软硬件需提供原厂三年质保保修。</w:t>
      </w:r>
    </w:p>
    <w:p w14:paraId="1DC1ABAB">
      <w:pPr>
        <w:pStyle w:val="22"/>
        <w:numPr>
          <w:ilvl w:val="0"/>
          <w:numId w:val="20"/>
        </w:numPr>
        <w:outlineLvl w:val="2"/>
        <w:rPr>
          <w:rFonts w:cs="宋体"/>
          <w:b w:val="0"/>
          <w:sz w:val="21"/>
          <w:szCs w:val="21"/>
          <w:highlight w:val="none"/>
        </w:rPr>
      </w:pPr>
      <w:r>
        <w:rPr>
          <w:rFonts w:hint="eastAsia" w:cs="宋体"/>
          <w:b w:val="0"/>
          <w:sz w:val="21"/>
          <w:szCs w:val="21"/>
          <w:highlight w:val="none"/>
        </w:rPr>
        <w:t>质保期内要求提供相应的服务，服务内容包括：</w:t>
      </w:r>
    </w:p>
    <w:p w14:paraId="51CD76CA">
      <w:pPr>
        <w:pStyle w:val="22"/>
        <w:numPr>
          <w:ilvl w:val="0"/>
          <w:numId w:val="21"/>
        </w:numPr>
        <w:rPr>
          <w:rFonts w:cs="宋体"/>
          <w:b w:val="0"/>
          <w:sz w:val="21"/>
          <w:szCs w:val="21"/>
          <w:highlight w:val="none"/>
        </w:rPr>
      </w:pPr>
      <w:r>
        <w:rPr>
          <w:rFonts w:hint="eastAsia" w:cs="宋体"/>
          <w:b w:val="0"/>
          <w:sz w:val="21"/>
          <w:szCs w:val="21"/>
          <w:highlight w:val="none"/>
        </w:rPr>
        <w:t>应具有专业的售后服务力量，有固定维修站点，配有专职售后服务维修工程师和技术人员，24小时开通售后服务热线。</w:t>
      </w:r>
    </w:p>
    <w:p w14:paraId="716378ED">
      <w:pPr>
        <w:pStyle w:val="22"/>
        <w:numPr>
          <w:ilvl w:val="0"/>
          <w:numId w:val="21"/>
        </w:numPr>
        <w:rPr>
          <w:rFonts w:cs="宋体"/>
          <w:b w:val="0"/>
          <w:sz w:val="21"/>
          <w:szCs w:val="21"/>
          <w:highlight w:val="none"/>
        </w:rPr>
      </w:pPr>
      <w:r>
        <w:rPr>
          <w:rFonts w:hint="eastAsia" w:cs="宋体"/>
          <w:b w:val="0"/>
          <w:sz w:val="21"/>
          <w:szCs w:val="21"/>
          <w:highlight w:val="none"/>
        </w:rPr>
        <w:t>在</w:t>
      </w:r>
      <w:r>
        <w:rPr>
          <w:rFonts w:hint="eastAsia" w:cs="宋体"/>
          <w:b w:val="0"/>
          <w:sz w:val="21"/>
          <w:szCs w:val="21"/>
          <w:highlight w:val="none"/>
          <w:lang w:val="en-US" w:eastAsia="zh-CN"/>
        </w:rPr>
        <w:t>免费</w:t>
      </w:r>
      <w:r>
        <w:rPr>
          <w:rFonts w:hint="eastAsia" w:cs="宋体"/>
          <w:b w:val="0"/>
          <w:sz w:val="21"/>
          <w:szCs w:val="21"/>
          <w:highlight w:val="none"/>
        </w:rPr>
        <w:t>质保期间，设备及集成系统中出现非人为引起的质量问题出现故障或不合格部分，投标单位将负责免费检测、维修（更换配件、更换产品）及系统调试，直至正常运行。</w:t>
      </w:r>
    </w:p>
    <w:p w14:paraId="38C74955">
      <w:pPr>
        <w:pStyle w:val="22"/>
        <w:numPr>
          <w:ilvl w:val="0"/>
          <w:numId w:val="21"/>
        </w:numPr>
        <w:rPr>
          <w:rFonts w:cs="宋体"/>
          <w:b w:val="0"/>
          <w:sz w:val="21"/>
          <w:szCs w:val="21"/>
          <w:highlight w:val="none"/>
        </w:rPr>
      </w:pPr>
      <w:r>
        <w:rPr>
          <w:rFonts w:hint="eastAsia" w:cs="宋体"/>
          <w:b w:val="0"/>
          <w:sz w:val="21"/>
          <w:szCs w:val="21"/>
          <w:highlight w:val="none"/>
        </w:rPr>
        <w:t>免费质保期内提供全面售后服务，免费提供备品备件。设备报修后，半小时内响应，1小时内到达现场应急维修，1小时内</w:t>
      </w:r>
      <w:r>
        <w:rPr>
          <w:rFonts w:hint="eastAsia" w:cs="宋体"/>
          <w:b w:val="0"/>
          <w:sz w:val="21"/>
          <w:szCs w:val="21"/>
          <w:highlight w:val="none"/>
          <w:lang w:val="en-US" w:eastAsia="zh-CN"/>
        </w:rPr>
        <w:t>完成故障修复，如须更换备品备件的，更换备品备件的</w:t>
      </w:r>
      <w:r>
        <w:rPr>
          <w:rFonts w:hint="eastAsia" w:cs="宋体"/>
          <w:b w:val="0"/>
          <w:sz w:val="21"/>
          <w:szCs w:val="21"/>
          <w:highlight w:val="none"/>
        </w:rPr>
        <w:t>故障</w:t>
      </w:r>
      <w:r>
        <w:rPr>
          <w:rFonts w:hint="eastAsia" w:cs="宋体"/>
          <w:b w:val="0"/>
          <w:sz w:val="21"/>
          <w:szCs w:val="21"/>
          <w:highlight w:val="none"/>
          <w:lang w:val="en-US" w:eastAsia="zh-CN"/>
        </w:rPr>
        <w:t>修复</w:t>
      </w:r>
      <w:r>
        <w:rPr>
          <w:rFonts w:hint="eastAsia" w:cs="宋体"/>
          <w:b w:val="0"/>
          <w:sz w:val="21"/>
          <w:szCs w:val="21"/>
          <w:highlight w:val="none"/>
        </w:rPr>
        <w:t>时间不超过</w:t>
      </w:r>
      <w:r>
        <w:rPr>
          <w:rFonts w:hint="eastAsia" w:cs="宋体"/>
          <w:b w:val="0"/>
          <w:sz w:val="21"/>
          <w:szCs w:val="21"/>
          <w:highlight w:val="none"/>
          <w:lang w:val="en-US" w:eastAsia="zh-CN"/>
        </w:rPr>
        <w:t>2</w:t>
      </w:r>
      <w:r>
        <w:rPr>
          <w:rFonts w:hint="eastAsia" w:cs="宋体"/>
          <w:b w:val="0"/>
          <w:sz w:val="21"/>
          <w:szCs w:val="21"/>
          <w:highlight w:val="none"/>
        </w:rPr>
        <w:t>小时</w:t>
      </w:r>
      <w:r>
        <w:rPr>
          <w:rFonts w:hint="eastAsia" w:cs="宋体"/>
          <w:b w:val="0"/>
          <w:sz w:val="21"/>
          <w:szCs w:val="21"/>
          <w:highlight w:val="none"/>
          <w:lang w:eastAsia="zh-CN"/>
        </w:rPr>
        <w:t>，</w:t>
      </w:r>
      <w:r>
        <w:rPr>
          <w:rFonts w:hint="eastAsia" w:ascii="仿宋" w:hAnsi="仿宋" w:eastAsia="仿宋" w:cs="仿宋"/>
          <w:b w:val="0"/>
          <w:sz w:val="21"/>
          <w:szCs w:val="21"/>
          <w:highlight w:val="none"/>
          <w:lang w:val="en-US" w:eastAsia="zh-CN"/>
        </w:rPr>
        <w:t>★</w:t>
      </w:r>
      <w:r>
        <w:rPr>
          <w:rFonts w:hint="eastAsia" w:cs="宋体"/>
          <w:b w:val="0"/>
          <w:sz w:val="21"/>
          <w:szCs w:val="21"/>
          <w:highlight w:val="none"/>
          <w:lang w:val="en-US" w:eastAsia="zh-CN"/>
        </w:rPr>
        <w:t>投标单位须出具承诺书并加盖投标单位公章</w:t>
      </w:r>
      <w:r>
        <w:rPr>
          <w:rFonts w:hint="eastAsia" w:cs="宋体"/>
          <w:b w:val="0"/>
          <w:bCs/>
          <w:sz w:val="21"/>
          <w:szCs w:val="21"/>
          <w:highlight w:val="none"/>
        </w:rPr>
        <w:t>。</w:t>
      </w:r>
    </w:p>
    <w:p w14:paraId="6D9131DC">
      <w:pPr>
        <w:pStyle w:val="22"/>
        <w:numPr>
          <w:ilvl w:val="0"/>
          <w:numId w:val="21"/>
        </w:numPr>
        <w:rPr>
          <w:rFonts w:cs="宋体"/>
          <w:b w:val="0"/>
          <w:sz w:val="21"/>
          <w:szCs w:val="21"/>
          <w:highlight w:val="none"/>
        </w:rPr>
      </w:pPr>
      <w:r>
        <w:rPr>
          <w:rFonts w:hint="eastAsia" w:cs="宋体"/>
          <w:b w:val="0"/>
          <w:sz w:val="21"/>
          <w:szCs w:val="21"/>
          <w:highlight w:val="none"/>
        </w:rPr>
        <w:t>投标单位对系统进行定期的检修、保养工作，并与采购人进行沟通，现场巡检不少于每</w:t>
      </w:r>
      <w:r>
        <w:rPr>
          <w:rFonts w:hint="eastAsia" w:cs="宋体"/>
          <w:b w:val="0"/>
          <w:sz w:val="21"/>
          <w:szCs w:val="21"/>
          <w:highlight w:val="none"/>
          <w:lang w:val="en-US" w:eastAsia="zh-CN"/>
        </w:rPr>
        <w:t>季度</w:t>
      </w:r>
      <w:r>
        <w:rPr>
          <w:rFonts w:hint="eastAsia" w:cs="宋体"/>
          <w:b w:val="0"/>
          <w:sz w:val="21"/>
          <w:szCs w:val="21"/>
          <w:highlight w:val="none"/>
        </w:rPr>
        <w:t>1次，并提供详细检查报告，预防故障发生，保证系统的正常运行。如有重大活动，中标供应商提前对重点设备进行检修，排除故障隐患，并在活动期间免费提供技术保障。确保系统正常运行，协助完成活动任务。</w:t>
      </w:r>
    </w:p>
    <w:p w14:paraId="1AAC74A5">
      <w:pPr>
        <w:pStyle w:val="22"/>
        <w:numPr>
          <w:ilvl w:val="0"/>
          <w:numId w:val="21"/>
        </w:numPr>
        <w:rPr>
          <w:rFonts w:cs="宋体"/>
          <w:b w:val="0"/>
          <w:sz w:val="21"/>
          <w:szCs w:val="21"/>
          <w:highlight w:val="none"/>
        </w:rPr>
      </w:pPr>
      <w:r>
        <w:rPr>
          <w:rFonts w:hint="eastAsia" w:cs="宋体"/>
          <w:b w:val="0"/>
          <w:sz w:val="21"/>
          <w:szCs w:val="21"/>
          <w:highlight w:val="none"/>
        </w:rPr>
        <w:t>所有巡检记录和维修记录交采购人，并详细说明问题所在、解决办法及注意事项。</w:t>
      </w:r>
    </w:p>
    <w:p w14:paraId="3D857D8D">
      <w:pPr>
        <w:pStyle w:val="22"/>
        <w:numPr>
          <w:ilvl w:val="0"/>
          <w:numId w:val="21"/>
        </w:numPr>
        <w:rPr>
          <w:rFonts w:cs="宋体"/>
          <w:b w:val="0"/>
          <w:sz w:val="21"/>
          <w:szCs w:val="21"/>
          <w:highlight w:val="none"/>
        </w:rPr>
      </w:pPr>
      <w:r>
        <w:rPr>
          <w:rFonts w:hint="eastAsia" w:cs="宋体"/>
          <w:b w:val="0"/>
          <w:sz w:val="21"/>
          <w:szCs w:val="21"/>
          <w:highlight w:val="none"/>
        </w:rPr>
        <w:t>设备质保期满后的设备维修费用收取成本价。</w:t>
      </w:r>
    </w:p>
    <w:p w14:paraId="4A663A8E">
      <w:pPr>
        <w:pStyle w:val="22"/>
        <w:numPr>
          <w:ilvl w:val="0"/>
          <w:numId w:val="20"/>
        </w:numPr>
        <w:outlineLvl w:val="2"/>
        <w:rPr>
          <w:rFonts w:cs="宋体"/>
          <w:b w:val="0"/>
          <w:sz w:val="21"/>
          <w:szCs w:val="21"/>
          <w:highlight w:val="none"/>
        </w:rPr>
      </w:pPr>
      <w:r>
        <w:rPr>
          <w:rFonts w:hint="eastAsia" w:cs="宋体"/>
          <w:b w:val="0"/>
          <w:sz w:val="21"/>
          <w:szCs w:val="21"/>
          <w:highlight w:val="none"/>
        </w:rPr>
        <w:t>培训服务：对采购人实施专业化，有针对性地培训，必须采用多样化，多形式的培训方法，以达到最佳培训效果，使受训人员能够在最短的时间内熟悉掌握培训内容，尽快投入实际应用。培训完成后，参与培训人员应具备独立完成日常操作、故障排查及设备维护等能力。</w:t>
      </w:r>
    </w:p>
    <w:p w14:paraId="6A0AAEB0">
      <w:pPr>
        <w:pStyle w:val="22"/>
        <w:numPr>
          <w:ilvl w:val="0"/>
          <w:numId w:val="0"/>
        </w:numPr>
        <w:ind w:left="420"/>
        <w:rPr>
          <w:rFonts w:cs="宋体"/>
          <w:b w:val="0"/>
          <w:sz w:val="21"/>
          <w:szCs w:val="21"/>
          <w:highlight w:val="none"/>
        </w:rPr>
      </w:pPr>
    </w:p>
    <w:p w14:paraId="35A02368">
      <w:pPr>
        <w:pStyle w:val="22"/>
        <w:numPr>
          <w:ilvl w:val="0"/>
          <w:numId w:val="13"/>
        </w:numPr>
        <w:outlineLvl w:val="1"/>
        <w:rPr>
          <w:rFonts w:cs="宋体"/>
          <w:b w:val="0"/>
          <w:sz w:val="21"/>
          <w:szCs w:val="21"/>
          <w:highlight w:val="none"/>
        </w:rPr>
      </w:pPr>
      <w:r>
        <w:rPr>
          <w:rFonts w:hint="eastAsia" w:cs="宋体"/>
          <w:b w:val="0"/>
          <w:sz w:val="21"/>
          <w:szCs w:val="21"/>
          <w:highlight w:val="none"/>
        </w:rPr>
        <w:t>其他要求</w:t>
      </w:r>
    </w:p>
    <w:p w14:paraId="53529476">
      <w:pPr>
        <w:pStyle w:val="22"/>
        <w:numPr>
          <w:ilvl w:val="0"/>
          <w:numId w:val="22"/>
        </w:numPr>
        <w:outlineLvl w:val="2"/>
        <w:rPr>
          <w:rFonts w:cs="宋体"/>
          <w:b w:val="0"/>
          <w:sz w:val="21"/>
          <w:szCs w:val="21"/>
          <w:highlight w:val="none"/>
        </w:rPr>
      </w:pPr>
      <w:r>
        <w:rPr>
          <w:rFonts w:hint="eastAsia" w:cs="宋体"/>
          <w:b w:val="0"/>
          <w:sz w:val="21"/>
          <w:szCs w:val="21"/>
          <w:highlight w:val="none"/>
        </w:rPr>
        <w:t>投标单位须保证产品按质、按时送至采购人指定地点，并提供相关服务。</w:t>
      </w:r>
    </w:p>
    <w:p w14:paraId="4FA05A8C">
      <w:pPr>
        <w:pStyle w:val="22"/>
        <w:numPr>
          <w:ilvl w:val="0"/>
          <w:numId w:val="22"/>
        </w:numPr>
        <w:outlineLvl w:val="2"/>
        <w:rPr>
          <w:rFonts w:cs="宋体"/>
          <w:b w:val="0"/>
          <w:sz w:val="21"/>
          <w:szCs w:val="21"/>
          <w:highlight w:val="none"/>
        </w:rPr>
      </w:pPr>
      <w:r>
        <w:rPr>
          <w:rFonts w:hint="eastAsia" w:cs="宋体"/>
          <w:b w:val="0"/>
          <w:sz w:val="21"/>
          <w:szCs w:val="21"/>
          <w:highlight w:val="none"/>
        </w:rPr>
        <w:t>如中标单位实际供货产品与投标产品不一致，送货服务承诺无法完成，产品质量、服务被使用方有权投诉，经查实中标单位要承担相应违约责任，并同时保留向市、区政府采购管理机构通报的权利。</w:t>
      </w:r>
    </w:p>
    <w:p w14:paraId="6EB2FF82">
      <w:pPr>
        <w:pStyle w:val="22"/>
        <w:numPr>
          <w:ilvl w:val="0"/>
          <w:numId w:val="22"/>
        </w:numPr>
        <w:outlineLvl w:val="2"/>
        <w:rPr>
          <w:rFonts w:cs="宋体"/>
          <w:b w:val="0"/>
          <w:sz w:val="21"/>
          <w:szCs w:val="21"/>
          <w:highlight w:val="none"/>
        </w:rPr>
      </w:pPr>
      <w:r>
        <w:rPr>
          <w:rFonts w:hint="eastAsia" w:cs="宋体"/>
          <w:b w:val="0"/>
          <w:sz w:val="21"/>
          <w:szCs w:val="21"/>
          <w:highlight w:val="none"/>
        </w:rPr>
        <w:t>招标设备清单是主要设备和货物清单，是满足现场实际情况的基本配置，各投标单位应充分考虑现场实际施工的相关风险，上述所有费用均包含在项目总价中，请各投标单位充分考虑。同时，中标单位应服从采购人的统一管理，包括但不限于深化设计时间节点、进场时间节点、施工交叉工序协调、现行临时用水用电措施等，上述费用全部包含在本项目投标总价中。</w:t>
      </w:r>
    </w:p>
    <w:p w14:paraId="393D1AC6">
      <w:pPr>
        <w:pStyle w:val="22"/>
        <w:numPr>
          <w:ilvl w:val="0"/>
          <w:numId w:val="22"/>
        </w:numPr>
        <w:outlineLvl w:val="2"/>
        <w:rPr>
          <w:rFonts w:cs="宋体"/>
          <w:b w:val="0"/>
          <w:sz w:val="21"/>
          <w:szCs w:val="21"/>
          <w:highlight w:val="none"/>
        </w:rPr>
      </w:pPr>
      <w:r>
        <w:rPr>
          <w:rFonts w:hint="eastAsia" w:cs="宋体"/>
          <w:b w:val="0"/>
          <w:sz w:val="21"/>
          <w:szCs w:val="21"/>
          <w:highlight w:val="none"/>
        </w:rPr>
        <w:t>安全责任条款：</w:t>
      </w:r>
    </w:p>
    <w:p w14:paraId="5C5498F4">
      <w:pPr>
        <w:pStyle w:val="22"/>
        <w:numPr>
          <w:ilvl w:val="0"/>
          <w:numId w:val="23"/>
        </w:numPr>
        <w:rPr>
          <w:rFonts w:cs="宋体"/>
          <w:b w:val="0"/>
          <w:sz w:val="21"/>
          <w:szCs w:val="21"/>
          <w:highlight w:val="none"/>
        </w:rPr>
      </w:pPr>
      <w:r>
        <w:rPr>
          <w:rFonts w:hint="eastAsia" w:cs="宋体"/>
          <w:b w:val="0"/>
          <w:sz w:val="21"/>
          <w:szCs w:val="21"/>
          <w:highlight w:val="none"/>
        </w:rPr>
        <w:t>投标单位应具备上海市或有关行业管理部门规定的在本市进行相关安装、调试服务所需的资质（包括国家和本市各类专业工种持证上岗要求）、资格和一切手续（如有的话），由此引起的所有有关事宜及费用由投标单位自行负责。</w:t>
      </w:r>
    </w:p>
    <w:p w14:paraId="3CF47AB4">
      <w:pPr>
        <w:pStyle w:val="22"/>
        <w:numPr>
          <w:ilvl w:val="0"/>
          <w:numId w:val="23"/>
        </w:numPr>
        <w:rPr>
          <w:rFonts w:cs="宋体"/>
          <w:b w:val="0"/>
          <w:sz w:val="21"/>
          <w:szCs w:val="21"/>
          <w:highlight w:val="none"/>
        </w:rPr>
      </w:pPr>
      <w:r>
        <w:rPr>
          <w:rFonts w:hint="eastAsia" w:cs="宋体"/>
          <w:b w:val="0"/>
          <w:sz w:val="21"/>
          <w:szCs w:val="21"/>
          <w:highlight w:val="none"/>
        </w:rPr>
        <w:t>在项目安装、调试实施期间为确保安装作业区域及周围环境的整洁和不影响其他活动正常进行，投标单位应严格执行国家与上海市有关安全文明施工（安装）管理的法律、法规和政策，积极主动加强和落实安全文明施工（安装）及环境保护等有关管理工作，并按规定承担相应的费用。投标单位若违反规定野蛮施工、违章作业等原因造成的一切损失和责任由投标单位承担。</w:t>
      </w:r>
    </w:p>
    <w:p w14:paraId="0122BC11">
      <w:pPr>
        <w:pStyle w:val="22"/>
        <w:numPr>
          <w:ilvl w:val="0"/>
          <w:numId w:val="23"/>
        </w:numPr>
        <w:rPr>
          <w:rFonts w:cs="宋体"/>
          <w:b w:val="0"/>
          <w:sz w:val="21"/>
          <w:szCs w:val="21"/>
          <w:highlight w:val="none"/>
        </w:rPr>
      </w:pPr>
      <w:r>
        <w:rPr>
          <w:rFonts w:hint="eastAsia" w:cs="宋体"/>
          <w:b w:val="0"/>
          <w:sz w:val="21"/>
          <w:szCs w:val="21"/>
          <w:highlight w:val="none"/>
        </w:rPr>
        <w:t>投标单位在项目供货、安装实施期间，必须遵守国家与上海市各项有关安全作业规章、规范，建立安全用电等制度，确保杜绝各类事故的发生。</w:t>
      </w:r>
    </w:p>
    <w:p w14:paraId="634BF621">
      <w:pPr>
        <w:pStyle w:val="22"/>
        <w:numPr>
          <w:ilvl w:val="0"/>
          <w:numId w:val="23"/>
        </w:numPr>
        <w:rPr>
          <w:rFonts w:cs="宋体"/>
          <w:b w:val="0"/>
          <w:sz w:val="21"/>
          <w:szCs w:val="21"/>
          <w:highlight w:val="none"/>
        </w:rPr>
      </w:pPr>
      <w:r>
        <w:rPr>
          <w:rFonts w:hint="eastAsia" w:cs="宋体"/>
          <w:b w:val="0"/>
          <w:sz w:val="21"/>
          <w:szCs w:val="21"/>
          <w:highlight w:val="none"/>
        </w:rPr>
        <w:t>投标单位现场设备安装负责人应具有专业证书，安装人员必须持证上岗。投标单位应对设备安装、调试期间自身和第三方安全与财产负责。</w:t>
      </w:r>
    </w:p>
    <w:p w14:paraId="7144E4EA">
      <w:pPr>
        <w:pStyle w:val="22"/>
        <w:numPr>
          <w:ilvl w:val="0"/>
          <w:numId w:val="22"/>
        </w:numPr>
        <w:outlineLvl w:val="2"/>
        <w:rPr>
          <w:rFonts w:cs="宋体"/>
          <w:b w:val="0"/>
          <w:sz w:val="21"/>
          <w:szCs w:val="21"/>
          <w:highlight w:val="none"/>
        </w:rPr>
      </w:pPr>
      <w:r>
        <w:rPr>
          <w:rFonts w:hint="eastAsia" w:cs="宋体"/>
          <w:b w:val="0"/>
          <w:sz w:val="21"/>
          <w:szCs w:val="21"/>
          <w:highlight w:val="none"/>
        </w:rPr>
        <w:t>采购人的权利、责任和义务：</w:t>
      </w:r>
    </w:p>
    <w:p w14:paraId="42A0E957">
      <w:pPr>
        <w:pStyle w:val="22"/>
        <w:numPr>
          <w:ilvl w:val="1"/>
          <w:numId w:val="24"/>
        </w:numPr>
        <w:rPr>
          <w:rFonts w:cs="宋体"/>
          <w:b w:val="0"/>
          <w:sz w:val="21"/>
          <w:szCs w:val="21"/>
          <w:highlight w:val="none"/>
        </w:rPr>
      </w:pPr>
      <w:r>
        <w:rPr>
          <w:rFonts w:hint="eastAsia" w:cs="宋体"/>
          <w:b w:val="0"/>
          <w:sz w:val="21"/>
          <w:szCs w:val="21"/>
          <w:highlight w:val="none"/>
        </w:rPr>
        <w:t>贯彻落实国家有关施工现场安全生产、文明施工的法规和管理规定，对施工现场进行全面的安全生产管理和监督检查并对施工现场临时用电进行安全检查与指导。</w:t>
      </w:r>
    </w:p>
    <w:p w14:paraId="60539303">
      <w:pPr>
        <w:pStyle w:val="22"/>
        <w:numPr>
          <w:ilvl w:val="1"/>
          <w:numId w:val="24"/>
        </w:numPr>
        <w:rPr>
          <w:rFonts w:cs="宋体"/>
          <w:b w:val="0"/>
          <w:sz w:val="21"/>
          <w:szCs w:val="21"/>
          <w:highlight w:val="none"/>
        </w:rPr>
      </w:pPr>
      <w:r>
        <w:rPr>
          <w:rFonts w:hint="eastAsia" w:cs="宋体"/>
          <w:b w:val="0"/>
          <w:sz w:val="21"/>
          <w:szCs w:val="21"/>
          <w:highlight w:val="none"/>
        </w:rPr>
        <w:t>对投标单位施工区域进行安全生产和文明施工检查；及时纠正投标单位实施人员违章指挥和违章作业行为，并按照有关规定予以查处。对投标单位施工区域内的重大安全事故隐患，应开具隐患通知单。</w:t>
      </w:r>
    </w:p>
    <w:p w14:paraId="1F91AB86">
      <w:pPr>
        <w:pStyle w:val="22"/>
        <w:numPr>
          <w:ilvl w:val="1"/>
          <w:numId w:val="24"/>
        </w:numPr>
        <w:rPr>
          <w:rFonts w:cs="宋体"/>
          <w:b w:val="0"/>
          <w:sz w:val="21"/>
          <w:szCs w:val="21"/>
          <w:highlight w:val="none"/>
        </w:rPr>
      </w:pPr>
      <w:r>
        <w:rPr>
          <w:rFonts w:hint="eastAsia" w:cs="宋体"/>
          <w:b w:val="0"/>
          <w:sz w:val="21"/>
          <w:szCs w:val="21"/>
          <w:highlight w:val="none"/>
        </w:rPr>
        <w:t>监督中标单位建立健全施工现场各项安全生产管理制度。</w:t>
      </w:r>
    </w:p>
    <w:p w14:paraId="32747EC1">
      <w:pPr>
        <w:pStyle w:val="22"/>
        <w:numPr>
          <w:ilvl w:val="1"/>
          <w:numId w:val="24"/>
        </w:numPr>
        <w:rPr>
          <w:rFonts w:cs="宋体"/>
          <w:b w:val="0"/>
          <w:sz w:val="21"/>
          <w:szCs w:val="21"/>
          <w:highlight w:val="none"/>
        </w:rPr>
      </w:pPr>
      <w:r>
        <w:rPr>
          <w:rFonts w:hint="eastAsia" w:cs="宋体"/>
          <w:b w:val="0"/>
          <w:sz w:val="21"/>
          <w:szCs w:val="21"/>
          <w:highlight w:val="none"/>
        </w:rPr>
        <w:t>对投标单位的安全生产培训、劳动保护用品的使用和危险预知工作提出指导意见，并监督落实情况。</w:t>
      </w:r>
    </w:p>
    <w:p w14:paraId="28F1E40B">
      <w:pPr>
        <w:pStyle w:val="22"/>
        <w:numPr>
          <w:ilvl w:val="1"/>
          <w:numId w:val="24"/>
        </w:numPr>
        <w:rPr>
          <w:rFonts w:cs="宋体"/>
          <w:b w:val="0"/>
          <w:sz w:val="21"/>
          <w:szCs w:val="21"/>
          <w:highlight w:val="none"/>
        </w:rPr>
      </w:pPr>
      <w:r>
        <w:rPr>
          <w:rFonts w:hint="eastAsia" w:cs="宋体"/>
          <w:b w:val="0"/>
          <w:sz w:val="21"/>
          <w:szCs w:val="21"/>
          <w:highlight w:val="none"/>
        </w:rPr>
        <w:t>对投标单位提出的安全生产要求积极提供帮助。</w:t>
      </w:r>
    </w:p>
    <w:p w14:paraId="2C880614">
      <w:pPr>
        <w:pStyle w:val="22"/>
        <w:numPr>
          <w:ilvl w:val="1"/>
          <w:numId w:val="24"/>
        </w:numPr>
        <w:rPr>
          <w:rFonts w:cs="宋体"/>
          <w:b w:val="0"/>
          <w:sz w:val="21"/>
          <w:szCs w:val="21"/>
          <w:highlight w:val="none"/>
        </w:rPr>
      </w:pPr>
      <w:r>
        <w:rPr>
          <w:rFonts w:hint="eastAsia" w:cs="宋体"/>
          <w:b w:val="0"/>
          <w:sz w:val="21"/>
          <w:szCs w:val="21"/>
          <w:highlight w:val="none"/>
        </w:rPr>
        <w:t>对投标单位特种作业人员的名单、操作证复印件及培训记录进行存档备案。</w:t>
      </w:r>
    </w:p>
    <w:p w14:paraId="3B2C6084">
      <w:pPr>
        <w:pStyle w:val="22"/>
        <w:numPr>
          <w:ilvl w:val="0"/>
          <w:numId w:val="22"/>
        </w:numPr>
        <w:outlineLvl w:val="2"/>
        <w:rPr>
          <w:rFonts w:cs="宋体"/>
          <w:b w:val="0"/>
          <w:sz w:val="21"/>
          <w:szCs w:val="21"/>
          <w:highlight w:val="none"/>
        </w:rPr>
      </w:pPr>
      <w:r>
        <w:rPr>
          <w:rFonts w:hint="eastAsia" w:cs="宋体"/>
          <w:b w:val="0"/>
          <w:sz w:val="21"/>
          <w:szCs w:val="21"/>
          <w:highlight w:val="none"/>
        </w:rPr>
        <w:t>投标单位的权利、责任和义务：</w:t>
      </w:r>
    </w:p>
    <w:p w14:paraId="3BAA340B">
      <w:pPr>
        <w:pStyle w:val="22"/>
        <w:numPr>
          <w:ilvl w:val="1"/>
          <w:numId w:val="24"/>
        </w:numPr>
        <w:rPr>
          <w:rFonts w:cs="宋体"/>
          <w:b w:val="0"/>
          <w:sz w:val="21"/>
          <w:szCs w:val="21"/>
          <w:highlight w:val="none"/>
        </w:rPr>
      </w:pPr>
      <w:r>
        <w:rPr>
          <w:rFonts w:hint="eastAsia" w:cs="宋体"/>
          <w:b w:val="0"/>
          <w:sz w:val="21"/>
          <w:szCs w:val="21"/>
          <w:highlight w:val="none"/>
        </w:rPr>
        <w:t>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14:paraId="0B10AAA6">
      <w:pPr>
        <w:pStyle w:val="22"/>
        <w:numPr>
          <w:ilvl w:val="1"/>
          <w:numId w:val="24"/>
        </w:numPr>
        <w:rPr>
          <w:rFonts w:cs="宋体"/>
          <w:b w:val="0"/>
          <w:sz w:val="21"/>
          <w:szCs w:val="21"/>
          <w:highlight w:val="none"/>
        </w:rPr>
      </w:pPr>
      <w:r>
        <w:rPr>
          <w:rFonts w:hint="eastAsia" w:cs="宋体"/>
          <w:b w:val="0"/>
          <w:sz w:val="21"/>
          <w:szCs w:val="21"/>
          <w:highlight w:val="none"/>
        </w:rPr>
        <w:t>服从采购人安全生产管理。</w:t>
      </w:r>
    </w:p>
    <w:p w14:paraId="18E5262E">
      <w:pPr>
        <w:pStyle w:val="22"/>
        <w:numPr>
          <w:ilvl w:val="1"/>
          <w:numId w:val="24"/>
        </w:numPr>
        <w:rPr>
          <w:rFonts w:cs="宋体"/>
          <w:b w:val="0"/>
          <w:sz w:val="21"/>
          <w:szCs w:val="21"/>
          <w:highlight w:val="none"/>
        </w:rPr>
      </w:pPr>
      <w:r>
        <w:rPr>
          <w:rFonts w:hint="eastAsia" w:cs="宋体"/>
          <w:b w:val="0"/>
          <w:sz w:val="21"/>
          <w:szCs w:val="21"/>
          <w:highlight w:val="none"/>
        </w:rPr>
        <w:t>投标单位必须为施工作业人员参加人身意外保险。</w:t>
      </w:r>
    </w:p>
    <w:p w14:paraId="7D31CAC7">
      <w:pPr>
        <w:pStyle w:val="22"/>
        <w:numPr>
          <w:ilvl w:val="1"/>
          <w:numId w:val="24"/>
        </w:numPr>
        <w:rPr>
          <w:rFonts w:cs="宋体"/>
          <w:b w:val="0"/>
          <w:sz w:val="21"/>
          <w:szCs w:val="21"/>
          <w:highlight w:val="none"/>
        </w:rPr>
      </w:pPr>
      <w:r>
        <w:rPr>
          <w:rFonts w:hint="eastAsia" w:cs="宋体"/>
          <w:b w:val="0"/>
          <w:sz w:val="21"/>
          <w:szCs w:val="21"/>
          <w:highlight w:val="none"/>
        </w:rPr>
        <w:t>投标单位造成生产安全事故，导致人员伤亡时，由投标单位承担事故责任和经济责任。</w:t>
      </w:r>
    </w:p>
    <w:p w14:paraId="1D2A3CB3">
      <w:pPr>
        <w:pStyle w:val="22"/>
        <w:numPr>
          <w:ilvl w:val="1"/>
          <w:numId w:val="24"/>
        </w:numPr>
        <w:rPr>
          <w:rFonts w:cs="宋体"/>
          <w:b w:val="0"/>
          <w:sz w:val="21"/>
          <w:szCs w:val="21"/>
          <w:highlight w:val="none"/>
        </w:rPr>
      </w:pPr>
      <w:r>
        <w:rPr>
          <w:rFonts w:hint="eastAsia" w:cs="宋体"/>
          <w:b w:val="0"/>
          <w:sz w:val="21"/>
          <w:szCs w:val="21"/>
          <w:highlight w:val="none"/>
        </w:rPr>
        <w:t>未经安全生产教育培训和无证人员，不得上岗作业。</w:t>
      </w:r>
    </w:p>
    <w:p w14:paraId="56A373A8">
      <w:pPr>
        <w:pStyle w:val="22"/>
        <w:numPr>
          <w:ilvl w:val="0"/>
          <w:numId w:val="0"/>
        </w:numPr>
        <w:ind w:left="840"/>
        <w:rPr>
          <w:rFonts w:cs="宋体"/>
          <w:b w:val="0"/>
          <w:sz w:val="21"/>
          <w:szCs w:val="21"/>
          <w:highlight w:val="none"/>
        </w:rPr>
      </w:pPr>
    </w:p>
    <w:p w14:paraId="6A6DCE7B">
      <w:pPr>
        <w:pStyle w:val="22"/>
        <w:numPr>
          <w:ilvl w:val="0"/>
          <w:numId w:val="22"/>
        </w:numPr>
        <w:outlineLvl w:val="2"/>
        <w:rPr>
          <w:rFonts w:cs="宋体"/>
          <w:b w:val="0"/>
          <w:sz w:val="21"/>
          <w:szCs w:val="21"/>
          <w:highlight w:val="none"/>
        </w:rPr>
      </w:pPr>
      <w:r>
        <w:rPr>
          <w:rFonts w:hint="eastAsia" w:cs="宋体"/>
          <w:b w:val="0"/>
          <w:sz w:val="21"/>
          <w:szCs w:val="21"/>
          <w:highlight w:val="none"/>
        </w:rPr>
        <w:t>信息网络安全要求：</w:t>
      </w:r>
    </w:p>
    <w:p w14:paraId="5801D5F6">
      <w:pPr>
        <w:pStyle w:val="22"/>
        <w:numPr>
          <w:ilvl w:val="1"/>
          <w:numId w:val="24"/>
        </w:numPr>
        <w:rPr>
          <w:rFonts w:cs="宋体"/>
          <w:b w:val="0"/>
          <w:sz w:val="21"/>
          <w:szCs w:val="21"/>
          <w:highlight w:val="none"/>
        </w:rPr>
      </w:pPr>
      <w:r>
        <w:rPr>
          <w:rFonts w:hint="eastAsia" w:cs="宋体"/>
          <w:b w:val="0"/>
          <w:sz w:val="21"/>
          <w:szCs w:val="21"/>
          <w:highlight w:val="none"/>
        </w:rPr>
        <w:t>网络配置由分局相关部门统一规划管理，其他任何人不擅自更改设备的IP地址及网络拓扑结构及软、硬件配置。</w:t>
      </w:r>
    </w:p>
    <w:p w14:paraId="588117EF">
      <w:pPr>
        <w:pStyle w:val="22"/>
        <w:numPr>
          <w:ilvl w:val="1"/>
          <w:numId w:val="24"/>
        </w:numPr>
        <w:rPr>
          <w:rFonts w:cs="宋体"/>
          <w:b w:val="0"/>
          <w:sz w:val="21"/>
          <w:szCs w:val="21"/>
          <w:highlight w:val="none"/>
        </w:rPr>
      </w:pPr>
      <w:r>
        <w:rPr>
          <w:rFonts w:hint="eastAsia" w:cs="宋体"/>
          <w:b w:val="0"/>
          <w:sz w:val="21"/>
          <w:szCs w:val="21"/>
          <w:highlight w:val="none"/>
        </w:rPr>
        <w:t>非经管理部门的有效许可，不得对网络进行安全（漏洞）扫描和对账号、口令及数据包进行侦听；不得利用网络服务实施网络攻击、散布病毒和发布有害信息。在网络设备及主机系统进行操作还应该遵循有关网络安全规定。</w:t>
      </w:r>
    </w:p>
    <w:p w14:paraId="70F784D6">
      <w:pPr>
        <w:pStyle w:val="22"/>
        <w:numPr>
          <w:ilvl w:val="1"/>
          <w:numId w:val="24"/>
        </w:numPr>
        <w:rPr>
          <w:rFonts w:cs="宋体"/>
          <w:b w:val="0"/>
          <w:sz w:val="21"/>
          <w:szCs w:val="21"/>
          <w:highlight w:val="none"/>
        </w:rPr>
      </w:pPr>
      <w:r>
        <w:rPr>
          <w:rFonts w:hint="eastAsia" w:ascii="仿宋" w:hAnsi="仿宋" w:eastAsia="仿宋" w:cs="仿宋"/>
          <w:b w:val="0"/>
          <w:sz w:val="21"/>
          <w:szCs w:val="21"/>
          <w:highlight w:val="none"/>
          <w:lang w:val="en-US" w:eastAsia="zh-CN"/>
        </w:rPr>
        <w:t>★</w:t>
      </w:r>
      <w:r>
        <w:rPr>
          <w:rFonts w:hint="eastAsia" w:cs="宋体"/>
          <w:b w:val="0"/>
          <w:sz w:val="21"/>
          <w:szCs w:val="21"/>
          <w:highlight w:val="none"/>
          <w:lang w:val="en-US" w:eastAsia="zh-CN"/>
        </w:rPr>
        <w:t>在免费保修期内，中标单位应提供系统软硬件漏洞的无偿修复服务，需提供承诺书加盖投标单位公章。设备和系统入网后，</w:t>
      </w:r>
      <w:r>
        <w:rPr>
          <w:rFonts w:hint="eastAsia" w:cs="宋体"/>
          <w:b w:val="0"/>
          <w:sz w:val="21"/>
          <w:szCs w:val="21"/>
          <w:highlight w:val="none"/>
        </w:rPr>
        <w:t>分局相关部门</w:t>
      </w:r>
      <w:r>
        <w:rPr>
          <w:rFonts w:hint="eastAsia" w:cs="宋体"/>
          <w:b w:val="0"/>
          <w:sz w:val="21"/>
          <w:szCs w:val="21"/>
          <w:highlight w:val="none"/>
          <w:lang w:val="en-US" w:eastAsia="zh-CN"/>
        </w:rPr>
        <w:t>将不定期的对设备和系统进行漏洞排查，中标单位应承诺接到甲方通知之日起，48小时内完成漏洞修复工作。</w:t>
      </w:r>
    </w:p>
    <w:p w14:paraId="268D20ED">
      <w:pPr>
        <w:ind w:firstLine="420" w:firstLineChars="200"/>
        <w:rPr>
          <w:rFonts w:hint="eastAsia" w:cs="宋体"/>
          <w:sz w:val="21"/>
          <w:szCs w:val="21"/>
          <w:highlight w:val="none"/>
        </w:rPr>
      </w:pPr>
      <w:r>
        <w:rPr>
          <w:rFonts w:hint="eastAsia" w:cs="宋体"/>
          <w:sz w:val="21"/>
          <w:szCs w:val="21"/>
          <w:highlight w:val="none"/>
        </w:rPr>
        <w:t>以上招标文件需求中，如供应商未在投标文件中进行具体响应的部分，供应商中标后均视为完全满足采购方要求。</w:t>
      </w:r>
    </w:p>
    <w:p w14:paraId="3577C7AC">
      <w:pPr>
        <w:ind w:firstLine="420" w:firstLineChars="200"/>
        <w:rPr>
          <w:rFonts w:hint="eastAsia" w:cs="宋体"/>
          <w:sz w:val="21"/>
          <w:szCs w:val="21"/>
          <w:highlight w:val="none"/>
        </w:rPr>
      </w:pPr>
    </w:p>
    <w:p w14:paraId="76F16679">
      <w:pPr>
        <w:ind w:firstLine="420" w:firstLineChars="200"/>
        <w:rPr>
          <w:rFonts w:hint="eastAsia" w:cs="宋体"/>
          <w:sz w:val="21"/>
          <w:szCs w:val="21"/>
          <w:highlight w:val="none"/>
        </w:rPr>
      </w:pPr>
    </w:p>
    <w:p w14:paraId="3F74D1BC">
      <w:pPr>
        <w:ind w:firstLine="420" w:firstLineChars="200"/>
        <w:rPr>
          <w:rFonts w:hint="eastAsia" w:cs="宋体"/>
          <w:sz w:val="21"/>
          <w:szCs w:val="21"/>
          <w:highlight w:val="none"/>
        </w:rPr>
      </w:pPr>
    </w:p>
    <w:p w14:paraId="32E30A4D">
      <w:pPr>
        <w:ind w:firstLine="420" w:firstLineChars="200"/>
        <w:rPr>
          <w:rFonts w:hint="eastAsia" w:cs="宋体"/>
          <w:sz w:val="21"/>
          <w:szCs w:val="21"/>
          <w:highlight w:val="none"/>
        </w:rPr>
      </w:pPr>
    </w:p>
    <w:p w14:paraId="685AA3B4">
      <w:pPr>
        <w:ind w:firstLine="420" w:firstLineChars="200"/>
        <w:rPr>
          <w:rFonts w:hint="eastAsia" w:cs="宋体"/>
          <w:sz w:val="21"/>
          <w:szCs w:val="21"/>
          <w:highlight w:val="none"/>
        </w:rPr>
      </w:pPr>
    </w:p>
    <w:p w14:paraId="6B7B4DCC">
      <w:pPr>
        <w:pStyle w:val="22"/>
        <w:numPr>
          <w:numId w:val="0"/>
        </w:numPr>
        <w:outlineLvl w:val="1"/>
        <w:rPr>
          <w:rFonts w:hint="eastAsia" w:cs="宋体"/>
          <w:sz w:val="21"/>
          <w:szCs w:val="21"/>
          <w:highlight w:val="none"/>
        </w:rPr>
      </w:pPr>
      <w:bookmarkStart w:id="0" w:name="_GoBack"/>
      <w:bookmarkEnd w:id="0"/>
    </w:p>
    <w:sectPr>
      <w:footerReference r:id="rId6" w:type="default"/>
      <w:pgSz w:w="11906" w:h="16838"/>
      <w:pgMar w:top="1440" w:right="1706"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B0D18">
    <w:pPr>
      <w:pStyle w:val="7"/>
      <w:ind w:firstLine="36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74984D3">
                          <w:pPr>
                            <w:pStyle w:val="7"/>
                            <w:ind w:firstLine="361"/>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74984D3">
                    <w:pPr>
                      <w:pStyle w:val="7"/>
                      <w:ind w:firstLine="36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731A8">
    <w:pPr>
      <w:pStyle w:val="7"/>
      <w:ind w:firstLine="36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CEE408">
                          <w:pPr>
                            <w:pStyle w:val="7"/>
                            <w:ind w:firstLine="361"/>
                          </w:pPr>
                          <w:r>
                            <w:fldChar w:fldCharType="begin"/>
                          </w:r>
                          <w:r>
                            <w:instrText xml:space="preserve"> PAGE  \* MERGEFORMAT </w:instrText>
                          </w:r>
                          <w:r>
                            <w:fldChar w:fldCharType="separate"/>
                          </w:r>
                          <w:r>
                            <w:t>18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25CEE408">
                    <w:pPr>
                      <w:pStyle w:val="7"/>
                      <w:ind w:firstLine="361"/>
                    </w:pPr>
                    <w:r>
                      <w:fldChar w:fldCharType="begin"/>
                    </w:r>
                    <w:r>
                      <w:instrText xml:space="preserve"> PAGE  \* MERGEFORMAT </w:instrText>
                    </w:r>
                    <w:r>
                      <w:fldChar w:fldCharType="separate"/>
                    </w:r>
                    <w:r>
                      <w:t>18</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22E21"/>
    <w:multiLevelType w:val="singleLevel"/>
    <w:tmpl w:val="98522E21"/>
    <w:lvl w:ilvl="0" w:tentative="0">
      <w:start w:val="1"/>
      <w:numFmt w:val="decimalEnclosedCircleChinese"/>
      <w:suff w:val="nothing"/>
      <w:lvlText w:val="%1　"/>
      <w:lvlJc w:val="left"/>
      <w:pPr>
        <w:ind w:left="0" w:firstLine="400"/>
      </w:pPr>
      <w:rPr>
        <w:rFonts w:hint="eastAsia"/>
      </w:rPr>
    </w:lvl>
  </w:abstractNum>
  <w:abstractNum w:abstractNumId="1">
    <w:nsid w:val="B37BEA86"/>
    <w:multiLevelType w:val="multilevel"/>
    <w:tmpl w:val="B37BEA86"/>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CE0A2E42"/>
    <w:multiLevelType w:val="singleLevel"/>
    <w:tmpl w:val="CE0A2E42"/>
    <w:lvl w:ilvl="0" w:tentative="0">
      <w:start w:val="1"/>
      <w:numFmt w:val="decimalEnclosedCircleChinese"/>
      <w:suff w:val="nothing"/>
      <w:lvlText w:val="%1　"/>
      <w:lvlJc w:val="left"/>
      <w:pPr>
        <w:ind w:left="0" w:firstLine="400"/>
      </w:pPr>
      <w:rPr>
        <w:rFonts w:hint="eastAsia"/>
      </w:rPr>
    </w:lvl>
  </w:abstractNum>
  <w:abstractNum w:abstractNumId="3">
    <w:nsid w:val="DDCBDD75"/>
    <w:multiLevelType w:val="singleLevel"/>
    <w:tmpl w:val="DDCBDD75"/>
    <w:lvl w:ilvl="0" w:tentative="0">
      <w:start w:val="1"/>
      <w:numFmt w:val="decimalEnclosedCircleChinese"/>
      <w:suff w:val="nothing"/>
      <w:lvlText w:val="%1　"/>
      <w:lvlJc w:val="left"/>
      <w:pPr>
        <w:ind w:left="0" w:firstLine="400"/>
      </w:pPr>
      <w:rPr>
        <w:rFonts w:hint="eastAsia"/>
      </w:rPr>
    </w:lvl>
  </w:abstractNum>
  <w:abstractNum w:abstractNumId="4">
    <w:nsid w:val="00000000"/>
    <w:multiLevelType w:val="singleLevel"/>
    <w:tmpl w:val="00000000"/>
    <w:lvl w:ilvl="0" w:tentative="0">
      <w:start w:val="1"/>
      <w:numFmt w:val="decimal"/>
      <w:lvlText w:val="%1."/>
      <w:lvlJc w:val="left"/>
      <w:pPr>
        <w:ind w:left="425" w:hanging="425"/>
      </w:pPr>
      <w:rPr>
        <w:rFonts w:hint="default"/>
      </w:rPr>
    </w:lvl>
  </w:abstractNum>
  <w:abstractNum w:abstractNumId="5">
    <w:nsid w:val="00000001"/>
    <w:multiLevelType w:val="singleLevel"/>
    <w:tmpl w:val="00000001"/>
    <w:lvl w:ilvl="0" w:tentative="0">
      <w:start w:val="3"/>
      <w:numFmt w:val="decimal"/>
      <w:suff w:val="nothing"/>
      <w:lvlText w:val="%1）"/>
      <w:lvlJc w:val="left"/>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4"/>
    <w:multiLevelType w:val="singleLevel"/>
    <w:tmpl w:val="00000004"/>
    <w:lvl w:ilvl="0" w:tentative="0">
      <w:start w:val="1"/>
      <w:numFmt w:val="decimal"/>
      <w:lvlText w:val="%1."/>
      <w:lvlJc w:val="left"/>
      <w:pPr>
        <w:ind w:left="425" w:hanging="425"/>
      </w:pPr>
      <w:rPr>
        <w:rFonts w:hint="default"/>
      </w:rPr>
    </w:lvl>
  </w:abstractNum>
  <w:abstractNum w:abstractNumId="9">
    <w:nsid w:val="00000005"/>
    <w:multiLevelType w:val="singleLevel"/>
    <w:tmpl w:val="00000005"/>
    <w:lvl w:ilvl="0" w:tentative="0">
      <w:start w:val="1"/>
      <w:numFmt w:val="decimal"/>
      <w:lvlText w:val="%1."/>
      <w:lvlJc w:val="left"/>
      <w:pPr>
        <w:ind w:left="425" w:hanging="425"/>
      </w:pPr>
      <w:rPr>
        <w:rFonts w:hint="default"/>
      </w:rPr>
    </w:lvl>
  </w:abstractNum>
  <w:abstractNum w:abstractNumId="10">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7"/>
    <w:multiLevelType w:val="singleLevel"/>
    <w:tmpl w:val="00000007"/>
    <w:lvl w:ilvl="0" w:tentative="0">
      <w:start w:val="1"/>
      <w:numFmt w:val="decimal"/>
      <w:lvlText w:val="%1."/>
      <w:lvlJc w:val="left"/>
      <w:pPr>
        <w:ind w:left="425" w:hanging="425"/>
      </w:pPr>
      <w:rPr>
        <w:rFonts w:hint="default"/>
      </w:rPr>
    </w:lvl>
  </w:abstractNum>
  <w:abstractNum w:abstractNumId="12">
    <w:nsid w:val="00000008"/>
    <w:multiLevelType w:val="multilevel"/>
    <w:tmpl w:val="00000008"/>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0000009"/>
    <w:multiLevelType w:val="multilevel"/>
    <w:tmpl w:val="00000009"/>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0A"/>
    <w:multiLevelType w:val="singleLevel"/>
    <w:tmpl w:val="0000000A"/>
    <w:lvl w:ilvl="0" w:tentative="0">
      <w:start w:val="3"/>
      <w:numFmt w:val="decimal"/>
      <w:suff w:val="space"/>
      <w:lvlText w:val="(%1)"/>
      <w:lvlJc w:val="left"/>
    </w:lvl>
  </w:abstractNum>
  <w:abstractNum w:abstractNumId="15">
    <w:nsid w:val="0000000B"/>
    <w:multiLevelType w:val="multilevel"/>
    <w:tmpl w:val="000000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0C"/>
    <w:multiLevelType w:val="singleLevel"/>
    <w:tmpl w:val="0000000C"/>
    <w:lvl w:ilvl="0" w:tentative="0">
      <w:start w:val="1"/>
      <w:numFmt w:val="decimal"/>
      <w:lvlText w:val="%1."/>
      <w:lvlJc w:val="left"/>
      <w:pPr>
        <w:ind w:left="425" w:hanging="425"/>
      </w:pPr>
      <w:rPr>
        <w:rFonts w:hint="default"/>
      </w:rPr>
    </w:lvl>
  </w:abstractNum>
  <w:abstractNum w:abstractNumId="17">
    <w:nsid w:val="0000000D"/>
    <w:multiLevelType w:val="singleLevel"/>
    <w:tmpl w:val="0000000D"/>
    <w:lvl w:ilvl="0" w:tentative="0">
      <w:start w:val="1"/>
      <w:numFmt w:val="decimal"/>
      <w:lvlText w:val="%1."/>
      <w:lvlJc w:val="left"/>
      <w:pPr>
        <w:ind w:left="425" w:hanging="425"/>
      </w:pPr>
      <w:rPr>
        <w:rFonts w:hint="default"/>
      </w:rPr>
    </w:lvl>
  </w:abstractNum>
  <w:abstractNum w:abstractNumId="18">
    <w:nsid w:val="0000000E"/>
    <w:multiLevelType w:val="multilevel"/>
    <w:tmpl w:val="0000000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0F"/>
    <w:multiLevelType w:val="multilevel"/>
    <w:tmpl w:val="0000000F"/>
    <w:lvl w:ilvl="0" w:tentative="0">
      <w:start w:val="1"/>
      <w:numFmt w:val="decimal"/>
      <w:lvlText w:val="%1)"/>
      <w:lvlJc w:val="left"/>
      <w:pPr>
        <w:ind w:left="420" w:hanging="420"/>
      </w:pPr>
      <w:rPr>
        <w:rFonts w:hint="default" w:ascii="宋体" w:hAnsi="宋体" w:eastAsia="宋体" w:cs="宋体"/>
      </w:rPr>
    </w:lvl>
    <w:lvl w:ilvl="1" w:tentative="0">
      <w:start w:val="1"/>
      <w:numFmt w:val="decimal"/>
      <w:lvlText w:val="%2）"/>
      <w:lvlJc w:val="left"/>
      <w:pPr>
        <w:ind w:left="1410" w:hanging="99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0"/>
    <w:multiLevelType w:val="multilevel"/>
    <w:tmpl w:val="000000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1"/>
    <w:multiLevelType w:val="multilevel"/>
    <w:tmpl w:val="000000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00000012"/>
    <w:multiLevelType w:val="multilevel"/>
    <w:tmpl w:val="000000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3"/>
    <w:multiLevelType w:val="multilevel"/>
    <w:tmpl w:val="00000013"/>
    <w:lvl w:ilvl="0" w:tentative="0">
      <w:start w:val="1"/>
      <w:numFmt w:val="chineseCountingThousand"/>
      <w:pStyle w:val="22"/>
      <w:lvlText w:val="%1、"/>
      <w:lvlJc w:val="left"/>
      <w:pPr>
        <w:ind w:left="0" w:hanging="420"/>
      </w:pPr>
      <w:rPr>
        <w:rFonts w:hint="eastAsia"/>
      </w:rPr>
    </w:lvl>
    <w:lvl w:ilvl="1" w:tentative="0">
      <w:start w:val="1"/>
      <w:numFmt w:val="lowerLetter"/>
      <w:lvlText w:val="%2)"/>
      <w:lvlJc w:val="left"/>
      <w:pPr>
        <w:ind w:left="-11" w:hanging="420"/>
      </w:pPr>
    </w:lvl>
    <w:lvl w:ilvl="2" w:tentative="0">
      <w:start w:val="1"/>
      <w:numFmt w:val="lowerRoman"/>
      <w:lvlText w:val="%3."/>
      <w:lvlJc w:val="right"/>
      <w:pPr>
        <w:ind w:left="409" w:hanging="420"/>
      </w:pPr>
    </w:lvl>
    <w:lvl w:ilvl="3" w:tentative="0">
      <w:start w:val="1"/>
      <w:numFmt w:val="decimal"/>
      <w:lvlText w:val="%4."/>
      <w:lvlJc w:val="left"/>
      <w:pPr>
        <w:ind w:left="829" w:hanging="420"/>
      </w:pPr>
    </w:lvl>
    <w:lvl w:ilvl="4" w:tentative="0">
      <w:start w:val="1"/>
      <w:numFmt w:val="lowerLetter"/>
      <w:lvlText w:val="%5)"/>
      <w:lvlJc w:val="left"/>
      <w:pPr>
        <w:ind w:left="1249" w:hanging="420"/>
      </w:pPr>
    </w:lvl>
    <w:lvl w:ilvl="5" w:tentative="0">
      <w:start w:val="1"/>
      <w:numFmt w:val="lowerRoman"/>
      <w:lvlText w:val="%6."/>
      <w:lvlJc w:val="right"/>
      <w:pPr>
        <w:ind w:left="1669" w:hanging="420"/>
      </w:pPr>
    </w:lvl>
    <w:lvl w:ilvl="6" w:tentative="0">
      <w:start w:val="1"/>
      <w:numFmt w:val="decimal"/>
      <w:lvlText w:val="%7."/>
      <w:lvlJc w:val="left"/>
      <w:pPr>
        <w:ind w:left="2089" w:hanging="420"/>
      </w:pPr>
    </w:lvl>
    <w:lvl w:ilvl="7" w:tentative="0">
      <w:start w:val="1"/>
      <w:numFmt w:val="lowerLetter"/>
      <w:lvlText w:val="%8)"/>
      <w:lvlJc w:val="left"/>
      <w:pPr>
        <w:ind w:left="2509" w:hanging="420"/>
      </w:pPr>
    </w:lvl>
    <w:lvl w:ilvl="8" w:tentative="0">
      <w:start w:val="1"/>
      <w:numFmt w:val="lowerRoman"/>
      <w:lvlText w:val="%9."/>
      <w:lvlJc w:val="right"/>
      <w:pPr>
        <w:ind w:left="2929" w:hanging="420"/>
      </w:pPr>
    </w:lvl>
  </w:abstractNum>
  <w:num w:numId="1">
    <w:abstractNumId w:val="23"/>
  </w:num>
  <w:num w:numId="2">
    <w:abstractNumId w:val="5"/>
  </w:num>
  <w:num w:numId="3">
    <w:abstractNumId w:val="14"/>
  </w:num>
  <w:num w:numId="4">
    <w:abstractNumId w:val="1"/>
  </w:num>
  <w:num w:numId="5">
    <w:abstractNumId w:val="3"/>
  </w:num>
  <w:num w:numId="6">
    <w:abstractNumId w:val="0"/>
  </w:num>
  <w:num w:numId="7">
    <w:abstractNumId w:val="16"/>
  </w:num>
  <w:num w:numId="8">
    <w:abstractNumId w:val="17"/>
  </w:num>
  <w:num w:numId="9">
    <w:abstractNumId w:val="8"/>
  </w:num>
  <w:num w:numId="10">
    <w:abstractNumId w:val="9"/>
  </w:num>
  <w:num w:numId="11">
    <w:abstractNumId w:val="11"/>
  </w:num>
  <w:num w:numId="12">
    <w:abstractNumId w:val="4"/>
  </w:num>
  <w:num w:numId="13">
    <w:abstractNumId w:val="6"/>
  </w:num>
  <w:num w:numId="14">
    <w:abstractNumId w:val="19"/>
  </w:num>
  <w:num w:numId="15">
    <w:abstractNumId w:val="18"/>
  </w:num>
  <w:num w:numId="16">
    <w:abstractNumId w:val="2"/>
  </w:num>
  <w:num w:numId="17">
    <w:abstractNumId w:val="15"/>
  </w:num>
  <w:num w:numId="18">
    <w:abstractNumId w:val="20"/>
  </w:num>
  <w:num w:numId="19">
    <w:abstractNumId w:val="7"/>
  </w:num>
  <w:num w:numId="20">
    <w:abstractNumId w:val="22"/>
  </w:num>
  <w:num w:numId="21">
    <w:abstractNumId w:val="13"/>
  </w:num>
  <w:num w:numId="22">
    <w:abstractNumId w:val="10"/>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E309C"/>
    <w:rsid w:val="093F28DD"/>
    <w:rsid w:val="0B1103B5"/>
    <w:rsid w:val="0D822909"/>
    <w:rsid w:val="179F13AC"/>
    <w:rsid w:val="1B980197"/>
    <w:rsid w:val="234731C4"/>
    <w:rsid w:val="23EB7FF4"/>
    <w:rsid w:val="274719E5"/>
    <w:rsid w:val="28595F19"/>
    <w:rsid w:val="29B967C2"/>
    <w:rsid w:val="2B2032FB"/>
    <w:rsid w:val="2CC97673"/>
    <w:rsid w:val="2E527012"/>
    <w:rsid w:val="2E846BE7"/>
    <w:rsid w:val="3150062A"/>
    <w:rsid w:val="3A9F7E02"/>
    <w:rsid w:val="44934F90"/>
    <w:rsid w:val="47D91188"/>
    <w:rsid w:val="493D7EB8"/>
    <w:rsid w:val="4CD141B3"/>
    <w:rsid w:val="4CFD207A"/>
    <w:rsid w:val="4DC908F0"/>
    <w:rsid w:val="4DD86643"/>
    <w:rsid w:val="4E86543A"/>
    <w:rsid w:val="4FAB04B3"/>
    <w:rsid w:val="50A373DC"/>
    <w:rsid w:val="53D7261D"/>
    <w:rsid w:val="55DB0466"/>
    <w:rsid w:val="59794090"/>
    <w:rsid w:val="5EDD7F5D"/>
    <w:rsid w:val="5F4121EA"/>
    <w:rsid w:val="61627AFA"/>
    <w:rsid w:val="62371F2F"/>
    <w:rsid w:val="66FB3677"/>
    <w:rsid w:val="6D3B01B0"/>
    <w:rsid w:val="750E6C6B"/>
    <w:rsid w:val="7B465A4A"/>
    <w:rsid w:val="7B475679"/>
    <w:rsid w:val="7B787A4F"/>
    <w:rsid w:val="7EC72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textAlignment w:val="center"/>
    </w:pPr>
    <w:rPr>
      <w:rFonts w:ascii="宋体" w:hAnsi="宋体"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23"/>
    <w:qFormat/>
    <w:uiPriority w:val="99"/>
    <w:pPr>
      <w:ind w:firstLine="200" w:firstLineChars="200"/>
      <w:jc w:val="left"/>
    </w:pPr>
    <w:rPr>
      <w:rFonts w:ascii="Times New Roman" w:hAnsi="Times New Roman" w:eastAsia="宋体"/>
      <w:szCs w:val="21"/>
    </w:rPr>
  </w:style>
  <w:style w:type="paragraph" w:styleId="5">
    <w:name w:val="Body Text"/>
    <w:basedOn w:val="1"/>
    <w:qFormat/>
    <w:uiPriority w:val="0"/>
    <w:pPr>
      <w:spacing w:line="320" w:lineRule="atLeast"/>
    </w:pPr>
    <w:rPr>
      <w:rFonts w:eastAsia="隶书"/>
      <w:b/>
      <w:kern w:val="0"/>
      <w:sz w:val="44"/>
      <w:szCs w:val="20"/>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Subtitle"/>
    <w:basedOn w:val="1"/>
    <w:next w:val="1"/>
    <w:link w:val="26"/>
    <w:qFormat/>
    <w:uiPriority w:val="0"/>
    <w:pPr>
      <w:spacing w:before="240" w:after="60" w:line="312" w:lineRule="auto"/>
      <w:ind w:firstLine="640"/>
      <w:jc w:val="center"/>
      <w:outlineLvl w:val="1"/>
    </w:pPr>
    <w:rPr>
      <w:rFonts w:cs="宋体"/>
      <w:b/>
      <w:bCs/>
      <w:kern w:val="28"/>
      <w:sz w:val="36"/>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1">
    <w:name w:val="annotation subject"/>
    <w:basedOn w:val="4"/>
    <w:next w:val="4"/>
    <w:link w:val="28"/>
    <w:qFormat/>
    <w:uiPriority w:val="0"/>
    <w:pPr>
      <w:spacing w:line="240" w:lineRule="auto"/>
      <w:ind w:firstLine="0" w:firstLineChars="0"/>
    </w:pPr>
    <w:rPr>
      <w:rFonts w:ascii="Calibri" w:hAnsi="Calibri" w:eastAsia="宋体" w:cs="宋体"/>
      <w:b/>
      <w:bCs/>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styleId="16">
    <w:name w:val="annotation reference"/>
    <w:qFormat/>
    <w:uiPriority w:val="99"/>
    <w:rPr>
      <w:sz w:val="21"/>
      <w:szCs w:val="21"/>
    </w:rPr>
  </w:style>
  <w:style w:type="paragraph" w:customStyle="1" w:styleId="17">
    <w:name w:val="样式1"/>
    <w:basedOn w:val="1"/>
    <w:qFormat/>
    <w:uiPriority w:val="0"/>
  </w:style>
  <w:style w:type="paragraph" w:customStyle="1" w:styleId="18">
    <w:name w:val="Default"/>
    <w:next w:val="19"/>
    <w:qFormat/>
    <w:uiPriority w:val="0"/>
    <w:pPr>
      <w:widowControl w:val="0"/>
      <w:autoSpaceDE w:val="0"/>
      <w:autoSpaceDN w:val="0"/>
      <w:adjustRightInd w:val="0"/>
      <w:spacing w:line="360" w:lineRule="auto"/>
      <w:ind w:firstLine="482" w:firstLineChars="200"/>
    </w:pPr>
    <w:rPr>
      <w:rFonts w:ascii="宋体" w:hAnsi="宋体" w:eastAsia="宋体" w:cs="Times New Roman"/>
      <w:b/>
      <w:color w:val="000000"/>
      <w:sz w:val="24"/>
      <w:szCs w:val="24"/>
      <w:lang w:val="en-US" w:eastAsia="zh-CN" w:bidi="ar-SA"/>
    </w:rPr>
  </w:style>
  <w:style w:type="paragraph" w:customStyle="1" w:styleId="19">
    <w:name w:val="TOC 71"/>
    <w:next w:val="1"/>
    <w:qFormat/>
    <w:uiPriority w:val="0"/>
    <w:pPr>
      <w:spacing w:line="360" w:lineRule="auto"/>
      <w:ind w:firstLine="480" w:firstLineChars="200"/>
    </w:pPr>
    <w:rPr>
      <w:rFonts w:ascii="宋体" w:hAnsi="宋体" w:eastAsia="宋体" w:cs="Times New Roman"/>
      <w:sz w:val="24"/>
      <w:szCs w:val="24"/>
      <w:lang w:val="en-US" w:eastAsia="zh-CN" w:bidi="ar-SA"/>
    </w:rPr>
  </w:style>
  <w:style w:type="character" w:customStyle="1" w:styleId="20">
    <w:name w:val="font11"/>
    <w:basedOn w:val="14"/>
    <w:qFormat/>
    <w:uiPriority w:val="0"/>
    <w:rPr>
      <w:rFonts w:hint="eastAsia" w:ascii="宋体" w:hAnsi="宋体" w:eastAsia="宋体" w:cs="宋体"/>
      <w:color w:val="000000"/>
      <w:sz w:val="18"/>
      <w:szCs w:val="18"/>
      <w:u w:val="none"/>
    </w:rPr>
  </w:style>
  <w:style w:type="character" w:customStyle="1" w:styleId="21">
    <w:name w:val="font21"/>
    <w:basedOn w:val="14"/>
    <w:qFormat/>
    <w:uiPriority w:val="0"/>
    <w:rPr>
      <w:rFonts w:hint="eastAsia" w:ascii="宋体" w:hAnsi="宋体" w:eastAsia="宋体" w:cs="宋体"/>
      <w:color w:val="000000"/>
      <w:sz w:val="18"/>
      <w:szCs w:val="18"/>
      <w:u w:val="none"/>
    </w:rPr>
  </w:style>
  <w:style w:type="paragraph" w:styleId="22">
    <w:name w:val="List Paragraph"/>
    <w:basedOn w:val="1"/>
    <w:link w:val="25"/>
    <w:qFormat/>
    <w:uiPriority w:val="34"/>
    <w:pPr>
      <w:numPr>
        <w:ilvl w:val="0"/>
        <w:numId w:val="1"/>
      </w:numPr>
      <w:jc w:val="left"/>
    </w:pPr>
    <w:rPr>
      <w:b/>
      <w:kern w:val="0"/>
      <w:sz w:val="32"/>
    </w:rPr>
  </w:style>
  <w:style w:type="character" w:customStyle="1" w:styleId="23">
    <w:name w:val="批注文字 Char"/>
    <w:basedOn w:val="14"/>
    <w:link w:val="4"/>
    <w:qFormat/>
    <w:uiPriority w:val="99"/>
    <w:rPr>
      <w:rFonts w:ascii="Times New Roman" w:hAnsi="Times New Roman" w:eastAsia="宋体" w:cs="Times New Roman"/>
      <w:kern w:val="2"/>
      <w:sz w:val="24"/>
      <w:szCs w:val="21"/>
    </w:rPr>
  </w:style>
  <w:style w:type="character" w:customStyle="1" w:styleId="24">
    <w:name w:val="批注框文本 Char"/>
    <w:basedOn w:val="14"/>
    <w:link w:val="6"/>
    <w:qFormat/>
    <w:uiPriority w:val="0"/>
    <w:rPr>
      <w:kern w:val="2"/>
      <w:sz w:val="18"/>
      <w:szCs w:val="18"/>
    </w:rPr>
  </w:style>
  <w:style w:type="character" w:customStyle="1" w:styleId="25">
    <w:name w:val="列出段落 Char"/>
    <w:link w:val="22"/>
    <w:qFormat/>
    <w:uiPriority w:val="34"/>
    <w:rPr>
      <w:rFonts w:ascii="宋体" w:hAnsi="宋体" w:cs="Times New Roman"/>
      <w:b/>
      <w:sz w:val="32"/>
      <w:szCs w:val="24"/>
    </w:rPr>
  </w:style>
  <w:style w:type="character" w:customStyle="1" w:styleId="26">
    <w:name w:val="副标题 Char"/>
    <w:basedOn w:val="14"/>
    <w:link w:val="9"/>
    <w:qFormat/>
    <w:uiPriority w:val="0"/>
    <w:rPr>
      <w:rFonts w:ascii="宋体" w:hAnsi="宋体" w:cs="宋体"/>
      <w:b/>
      <w:bCs/>
      <w:kern w:val="28"/>
      <w:sz w:val="36"/>
      <w:szCs w:val="24"/>
    </w:rPr>
  </w:style>
  <w:style w:type="character" w:customStyle="1" w:styleId="27">
    <w:name w:val="font51"/>
    <w:qFormat/>
    <w:uiPriority w:val="0"/>
    <w:rPr>
      <w:rFonts w:hint="eastAsia" w:ascii="宋体" w:hAnsi="宋体" w:eastAsia="宋体" w:cs="宋体"/>
      <w:color w:val="000000"/>
      <w:sz w:val="20"/>
      <w:szCs w:val="20"/>
      <w:u w:val="none"/>
    </w:rPr>
  </w:style>
  <w:style w:type="character" w:customStyle="1" w:styleId="28">
    <w:name w:val="批注主题 Char"/>
    <w:basedOn w:val="23"/>
    <w:link w:val="11"/>
    <w:qFormat/>
    <w:uiPriority w:val="0"/>
    <w:rPr>
      <w:rFonts w:ascii="Times New Roman" w:hAnsi="Times New Roman" w:eastAsia="宋体" w:cs="Times New Roman"/>
      <w:b/>
      <w:bCs/>
      <w:kern w:val="2"/>
      <w:sz w:val="21"/>
      <w:szCs w:val="24"/>
    </w:rPr>
  </w:style>
  <w:style w:type="paragraph" w:customStyle="1" w:styleId="29">
    <w:name w:val="Table Paragraph"/>
    <w:basedOn w:val="1"/>
    <w:qFormat/>
    <w:uiPriority w:val="1"/>
    <w:rPr>
      <w:rFonts w:ascii="宋体" w:hAnsi="宋体" w:cs="宋体"/>
      <w:lang w:val="zh-CN" w:bidi="zh-CN"/>
    </w:rPr>
  </w:style>
  <w:style w:type="character" w:customStyle="1" w:styleId="30">
    <w:name w:val="font31"/>
    <w:basedOn w:val="14"/>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2056</Words>
  <Characters>2364</Characters>
  <Paragraphs>399</Paragraphs>
  <TotalTime>15</TotalTime>
  <ScaleCrop>false</ScaleCrop>
  <LinksUpToDate>false</LinksUpToDate>
  <CharactersWithSpaces>2393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2024-07-10T02:14:00Z</dcterms:created>
  <dc:creator>22336</dc:creator>
  <cp:lastModifiedBy>DZ</cp:lastModifiedBy>
  <cp:lastPrinted>2024-07-08T01:11:00Z</cp:lastPrinted>
  <dcterms:modified xsi:type="dcterms:W3CDTF">2025-04-28T06:20:42Z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4D82AE9C007440F2ACF620DB313DC6F9_13</vt:lpwstr>
  </property>
  <property fmtid="{D5CDD505-2E9C-101B-9397-08002B2CF9AE}" pid="4" name="KSOTemplateDocerSaveRecord">
    <vt:lpwstr>eyJoZGlkIjoiOGNiZDU5MmMxMjE4MDlmNTFkZjRjYmM1MDU3ZDY4ZDAiLCJ1c2VySWQiOiIzNDQ3NDg0ODQifQ==</vt:lpwstr>
  </property>
</Properties>
</file>