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50357">
      <w:pPr>
        <w:pStyle w:val="2"/>
        <w:jc w:val="center"/>
      </w:pPr>
      <w:r>
        <w:rPr>
          <w:rFonts w:hint="eastAsia"/>
        </w:rPr>
        <w:t>赵巷镇金葫芦小区雨污水管网养护采购项目招标方案</w:t>
      </w:r>
    </w:p>
    <w:p w14:paraId="67E99795">
      <w:pPr>
        <w:jc w:val="center"/>
        <w:rPr>
          <w:sz w:val="36"/>
          <w:szCs w:val="36"/>
        </w:rPr>
      </w:pPr>
    </w:p>
    <w:p w14:paraId="26D3D092">
      <w:pPr>
        <w:spacing w:line="560" w:lineRule="exact"/>
        <w:ind w:firstLine="420" w:firstLineChars="200"/>
        <w:rPr>
          <w:rFonts w:ascii="宋体" w:hAnsi="宋体" w:cs="仿宋_GB2312"/>
          <w:sz w:val="21"/>
          <w:szCs w:val="21"/>
        </w:rPr>
      </w:pPr>
      <w:r>
        <w:rPr>
          <w:rFonts w:hint="eastAsia" w:ascii="宋体" w:hAnsi="宋体" w:cs="仿宋_GB2312"/>
          <w:sz w:val="21"/>
          <w:szCs w:val="21"/>
        </w:rPr>
        <w:t>一、立项依据</w:t>
      </w:r>
    </w:p>
    <w:p w14:paraId="33497CB9">
      <w:pPr>
        <w:spacing w:line="560" w:lineRule="exact"/>
        <w:ind w:firstLine="420" w:firstLineChars="200"/>
        <w:rPr>
          <w:rFonts w:ascii="宋体" w:hAnsi="宋体"/>
          <w:sz w:val="21"/>
          <w:szCs w:val="21"/>
        </w:rPr>
      </w:pPr>
      <w:r>
        <w:rPr>
          <w:rFonts w:ascii="宋体" w:hAnsi="宋体"/>
          <w:sz w:val="21"/>
          <w:szCs w:val="21"/>
        </w:rPr>
        <w:t>为进一步做好</w:t>
      </w:r>
      <w:r>
        <w:rPr>
          <w:rFonts w:hint="eastAsia" w:ascii="宋体" w:hAnsi="宋体"/>
          <w:sz w:val="21"/>
          <w:szCs w:val="21"/>
        </w:rPr>
        <w:t>金葫芦小区</w:t>
      </w:r>
      <w:r>
        <w:rPr>
          <w:rFonts w:ascii="宋体" w:hAnsi="宋体"/>
          <w:sz w:val="21"/>
          <w:szCs w:val="21"/>
        </w:rPr>
        <w:t>雨</w:t>
      </w:r>
      <w:r>
        <w:rPr>
          <w:rFonts w:hint="eastAsia" w:ascii="宋体" w:hAnsi="宋体"/>
          <w:sz w:val="21"/>
          <w:szCs w:val="21"/>
        </w:rPr>
        <w:t>污</w:t>
      </w:r>
      <w:r>
        <w:rPr>
          <w:rFonts w:ascii="宋体" w:hAnsi="宋体"/>
          <w:sz w:val="21"/>
          <w:szCs w:val="21"/>
        </w:rPr>
        <w:t>水设施运行，保障</w:t>
      </w:r>
      <w:r>
        <w:rPr>
          <w:rFonts w:hint="eastAsia" w:ascii="宋体" w:hAnsi="宋体"/>
          <w:sz w:val="21"/>
          <w:szCs w:val="21"/>
        </w:rPr>
        <w:t>小区内</w:t>
      </w:r>
      <w:r>
        <w:rPr>
          <w:rFonts w:ascii="宋体" w:hAnsi="宋体"/>
          <w:sz w:val="21"/>
          <w:szCs w:val="21"/>
        </w:rPr>
        <w:t>防汛安全，计划对</w:t>
      </w:r>
      <w:r>
        <w:rPr>
          <w:rFonts w:hint="eastAsia" w:ascii="宋体" w:hAnsi="宋体"/>
          <w:sz w:val="21"/>
          <w:szCs w:val="21"/>
        </w:rPr>
        <w:t>金葫芦小区</w:t>
      </w:r>
      <w:r>
        <w:rPr>
          <w:rFonts w:ascii="宋体" w:hAnsi="宋体"/>
          <w:sz w:val="21"/>
          <w:szCs w:val="21"/>
        </w:rPr>
        <w:t>雨</w:t>
      </w:r>
      <w:r>
        <w:rPr>
          <w:rFonts w:hint="eastAsia" w:ascii="宋体" w:hAnsi="宋体"/>
          <w:sz w:val="21"/>
          <w:szCs w:val="21"/>
        </w:rPr>
        <w:t>污</w:t>
      </w:r>
      <w:r>
        <w:rPr>
          <w:rFonts w:ascii="宋体" w:hAnsi="宋体"/>
          <w:sz w:val="21"/>
          <w:szCs w:val="21"/>
        </w:rPr>
        <w:t>水管道及附属设施开展养护，具体文件依据如下：</w:t>
      </w:r>
    </w:p>
    <w:p w14:paraId="633D6C49">
      <w:pPr>
        <w:spacing w:line="560" w:lineRule="exact"/>
        <w:ind w:firstLine="420" w:firstLineChars="200"/>
        <w:rPr>
          <w:rFonts w:ascii="宋体" w:hAnsi="宋体"/>
          <w:sz w:val="21"/>
          <w:szCs w:val="21"/>
        </w:rPr>
      </w:pPr>
      <w:r>
        <w:rPr>
          <w:rFonts w:ascii="宋体" w:hAnsi="宋体"/>
          <w:sz w:val="21"/>
          <w:szCs w:val="21"/>
        </w:rPr>
        <w:t>1.《上海市河长制办公室关于印发&lt;进一步加强排水管网维护监管工作的指导意见&gt;的通知》（沪河长办〔2022〕14号）；</w:t>
      </w:r>
    </w:p>
    <w:p w14:paraId="2B856D44">
      <w:pPr>
        <w:spacing w:line="560" w:lineRule="exact"/>
        <w:ind w:firstLine="420" w:firstLineChars="200"/>
        <w:rPr>
          <w:rFonts w:ascii="宋体" w:hAnsi="宋体"/>
          <w:sz w:val="21"/>
          <w:szCs w:val="21"/>
        </w:rPr>
      </w:pPr>
      <w:r>
        <w:rPr>
          <w:rFonts w:ascii="宋体" w:hAnsi="宋体"/>
          <w:sz w:val="21"/>
          <w:szCs w:val="21"/>
        </w:rPr>
        <w:t>2.《关于加快推进排水管道安全排查整治工作的通知》（沪排管〔2022〕10号）；</w:t>
      </w:r>
    </w:p>
    <w:p w14:paraId="7B372DEA">
      <w:pPr>
        <w:spacing w:line="560" w:lineRule="exact"/>
        <w:ind w:firstLine="420" w:firstLineChars="200"/>
        <w:rPr>
          <w:rFonts w:ascii="宋体" w:hAnsi="宋体"/>
          <w:sz w:val="21"/>
          <w:szCs w:val="21"/>
        </w:rPr>
      </w:pPr>
      <w:r>
        <w:rPr>
          <w:rFonts w:ascii="宋体" w:hAnsi="宋体"/>
          <w:sz w:val="21"/>
          <w:szCs w:val="21"/>
        </w:rPr>
        <w:t>3.《上海市水务局关于加快本市排水管道监测、修复和改造工作的意见》（沪水务〔2022〕128号）</w:t>
      </w:r>
      <w:bookmarkStart w:id="0" w:name="_Hlk155176178"/>
      <w:r>
        <w:rPr>
          <w:rFonts w:ascii="宋体" w:hAnsi="宋体"/>
          <w:sz w:val="21"/>
          <w:szCs w:val="21"/>
        </w:rPr>
        <w:t>；</w:t>
      </w:r>
    </w:p>
    <w:p w14:paraId="12496D1C">
      <w:pPr>
        <w:spacing w:line="560" w:lineRule="exact"/>
        <w:ind w:firstLine="420" w:firstLineChars="200"/>
        <w:rPr>
          <w:rFonts w:ascii="宋体" w:hAnsi="宋体"/>
          <w:sz w:val="21"/>
          <w:szCs w:val="21"/>
        </w:rPr>
      </w:pPr>
      <w:r>
        <w:rPr>
          <w:rFonts w:ascii="宋体" w:hAnsi="宋体"/>
          <w:sz w:val="21"/>
          <w:szCs w:val="21"/>
        </w:rPr>
        <w:t>4.《关于印发&lt;上海市“排水清管”专项行动方案&gt;的通知》（沪汛办〔2023〕32号）</w:t>
      </w:r>
      <w:bookmarkEnd w:id="0"/>
      <w:r>
        <w:rPr>
          <w:rFonts w:ascii="宋体" w:hAnsi="宋体"/>
          <w:sz w:val="21"/>
          <w:szCs w:val="21"/>
        </w:rPr>
        <w:t>；</w:t>
      </w:r>
    </w:p>
    <w:p w14:paraId="75827D98">
      <w:pPr>
        <w:spacing w:line="560" w:lineRule="exact"/>
        <w:ind w:firstLine="420" w:firstLineChars="200"/>
        <w:rPr>
          <w:rFonts w:ascii="宋体" w:hAnsi="宋体"/>
          <w:sz w:val="21"/>
          <w:szCs w:val="21"/>
        </w:rPr>
      </w:pPr>
      <w:r>
        <w:rPr>
          <w:rFonts w:ascii="宋体" w:hAnsi="宋体"/>
          <w:sz w:val="21"/>
          <w:szCs w:val="21"/>
        </w:rPr>
        <w:t>5.关于印发《青浦区“排水清管”专项行动工作方案》的通知（青汛部〔2023〕6号）；</w:t>
      </w:r>
    </w:p>
    <w:p w14:paraId="788D7950">
      <w:pPr>
        <w:spacing w:line="560" w:lineRule="exact"/>
        <w:ind w:firstLine="420" w:firstLineChars="200"/>
        <w:rPr>
          <w:rFonts w:ascii="宋体" w:hAnsi="宋体"/>
          <w:sz w:val="21"/>
          <w:szCs w:val="21"/>
        </w:rPr>
      </w:pPr>
      <w:r>
        <w:rPr>
          <w:rFonts w:ascii="宋体" w:hAnsi="宋体"/>
          <w:sz w:val="21"/>
          <w:szCs w:val="21"/>
        </w:rPr>
        <w:t>6.《上海市排水管道设施养护维修定额》。</w:t>
      </w:r>
    </w:p>
    <w:p w14:paraId="68C512DD">
      <w:pPr>
        <w:spacing w:line="560" w:lineRule="exact"/>
        <w:ind w:firstLine="420" w:firstLineChars="200"/>
        <w:rPr>
          <w:rFonts w:ascii="宋体" w:hAnsi="宋体" w:cs="仿宋_GB2312"/>
          <w:sz w:val="21"/>
          <w:szCs w:val="21"/>
        </w:rPr>
      </w:pPr>
      <w:r>
        <w:rPr>
          <w:rFonts w:hint="eastAsia" w:ascii="宋体" w:hAnsi="宋体" w:cs="仿宋_GB2312"/>
          <w:sz w:val="21"/>
          <w:szCs w:val="21"/>
        </w:rPr>
        <w:t>二、预算安排</w:t>
      </w:r>
    </w:p>
    <w:p w14:paraId="6130FF96">
      <w:pPr>
        <w:spacing w:line="560" w:lineRule="exact"/>
        <w:ind w:firstLine="420" w:firstLineChars="200"/>
        <w:rPr>
          <w:rFonts w:ascii="宋体" w:hAnsi="宋体"/>
          <w:strike/>
          <w:sz w:val="21"/>
          <w:szCs w:val="21"/>
        </w:rPr>
      </w:pPr>
      <w:r>
        <w:rPr>
          <w:rFonts w:ascii="宋体" w:hAnsi="宋体"/>
          <w:sz w:val="21"/>
          <w:szCs w:val="21"/>
        </w:rPr>
        <w:t>1.本项目预算安排资金</w:t>
      </w:r>
      <w:r>
        <w:rPr>
          <w:rFonts w:hint="eastAsia" w:ascii="宋体" w:hAnsi="宋体" w:eastAsia="宋体" w:cs="Times New Roman"/>
          <w:sz w:val="21"/>
          <w:szCs w:val="21"/>
        </w:rPr>
        <w:t>495.293</w:t>
      </w:r>
      <w:r>
        <w:rPr>
          <w:rFonts w:hint="eastAsia" w:ascii="宋体" w:hAnsi="宋体" w:eastAsia="宋体" w:cs="Times New Roman"/>
          <w:sz w:val="21"/>
          <w:szCs w:val="21"/>
          <w:lang w:val="en-US" w:eastAsia="zh-CN"/>
        </w:rPr>
        <w:t>5</w:t>
      </w:r>
      <w:bookmarkStart w:id="4" w:name="_GoBack"/>
      <w:bookmarkEnd w:id="4"/>
      <w:r>
        <w:rPr>
          <w:rFonts w:ascii="宋体" w:hAnsi="宋体"/>
          <w:sz w:val="21"/>
          <w:szCs w:val="21"/>
        </w:rPr>
        <w:t>万元，超过预算金额的（包括单项预算金额的）报价不予接受。</w:t>
      </w:r>
    </w:p>
    <w:p w14:paraId="3DC624A6">
      <w:pPr>
        <w:ind w:firstLine="420" w:firstLineChars="200"/>
        <w:rPr>
          <w:rFonts w:ascii="宋体" w:hAnsi="宋体"/>
          <w:b/>
          <w:sz w:val="21"/>
          <w:szCs w:val="21"/>
        </w:rPr>
        <w:sectPr>
          <w:pgSz w:w="11906" w:h="16838"/>
          <w:pgMar w:top="851" w:right="1800" w:bottom="851" w:left="1800" w:header="851" w:footer="992" w:gutter="0"/>
          <w:cols w:space="425" w:num="1"/>
          <w:docGrid w:type="lines" w:linePitch="312" w:charSpace="0"/>
        </w:sectPr>
      </w:pPr>
      <w:r>
        <w:rPr>
          <w:rFonts w:ascii="宋体" w:hAnsi="宋体"/>
          <w:sz w:val="21"/>
          <w:szCs w:val="21"/>
        </w:rPr>
        <w:t>2.本项目采用一次采购三年享用，分年签订合同模式。项目中标通知书发出后，业主单位与中标单位按照项目招投标结果签订第一年度合同。之后，在上一年度合同到期后，业主单位对中标单位的工作进行考核，考核通过的，双方续签下一年度合同。第二年和第三年签订的采购合同价原则上不得高于招标时所确定的第一年度合同价格。如中标单位年度考核未通过，或者项目内容及价格变动较大、低于或超过招标时所确定的第一年度合同金额10%的，则上一年度合同到期后，双方不再续签下一年度合同，本项目招标结果也不再有效。</w:t>
      </w:r>
    </w:p>
    <w:tbl>
      <w:tblPr>
        <w:tblStyle w:val="22"/>
        <w:tblW w:w="16560" w:type="dxa"/>
        <w:tblInd w:w="93" w:type="dxa"/>
        <w:tblLayout w:type="autofit"/>
        <w:tblCellMar>
          <w:top w:w="0" w:type="dxa"/>
          <w:left w:w="108" w:type="dxa"/>
          <w:bottom w:w="0" w:type="dxa"/>
          <w:right w:w="108" w:type="dxa"/>
        </w:tblCellMar>
      </w:tblPr>
      <w:tblGrid>
        <w:gridCol w:w="1465"/>
        <w:gridCol w:w="2232"/>
        <w:gridCol w:w="3153"/>
        <w:gridCol w:w="2232"/>
        <w:gridCol w:w="2232"/>
        <w:gridCol w:w="1158"/>
        <w:gridCol w:w="1158"/>
        <w:gridCol w:w="1158"/>
        <w:gridCol w:w="1772"/>
      </w:tblGrid>
      <w:tr w14:paraId="16D2A7F0">
        <w:tblPrEx>
          <w:tblCellMar>
            <w:top w:w="0" w:type="dxa"/>
            <w:left w:w="108" w:type="dxa"/>
            <w:bottom w:w="0" w:type="dxa"/>
            <w:right w:w="108" w:type="dxa"/>
          </w:tblCellMar>
        </w:tblPrEx>
        <w:trPr>
          <w:trHeight w:val="540" w:hRule="atLeast"/>
        </w:trPr>
        <w:tc>
          <w:tcPr>
            <w:tcW w:w="16560" w:type="dxa"/>
            <w:gridSpan w:val="9"/>
            <w:tcBorders>
              <w:top w:val="nil"/>
              <w:left w:val="nil"/>
              <w:bottom w:val="nil"/>
              <w:right w:val="nil"/>
            </w:tcBorders>
            <w:shd w:val="clear" w:color="auto" w:fill="auto"/>
            <w:noWrap/>
            <w:vAlign w:val="center"/>
          </w:tcPr>
          <w:p w14:paraId="5651CFE3">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赵巷镇金葫芦小区雨污水管网日常养护工作量</w:t>
            </w:r>
          </w:p>
        </w:tc>
      </w:tr>
      <w:tr w14:paraId="563CC147">
        <w:tblPrEx>
          <w:tblCellMar>
            <w:top w:w="0" w:type="dxa"/>
            <w:left w:w="108" w:type="dxa"/>
            <w:bottom w:w="0" w:type="dxa"/>
            <w:right w:w="108" w:type="dxa"/>
          </w:tblCellMar>
        </w:tblPrEx>
        <w:trPr>
          <w:trHeight w:val="520" w:hRule="atLeast"/>
        </w:trPr>
        <w:tc>
          <w:tcPr>
            <w:tcW w:w="0" w:type="auto"/>
            <w:tcBorders>
              <w:top w:val="nil"/>
              <w:left w:val="nil"/>
              <w:bottom w:val="nil"/>
              <w:right w:val="nil"/>
            </w:tcBorders>
            <w:shd w:val="clear" w:color="auto" w:fill="auto"/>
            <w:noWrap/>
            <w:vAlign w:val="center"/>
          </w:tcPr>
          <w:p w14:paraId="72E20EA2">
            <w:pPr>
              <w:jc w:val="center"/>
              <w:rPr>
                <w:rFonts w:ascii="宋体" w:hAnsi="宋体" w:eastAsia="宋体" w:cs="宋体"/>
                <w:color w:val="000000"/>
                <w:sz w:val="21"/>
                <w:szCs w:val="21"/>
              </w:rPr>
            </w:pPr>
          </w:p>
        </w:tc>
        <w:tc>
          <w:tcPr>
            <w:tcW w:w="0" w:type="auto"/>
            <w:tcBorders>
              <w:top w:val="nil"/>
              <w:left w:val="nil"/>
              <w:bottom w:val="nil"/>
              <w:right w:val="nil"/>
            </w:tcBorders>
            <w:shd w:val="clear" w:color="auto" w:fill="auto"/>
            <w:noWrap/>
            <w:vAlign w:val="center"/>
          </w:tcPr>
          <w:p w14:paraId="7BC0DF2B">
            <w:pPr>
              <w:jc w:val="center"/>
              <w:rPr>
                <w:rFonts w:ascii="宋体" w:hAnsi="宋体" w:eastAsia="宋体" w:cs="宋体"/>
                <w:color w:val="000000"/>
                <w:sz w:val="21"/>
                <w:szCs w:val="21"/>
              </w:rPr>
            </w:pPr>
          </w:p>
        </w:tc>
        <w:tc>
          <w:tcPr>
            <w:tcW w:w="0" w:type="auto"/>
            <w:tcBorders>
              <w:top w:val="nil"/>
              <w:left w:val="nil"/>
              <w:bottom w:val="nil"/>
              <w:right w:val="nil"/>
            </w:tcBorders>
            <w:shd w:val="clear" w:color="auto" w:fill="auto"/>
            <w:noWrap/>
            <w:vAlign w:val="center"/>
          </w:tcPr>
          <w:p w14:paraId="03275BF7">
            <w:pPr>
              <w:jc w:val="center"/>
              <w:rPr>
                <w:rFonts w:ascii="宋体" w:hAnsi="宋体" w:eastAsia="宋体" w:cs="宋体"/>
                <w:color w:val="000000"/>
                <w:sz w:val="21"/>
                <w:szCs w:val="21"/>
              </w:rPr>
            </w:pPr>
          </w:p>
        </w:tc>
        <w:tc>
          <w:tcPr>
            <w:tcW w:w="0" w:type="auto"/>
            <w:tcBorders>
              <w:top w:val="nil"/>
              <w:left w:val="nil"/>
              <w:bottom w:val="nil"/>
              <w:right w:val="nil"/>
            </w:tcBorders>
            <w:shd w:val="clear" w:color="auto" w:fill="auto"/>
            <w:noWrap/>
            <w:vAlign w:val="center"/>
          </w:tcPr>
          <w:p w14:paraId="1D117135">
            <w:pPr>
              <w:jc w:val="center"/>
              <w:rPr>
                <w:rFonts w:ascii="宋体" w:hAnsi="宋体" w:eastAsia="宋体" w:cs="宋体"/>
                <w:color w:val="000000"/>
                <w:sz w:val="21"/>
                <w:szCs w:val="21"/>
              </w:rPr>
            </w:pPr>
          </w:p>
        </w:tc>
        <w:tc>
          <w:tcPr>
            <w:tcW w:w="0" w:type="auto"/>
            <w:tcBorders>
              <w:top w:val="nil"/>
              <w:left w:val="nil"/>
              <w:bottom w:val="nil"/>
              <w:right w:val="nil"/>
            </w:tcBorders>
            <w:shd w:val="clear" w:color="auto" w:fill="auto"/>
            <w:noWrap/>
            <w:vAlign w:val="center"/>
          </w:tcPr>
          <w:p w14:paraId="513F5F81">
            <w:pPr>
              <w:jc w:val="center"/>
              <w:rPr>
                <w:rFonts w:ascii="宋体" w:hAnsi="宋体" w:eastAsia="宋体" w:cs="宋体"/>
                <w:color w:val="000000"/>
                <w:sz w:val="21"/>
                <w:szCs w:val="21"/>
              </w:rPr>
            </w:pPr>
          </w:p>
        </w:tc>
        <w:tc>
          <w:tcPr>
            <w:tcW w:w="0" w:type="auto"/>
            <w:tcBorders>
              <w:top w:val="nil"/>
              <w:left w:val="nil"/>
              <w:bottom w:val="nil"/>
              <w:right w:val="nil"/>
            </w:tcBorders>
            <w:shd w:val="clear" w:color="auto" w:fill="auto"/>
            <w:noWrap/>
            <w:vAlign w:val="center"/>
          </w:tcPr>
          <w:p w14:paraId="1EC09A15">
            <w:pPr>
              <w:jc w:val="center"/>
              <w:rPr>
                <w:rFonts w:ascii="宋体" w:hAnsi="宋体" w:eastAsia="宋体" w:cs="宋体"/>
                <w:color w:val="000000"/>
                <w:sz w:val="21"/>
                <w:szCs w:val="21"/>
              </w:rPr>
            </w:pPr>
          </w:p>
        </w:tc>
        <w:tc>
          <w:tcPr>
            <w:tcW w:w="0" w:type="auto"/>
            <w:gridSpan w:val="3"/>
            <w:tcBorders>
              <w:top w:val="nil"/>
              <w:left w:val="nil"/>
              <w:bottom w:val="nil"/>
              <w:right w:val="nil"/>
            </w:tcBorders>
            <w:shd w:val="clear" w:color="auto" w:fill="auto"/>
            <w:noWrap/>
            <w:vAlign w:val="center"/>
          </w:tcPr>
          <w:p w14:paraId="1B44C323">
            <w:pPr>
              <w:widowControl/>
              <w:jc w:val="righ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单位：米</w:t>
            </w:r>
          </w:p>
        </w:tc>
      </w:tr>
      <w:tr w14:paraId="4CF42F8D">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017B7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小区编号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15A4B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污水总管</w:t>
            </w:r>
            <w:r>
              <w:rPr>
                <w:rStyle w:val="110"/>
                <w:rFonts w:hint="default"/>
                <w:sz w:val="21"/>
                <w:szCs w:val="21"/>
                <w:lang w:bidi="ar"/>
              </w:rPr>
              <w:t>Ф</w:t>
            </w:r>
            <w:r>
              <w:rPr>
                <w:rStyle w:val="111"/>
                <w:rFonts w:hint="default"/>
                <w:sz w:val="21"/>
                <w:szCs w:val="21"/>
                <w:lang w:bidi="ar"/>
              </w:rPr>
              <w:t>300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00D8F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雨水总管</w:t>
            </w:r>
            <w:r>
              <w:rPr>
                <w:rStyle w:val="110"/>
                <w:rFonts w:hint="default"/>
                <w:sz w:val="21"/>
                <w:szCs w:val="21"/>
                <w:lang w:bidi="ar"/>
              </w:rPr>
              <w:t>Ф</w:t>
            </w:r>
            <w:r>
              <w:rPr>
                <w:rStyle w:val="111"/>
                <w:rFonts w:hint="default"/>
                <w:sz w:val="21"/>
                <w:szCs w:val="21"/>
                <w:lang w:bidi="ar"/>
              </w:rPr>
              <w:t>500-</w:t>
            </w:r>
            <w:r>
              <w:rPr>
                <w:rStyle w:val="110"/>
                <w:rFonts w:hint="default"/>
                <w:sz w:val="21"/>
                <w:szCs w:val="21"/>
                <w:lang w:bidi="ar"/>
              </w:rPr>
              <w:t>Ф</w:t>
            </w:r>
            <w:r>
              <w:rPr>
                <w:rStyle w:val="111"/>
                <w:rFonts w:hint="default"/>
                <w:sz w:val="21"/>
                <w:szCs w:val="21"/>
                <w:lang w:bidi="ar"/>
              </w:rPr>
              <w:t>300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5AB14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污水支管</w:t>
            </w:r>
            <w:r>
              <w:rPr>
                <w:rStyle w:val="110"/>
                <w:rFonts w:hint="default"/>
                <w:sz w:val="21"/>
                <w:szCs w:val="21"/>
                <w:lang w:bidi="ar"/>
              </w:rPr>
              <w:t>Ф</w:t>
            </w:r>
            <w:r>
              <w:rPr>
                <w:rStyle w:val="111"/>
                <w:rFonts w:hint="default"/>
                <w:sz w:val="21"/>
                <w:szCs w:val="21"/>
                <w:lang w:bidi="ar"/>
              </w:rPr>
              <w:t>225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61997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雨水支管</w:t>
            </w:r>
            <w:r>
              <w:rPr>
                <w:rStyle w:val="110"/>
                <w:rFonts w:hint="default"/>
                <w:sz w:val="21"/>
                <w:szCs w:val="21"/>
                <w:lang w:bidi="ar"/>
              </w:rPr>
              <w:t>Ф</w:t>
            </w:r>
            <w:r>
              <w:rPr>
                <w:rStyle w:val="111"/>
                <w:rFonts w:hint="default"/>
                <w:sz w:val="21"/>
                <w:szCs w:val="21"/>
                <w:lang w:bidi="ar"/>
              </w:rPr>
              <w:t>225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2A30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污水井</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EBF85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雨水井</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91557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雨水口</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1C0ED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雨水排放口</w:t>
            </w:r>
          </w:p>
        </w:tc>
      </w:tr>
      <w:tr w14:paraId="6C16E10F">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B64E8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一区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7284B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553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46F02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670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60912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4410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AF350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3234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41C6F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392</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407C694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148</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0AFCD75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25DCE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r>
      <w:tr w14:paraId="36714FED">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53157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二区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9D93F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55636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BD976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3060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0F06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2244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D8A7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272</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5FCE19D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002A797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60A8D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14:paraId="23DA448A">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F2ABB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三区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E7909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AD22A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649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6CEEC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4275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7ADFA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3135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FAA4E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380</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1CF3E58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201</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270B016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274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00A54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14:paraId="6AE951A7">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CBB48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D0787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572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A623A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468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7B9C1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7380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53E7C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5412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C85D8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656</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37031E9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468</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7FF170C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9B1B8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14:paraId="489CF9FA">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A21D2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五区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A3BD1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8C847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386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2053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5040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AEC9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3696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90A9A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448</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6C709E6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207</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15C5D27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568B5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14:paraId="0B3F49E1">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89984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六区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C6F47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473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2E3CC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3C21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4050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85112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2970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6BF2C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360</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4762CB7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21C2722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337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6ABC4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14:paraId="711E4429">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4E272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七区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9B258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573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5D413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837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32123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8235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7DBBD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6039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BC834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732</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6547871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439</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63E4CF2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476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571AB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w:t>
            </w:r>
          </w:p>
        </w:tc>
      </w:tr>
      <w:tr w14:paraId="1C44B0FC">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234B1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八区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F4121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1081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AC049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0BCEB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8010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FE5B9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5874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458FE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712</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79311B1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438</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76894C3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1DEB2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w:t>
            </w:r>
          </w:p>
        </w:tc>
      </w:tr>
      <w:tr w14:paraId="5CB65250">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1E265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九区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DE684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26940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D7F38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2835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CDA87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2079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9B8C0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252</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31636F4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71EDE0D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177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CF670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r>
      <w:tr w14:paraId="3E4F148C">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D352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3EBC0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F4511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184F2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3825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D2FA6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2805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BC51C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340</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1823D1B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439</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5B8A7CC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04697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14:paraId="47F5F2D2">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0B2C9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十一区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216A2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59383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1685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DEFD8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11475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19BB5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8415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15D08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1020</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1A98635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275</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4F7CC59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1F073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r>
      <w:tr w14:paraId="15A63E36">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B7061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十二区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45115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480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4BE6F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759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2BDB1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7470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0C02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5478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D0976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664</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01EF187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78D92F1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51C9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14:paraId="7DF44D83">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88330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十三区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218D3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F0212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1F1B9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2925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E3FFA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4E6C7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260</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4B28706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652F4FA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291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C67E1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w:t>
            </w:r>
          </w:p>
        </w:tc>
      </w:tr>
      <w:tr w14:paraId="3F3C61B0">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C3EB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十四区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54F96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688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A35AC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E029A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5535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2F3F4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4059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58AB7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127</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70D9294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350</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1B72CC6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25B48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0</w:t>
            </w:r>
          </w:p>
        </w:tc>
      </w:tr>
      <w:tr w14:paraId="02928D40">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8DF30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十五区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E12C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931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1E9BD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593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33CDE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7965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4129B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5841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04009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708</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4F98C53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393</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14:paraId="2492E02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492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A9EF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p>
        </w:tc>
      </w:tr>
      <w:tr w14:paraId="65C740FC">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371A2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十六区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A4733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168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ECC7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370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72F0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7920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6EFF2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5808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8E42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704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9D837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595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212F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285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110CD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r>
      <w:tr w14:paraId="05F92342">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4A682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水产新村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0181D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285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54872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1497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74B05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6537C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2AD32F">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99B7A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5F7A6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278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57BC7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14:paraId="09A91F38">
        <w:tblPrEx>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2E2F17">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总量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84445B">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9218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2DBE04">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10790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B8C094">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96425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11DC4A">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69531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2D6E2C">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8291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2B1A3C">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4606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213EA4">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6750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BFC2FF">
            <w:pPr>
              <w:widowControl/>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39</w:t>
            </w:r>
          </w:p>
        </w:tc>
      </w:tr>
    </w:tbl>
    <w:p w14:paraId="7FE06A19">
      <w:pPr>
        <w:rPr>
          <w:sz w:val="21"/>
          <w:szCs w:val="21"/>
        </w:rPr>
        <w:sectPr>
          <w:pgSz w:w="16840" w:h="11907" w:orient="landscape"/>
          <w:pgMar w:top="851" w:right="1440" w:bottom="1418" w:left="284" w:header="851" w:footer="992" w:gutter="0"/>
          <w:cols w:space="425" w:num="1"/>
          <w:docGrid w:type="linesAndChars" w:linePitch="312" w:charSpace="0"/>
        </w:sectPr>
      </w:pPr>
      <w:r>
        <w:rPr>
          <w:rFonts w:hint="eastAsia"/>
          <w:sz w:val="21"/>
          <w:szCs w:val="21"/>
        </w:rPr>
        <w:t>备注：本项目养护作业对象原则上已现有管道清单作为基础，养护周期内，存在统计漏项或业主单位另行接管新增加路段及相关设施（或减少设施），调整设施量由中标单位无条件接受养护作业。</w:t>
      </w:r>
    </w:p>
    <w:p w14:paraId="05C8CB2F">
      <w:pPr>
        <w:rPr>
          <w:rFonts w:ascii="宋体" w:hAnsi="宋体"/>
          <w:b/>
          <w:sz w:val="21"/>
          <w:szCs w:val="21"/>
        </w:rPr>
      </w:pPr>
    </w:p>
    <w:p w14:paraId="1E62374A">
      <w:pPr>
        <w:spacing w:line="560" w:lineRule="exact"/>
        <w:ind w:firstLine="422" w:firstLineChars="200"/>
        <w:rPr>
          <w:rFonts w:ascii="宋体" w:hAnsi="宋体"/>
          <w:b/>
          <w:bCs/>
          <w:sz w:val="21"/>
          <w:szCs w:val="21"/>
        </w:rPr>
      </w:pPr>
      <w:bookmarkStart w:id="1" w:name="_Toc473031578"/>
      <w:r>
        <w:rPr>
          <w:rFonts w:ascii="宋体" w:hAnsi="宋体"/>
          <w:b/>
          <w:bCs/>
          <w:sz w:val="21"/>
          <w:szCs w:val="21"/>
        </w:rPr>
        <w:t>（二）设施量</w:t>
      </w:r>
    </w:p>
    <w:p w14:paraId="6757865B">
      <w:pPr>
        <w:spacing w:line="560" w:lineRule="exact"/>
        <w:ind w:firstLine="420" w:firstLineChars="200"/>
        <w:rPr>
          <w:rFonts w:ascii="宋体" w:hAnsi="宋体"/>
          <w:sz w:val="21"/>
          <w:szCs w:val="21"/>
        </w:rPr>
      </w:pPr>
      <w:r>
        <w:rPr>
          <w:rFonts w:hint="eastAsia" w:ascii="宋体" w:hAnsi="宋体"/>
          <w:sz w:val="21"/>
          <w:szCs w:val="21"/>
        </w:rPr>
        <w:t>2025年赵巷镇金葫芦小区和水产新村内雨水主管10.79公里，污水主管9.218公里。雨水支管69.531公里，污水支管96.425公里；管径均＜600。雨水井4606座，雨水口6750个。污水井8291座。排水口39个。小型地下雨水提升泵站2座，小型地下污水泵站1座。</w:t>
      </w:r>
    </w:p>
    <w:p w14:paraId="0A502F39">
      <w:pPr>
        <w:snapToGrid w:val="0"/>
        <w:spacing w:line="560" w:lineRule="exact"/>
        <w:ind w:firstLine="422" w:firstLineChars="200"/>
        <w:rPr>
          <w:rFonts w:ascii="宋体" w:hAnsi="宋体"/>
          <w:b/>
          <w:bCs/>
          <w:sz w:val="21"/>
          <w:szCs w:val="21"/>
        </w:rPr>
      </w:pPr>
      <w:r>
        <w:rPr>
          <w:rFonts w:ascii="宋体" w:hAnsi="宋体"/>
          <w:b/>
          <w:bCs/>
          <w:sz w:val="21"/>
          <w:szCs w:val="21"/>
        </w:rPr>
        <w:t>（三）工作内容</w:t>
      </w:r>
      <w:r>
        <w:rPr>
          <w:rFonts w:hint="eastAsia" w:ascii="宋体" w:hAnsi="宋体"/>
          <w:b/>
          <w:bCs/>
          <w:sz w:val="21"/>
          <w:szCs w:val="21"/>
        </w:rPr>
        <w:t>（每年）</w:t>
      </w:r>
    </w:p>
    <w:tbl>
      <w:tblPr>
        <w:tblStyle w:val="22"/>
        <w:tblW w:w="4854" w:type="pct"/>
        <w:jc w:val="center"/>
        <w:tblLayout w:type="autofit"/>
        <w:tblCellMar>
          <w:top w:w="0" w:type="dxa"/>
          <w:left w:w="108" w:type="dxa"/>
          <w:bottom w:w="0" w:type="dxa"/>
          <w:right w:w="108" w:type="dxa"/>
        </w:tblCellMar>
      </w:tblPr>
      <w:tblGrid>
        <w:gridCol w:w="876"/>
        <w:gridCol w:w="2229"/>
        <w:gridCol w:w="859"/>
        <w:gridCol w:w="1312"/>
        <w:gridCol w:w="1275"/>
        <w:gridCol w:w="1480"/>
        <w:gridCol w:w="893"/>
      </w:tblGrid>
      <w:tr w14:paraId="5EDDDC75">
        <w:tblPrEx>
          <w:tblCellMar>
            <w:top w:w="0" w:type="dxa"/>
            <w:left w:w="108" w:type="dxa"/>
            <w:bottom w:w="0" w:type="dxa"/>
            <w:right w:w="108" w:type="dxa"/>
          </w:tblCellMar>
        </w:tblPrEx>
        <w:trPr>
          <w:trHeight w:val="150" w:hRule="atLeast"/>
          <w:jc w:val="center"/>
        </w:trPr>
        <w:tc>
          <w:tcPr>
            <w:tcW w:w="491" w:type="pct"/>
            <w:tcBorders>
              <w:top w:val="single" w:color="000000" w:sz="8" w:space="0"/>
              <w:left w:val="single" w:color="000000" w:sz="8" w:space="0"/>
              <w:bottom w:val="single" w:color="auto" w:sz="4" w:space="0"/>
              <w:right w:val="single" w:color="000000" w:sz="8" w:space="0"/>
            </w:tcBorders>
            <w:shd w:val="clear" w:color="auto" w:fill="auto"/>
            <w:vAlign w:val="center"/>
          </w:tcPr>
          <w:p w14:paraId="2E17FC9D">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序号</w:t>
            </w:r>
          </w:p>
        </w:tc>
        <w:tc>
          <w:tcPr>
            <w:tcW w:w="1249" w:type="pct"/>
            <w:tcBorders>
              <w:top w:val="single" w:color="000000" w:sz="8" w:space="0"/>
              <w:left w:val="nil"/>
              <w:bottom w:val="single" w:color="auto" w:sz="4" w:space="0"/>
              <w:right w:val="single" w:color="000000" w:sz="8" w:space="0"/>
            </w:tcBorders>
            <w:shd w:val="clear" w:color="auto" w:fill="auto"/>
            <w:vAlign w:val="center"/>
          </w:tcPr>
          <w:p w14:paraId="33033CB0">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服务类型</w:t>
            </w:r>
          </w:p>
        </w:tc>
        <w:tc>
          <w:tcPr>
            <w:tcW w:w="481" w:type="pct"/>
            <w:tcBorders>
              <w:top w:val="single" w:color="000000" w:sz="8" w:space="0"/>
              <w:left w:val="nil"/>
              <w:bottom w:val="single" w:color="auto" w:sz="4" w:space="0"/>
              <w:right w:val="single" w:color="000000" w:sz="8" w:space="0"/>
            </w:tcBorders>
            <w:shd w:val="clear" w:color="auto" w:fill="auto"/>
            <w:vAlign w:val="center"/>
          </w:tcPr>
          <w:p w14:paraId="70676F13">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单位</w:t>
            </w:r>
          </w:p>
        </w:tc>
        <w:tc>
          <w:tcPr>
            <w:tcW w:w="735" w:type="pct"/>
            <w:tcBorders>
              <w:top w:val="single" w:color="000000" w:sz="8" w:space="0"/>
              <w:left w:val="nil"/>
              <w:bottom w:val="single" w:color="auto" w:sz="4" w:space="0"/>
              <w:right w:val="single" w:color="000000" w:sz="8" w:space="0"/>
            </w:tcBorders>
            <w:shd w:val="clear" w:color="auto" w:fill="auto"/>
            <w:vAlign w:val="center"/>
          </w:tcPr>
          <w:p w14:paraId="372E3987">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设施量</w:t>
            </w:r>
          </w:p>
        </w:tc>
        <w:tc>
          <w:tcPr>
            <w:tcW w:w="714" w:type="pct"/>
            <w:tcBorders>
              <w:top w:val="single" w:color="000000" w:sz="8" w:space="0"/>
              <w:left w:val="nil"/>
              <w:bottom w:val="single" w:color="auto" w:sz="4" w:space="0"/>
              <w:right w:val="single" w:color="000000" w:sz="8" w:space="0"/>
            </w:tcBorders>
            <w:shd w:val="clear" w:color="auto" w:fill="auto"/>
            <w:vAlign w:val="center"/>
          </w:tcPr>
          <w:p w14:paraId="043CF3C1">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工作量</w:t>
            </w:r>
          </w:p>
        </w:tc>
        <w:tc>
          <w:tcPr>
            <w:tcW w:w="829" w:type="pct"/>
            <w:tcBorders>
              <w:top w:val="single" w:color="000000" w:sz="8" w:space="0"/>
              <w:left w:val="nil"/>
              <w:bottom w:val="single" w:color="auto" w:sz="4" w:space="0"/>
              <w:right w:val="single" w:color="000000" w:sz="8" w:space="0"/>
            </w:tcBorders>
            <w:shd w:val="clear" w:color="auto" w:fill="auto"/>
            <w:vAlign w:val="center"/>
          </w:tcPr>
          <w:p w14:paraId="0FFD8815">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养护频次</w:t>
            </w:r>
          </w:p>
        </w:tc>
        <w:tc>
          <w:tcPr>
            <w:tcW w:w="499" w:type="pct"/>
            <w:tcBorders>
              <w:top w:val="single" w:color="000000" w:sz="8" w:space="0"/>
              <w:left w:val="nil"/>
              <w:bottom w:val="single" w:color="auto" w:sz="4" w:space="0"/>
              <w:right w:val="single" w:color="000000" w:sz="8" w:space="0"/>
            </w:tcBorders>
            <w:shd w:val="clear" w:color="auto" w:fill="auto"/>
            <w:vAlign w:val="center"/>
          </w:tcPr>
          <w:p w14:paraId="7C5E6164">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备注</w:t>
            </w:r>
          </w:p>
        </w:tc>
      </w:tr>
      <w:tr w14:paraId="23CC7985">
        <w:tblPrEx>
          <w:tblCellMar>
            <w:top w:w="0" w:type="dxa"/>
            <w:left w:w="108" w:type="dxa"/>
            <w:bottom w:w="0" w:type="dxa"/>
            <w:right w:w="108" w:type="dxa"/>
          </w:tblCellMar>
        </w:tblPrEx>
        <w:trPr>
          <w:trHeight w:val="90" w:hRule="atLeast"/>
          <w:jc w:val="center"/>
        </w:trPr>
        <w:tc>
          <w:tcPr>
            <w:tcW w:w="491"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05F788F3">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一</w:t>
            </w:r>
          </w:p>
        </w:tc>
        <w:tc>
          <w:tcPr>
            <w:tcW w:w="4508" w:type="pct"/>
            <w:gridSpan w:val="6"/>
            <w:tcBorders>
              <w:top w:val="single" w:color="auto" w:sz="4" w:space="0"/>
              <w:left w:val="nil"/>
              <w:bottom w:val="single" w:color="000000" w:sz="8" w:space="0"/>
              <w:right w:val="single" w:color="000000" w:sz="8" w:space="0"/>
            </w:tcBorders>
            <w:shd w:val="clear" w:color="auto" w:fill="auto"/>
            <w:vAlign w:val="center"/>
          </w:tcPr>
          <w:p w14:paraId="23C467D0">
            <w:pPr>
              <w:widowControl/>
              <w:jc w:val="left"/>
              <w:textAlignment w:val="center"/>
              <w:rPr>
                <w:rFonts w:ascii="宋体" w:hAnsi="宋体" w:cs="仿宋_GB2312"/>
                <w:b/>
                <w:bCs/>
                <w:sz w:val="21"/>
                <w:szCs w:val="21"/>
              </w:rPr>
            </w:pPr>
            <w:r>
              <w:rPr>
                <w:rFonts w:hint="eastAsia" w:ascii="宋体" w:hAnsi="宋体" w:cs="仿宋_GB2312"/>
                <w:b/>
                <w:bCs/>
                <w:kern w:val="0"/>
                <w:sz w:val="21"/>
                <w:szCs w:val="21"/>
                <w:lang w:bidi="ar"/>
              </w:rPr>
              <w:t>管网养护</w:t>
            </w:r>
          </w:p>
        </w:tc>
      </w:tr>
      <w:tr w14:paraId="65173208">
        <w:tblPrEx>
          <w:tblCellMar>
            <w:top w:w="0" w:type="dxa"/>
            <w:left w:w="108" w:type="dxa"/>
            <w:bottom w:w="0" w:type="dxa"/>
            <w:right w:w="108" w:type="dxa"/>
          </w:tblCellMar>
        </w:tblPrEx>
        <w:trPr>
          <w:trHeight w:val="90" w:hRule="atLeast"/>
          <w:jc w:val="center"/>
        </w:trPr>
        <w:tc>
          <w:tcPr>
            <w:tcW w:w="491" w:type="pct"/>
            <w:vMerge w:val="restart"/>
            <w:tcBorders>
              <w:top w:val="nil"/>
              <w:left w:val="single" w:color="000000" w:sz="8" w:space="0"/>
              <w:bottom w:val="single" w:color="000000" w:sz="8" w:space="0"/>
              <w:right w:val="single" w:color="000000" w:sz="8" w:space="0"/>
            </w:tcBorders>
            <w:shd w:val="clear" w:color="auto" w:fill="auto"/>
            <w:noWrap/>
            <w:vAlign w:val="center"/>
          </w:tcPr>
          <w:p w14:paraId="46D70C6D">
            <w:pPr>
              <w:widowControl/>
              <w:jc w:val="center"/>
              <w:textAlignment w:val="center"/>
              <w:rPr>
                <w:rFonts w:ascii="宋体" w:hAnsi="宋体"/>
                <w:sz w:val="21"/>
                <w:szCs w:val="21"/>
              </w:rPr>
            </w:pPr>
            <w:r>
              <w:rPr>
                <w:rFonts w:ascii="宋体" w:hAnsi="宋体"/>
                <w:kern w:val="0"/>
                <w:sz w:val="21"/>
                <w:szCs w:val="21"/>
                <w:lang w:bidi="ar"/>
              </w:rPr>
              <w:t>1</w:t>
            </w:r>
          </w:p>
        </w:tc>
        <w:tc>
          <w:tcPr>
            <w:tcW w:w="1249" w:type="pct"/>
            <w:tcBorders>
              <w:top w:val="nil"/>
              <w:left w:val="nil"/>
              <w:bottom w:val="single" w:color="000000" w:sz="8" w:space="0"/>
              <w:right w:val="single" w:color="000000" w:sz="8" w:space="0"/>
            </w:tcBorders>
            <w:shd w:val="clear" w:color="auto" w:fill="auto"/>
            <w:vAlign w:val="center"/>
          </w:tcPr>
          <w:p w14:paraId="630446B3">
            <w:pPr>
              <w:widowControl/>
              <w:jc w:val="left"/>
              <w:textAlignment w:val="center"/>
              <w:rPr>
                <w:rFonts w:ascii="宋体" w:hAnsi="宋体" w:cs="仿宋_GB2312"/>
                <w:sz w:val="21"/>
                <w:szCs w:val="21"/>
              </w:rPr>
            </w:pPr>
            <w:r>
              <w:rPr>
                <w:rFonts w:hint="eastAsia" w:ascii="宋体" w:hAnsi="宋体" w:cs="仿宋_GB2312"/>
                <w:kern w:val="0"/>
                <w:sz w:val="21"/>
                <w:szCs w:val="21"/>
                <w:lang w:bidi="ar"/>
              </w:rPr>
              <w:t>主管总长</w:t>
            </w:r>
          </w:p>
        </w:tc>
        <w:tc>
          <w:tcPr>
            <w:tcW w:w="481" w:type="pct"/>
            <w:tcBorders>
              <w:top w:val="single" w:color="000000" w:sz="8" w:space="0"/>
              <w:left w:val="nil"/>
              <w:bottom w:val="single" w:color="000000" w:sz="8" w:space="0"/>
              <w:right w:val="single" w:color="000000" w:sz="8" w:space="0"/>
            </w:tcBorders>
            <w:shd w:val="clear" w:color="auto" w:fill="auto"/>
            <w:vAlign w:val="center"/>
          </w:tcPr>
          <w:p w14:paraId="009AD5CD">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米</w:t>
            </w:r>
          </w:p>
        </w:tc>
        <w:tc>
          <w:tcPr>
            <w:tcW w:w="2777" w:type="pct"/>
            <w:gridSpan w:val="4"/>
            <w:tcBorders>
              <w:top w:val="single" w:color="000000" w:sz="8" w:space="0"/>
              <w:left w:val="nil"/>
              <w:bottom w:val="single" w:color="000000" w:sz="8" w:space="0"/>
              <w:right w:val="single" w:color="000000" w:sz="8" w:space="0"/>
            </w:tcBorders>
            <w:shd w:val="clear" w:color="auto" w:fill="auto"/>
            <w:vAlign w:val="center"/>
          </w:tcPr>
          <w:p w14:paraId="070DA766">
            <w:pPr>
              <w:jc w:val="center"/>
              <w:rPr>
                <w:rFonts w:ascii="宋体" w:hAnsi="宋体"/>
                <w:sz w:val="21"/>
                <w:szCs w:val="21"/>
              </w:rPr>
            </w:pPr>
            <w:r>
              <w:rPr>
                <w:rFonts w:hint="eastAsia" w:ascii="宋体" w:hAnsi="宋体"/>
                <w:sz w:val="21"/>
                <w:szCs w:val="21"/>
              </w:rPr>
              <w:t>20008</w:t>
            </w:r>
          </w:p>
        </w:tc>
      </w:tr>
      <w:tr w14:paraId="5C9662DC">
        <w:tblPrEx>
          <w:tblCellMar>
            <w:top w:w="0" w:type="dxa"/>
            <w:left w:w="108" w:type="dxa"/>
            <w:bottom w:w="0" w:type="dxa"/>
            <w:right w:w="108" w:type="dxa"/>
          </w:tblCellMar>
        </w:tblPrEx>
        <w:trPr>
          <w:trHeight w:val="155" w:hRule="atLeast"/>
          <w:jc w:val="center"/>
        </w:trPr>
        <w:tc>
          <w:tcPr>
            <w:tcW w:w="491"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B2FB604">
            <w:pPr>
              <w:jc w:val="center"/>
              <w:rPr>
                <w:rFonts w:ascii="宋体" w:hAnsi="宋体"/>
                <w:sz w:val="21"/>
                <w:szCs w:val="21"/>
              </w:rPr>
            </w:pPr>
          </w:p>
        </w:tc>
        <w:tc>
          <w:tcPr>
            <w:tcW w:w="1249" w:type="pct"/>
            <w:tcBorders>
              <w:top w:val="nil"/>
              <w:left w:val="nil"/>
              <w:bottom w:val="single" w:color="000000" w:sz="8" w:space="0"/>
              <w:right w:val="single" w:color="000000" w:sz="8" w:space="0"/>
            </w:tcBorders>
            <w:shd w:val="clear" w:color="auto" w:fill="auto"/>
            <w:vAlign w:val="center"/>
          </w:tcPr>
          <w:p w14:paraId="2AC44D2A">
            <w:pPr>
              <w:widowControl/>
              <w:jc w:val="right"/>
              <w:textAlignment w:val="center"/>
              <w:rPr>
                <w:rFonts w:ascii="宋体" w:hAnsi="宋体"/>
                <w:sz w:val="21"/>
                <w:szCs w:val="21"/>
              </w:rPr>
            </w:pPr>
            <w:r>
              <w:rPr>
                <w:rFonts w:ascii="宋体" w:hAnsi="宋体"/>
                <w:kern w:val="0"/>
                <w:sz w:val="21"/>
                <w:szCs w:val="21"/>
                <w:lang w:bidi="ar"/>
              </w:rPr>
              <w:t>1.1</w:t>
            </w:r>
            <w:r>
              <w:rPr>
                <w:rFonts w:hint="eastAsia" w:ascii="宋体" w:hAnsi="宋体" w:cs="仿宋_GB2312"/>
                <w:kern w:val="0"/>
                <w:sz w:val="21"/>
                <w:szCs w:val="21"/>
                <w:lang w:bidi="ar"/>
              </w:rPr>
              <w:t>小型主管</w:t>
            </w:r>
          </w:p>
        </w:tc>
        <w:tc>
          <w:tcPr>
            <w:tcW w:w="481" w:type="pct"/>
            <w:tcBorders>
              <w:top w:val="nil"/>
              <w:left w:val="nil"/>
              <w:bottom w:val="single" w:color="000000" w:sz="8" w:space="0"/>
              <w:right w:val="single" w:color="000000" w:sz="8" w:space="0"/>
            </w:tcBorders>
            <w:shd w:val="clear" w:color="auto" w:fill="auto"/>
            <w:vAlign w:val="center"/>
          </w:tcPr>
          <w:p w14:paraId="75C5FEA0">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米</w:t>
            </w:r>
          </w:p>
        </w:tc>
        <w:tc>
          <w:tcPr>
            <w:tcW w:w="735" w:type="pct"/>
            <w:tcBorders>
              <w:top w:val="single" w:color="000000" w:sz="8" w:space="0"/>
              <w:left w:val="nil"/>
              <w:bottom w:val="single" w:color="000000" w:sz="8" w:space="0"/>
              <w:right w:val="single" w:color="000000" w:sz="8" w:space="0"/>
            </w:tcBorders>
            <w:shd w:val="clear" w:color="auto" w:fill="auto"/>
            <w:vAlign w:val="center"/>
          </w:tcPr>
          <w:p w14:paraId="700E9A83">
            <w:pPr>
              <w:widowControl/>
              <w:jc w:val="center"/>
              <w:textAlignment w:val="center"/>
              <w:rPr>
                <w:rFonts w:ascii="宋体" w:hAnsi="宋体"/>
                <w:sz w:val="21"/>
                <w:szCs w:val="21"/>
              </w:rPr>
            </w:pPr>
            <w:r>
              <w:rPr>
                <w:rFonts w:hint="eastAsia" w:ascii="宋体" w:hAnsi="宋体"/>
                <w:sz w:val="21"/>
                <w:szCs w:val="21"/>
              </w:rPr>
              <w:t>20008</w:t>
            </w:r>
          </w:p>
        </w:tc>
        <w:tc>
          <w:tcPr>
            <w:tcW w:w="714" w:type="pct"/>
            <w:tcBorders>
              <w:top w:val="single" w:color="000000" w:sz="8" w:space="0"/>
              <w:left w:val="nil"/>
              <w:bottom w:val="single" w:color="000000" w:sz="8" w:space="0"/>
              <w:right w:val="single" w:color="000000" w:sz="8" w:space="0"/>
            </w:tcBorders>
            <w:shd w:val="clear" w:color="auto" w:fill="auto"/>
            <w:vAlign w:val="center"/>
          </w:tcPr>
          <w:p w14:paraId="2674E23F">
            <w:pPr>
              <w:widowControl/>
              <w:jc w:val="center"/>
              <w:textAlignment w:val="center"/>
              <w:rPr>
                <w:rFonts w:ascii="宋体" w:hAnsi="宋体"/>
                <w:sz w:val="21"/>
                <w:szCs w:val="21"/>
              </w:rPr>
            </w:pPr>
            <w:r>
              <w:rPr>
                <w:rFonts w:hint="eastAsia" w:ascii="宋体" w:hAnsi="宋体"/>
                <w:sz w:val="21"/>
                <w:szCs w:val="21"/>
              </w:rPr>
              <w:t>80032</w:t>
            </w:r>
          </w:p>
        </w:tc>
        <w:tc>
          <w:tcPr>
            <w:tcW w:w="829" w:type="pct"/>
            <w:tcBorders>
              <w:top w:val="single" w:color="000000" w:sz="8" w:space="0"/>
              <w:left w:val="nil"/>
              <w:bottom w:val="single" w:color="000000" w:sz="8" w:space="0"/>
              <w:right w:val="single" w:color="000000" w:sz="8" w:space="0"/>
            </w:tcBorders>
            <w:shd w:val="clear" w:color="auto" w:fill="auto"/>
            <w:vAlign w:val="center"/>
          </w:tcPr>
          <w:p w14:paraId="1A692036">
            <w:pPr>
              <w:widowControl/>
              <w:jc w:val="center"/>
              <w:textAlignment w:val="center"/>
              <w:rPr>
                <w:rFonts w:ascii="宋体" w:hAnsi="宋体"/>
                <w:sz w:val="21"/>
                <w:szCs w:val="21"/>
              </w:rPr>
            </w:pPr>
            <w:r>
              <w:rPr>
                <w:rFonts w:hint="eastAsia" w:ascii="宋体" w:hAnsi="宋体"/>
                <w:sz w:val="21"/>
                <w:szCs w:val="21"/>
              </w:rPr>
              <w:t>每年4次</w:t>
            </w:r>
          </w:p>
        </w:tc>
        <w:tc>
          <w:tcPr>
            <w:tcW w:w="499" w:type="pct"/>
            <w:tcBorders>
              <w:top w:val="single" w:color="000000" w:sz="8" w:space="0"/>
              <w:left w:val="nil"/>
              <w:bottom w:val="single" w:color="000000" w:sz="8" w:space="0"/>
              <w:right w:val="single" w:color="000000" w:sz="8" w:space="0"/>
            </w:tcBorders>
            <w:shd w:val="clear" w:color="auto" w:fill="auto"/>
            <w:vAlign w:val="center"/>
          </w:tcPr>
          <w:p w14:paraId="283251FC">
            <w:pPr>
              <w:jc w:val="center"/>
              <w:rPr>
                <w:rFonts w:ascii="宋体" w:hAnsi="宋体"/>
                <w:sz w:val="21"/>
                <w:szCs w:val="21"/>
              </w:rPr>
            </w:pPr>
          </w:p>
        </w:tc>
      </w:tr>
      <w:tr w14:paraId="72753B80">
        <w:tblPrEx>
          <w:tblCellMar>
            <w:top w:w="0" w:type="dxa"/>
            <w:left w:w="108" w:type="dxa"/>
            <w:bottom w:w="0" w:type="dxa"/>
            <w:right w:w="108" w:type="dxa"/>
          </w:tblCellMar>
        </w:tblPrEx>
        <w:trPr>
          <w:trHeight w:val="155" w:hRule="atLeast"/>
          <w:jc w:val="center"/>
        </w:trPr>
        <w:tc>
          <w:tcPr>
            <w:tcW w:w="491"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BE95C54">
            <w:pPr>
              <w:jc w:val="center"/>
              <w:rPr>
                <w:rFonts w:ascii="宋体" w:hAnsi="宋体"/>
                <w:sz w:val="21"/>
                <w:szCs w:val="21"/>
              </w:rPr>
            </w:pPr>
          </w:p>
        </w:tc>
        <w:tc>
          <w:tcPr>
            <w:tcW w:w="1249" w:type="pct"/>
            <w:tcBorders>
              <w:top w:val="nil"/>
              <w:left w:val="nil"/>
              <w:bottom w:val="single" w:color="000000" w:sz="8" w:space="0"/>
              <w:right w:val="single" w:color="000000" w:sz="8" w:space="0"/>
            </w:tcBorders>
            <w:shd w:val="clear" w:color="auto" w:fill="auto"/>
            <w:vAlign w:val="center"/>
          </w:tcPr>
          <w:p w14:paraId="37C1AD21">
            <w:pPr>
              <w:widowControl/>
              <w:jc w:val="right"/>
              <w:textAlignment w:val="center"/>
              <w:rPr>
                <w:rFonts w:ascii="宋体" w:hAnsi="宋体"/>
                <w:sz w:val="21"/>
                <w:szCs w:val="21"/>
              </w:rPr>
            </w:pPr>
            <w:r>
              <w:rPr>
                <w:rFonts w:ascii="宋体" w:hAnsi="宋体"/>
                <w:kern w:val="0"/>
                <w:sz w:val="21"/>
                <w:szCs w:val="21"/>
                <w:lang w:bidi="ar"/>
              </w:rPr>
              <w:t>1.2</w:t>
            </w:r>
            <w:r>
              <w:rPr>
                <w:rFonts w:hint="eastAsia" w:ascii="宋体" w:hAnsi="宋体" w:cs="仿宋_GB2312"/>
                <w:kern w:val="0"/>
                <w:sz w:val="21"/>
                <w:szCs w:val="21"/>
                <w:lang w:bidi="ar"/>
              </w:rPr>
              <w:t>中型主管</w:t>
            </w:r>
          </w:p>
        </w:tc>
        <w:tc>
          <w:tcPr>
            <w:tcW w:w="481" w:type="pct"/>
            <w:tcBorders>
              <w:top w:val="nil"/>
              <w:left w:val="nil"/>
              <w:bottom w:val="single" w:color="000000" w:sz="8" w:space="0"/>
              <w:right w:val="single" w:color="000000" w:sz="8" w:space="0"/>
            </w:tcBorders>
            <w:shd w:val="clear" w:color="auto" w:fill="auto"/>
            <w:vAlign w:val="center"/>
          </w:tcPr>
          <w:p w14:paraId="10A3446E">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米</w:t>
            </w:r>
          </w:p>
        </w:tc>
        <w:tc>
          <w:tcPr>
            <w:tcW w:w="735" w:type="pct"/>
            <w:tcBorders>
              <w:top w:val="single" w:color="000000" w:sz="8" w:space="0"/>
              <w:left w:val="nil"/>
              <w:bottom w:val="single" w:color="000000" w:sz="8" w:space="0"/>
              <w:right w:val="single" w:color="000000" w:sz="8" w:space="0"/>
            </w:tcBorders>
            <w:shd w:val="clear" w:color="auto" w:fill="auto"/>
            <w:vAlign w:val="center"/>
          </w:tcPr>
          <w:p w14:paraId="1CD8E9BB">
            <w:pPr>
              <w:widowControl/>
              <w:jc w:val="center"/>
              <w:textAlignment w:val="center"/>
              <w:rPr>
                <w:rFonts w:ascii="宋体" w:hAnsi="宋体"/>
                <w:sz w:val="21"/>
                <w:szCs w:val="21"/>
              </w:rPr>
            </w:pPr>
            <w:r>
              <w:rPr>
                <w:rFonts w:hint="eastAsia" w:ascii="宋体" w:hAnsi="宋体"/>
                <w:sz w:val="21"/>
                <w:szCs w:val="21"/>
              </w:rPr>
              <w:t>-</w:t>
            </w:r>
          </w:p>
        </w:tc>
        <w:tc>
          <w:tcPr>
            <w:tcW w:w="714" w:type="pct"/>
            <w:tcBorders>
              <w:top w:val="single" w:color="000000" w:sz="8" w:space="0"/>
              <w:left w:val="nil"/>
              <w:bottom w:val="single" w:color="000000" w:sz="8" w:space="0"/>
              <w:right w:val="single" w:color="000000" w:sz="8" w:space="0"/>
            </w:tcBorders>
            <w:shd w:val="clear" w:color="auto" w:fill="auto"/>
            <w:vAlign w:val="center"/>
          </w:tcPr>
          <w:p w14:paraId="118C75E2">
            <w:pPr>
              <w:widowControl/>
              <w:jc w:val="center"/>
              <w:textAlignment w:val="center"/>
              <w:rPr>
                <w:rFonts w:ascii="宋体" w:hAnsi="宋体"/>
                <w:sz w:val="21"/>
                <w:szCs w:val="21"/>
              </w:rPr>
            </w:pPr>
            <w:r>
              <w:rPr>
                <w:rFonts w:hint="eastAsia" w:ascii="宋体" w:hAnsi="宋体"/>
                <w:sz w:val="21"/>
                <w:szCs w:val="21"/>
              </w:rPr>
              <w:t>-</w:t>
            </w:r>
          </w:p>
        </w:tc>
        <w:tc>
          <w:tcPr>
            <w:tcW w:w="829" w:type="pct"/>
            <w:tcBorders>
              <w:top w:val="nil"/>
              <w:left w:val="nil"/>
              <w:bottom w:val="single" w:color="000000" w:sz="8" w:space="0"/>
              <w:right w:val="single" w:color="000000" w:sz="8" w:space="0"/>
            </w:tcBorders>
            <w:shd w:val="clear" w:color="auto" w:fill="auto"/>
            <w:vAlign w:val="center"/>
          </w:tcPr>
          <w:p w14:paraId="1D3C22B5">
            <w:pPr>
              <w:widowControl/>
              <w:jc w:val="center"/>
              <w:textAlignment w:val="center"/>
              <w:rPr>
                <w:rFonts w:ascii="宋体" w:hAnsi="宋体"/>
                <w:sz w:val="21"/>
                <w:szCs w:val="21"/>
              </w:rPr>
            </w:pPr>
            <w:r>
              <w:rPr>
                <w:rFonts w:hint="eastAsia" w:ascii="宋体" w:hAnsi="宋体"/>
                <w:sz w:val="21"/>
                <w:szCs w:val="21"/>
              </w:rPr>
              <w:t>-</w:t>
            </w:r>
          </w:p>
        </w:tc>
        <w:tc>
          <w:tcPr>
            <w:tcW w:w="499" w:type="pct"/>
            <w:tcBorders>
              <w:top w:val="nil"/>
              <w:left w:val="nil"/>
              <w:bottom w:val="single" w:color="000000" w:sz="8" w:space="0"/>
              <w:right w:val="single" w:color="000000" w:sz="8" w:space="0"/>
            </w:tcBorders>
            <w:shd w:val="clear" w:color="auto" w:fill="auto"/>
            <w:vAlign w:val="center"/>
          </w:tcPr>
          <w:p w14:paraId="3654D7E5">
            <w:pPr>
              <w:jc w:val="center"/>
              <w:rPr>
                <w:rFonts w:ascii="宋体" w:hAnsi="宋体"/>
                <w:sz w:val="21"/>
                <w:szCs w:val="21"/>
              </w:rPr>
            </w:pPr>
          </w:p>
        </w:tc>
      </w:tr>
      <w:tr w14:paraId="23EBD8C2">
        <w:tblPrEx>
          <w:tblCellMar>
            <w:top w:w="0" w:type="dxa"/>
            <w:left w:w="108" w:type="dxa"/>
            <w:bottom w:w="0" w:type="dxa"/>
            <w:right w:w="108" w:type="dxa"/>
          </w:tblCellMar>
        </w:tblPrEx>
        <w:trPr>
          <w:trHeight w:val="155" w:hRule="atLeast"/>
          <w:jc w:val="center"/>
        </w:trPr>
        <w:tc>
          <w:tcPr>
            <w:tcW w:w="491"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A715818">
            <w:pPr>
              <w:jc w:val="center"/>
              <w:rPr>
                <w:rFonts w:ascii="宋体" w:hAnsi="宋体"/>
                <w:sz w:val="21"/>
                <w:szCs w:val="21"/>
              </w:rPr>
            </w:pPr>
          </w:p>
        </w:tc>
        <w:tc>
          <w:tcPr>
            <w:tcW w:w="1249" w:type="pct"/>
            <w:tcBorders>
              <w:top w:val="nil"/>
              <w:left w:val="nil"/>
              <w:bottom w:val="single" w:color="000000" w:sz="8" w:space="0"/>
              <w:right w:val="single" w:color="000000" w:sz="8" w:space="0"/>
            </w:tcBorders>
            <w:shd w:val="clear" w:color="auto" w:fill="auto"/>
            <w:vAlign w:val="center"/>
          </w:tcPr>
          <w:p w14:paraId="211B9B74">
            <w:pPr>
              <w:widowControl/>
              <w:jc w:val="right"/>
              <w:textAlignment w:val="center"/>
              <w:rPr>
                <w:rFonts w:ascii="宋体" w:hAnsi="宋体"/>
                <w:sz w:val="21"/>
                <w:szCs w:val="21"/>
              </w:rPr>
            </w:pPr>
            <w:r>
              <w:rPr>
                <w:rFonts w:ascii="宋体" w:hAnsi="宋体"/>
                <w:kern w:val="0"/>
                <w:sz w:val="21"/>
                <w:szCs w:val="21"/>
                <w:lang w:bidi="ar"/>
              </w:rPr>
              <w:t>1.3</w:t>
            </w:r>
            <w:r>
              <w:rPr>
                <w:rFonts w:hint="eastAsia" w:ascii="宋体" w:hAnsi="宋体" w:cs="仿宋_GB2312"/>
                <w:kern w:val="0"/>
                <w:sz w:val="21"/>
                <w:szCs w:val="21"/>
                <w:lang w:bidi="ar"/>
              </w:rPr>
              <w:t>大型主管</w:t>
            </w:r>
          </w:p>
        </w:tc>
        <w:tc>
          <w:tcPr>
            <w:tcW w:w="481" w:type="pct"/>
            <w:tcBorders>
              <w:top w:val="nil"/>
              <w:left w:val="nil"/>
              <w:bottom w:val="single" w:color="000000" w:sz="8" w:space="0"/>
              <w:right w:val="single" w:color="000000" w:sz="8" w:space="0"/>
            </w:tcBorders>
            <w:shd w:val="clear" w:color="auto" w:fill="auto"/>
            <w:vAlign w:val="center"/>
          </w:tcPr>
          <w:p w14:paraId="46D4D372">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米</w:t>
            </w:r>
          </w:p>
        </w:tc>
        <w:tc>
          <w:tcPr>
            <w:tcW w:w="735" w:type="pct"/>
            <w:tcBorders>
              <w:top w:val="single" w:color="000000" w:sz="8" w:space="0"/>
              <w:left w:val="nil"/>
              <w:bottom w:val="single" w:color="000000" w:sz="8" w:space="0"/>
              <w:right w:val="single" w:color="000000" w:sz="8" w:space="0"/>
            </w:tcBorders>
            <w:shd w:val="clear" w:color="auto" w:fill="auto"/>
            <w:vAlign w:val="center"/>
          </w:tcPr>
          <w:p w14:paraId="386B9697">
            <w:pPr>
              <w:widowControl/>
              <w:jc w:val="center"/>
              <w:textAlignment w:val="center"/>
              <w:rPr>
                <w:rFonts w:ascii="宋体" w:hAnsi="宋体"/>
                <w:sz w:val="21"/>
                <w:szCs w:val="21"/>
              </w:rPr>
            </w:pPr>
            <w:r>
              <w:rPr>
                <w:rFonts w:hint="eastAsia" w:ascii="宋体" w:hAnsi="宋体"/>
                <w:sz w:val="21"/>
                <w:szCs w:val="21"/>
              </w:rPr>
              <w:t>-</w:t>
            </w:r>
          </w:p>
        </w:tc>
        <w:tc>
          <w:tcPr>
            <w:tcW w:w="714" w:type="pct"/>
            <w:tcBorders>
              <w:top w:val="single" w:color="000000" w:sz="8" w:space="0"/>
              <w:left w:val="nil"/>
              <w:bottom w:val="single" w:color="000000" w:sz="8" w:space="0"/>
              <w:right w:val="single" w:color="000000" w:sz="8" w:space="0"/>
            </w:tcBorders>
            <w:shd w:val="clear" w:color="auto" w:fill="auto"/>
            <w:vAlign w:val="center"/>
          </w:tcPr>
          <w:p w14:paraId="262BDBF9">
            <w:pPr>
              <w:widowControl/>
              <w:jc w:val="center"/>
              <w:textAlignment w:val="center"/>
              <w:rPr>
                <w:rFonts w:ascii="宋体" w:hAnsi="宋体"/>
                <w:sz w:val="21"/>
                <w:szCs w:val="21"/>
              </w:rPr>
            </w:pPr>
            <w:r>
              <w:rPr>
                <w:rFonts w:hint="eastAsia" w:ascii="宋体" w:hAnsi="宋体"/>
                <w:sz w:val="21"/>
                <w:szCs w:val="21"/>
              </w:rPr>
              <w:t>-</w:t>
            </w:r>
          </w:p>
        </w:tc>
        <w:tc>
          <w:tcPr>
            <w:tcW w:w="829" w:type="pct"/>
            <w:tcBorders>
              <w:top w:val="nil"/>
              <w:left w:val="nil"/>
              <w:bottom w:val="single" w:color="000000" w:sz="8" w:space="0"/>
              <w:right w:val="single" w:color="000000" w:sz="8" w:space="0"/>
            </w:tcBorders>
            <w:shd w:val="clear" w:color="auto" w:fill="auto"/>
            <w:vAlign w:val="center"/>
          </w:tcPr>
          <w:p w14:paraId="0E0B0EEB">
            <w:pPr>
              <w:widowControl/>
              <w:jc w:val="center"/>
              <w:textAlignment w:val="center"/>
              <w:rPr>
                <w:rFonts w:ascii="宋体" w:hAnsi="宋体"/>
                <w:sz w:val="21"/>
                <w:szCs w:val="21"/>
              </w:rPr>
            </w:pPr>
            <w:r>
              <w:rPr>
                <w:rFonts w:hint="eastAsia" w:ascii="宋体" w:hAnsi="宋体"/>
                <w:sz w:val="21"/>
                <w:szCs w:val="21"/>
              </w:rPr>
              <w:t>-</w:t>
            </w:r>
          </w:p>
        </w:tc>
        <w:tc>
          <w:tcPr>
            <w:tcW w:w="499" w:type="pct"/>
            <w:tcBorders>
              <w:top w:val="nil"/>
              <w:left w:val="nil"/>
              <w:bottom w:val="single" w:color="000000" w:sz="8" w:space="0"/>
              <w:right w:val="single" w:color="000000" w:sz="8" w:space="0"/>
            </w:tcBorders>
            <w:shd w:val="clear" w:color="auto" w:fill="auto"/>
            <w:vAlign w:val="center"/>
          </w:tcPr>
          <w:p w14:paraId="515D95F7">
            <w:pPr>
              <w:jc w:val="center"/>
              <w:rPr>
                <w:rFonts w:ascii="宋体" w:hAnsi="宋体"/>
                <w:sz w:val="21"/>
                <w:szCs w:val="21"/>
              </w:rPr>
            </w:pPr>
          </w:p>
        </w:tc>
      </w:tr>
      <w:tr w14:paraId="34022B9E">
        <w:tblPrEx>
          <w:tblCellMar>
            <w:top w:w="0" w:type="dxa"/>
            <w:left w:w="108" w:type="dxa"/>
            <w:bottom w:w="0" w:type="dxa"/>
            <w:right w:w="108" w:type="dxa"/>
          </w:tblCellMar>
        </w:tblPrEx>
        <w:trPr>
          <w:trHeight w:val="90"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5BE0ABBD">
            <w:pPr>
              <w:widowControl/>
              <w:jc w:val="center"/>
              <w:textAlignment w:val="center"/>
              <w:rPr>
                <w:rFonts w:ascii="宋体" w:hAnsi="宋体"/>
                <w:sz w:val="21"/>
                <w:szCs w:val="21"/>
              </w:rPr>
            </w:pPr>
            <w:r>
              <w:rPr>
                <w:rFonts w:ascii="宋体" w:hAnsi="宋体"/>
                <w:kern w:val="0"/>
                <w:sz w:val="21"/>
                <w:szCs w:val="21"/>
                <w:lang w:bidi="ar"/>
              </w:rPr>
              <w:t>2</w:t>
            </w:r>
          </w:p>
        </w:tc>
        <w:tc>
          <w:tcPr>
            <w:tcW w:w="1249" w:type="pct"/>
            <w:tcBorders>
              <w:top w:val="nil"/>
              <w:left w:val="nil"/>
              <w:bottom w:val="single" w:color="000000" w:sz="8" w:space="0"/>
              <w:right w:val="single" w:color="000000" w:sz="8" w:space="0"/>
            </w:tcBorders>
            <w:shd w:val="clear" w:color="auto" w:fill="auto"/>
            <w:vAlign w:val="center"/>
          </w:tcPr>
          <w:p w14:paraId="22861961">
            <w:pPr>
              <w:widowControl/>
              <w:jc w:val="left"/>
              <w:textAlignment w:val="center"/>
              <w:rPr>
                <w:rFonts w:ascii="宋体" w:hAnsi="宋体" w:cs="仿宋_GB2312"/>
                <w:sz w:val="21"/>
                <w:szCs w:val="21"/>
              </w:rPr>
            </w:pPr>
            <w:r>
              <w:rPr>
                <w:rFonts w:hint="eastAsia" w:ascii="宋体" w:hAnsi="宋体" w:cs="仿宋_GB2312"/>
                <w:kern w:val="0"/>
                <w:sz w:val="21"/>
                <w:szCs w:val="21"/>
                <w:lang w:bidi="ar"/>
              </w:rPr>
              <w:t>支连管</w:t>
            </w:r>
          </w:p>
        </w:tc>
        <w:tc>
          <w:tcPr>
            <w:tcW w:w="481" w:type="pct"/>
            <w:tcBorders>
              <w:top w:val="nil"/>
              <w:left w:val="nil"/>
              <w:bottom w:val="single" w:color="000000" w:sz="8" w:space="0"/>
              <w:right w:val="single" w:color="000000" w:sz="8" w:space="0"/>
            </w:tcBorders>
            <w:shd w:val="clear" w:color="auto" w:fill="auto"/>
            <w:vAlign w:val="center"/>
          </w:tcPr>
          <w:p w14:paraId="1AADC430">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米</w:t>
            </w:r>
          </w:p>
        </w:tc>
        <w:tc>
          <w:tcPr>
            <w:tcW w:w="735" w:type="pct"/>
            <w:tcBorders>
              <w:top w:val="nil"/>
              <w:left w:val="nil"/>
              <w:bottom w:val="single" w:color="000000" w:sz="8" w:space="0"/>
              <w:right w:val="single" w:color="000000" w:sz="8" w:space="0"/>
            </w:tcBorders>
            <w:shd w:val="clear" w:color="auto" w:fill="auto"/>
            <w:vAlign w:val="center"/>
          </w:tcPr>
          <w:p w14:paraId="4D95291A">
            <w:pPr>
              <w:widowControl/>
              <w:jc w:val="center"/>
              <w:textAlignment w:val="center"/>
              <w:rPr>
                <w:rFonts w:ascii="宋体" w:hAnsi="宋体"/>
                <w:sz w:val="21"/>
                <w:szCs w:val="21"/>
              </w:rPr>
            </w:pPr>
            <w:r>
              <w:rPr>
                <w:rFonts w:hint="eastAsia" w:ascii="宋体" w:hAnsi="宋体"/>
                <w:sz w:val="21"/>
                <w:szCs w:val="21"/>
              </w:rPr>
              <w:t>165956</w:t>
            </w:r>
          </w:p>
        </w:tc>
        <w:tc>
          <w:tcPr>
            <w:tcW w:w="714" w:type="pct"/>
            <w:tcBorders>
              <w:top w:val="nil"/>
              <w:left w:val="nil"/>
              <w:bottom w:val="single" w:color="000000" w:sz="8" w:space="0"/>
              <w:right w:val="single" w:color="000000" w:sz="8" w:space="0"/>
            </w:tcBorders>
            <w:shd w:val="clear" w:color="auto" w:fill="auto"/>
            <w:vAlign w:val="center"/>
          </w:tcPr>
          <w:p w14:paraId="18A49E3F">
            <w:pPr>
              <w:widowControl/>
              <w:jc w:val="center"/>
              <w:textAlignment w:val="center"/>
              <w:rPr>
                <w:rFonts w:ascii="宋体" w:hAnsi="宋体"/>
                <w:sz w:val="21"/>
                <w:szCs w:val="21"/>
              </w:rPr>
            </w:pPr>
            <w:r>
              <w:rPr>
                <w:rFonts w:hint="eastAsia" w:ascii="宋体" w:hAnsi="宋体"/>
                <w:sz w:val="21"/>
                <w:szCs w:val="21"/>
              </w:rPr>
              <w:t>331912</w:t>
            </w:r>
          </w:p>
        </w:tc>
        <w:tc>
          <w:tcPr>
            <w:tcW w:w="829" w:type="pct"/>
            <w:tcBorders>
              <w:top w:val="nil"/>
              <w:left w:val="nil"/>
              <w:bottom w:val="single" w:color="000000" w:sz="8" w:space="0"/>
              <w:right w:val="single" w:color="000000" w:sz="8" w:space="0"/>
            </w:tcBorders>
            <w:shd w:val="clear" w:color="auto" w:fill="auto"/>
            <w:vAlign w:val="center"/>
          </w:tcPr>
          <w:p w14:paraId="5856A11C">
            <w:pPr>
              <w:widowControl/>
              <w:jc w:val="center"/>
              <w:textAlignment w:val="center"/>
              <w:rPr>
                <w:rFonts w:ascii="宋体" w:hAnsi="宋体"/>
                <w:sz w:val="21"/>
                <w:szCs w:val="21"/>
              </w:rPr>
            </w:pPr>
            <w:r>
              <w:rPr>
                <w:rFonts w:hint="eastAsia" w:ascii="宋体" w:hAnsi="宋体"/>
                <w:sz w:val="21"/>
                <w:szCs w:val="21"/>
              </w:rPr>
              <w:t>每年2次</w:t>
            </w:r>
          </w:p>
        </w:tc>
        <w:tc>
          <w:tcPr>
            <w:tcW w:w="499" w:type="pct"/>
            <w:tcBorders>
              <w:top w:val="nil"/>
              <w:left w:val="nil"/>
              <w:bottom w:val="single" w:color="000000" w:sz="8" w:space="0"/>
              <w:right w:val="single" w:color="000000" w:sz="8" w:space="0"/>
            </w:tcBorders>
            <w:shd w:val="clear" w:color="auto" w:fill="auto"/>
            <w:vAlign w:val="center"/>
          </w:tcPr>
          <w:p w14:paraId="4355CB8D">
            <w:pPr>
              <w:jc w:val="center"/>
              <w:rPr>
                <w:rFonts w:ascii="宋体" w:hAnsi="宋体"/>
                <w:sz w:val="21"/>
                <w:szCs w:val="21"/>
              </w:rPr>
            </w:pPr>
          </w:p>
        </w:tc>
      </w:tr>
      <w:tr w14:paraId="30F90EBC">
        <w:tblPrEx>
          <w:tblCellMar>
            <w:top w:w="0" w:type="dxa"/>
            <w:left w:w="108" w:type="dxa"/>
            <w:bottom w:w="0" w:type="dxa"/>
            <w:right w:w="108" w:type="dxa"/>
          </w:tblCellMar>
        </w:tblPrEx>
        <w:trPr>
          <w:trHeight w:val="90"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71DDA476">
            <w:pPr>
              <w:widowControl/>
              <w:jc w:val="center"/>
              <w:textAlignment w:val="center"/>
              <w:rPr>
                <w:rFonts w:ascii="宋体" w:hAnsi="宋体"/>
                <w:sz w:val="21"/>
                <w:szCs w:val="21"/>
              </w:rPr>
            </w:pPr>
            <w:r>
              <w:rPr>
                <w:rFonts w:ascii="宋体" w:hAnsi="宋体"/>
                <w:kern w:val="0"/>
                <w:sz w:val="21"/>
                <w:szCs w:val="21"/>
                <w:lang w:bidi="ar"/>
              </w:rPr>
              <w:t>3</w:t>
            </w:r>
          </w:p>
        </w:tc>
        <w:tc>
          <w:tcPr>
            <w:tcW w:w="1249" w:type="pct"/>
            <w:tcBorders>
              <w:top w:val="nil"/>
              <w:left w:val="nil"/>
              <w:bottom w:val="single" w:color="000000" w:sz="8" w:space="0"/>
              <w:right w:val="single" w:color="000000" w:sz="8" w:space="0"/>
            </w:tcBorders>
            <w:shd w:val="clear" w:color="auto" w:fill="auto"/>
            <w:vAlign w:val="center"/>
          </w:tcPr>
          <w:p w14:paraId="08323404">
            <w:pPr>
              <w:widowControl/>
              <w:jc w:val="left"/>
              <w:textAlignment w:val="center"/>
              <w:rPr>
                <w:rFonts w:ascii="宋体" w:hAnsi="宋体" w:cs="仿宋_GB2312"/>
                <w:sz w:val="21"/>
                <w:szCs w:val="21"/>
              </w:rPr>
            </w:pPr>
            <w:r>
              <w:rPr>
                <w:rFonts w:hint="eastAsia" w:ascii="宋体" w:hAnsi="宋体" w:cs="仿宋_GB2312"/>
                <w:kern w:val="0"/>
                <w:sz w:val="21"/>
                <w:szCs w:val="21"/>
                <w:lang w:bidi="ar"/>
              </w:rPr>
              <w:t>雨水井</w:t>
            </w:r>
          </w:p>
        </w:tc>
        <w:tc>
          <w:tcPr>
            <w:tcW w:w="481" w:type="pct"/>
            <w:tcBorders>
              <w:top w:val="nil"/>
              <w:left w:val="nil"/>
              <w:bottom w:val="single" w:color="000000" w:sz="8" w:space="0"/>
              <w:right w:val="single" w:color="000000" w:sz="8" w:space="0"/>
            </w:tcBorders>
            <w:shd w:val="clear" w:color="auto" w:fill="auto"/>
            <w:vAlign w:val="center"/>
          </w:tcPr>
          <w:p w14:paraId="2D3EEFA0">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座</w:t>
            </w:r>
          </w:p>
        </w:tc>
        <w:tc>
          <w:tcPr>
            <w:tcW w:w="735" w:type="pct"/>
            <w:tcBorders>
              <w:top w:val="nil"/>
              <w:left w:val="nil"/>
              <w:bottom w:val="single" w:color="000000" w:sz="8" w:space="0"/>
              <w:right w:val="single" w:color="000000" w:sz="8" w:space="0"/>
            </w:tcBorders>
            <w:shd w:val="clear" w:color="auto" w:fill="auto"/>
            <w:vAlign w:val="center"/>
          </w:tcPr>
          <w:p w14:paraId="6E6B7D1C">
            <w:pPr>
              <w:widowControl/>
              <w:jc w:val="center"/>
              <w:textAlignment w:val="center"/>
              <w:rPr>
                <w:rFonts w:ascii="宋体" w:hAnsi="宋体"/>
                <w:sz w:val="21"/>
                <w:szCs w:val="21"/>
              </w:rPr>
            </w:pPr>
            <w:r>
              <w:rPr>
                <w:rFonts w:hint="eastAsia" w:ascii="宋体" w:hAnsi="宋体"/>
                <w:sz w:val="21"/>
                <w:szCs w:val="21"/>
              </w:rPr>
              <w:t>4606</w:t>
            </w:r>
          </w:p>
        </w:tc>
        <w:tc>
          <w:tcPr>
            <w:tcW w:w="714" w:type="pct"/>
            <w:tcBorders>
              <w:top w:val="nil"/>
              <w:left w:val="nil"/>
              <w:bottom w:val="single" w:color="000000" w:sz="8" w:space="0"/>
              <w:right w:val="single" w:color="000000" w:sz="8" w:space="0"/>
            </w:tcBorders>
            <w:shd w:val="clear" w:color="auto" w:fill="auto"/>
            <w:vAlign w:val="center"/>
          </w:tcPr>
          <w:p w14:paraId="567DE926">
            <w:pPr>
              <w:widowControl/>
              <w:jc w:val="center"/>
              <w:textAlignment w:val="center"/>
              <w:rPr>
                <w:rFonts w:ascii="宋体" w:hAnsi="宋体"/>
                <w:sz w:val="21"/>
                <w:szCs w:val="21"/>
              </w:rPr>
            </w:pPr>
            <w:r>
              <w:rPr>
                <w:rFonts w:hint="eastAsia" w:ascii="宋体" w:hAnsi="宋体"/>
                <w:sz w:val="21"/>
                <w:szCs w:val="21"/>
              </w:rPr>
              <w:t>18424</w:t>
            </w:r>
          </w:p>
        </w:tc>
        <w:tc>
          <w:tcPr>
            <w:tcW w:w="829" w:type="pct"/>
            <w:tcBorders>
              <w:top w:val="nil"/>
              <w:left w:val="nil"/>
              <w:bottom w:val="single" w:color="000000" w:sz="8" w:space="0"/>
              <w:right w:val="single" w:color="000000" w:sz="8" w:space="0"/>
            </w:tcBorders>
            <w:shd w:val="clear" w:color="auto" w:fill="auto"/>
            <w:vAlign w:val="center"/>
          </w:tcPr>
          <w:p w14:paraId="5142BAE0">
            <w:pPr>
              <w:widowControl/>
              <w:jc w:val="center"/>
              <w:textAlignment w:val="center"/>
              <w:rPr>
                <w:rFonts w:ascii="宋体" w:hAnsi="宋体"/>
                <w:sz w:val="21"/>
                <w:szCs w:val="21"/>
              </w:rPr>
            </w:pPr>
            <w:r>
              <w:rPr>
                <w:rFonts w:hint="eastAsia" w:ascii="宋体" w:hAnsi="宋体"/>
                <w:sz w:val="21"/>
                <w:szCs w:val="21"/>
              </w:rPr>
              <w:t>每年4次</w:t>
            </w:r>
          </w:p>
        </w:tc>
        <w:tc>
          <w:tcPr>
            <w:tcW w:w="499" w:type="pct"/>
            <w:tcBorders>
              <w:top w:val="nil"/>
              <w:left w:val="nil"/>
              <w:bottom w:val="single" w:color="000000" w:sz="8" w:space="0"/>
              <w:right w:val="single" w:color="000000" w:sz="8" w:space="0"/>
            </w:tcBorders>
            <w:shd w:val="clear" w:color="auto" w:fill="auto"/>
            <w:vAlign w:val="center"/>
          </w:tcPr>
          <w:p w14:paraId="7619E97C">
            <w:pPr>
              <w:jc w:val="center"/>
              <w:rPr>
                <w:rFonts w:ascii="宋体" w:hAnsi="宋体"/>
                <w:sz w:val="21"/>
                <w:szCs w:val="21"/>
              </w:rPr>
            </w:pPr>
          </w:p>
        </w:tc>
      </w:tr>
      <w:tr w14:paraId="29BF0999">
        <w:tblPrEx>
          <w:tblCellMar>
            <w:top w:w="0" w:type="dxa"/>
            <w:left w:w="108" w:type="dxa"/>
            <w:bottom w:w="0" w:type="dxa"/>
            <w:right w:w="108" w:type="dxa"/>
          </w:tblCellMar>
        </w:tblPrEx>
        <w:trPr>
          <w:trHeight w:val="90"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166A5707">
            <w:pPr>
              <w:widowControl/>
              <w:jc w:val="center"/>
              <w:textAlignment w:val="center"/>
              <w:rPr>
                <w:rFonts w:ascii="宋体" w:hAnsi="宋体"/>
                <w:sz w:val="21"/>
                <w:szCs w:val="21"/>
              </w:rPr>
            </w:pPr>
            <w:r>
              <w:rPr>
                <w:rFonts w:ascii="宋体" w:hAnsi="宋体"/>
                <w:kern w:val="0"/>
                <w:sz w:val="21"/>
                <w:szCs w:val="21"/>
                <w:lang w:bidi="ar"/>
              </w:rPr>
              <w:t>4</w:t>
            </w:r>
          </w:p>
        </w:tc>
        <w:tc>
          <w:tcPr>
            <w:tcW w:w="1249" w:type="pct"/>
            <w:tcBorders>
              <w:top w:val="nil"/>
              <w:left w:val="nil"/>
              <w:bottom w:val="single" w:color="000000" w:sz="8" w:space="0"/>
              <w:right w:val="single" w:color="000000" w:sz="8" w:space="0"/>
            </w:tcBorders>
            <w:shd w:val="clear" w:color="auto" w:fill="auto"/>
            <w:vAlign w:val="center"/>
          </w:tcPr>
          <w:p w14:paraId="2BA65EAE">
            <w:pPr>
              <w:widowControl/>
              <w:jc w:val="left"/>
              <w:textAlignment w:val="center"/>
              <w:rPr>
                <w:rFonts w:ascii="宋体" w:hAnsi="宋体" w:cs="仿宋_GB2312"/>
                <w:sz w:val="21"/>
                <w:szCs w:val="21"/>
              </w:rPr>
            </w:pPr>
            <w:r>
              <w:rPr>
                <w:rFonts w:hint="eastAsia" w:ascii="宋体" w:hAnsi="宋体" w:cs="仿宋_GB2312"/>
                <w:kern w:val="0"/>
                <w:sz w:val="21"/>
                <w:szCs w:val="21"/>
                <w:lang w:bidi="ar"/>
              </w:rPr>
              <w:t>雨水口</w:t>
            </w:r>
          </w:p>
        </w:tc>
        <w:tc>
          <w:tcPr>
            <w:tcW w:w="481" w:type="pct"/>
            <w:tcBorders>
              <w:top w:val="nil"/>
              <w:left w:val="nil"/>
              <w:bottom w:val="single" w:color="000000" w:sz="8" w:space="0"/>
              <w:right w:val="single" w:color="000000" w:sz="8" w:space="0"/>
            </w:tcBorders>
            <w:shd w:val="clear" w:color="auto" w:fill="auto"/>
            <w:vAlign w:val="center"/>
          </w:tcPr>
          <w:p w14:paraId="3E0A2E7F">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座</w:t>
            </w:r>
          </w:p>
        </w:tc>
        <w:tc>
          <w:tcPr>
            <w:tcW w:w="735" w:type="pct"/>
            <w:tcBorders>
              <w:top w:val="nil"/>
              <w:left w:val="nil"/>
              <w:bottom w:val="single" w:color="000000" w:sz="8" w:space="0"/>
              <w:right w:val="single" w:color="000000" w:sz="8" w:space="0"/>
            </w:tcBorders>
            <w:shd w:val="clear" w:color="auto" w:fill="auto"/>
            <w:vAlign w:val="center"/>
          </w:tcPr>
          <w:p w14:paraId="016FCA57">
            <w:pPr>
              <w:widowControl/>
              <w:jc w:val="center"/>
              <w:textAlignment w:val="center"/>
              <w:rPr>
                <w:rFonts w:ascii="宋体" w:hAnsi="宋体"/>
                <w:sz w:val="21"/>
                <w:szCs w:val="21"/>
              </w:rPr>
            </w:pPr>
            <w:r>
              <w:rPr>
                <w:rFonts w:hint="eastAsia" w:ascii="宋体" w:hAnsi="宋体"/>
                <w:sz w:val="21"/>
                <w:szCs w:val="21"/>
              </w:rPr>
              <w:t>6750</w:t>
            </w:r>
          </w:p>
        </w:tc>
        <w:tc>
          <w:tcPr>
            <w:tcW w:w="714" w:type="pct"/>
            <w:tcBorders>
              <w:top w:val="nil"/>
              <w:left w:val="nil"/>
              <w:bottom w:val="single" w:color="000000" w:sz="8" w:space="0"/>
              <w:right w:val="single" w:color="000000" w:sz="8" w:space="0"/>
            </w:tcBorders>
            <w:shd w:val="clear" w:color="auto" w:fill="auto"/>
            <w:vAlign w:val="center"/>
          </w:tcPr>
          <w:p w14:paraId="5271E6FB">
            <w:pPr>
              <w:widowControl/>
              <w:jc w:val="center"/>
              <w:textAlignment w:val="center"/>
              <w:rPr>
                <w:rFonts w:ascii="宋体" w:hAnsi="宋体"/>
                <w:sz w:val="21"/>
                <w:szCs w:val="21"/>
              </w:rPr>
            </w:pPr>
            <w:r>
              <w:rPr>
                <w:rFonts w:hint="eastAsia" w:ascii="宋体" w:hAnsi="宋体"/>
                <w:sz w:val="21"/>
                <w:szCs w:val="21"/>
              </w:rPr>
              <w:t>108000</w:t>
            </w:r>
          </w:p>
        </w:tc>
        <w:tc>
          <w:tcPr>
            <w:tcW w:w="829" w:type="pct"/>
            <w:tcBorders>
              <w:top w:val="nil"/>
              <w:left w:val="nil"/>
              <w:bottom w:val="single" w:color="000000" w:sz="8" w:space="0"/>
              <w:right w:val="single" w:color="000000" w:sz="8" w:space="0"/>
            </w:tcBorders>
            <w:shd w:val="clear" w:color="auto" w:fill="auto"/>
            <w:vAlign w:val="center"/>
          </w:tcPr>
          <w:p w14:paraId="61F51FA8">
            <w:pPr>
              <w:widowControl/>
              <w:jc w:val="center"/>
              <w:textAlignment w:val="center"/>
              <w:rPr>
                <w:rFonts w:ascii="宋体" w:hAnsi="宋体"/>
                <w:sz w:val="21"/>
                <w:szCs w:val="21"/>
              </w:rPr>
            </w:pPr>
            <w:r>
              <w:rPr>
                <w:rFonts w:hint="eastAsia" w:ascii="宋体" w:hAnsi="宋体"/>
                <w:sz w:val="21"/>
                <w:szCs w:val="21"/>
              </w:rPr>
              <w:t>每年16次</w:t>
            </w:r>
          </w:p>
        </w:tc>
        <w:tc>
          <w:tcPr>
            <w:tcW w:w="499" w:type="pct"/>
            <w:tcBorders>
              <w:top w:val="nil"/>
              <w:left w:val="nil"/>
              <w:bottom w:val="single" w:color="000000" w:sz="8" w:space="0"/>
              <w:right w:val="single" w:color="000000" w:sz="8" w:space="0"/>
            </w:tcBorders>
            <w:shd w:val="clear" w:color="auto" w:fill="auto"/>
            <w:vAlign w:val="center"/>
          </w:tcPr>
          <w:p w14:paraId="139F80B5">
            <w:pPr>
              <w:jc w:val="center"/>
              <w:rPr>
                <w:rFonts w:ascii="宋体" w:hAnsi="宋体"/>
                <w:sz w:val="21"/>
                <w:szCs w:val="21"/>
              </w:rPr>
            </w:pPr>
          </w:p>
        </w:tc>
      </w:tr>
      <w:tr w14:paraId="3DCD436C">
        <w:tblPrEx>
          <w:tblCellMar>
            <w:top w:w="0" w:type="dxa"/>
            <w:left w:w="108" w:type="dxa"/>
            <w:bottom w:w="0" w:type="dxa"/>
            <w:right w:w="108" w:type="dxa"/>
          </w:tblCellMar>
        </w:tblPrEx>
        <w:trPr>
          <w:trHeight w:val="90"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06BF55CE">
            <w:pPr>
              <w:widowControl/>
              <w:jc w:val="center"/>
              <w:textAlignment w:val="center"/>
              <w:rPr>
                <w:rFonts w:ascii="宋体" w:hAnsi="宋体"/>
                <w:kern w:val="0"/>
                <w:sz w:val="21"/>
                <w:szCs w:val="21"/>
                <w:lang w:bidi="ar"/>
              </w:rPr>
            </w:pPr>
            <w:r>
              <w:rPr>
                <w:rFonts w:hint="eastAsia" w:ascii="宋体" w:hAnsi="宋体"/>
                <w:kern w:val="0"/>
                <w:sz w:val="21"/>
                <w:szCs w:val="21"/>
                <w:lang w:bidi="ar"/>
              </w:rPr>
              <w:t>5</w:t>
            </w:r>
          </w:p>
        </w:tc>
        <w:tc>
          <w:tcPr>
            <w:tcW w:w="1249" w:type="pct"/>
            <w:tcBorders>
              <w:top w:val="nil"/>
              <w:left w:val="nil"/>
              <w:bottom w:val="single" w:color="000000" w:sz="8" w:space="0"/>
              <w:right w:val="single" w:color="000000" w:sz="8" w:space="0"/>
            </w:tcBorders>
            <w:shd w:val="clear" w:color="auto" w:fill="auto"/>
            <w:vAlign w:val="center"/>
          </w:tcPr>
          <w:p w14:paraId="3E93730D">
            <w:pPr>
              <w:widowControl/>
              <w:jc w:val="left"/>
              <w:textAlignment w:val="center"/>
              <w:rPr>
                <w:rFonts w:ascii="宋体" w:hAnsi="宋体" w:cs="仿宋_GB2312"/>
                <w:kern w:val="0"/>
                <w:sz w:val="21"/>
                <w:szCs w:val="21"/>
                <w:lang w:bidi="ar"/>
              </w:rPr>
            </w:pPr>
            <w:r>
              <w:rPr>
                <w:rFonts w:hint="eastAsia" w:ascii="宋体" w:hAnsi="宋体" w:cs="仿宋_GB2312"/>
                <w:kern w:val="0"/>
                <w:sz w:val="21"/>
                <w:szCs w:val="21"/>
                <w:lang w:bidi="ar"/>
              </w:rPr>
              <w:t>污水井</w:t>
            </w:r>
          </w:p>
        </w:tc>
        <w:tc>
          <w:tcPr>
            <w:tcW w:w="481" w:type="pct"/>
            <w:tcBorders>
              <w:top w:val="nil"/>
              <w:left w:val="nil"/>
              <w:bottom w:val="single" w:color="000000" w:sz="8" w:space="0"/>
              <w:right w:val="single" w:color="000000" w:sz="8" w:space="0"/>
            </w:tcBorders>
            <w:shd w:val="clear" w:color="auto" w:fill="auto"/>
            <w:vAlign w:val="center"/>
          </w:tcPr>
          <w:p w14:paraId="18D16984">
            <w:pPr>
              <w:widowControl/>
              <w:jc w:val="center"/>
              <w:textAlignment w:val="center"/>
              <w:rPr>
                <w:rFonts w:ascii="宋体" w:hAnsi="宋体" w:cs="仿宋_GB2312"/>
                <w:kern w:val="0"/>
                <w:sz w:val="21"/>
                <w:szCs w:val="21"/>
                <w:lang w:bidi="ar"/>
              </w:rPr>
            </w:pPr>
            <w:r>
              <w:rPr>
                <w:rFonts w:hint="eastAsia" w:ascii="宋体" w:hAnsi="宋体" w:cs="仿宋_GB2312"/>
                <w:kern w:val="0"/>
                <w:sz w:val="21"/>
                <w:szCs w:val="21"/>
                <w:lang w:bidi="ar"/>
              </w:rPr>
              <w:t>座</w:t>
            </w:r>
          </w:p>
        </w:tc>
        <w:tc>
          <w:tcPr>
            <w:tcW w:w="735" w:type="pct"/>
            <w:tcBorders>
              <w:top w:val="nil"/>
              <w:left w:val="nil"/>
              <w:bottom w:val="single" w:color="000000" w:sz="8" w:space="0"/>
              <w:right w:val="single" w:color="000000" w:sz="8" w:space="0"/>
            </w:tcBorders>
            <w:shd w:val="clear" w:color="auto" w:fill="auto"/>
            <w:vAlign w:val="center"/>
          </w:tcPr>
          <w:p w14:paraId="055A7A2F">
            <w:pPr>
              <w:widowControl/>
              <w:jc w:val="center"/>
              <w:textAlignment w:val="center"/>
              <w:rPr>
                <w:rFonts w:ascii="宋体" w:hAnsi="宋体"/>
                <w:sz w:val="21"/>
                <w:szCs w:val="21"/>
              </w:rPr>
            </w:pPr>
            <w:r>
              <w:rPr>
                <w:rFonts w:hint="eastAsia" w:ascii="宋体" w:hAnsi="宋体"/>
                <w:sz w:val="21"/>
                <w:szCs w:val="21"/>
              </w:rPr>
              <w:t>8291</w:t>
            </w:r>
          </w:p>
        </w:tc>
        <w:tc>
          <w:tcPr>
            <w:tcW w:w="714" w:type="pct"/>
            <w:tcBorders>
              <w:top w:val="nil"/>
              <w:left w:val="nil"/>
              <w:bottom w:val="single" w:color="000000" w:sz="8" w:space="0"/>
              <w:right w:val="single" w:color="000000" w:sz="8" w:space="0"/>
            </w:tcBorders>
            <w:shd w:val="clear" w:color="auto" w:fill="auto"/>
            <w:vAlign w:val="center"/>
          </w:tcPr>
          <w:p w14:paraId="445C254F">
            <w:pPr>
              <w:widowControl/>
              <w:jc w:val="center"/>
              <w:textAlignment w:val="center"/>
              <w:rPr>
                <w:rFonts w:ascii="宋体" w:hAnsi="宋体"/>
                <w:sz w:val="21"/>
                <w:szCs w:val="21"/>
              </w:rPr>
            </w:pPr>
            <w:r>
              <w:rPr>
                <w:rFonts w:hint="eastAsia" w:ascii="宋体" w:hAnsi="宋体"/>
                <w:sz w:val="21"/>
                <w:szCs w:val="21"/>
              </w:rPr>
              <w:t>24873</w:t>
            </w:r>
          </w:p>
        </w:tc>
        <w:tc>
          <w:tcPr>
            <w:tcW w:w="829" w:type="pct"/>
            <w:tcBorders>
              <w:top w:val="nil"/>
              <w:left w:val="nil"/>
              <w:bottom w:val="single" w:color="000000" w:sz="8" w:space="0"/>
              <w:right w:val="single" w:color="000000" w:sz="8" w:space="0"/>
            </w:tcBorders>
            <w:shd w:val="clear" w:color="auto" w:fill="auto"/>
            <w:vAlign w:val="center"/>
          </w:tcPr>
          <w:p w14:paraId="65415976">
            <w:pPr>
              <w:widowControl/>
              <w:jc w:val="center"/>
              <w:textAlignment w:val="center"/>
              <w:rPr>
                <w:rFonts w:ascii="宋体" w:hAnsi="宋体"/>
                <w:sz w:val="21"/>
                <w:szCs w:val="21"/>
              </w:rPr>
            </w:pPr>
            <w:r>
              <w:rPr>
                <w:rFonts w:hint="eastAsia" w:ascii="宋体" w:hAnsi="宋体"/>
                <w:sz w:val="21"/>
                <w:szCs w:val="21"/>
              </w:rPr>
              <w:t>每年3次</w:t>
            </w:r>
          </w:p>
        </w:tc>
        <w:tc>
          <w:tcPr>
            <w:tcW w:w="499" w:type="pct"/>
            <w:tcBorders>
              <w:top w:val="nil"/>
              <w:left w:val="nil"/>
              <w:bottom w:val="single" w:color="000000" w:sz="8" w:space="0"/>
              <w:right w:val="single" w:color="000000" w:sz="8" w:space="0"/>
            </w:tcBorders>
            <w:shd w:val="clear" w:color="auto" w:fill="auto"/>
            <w:vAlign w:val="center"/>
          </w:tcPr>
          <w:p w14:paraId="3BE10F9D">
            <w:pPr>
              <w:jc w:val="center"/>
              <w:rPr>
                <w:rFonts w:ascii="宋体" w:hAnsi="宋体"/>
                <w:sz w:val="21"/>
                <w:szCs w:val="21"/>
              </w:rPr>
            </w:pPr>
          </w:p>
        </w:tc>
      </w:tr>
      <w:tr w14:paraId="2A3012B9">
        <w:tblPrEx>
          <w:tblCellMar>
            <w:top w:w="0" w:type="dxa"/>
            <w:left w:w="108" w:type="dxa"/>
            <w:bottom w:w="0" w:type="dxa"/>
            <w:right w:w="108" w:type="dxa"/>
          </w:tblCellMar>
        </w:tblPrEx>
        <w:trPr>
          <w:trHeight w:val="90"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76C4C44A">
            <w:pPr>
              <w:widowControl/>
              <w:jc w:val="center"/>
              <w:textAlignment w:val="center"/>
              <w:rPr>
                <w:rFonts w:ascii="宋体" w:hAnsi="宋体"/>
                <w:sz w:val="21"/>
                <w:szCs w:val="21"/>
              </w:rPr>
            </w:pPr>
            <w:r>
              <w:rPr>
                <w:rFonts w:hint="eastAsia" w:ascii="宋体" w:hAnsi="宋体"/>
                <w:kern w:val="0"/>
                <w:sz w:val="21"/>
                <w:szCs w:val="21"/>
                <w:lang w:bidi="ar"/>
              </w:rPr>
              <w:t>6</w:t>
            </w:r>
          </w:p>
        </w:tc>
        <w:tc>
          <w:tcPr>
            <w:tcW w:w="1249" w:type="pct"/>
            <w:tcBorders>
              <w:top w:val="nil"/>
              <w:left w:val="nil"/>
              <w:bottom w:val="single" w:color="000000" w:sz="8" w:space="0"/>
              <w:right w:val="single" w:color="000000" w:sz="8" w:space="0"/>
            </w:tcBorders>
            <w:shd w:val="clear" w:color="auto" w:fill="auto"/>
            <w:vAlign w:val="center"/>
          </w:tcPr>
          <w:p w14:paraId="3FCC38B4">
            <w:pPr>
              <w:widowControl/>
              <w:jc w:val="left"/>
              <w:textAlignment w:val="center"/>
              <w:rPr>
                <w:rFonts w:ascii="宋体" w:hAnsi="宋体" w:cs="仿宋_GB2312"/>
                <w:sz w:val="21"/>
                <w:szCs w:val="21"/>
              </w:rPr>
            </w:pPr>
            <w:r>
              <w:rPr>
                <w:rFonts w:hint="eastAsia" w:ascii="宋体" w:hAnsi="宋体" w:cs="仿宋_GB2312"/>
                <w:kern w:val="0"/>
                <w:sz w:val="21"/>
                <w:szCs w:val="21"/>
                <w:lang w:bidi="ar"/>
              </w:rPr>
              <w:t>排放口</w:t>
            </w:r>
          </w:p>
        </w:tc>
        <w:tc>
          <w:tcPr>
            <w:tcW w:w="481" w:type="pct"/>
            <w:tcBorders>
              <w:top w:val="nil"/>
              <w:left w:val="nil"/>
              <w:bottom w:val="single" w:color="000000" w:sz="8" w:space="0"/>
              <w:right w:val="single" w:color="000000" w:sz="8" w:space="0"/>
            </w:tcBorders>
            <w:shd w:val="clear" w:color="auto" w:fill="auto"/>
            <w:vAlign w:val="center"/>
          </w:tcPr>
          <w:p w14:paraId="75702898">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处</w:t>
            </w:r>
          </w:p>
        </w:tc>
        <w:tc>
          <w:tcPr>
            <w:tcW w:w="735" w:type="pct"/>
            <w:tcBorders>
              <w:top w:val="nil"/>
              <w:left w:val="nil"/>
              <w:bottom w:val="single" w:color="000000" w:sz="8" w:space="0"/>
              <w:right w:val="single" w:color="000000" w:sz="8" w:space="0"/>
            </w:tcBorders>
            <w:shd w:val="clear" w:color="auto" w:fill="auto"/>
            <w:vAlign w:val="center"/>
          </w:tcPr>
          <w:p w14:paraId="1520FAF1">
            <w:pPr>
              <w:widowControl/>
              <w:jc w:val="center"/>
              <w:textAlignment w:val="center"/>
              <w:rPr>
                <w:rFonts w:ascii="宋体" w:hAnsi="宋体"/>
                <w:sz w:val="21"/>
                <w:szCs w:val="21"/>
              </w:rPr>
            </w:pPr>
            <w:r>
              <w:rPr>
                <w:rFonts w:hint="eastAsia" w:ascii="宋体" w:hAnsi="宋体"/>
                <w:sz w:val="21"/>
                <w:szCs w:val="21"/>
              </w:rPr>
              <w:t>39</w:t>
            </w:r>
          </w:p>
        </w:tc>
        <w:tc>
          <w:tcPr>
            <w:tcW w:w="714" w:type="pct"/>
            <w:tcBorders>
              <w:top w:val="nil"/>
              <w:left w:val="nil"/>
              <w:bottom w:val="single" w:color="000000" w:sz="8" w:space="0"/>
              <w:right w:val="single" w:color="000000" w:sz="8" w:space="0"/>
            </w:tcBorders>
            <w:shd w:val="clear" w:color="auto" w:fill="auto"/>
            <w:vAlign w:val="center"/>
          </w:tcPr>
          <w:p w14:paraId="1B02FF94">
            <w:pPr>
              <w:widowControl/>
              <w:jc w:val="center"/>
              <w:textAlignment w:val="center"/>
              <w:rPr>
                <w:rFonts w:ascii="宋体" w:hAnsi="宋体"/>
                <w:sz w:val="21"/>
                <w:szCs w:val="21"/>
              </w:rPr>
            </w:pPr>
            <w:r>
              <w:rPr>
                <w:rFonts w:hint="eastAsia" w:ascii="宋体" w:hAnsi="宋体"/>
                <w:sz w:val="21"/>
                <w:szCs w:val="21"/>
              </w:rPr>
              <w:t>39</w:t>
            </w:r>
          </w:p>
        </w:tc>
        <w:tc>
          <w:tcPr>
            <w:tcW w:w="829" w:type="pct"/>
            <w:tcBorders>
              <w:top w:val="nil"/>
              <w:left w:val="nil"/>
              <w:bottom w:val="single" w:color="000000" w:sz="8" w:space="0"/>
              <w:right w:val="single" w:color="000000" w:sz="8" w:space="0"/>
            </w:tcBorders>
            <w:shd w:val="clear" w:color="auto" w:fill="auto"/>
            <w:vAlign w:val="center"/>
          </w:tcPr>
          <w:p w14:paraId="1FF8CCA3">
            <w:pPr>
              <w:widowControl/>
              <w:jc w:val="center"/>
              <w:textAlignment w:val="center"/>
              <w:rPr>
                <w:rFonts w:ascii="宋体" w:hAnsi="宋体"/>
                <w:sz w:val="21"/>
                <w:szCs w:val="21"/>
              </w:rPr>
            </w:pPr>
            <w:r>
              <w:rPr>
                <w:rFonts w:hint="eastAsia" w:ascii="宋体" w:hAnsi="宋体"/>
                <w:sz w:val="21"/>
                <w:szCs w:val="21"/>
              </w:rPr>
              <w:t>每年1次</w:t>
            </w:r>
          </w:p>
        </w:tc>
        <w:tc>
          <w:tcPr>
            <w:tcW w:w="499" w:type="pct"/>
            <w:tcBorders>
              <w:top w:val="nil"/>
              <w:left w:val="nil"/>
              <w:bottom w:val="single" w:color="000000" w:sz="8" w:space="0"/>
              <w:right w:val="single" w:color="000000" w:sz="8" w:space="0"/>
            </w:tcBorders>
            <w:shd w:val="clear" w:color="auto" w:fill="auto"/>
            <w:vAlign w:val="center"/>
          </w:tcPr>
          <w:p w14:paraId="61521A73">
            <w:pPr>
              <w:jc w:val="center"/>
              <w:rPr>
                <w:rFonts w:ascii="宋体" w:hAnsi="宋体"/>
                <w:sz w:val="21"/>
                <w:szCs w:val="21"/>
              </w:rPr>
            </w:pPr>
          </w:p>
        </w:tc>
      </w:tr>
      <w:tr w14:paraId="540AC01C">
        <w:tblPrEx>
          <w:tblCellMar>
            <w:top w:w="0" w:type="dxa"/>
            <w:left w:w="108" w:type="dxa"/>
            <w:bottom w:w="0" w:type="dxa"/>
            <w:right w:w="108" w:type="dxa"/>
          </w:tblCellMar>
        </w:tblPrEx>
        <w:trPr>
          <w:trHeight w:val="90"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16CF440F">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二</w:t>
            </w:r>
          </w:p>
        </w:tc>
        <w:tc>
          <w:tcPr>
            <w:tcW w:w="4508" w:type="pct"/>
            <w:gridSpan w:val="6"/>
            <w:tcBorders>
              <w:top w:val="nil"/>
              <w:left w:val="nil"/>
              <w:bottom w:val="single" w:color="000000" w:sz="8" w:space="0"/>
              <w:right w:val="single" w:color="000000" w:sz="8" w:space="0"/>
            </w:tcBorders>
            <w:shd w:val="clear" w:color="auto" w:fill="auto"/>
            <w:vAlign w:val="center"/>
          </w:tcPr>
          <w:p w14:paraId="14DA820F">
            <w:pPr>
              <w:widowControl/>
              <w:jc w:val="left"/>
              <w:textAlignment w:val="center"/>
              <w:rPr>
                <w:rFonts w:ascii="宋体" w:hAnsi="宋体" w:cs="仿宋_GB2312"/>
                <w:b/>
                <w:bCs/>
                <w:sz w:val="21"/>
                <w:szCs w:val="21"/>
              </w:rPr>
            </w:pPr>
            <w:r>
              <w:rPr>
                <w:rFonts w:hint="eastAsia" w:ascii="宋体" w:hAnsi="宋体" w:cs="仿宋_GB2312"/>
                <w:b/>
                <w:bCs/>
                <w:sz w:val="21"/>
                <w:szCs w:val="21"/>
              </w:rPr>
              <w:t>小型泵站养护</w:t>
            </w:r>
          </w:p>
        </w:tc>
      </w:tr>
      <w:tr w14:paraId="021330EC">
        <w:tblPrEx>
          <w:tblCellMar>
            <w:top w:w="0" w:type="dxa"/>
            <w:left w:w="108" w:type="dxa"/>
            <w:bottom w:w="0" w:type="dxa"/>
            <w:right w:w="108" w:type="dxa"/>
          </w:tblCellMar>
        </w:tblPrEx>
        <w:trPr>
          <w:trHeight w:val="327"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2CC6583B">
            <w:pPr>
              <w:widowControl/>
              <w:jc w:val="center"/>
              <w:textAlignment w:val="center"/>
              <w:rPr>
                <w:rFonts w:ascii="宋体" w:hAnsi="宋体"/>
                <w:sz w:val="21"/>
                <w:szCs w:val="21"/>
              </w:rPr>
            </w:pPr>
            <w:r>
              <w:rPr>
                <w:rFonts w:ascii="宋体" w:hAnsi="宋体"/>
                <w:kern w:val="0"/>
                <w:sz w:val="21"/>
                <w:szCs w:val="21"/>
                <w:lang w:bidi="ar"/>
              </w:rPr>
              <w:t>1</w:t>
            </w:r>
          </w:p>
        </w:tc>
        <w:tc>
          <w:tcPr>
            <w:tcW w:w="1249" w:type="pct"/>
            <w:tcBorders>
              <w:top w:val="nil"/>
              <w:left w:val="nil"/>
              <w:bottom w:val="single" w:color="000000" w:sz="8" w:space="0"/>
              <w:right w:val="single" w:color="000000" w:sz="8" w:space="0"/>
            </w:tcBorders>
            <w:shd w:val="clear" w:color="auto" w:fill="auto"/>
            <w:vAlign w:val="center"/>
          </w:tcPr>
          <w:p w14:paraId="140FB47B">
            <w:pPr>
              <w:widowControl/>
              <w:jc w:val="left"/>
              <w:textAlignment w:val="center"/>
              <w:rPr>
                <w:rFonts w:ascii="宋体" w:hAnsi="宋体" w:cs="仿宋_GB2312"/>
                <w:sz w:val="21"/>
                <w:szCs w:val="21"/>
              </w:rPr>
            </w:pPr>
            <w:r>
              <w:rPr>
                <w:rFonts w:hint="eastAsia" w:ascii="宋体" w:hAnsi="宋体" w:cs="仿宋_GB2312"/>
                <w:kern w:val="0"/>
                <w:sz w:val="21"/>
                <w:szCs w:val="21"/>
                <w:lang w:bidi="ar"/>
              </w:rPr>
              <w:t>地埋式泵站日常运行及维护</w:t>
            </w:r>
          </w:p>
        </w:tc>
        <w:tc>
          <w:tcPr>
            <w:tcW w:w="481" w:type="pct"/>
            <w:tcBorders>
              <w:top w:val="single" w:color="000000" w:sz="8" w:space="0"/>
              <w:left w:val="nil"/>
              <w:bottom w:val="single" w:color="000000" w:sz="8" w:space="0"/>
              <w:right w:val="single" w:color="000000" w:sz="8" w:space="0"/>
            </w:tcBorders>
            <w:shd w:val="clear" w:color="auto" w:fill="auto"/>
            <w:vAlign w:val="center"/>
          </w:tcPr>
          <w:p w14:paraId="38123257">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座</w:t>
            </w:r>
          </w:p>
        </w:tc>
        <w:tc>
          <w:tcPr>
            <w:tcW w:w="735" w:type="pct"/>
            <w:tcBorders>
              <w:top w:val="single" w:color="000000" w:sz="8" w:space="0"/>
              <w:left w:val="nil"/>
              <w:bottom w:val="single" w:color="000000" w:sz="8" w:space="0"/>
              <w:right w:val="single" w:color="000000" w:sz="8" w:space="0"/>
            </w:tcBorders>
            <w:shd w:val="clear" w:color="auto" w:fill="auto"/>
            <w:noWrap/>
            <w:vAlign w:val="center"/>
          </w:tcPr>
          <w:p w14:paraId="7CA7138B">
            <w:pPr>
              <w:widowControl/>
              <w:jc w:val="center"/>
              <w:textAlignment w:val="center"/>
              <w:rPr>
                <w:rFonts w:ascii="宋体" w:hAnsi="宋体"/>
                <w:sz w:val="21"/>
                <w:szCs w:val="21"/>
              </w:rPr>
            </w:pPr>
            <w:r>
              <w:rPr>
                <w:rFonts w:hint="eastAsia" w:ascii="宋体" w:hAnsi="宋体"/>
                <w:sz w:val="21"/>
                <w:szCs w:val="21"/>
              </w:rPr>
              <w:t>3</w:t>
            </w:r>
          </w:p>
        </w:tc>
        <w:tc>
          <w:tcPr>
            <w:tcW w:w="714" w:type="pct"/>
            <w:tcBorders>
              <w:top w:val="single" w:color="000000" w:sz="8" w:space="0"/>
              <w:left w:val="nil"/>
              <w:bottom w:val="single" w:color="000000" w:sz="8" w:space="0"/>
              <w:right w:val="single" w:color="000000" w:sz="8" w:space="0"/>
            </w:tcBorders>
            <w:shd w:val="clear" w:color="auto" w:fill="auto"/>
            <w:noWrap/>
            <w:vAlign w:val="center"/>
          </w:tcPr>
          <w:p w14:paraId="4837A3A9">
            <w:pPr>
              <w:widowControl/>
              <w:jc w:val="center"/>
              <w:textAlignment w:val="center"/>
              <w:rPr>
                <w:rFonts w:ascii="宋体" w:hAnsi="宋体"/>
                <w:sz w:val="21"/>
                <w:szCs w:val="21"/>
              </w:rPr>
            </w:pPr>
            <w:r>
              <w:rPr>
                <w:rFonts w:hint="eastAsia" w:ascii="宋体" w:hAnsi="宋体"/>
                <w:sz w:val="21"/>
                <w:szCs w:val="21"/>
              </w:rPr>
              <w:t>6</w:t>
            </w:r>
          </w:p>
        </w:tc>
        <w:tc>
          <w:tcPr>
            <w:tcW w:w="829" w:type="pct"/>
            <w:tcBorders>
              <w:top w:val="single" w:color="000000" w:sz="8" w:space="0"/>
              <w:left w:val="nil"/>
              <w:bottom w:val="single" w:color="000000" w:sz="8" w:space="0"/>
              <w:right w:val="single" w:color="000000" w:sz="8" w:space="0"/>
            </w:tcBorders>
            <w:shd w:val="clear" w:color="auto" w:fill="auto"/>
            <w:noWrap/>
            <w:vAlign w:val="center"/>
          </w:tcPr>
          <w:p w14:paraId="1971E107">
            <w:pPr>
              <w:widowControl/>
              <w:jc w:val="center"/>
              <w:textAlignment w:val="center"/>
              <w:rPr>
                <w:rFonts w:ascii="宋体" w:hAnsi="宋体"/>
                <w:sz w:val="21"/>
                <w:szCs w:val="21"/>
              </w:rPr>
            </w:pPr>
            <w:r>
              <w:rPr>
                <w:rFonts w:hint="eastAsia" w:ascii="宋体" w:hAnsi="宋体"/>
                <w:sz w:val="21"/>
                <w:szCs w:val="21"/>
              </w:rPr>
              <w:t>每年2次</w:t>
            </w:r>
          </w:p>
        </w:tc>
        <w:tc>
          <w:tcPr>
            <w:tcW w:w="499" w:type="pct"/>
            <w:tcBorders>
              <w:top w:val="single" w:color="000000" w:sz="8" w:space="0"/>
              <w:left w:val="nil"/>
              <w:bottom w:val="single" w:color="000000" w:sz="8" w:space="0"/>
              <w:right w:val="single" w:color="000000" w:sz="8" w:space="0"/>
            </w:tcBorders>
            <w:shd w:val="clear" w:color="auto" w:fill="auto"/>
            <w:vAlign w:val="center"/>
          </w:tcPr>
          <w:p w14:paraId="68536F2E">
            <w:pPr>
              <w:jc w:val="center"/>
              <w:rPr>
                <w:rFonts w:ascii="宋体" w:hAnsi="宋体"/>
                <w:sz w:val="21"/>
                <w:szCs w:val="21"/>
              </w:rPr>
            </w:pPr>
          </w:p>
        </w:tc>
      </w:tr>
      <w:tr w14:paraId="3FA9F603">
        <w:tblPrEx>
          <w:tblCellMar>
            <w:top w:w="0" w:type="dxa"/>
            <w:left w:w="108" w:type="dxa"/>
            <w:bottom w:w="0" w:type="dxa"/>
            <w:right w:w="108" w:type="dxa"/>
          </w:tblCellMar>
        </w:tblPrEx>
        <w:trPr>
          <w:trHeight w:val="155"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57A64FE1">
            <w:pPr>
              <w:widowControl/>
              <w:jc w:val="center"/>
              <w:textAlignment w:val="center"/>
              <w:rPr>
                <w:rFonts w:ascii="宋体" w:hAnsi="宋体" w:cs="仿宋_GB2312"/>
                <w:b/>
                <w:bCs/>
                <w:sz w:val="21"/>
                <w:szCs w:val="21"/>
              </w:rPr>
            </w:pPr>
            <w:r>
              <w:rPr>
                <w:rFonts w:hint="eastAsia" w:ascii="宋体" w:hAnsi="宋体" w:cs="仿宋_GB2312"/>
                <w:b/>
                <w:bCs/>
                <w:kern w:val="0"/>
                <w:sz w:val="21"/>
                <w:szCs w:val="21"/>
                <w:lang w:bidi="ar"/>
              </w:rPr>
              <w:t>三</w:t>
            </w:r>
          </w:p>
        </w:tc>
        <w:tc>
          <w:tcPr>
            <w:tcW w:w="1249" w:type="pct"/>
            <w:tcBorders>
              <w:top w:val="nil"/>
              <w:left w:val="nil"/>
              <w:bottom w:val="single" w:color="000000" w:sz="8" w:space="0"/>
              <w:right w:val="single" w:color="000000" w:sz="8" w:space="0"/>
            </w:tcBorders>
            <w:shd w:val="clear" w:color="auto" w:fill="auto"/>
            <w:vAlign w:val="center"/>
          </w:tcPr>
          <w:p w14:paraId="02809338">
            <w:pPr>
              <w:widowControl/>
              <w:jc w:val="left"/>
              <w:textAlignment w:val="center"/>
              <w:rPr>
                <w:rFonts w:ascii="宋体" w:hAnsi="宋体" w:cs="仿宋_GB2312"/>
                <w:b/>
                <w:bCs/>
                <w:sz w:val="21"/>
                <w:szCs w:val="21"/>
              </w:rPr>
            </w:pPr>
            <w:r>
              <w:rPr>
                <w:rFonts w:hint="eastAsia" w:ascii="宋体" w:hAnsi="宋体" w:cs="仿宋_GB2312"/>
                <w:b/>
                <w:bCs/>
                <w:kern w:val="0"/>
                <w:sz w:val="21"/>
                <w:szCs w:val="21"/>
                <w:lang w:bidi="ar"/>
              </w:rPr>
              <w:t>防汛应急抢险</w:t>
            </w:r>
          </w:p>
        </w:tc>
        <w:tc>
          <w:tcPr>
            <w:tcW w:w="481" w:type="pct"/>
            <w:tcBorders>
              <w:top w:val="nil"/>
              <w:left w:val="nil"/>
              <w:bottom w:val="single" w:color="000000" w:sz="8" w:space="0"/>
              <w:right w:val="single" w:color="000000" w:sz="8" w:space="0"/>
            </w:tcBorders>
            <w:shd w:val="clear" w:color="auto" w:fill="auto"/>
            <w:vAlign w:val="center"/>
          </w:tcPr>
          <w:p w14:paraId="001F262C">
            <w:pPr>
              <w:jc w:val="center"/>
              <w:rPr>
                <w:rFonts w:ascii="宋体" w:hAnsi="宋体"/>
                <w:sz w:val="21"/>
                <w:szCs w:val="21"/>
              </w:rPr>
            </w:pPr>
          </w:p>
        </w:tc>
        <w:tc>
          <w:tcPr>
            <w:tcW w:w="735" w:type="pct"/>
            <w:tcBorders>
              <w:top w:val="nil"/>
              <w:left w:val="nil"/>
              <w:bottom w:val="single" w:color="000000" w:sz="8" w:space="0"/>
              <w:right w:val="single" w:color="000000" w:sz="8" w:space="0"/>
            </w:tcBorders>
            <w:shd w:val="clear" w:color="auto" w:fill="auto"/>
            <w:noWrap/>
            <w:vAlign w:val="center"/>
          </w:tcPr>
          <w:p w14:paraId="7BDF166D">
            <w:pPr>
              <w:jc w:val="center"/>
              <w:rPr>
                <w:rFonts w:ascii="宋体" w:hAnsi="宋体"/>
                <w:sz w:val="21"/>
                <w:szCs w:val="21"/>
              </w:rPr>
            </w:pPr>
          </w:p>
        </w:tc>
        <w:tc>
          <w:tcPr>
            <w:tcW w:w="714" w:type="pct"/>
            <w:tcBorders>
              <w:top w:val="nil"/>
              <w:left w:val="nil"/>
              <w:bottom w:val="single" w:color="000000" w:sz="8" w:space="0"/>
              <w:right w:val="single" w:color="000000" w:sz="8" w:space="0"/>
            </w:tcBorders>
            <w:shd w:val="clear" w:color="auto" w:fill="auto"/>
            <w:noWrap/>
            <w:vAlign w:val="center"/>
          </w:tcPr>
          <w:p w14:paraId="0DFAD855">
            <w:pPr>
              <w:jc w:val="center"/>
              <w:rPr>
                <w:rFonts w:ascii="宋体" w:hAnsi="宋体"/>
                <w:sz w:val="21"/>
                <w:szCs w:val="21"/>
              </w:rPr>
            </w:pPr>
          </w:p>
        </w:tc>
        <w:tc>
          <w:tcPr>
            <w:tcW w:w="829" w:type="pct"/>
            <w:tcBorders>
              <w:top w:val="nil"/>
              <w:left w:val="nil"/>
              <w:bottom w:val="single" w:color="000000" w:sz="8" w:space="0"/>
              <w:right w:val="single" w:color="000000" w:sz="8" w:space="0"/>
            </w:tcBorders>
            <w:shd w:val="clear" w:color="auto" w:fill="auto"/>
            <w:vAlign w:val="center"/>
          </w:tcPr>
          <w:p w14:paraId="409D876B">
            <w:pPr>
              <w:jc w:val="center"/>
              <w:rPr>
                <w:rFonts w:ascii="宋体" w:hAnsi="宋体"/>
                <w:sz w:val="21"/>
                <w:szCs w:val="21"/>
              </w:rPr>
            </w:pPr>
          </w:p>
        </w:tc>
        <w:tc>
          <w:tcPr>
            <w:tcW w:w="499" w:type="pct"/>
            <w:tcBorders>
              <w:top w:val="nil"/>
              <w:left w:val="nil"/>
              <w:bottom w:val="single" w:color="000000" w:sz="8" w:space="0"/>
              <w:right w:val="single" w:color="000000" w:sz="8" w:space="0"/>
            </w:tcBorders>
            <w:shd w:val="clear" w:color="auto" w:fill="auto"/>
            <w:vAlign w:val="center"/>
          </w:tcPr>
          <w:p w14:paraId="7BCB9EE3">
            <w:pPr>
              <w:jc w:val="center"/>
              <w:rPr>
                <w:rFonts w:ascii="宋体" w:hAnsi="宋体"/>
                <w:sz w:val="21"/>
                <w:szCs w:val="21"/>
              </w:rPr>
            </w:pPr>
          </w:p>
        </w:tc>
      </w:tr>
      <w:tr w14:paraId="44EB6122">
        <w:tblPrEx>
          <w:tblCellMar>
            <w:top w:w="0" w:type="dxa"/>
            <w:left w:w="108" w:type="dxa"/>
            <w:bottom w:w="0" w:type="dxa"/>
            <w:right w:w="108" w:type="dxa"/>
          </w:tblCellMar>
        </w:tblPrEx>
        <w:trPr>
          <w:trHeight w:val="90" w:hRule="atLeast"/>
          <w:jc w:val="center"/>
        </w:trPr>
        <w:tc>
          <w:tcPr>
            <w:tcW w:w="491" w:type="pct"/>
            <w:tcBorders>
              <w:top w:val="nil"/>
              <w:left w:val="single" w:color="000000" w:sz="8" w:space="0"/>
              <w:bottom w:val="single" w:color="000000" w:sz="8" w:space="0"/>
              <w:right w:val="single" w:color="000000" w:sz="8" w:space="0"/>
            </w:tcBorders>
            <w:shd w:val="clear" w:color="auto" w:fill="auto"/>
            <w:noWrap/>
            <w:vAlign w:val="center"/>
          </w:tcPr>
          <w:p w14:paraId="7BBEEB0D">
            <w:pPr>
              <w:widowControl/>
              <w:jc w:val="center"/>
              <w:textAlignment w:val="center"/>
              <w:rPr>
                <w:rFonts w:ascii="宋体" w:hAnsi="宋体"/>
                <w:sz w:val="21"/>
                <w:szCs w:val="21"/>
              </w:rPr>
            </w:pPr>
            <w:r>
              <w:rPr>
                <w:rFonts w:ascii="宋体" w:hAnsi="宋体"/>
                <w:kern w:val="0"/>
                <w:sz w:val="21"/>
                <w:szCs w:val="21"/>
                <w:lang w:bidi="ar"/>
              </w:rPr>
              <w:t>1</w:t>
            </w:r>
          </w:p>
        </w:tc>
        <w:tc>
          <w:tcPr>
            <w:tcW w:w="1249" w:type="pct"/>
            <w:tcBorders>
              <w:top w:val="nil"/>
              <w:left w:val="nil"/>
              <w:bottom w:val="single" w:color="000000" w:sz="8" w:space="0"/>
              <w:right w:val="single" w:color="000000" w:sz="8" w:space="0"/>
            </w:tcBorders>
            <w:shd w:val="clear" w:color="auto" w:fill="auto"/>
            <w:vAlign w:val="center"/>
          </w:tcPr>
          <w:p w14:paraId="21EB9A26">
            <w:pPr>
              <w:widowControl/>
              <w:jc w:val="left"/>
              <w:textAlignment w:val="center"/>
              <w:rPr>
                <w:rFonts w:ascii="宋体" w:hAnsi="宋体" w:cs="仿宋_GB2312"/>
                <w:sz w:val="21"/>
                <w:szCs w:val="21"/>
              </w:rPr>
            </w:pPr>
            <w:r>
              <w:rPr>
                <w:rFonts w:hint="eastAsia" w:ascii="宋体" w:hAnsi="宋体" w:cs="仿宋_GB2312"/>
                <w:kern w:val="0"/>
                <w:sz w:val="21"/>
                <w:szCs w:val="21"/>
                <w:lang w:bidi="ar"/>
              </w:rPr>
              <w:t>泵车及应急支援</w:t>
            </w:r>
          </w:p>
        </w:tc>
        <w:tc>
          <w:tcPr>
            <w:tcW w:w="481" w:type="pct"/>
            <w:tcBorders>
              <w:top w:val="nil"/>
              <w:left w:val="nil"/>
              <w:bottom w:val="single" w:color="000000" w:sz="8" w:space="0"/>
              <w:right w:val="single" w:color="000000" w:sz="8" w:space="0"/>
            </w:tcBorders>
            <w:shd w:val="clear" w:color="auto" w:fill="auto"/>
            <w:vAlign w:val="center"/>
          </w:tcPr>
          <w:p w14:paraId="1C10EB27">
            <w:pPr>
              <w:widowControl/>
              <w:jc w:val="center"/>
              <w:textAlignment w:val="center"/>
              <w:rPr>
                <w:rFonts w:ascii="宋体" w:hAnsi="宋体" w:cs="仿宋_GB2312"/>
                <w:sz w:val="21"/>
                <w:szCs w:val="21"/>
              </w:rPr>
            </w:pPr>
            <w:r>
              <w:rPr>
                <w:rFonts w:hint="eastAsia" w:ascii="宋体" w:hAnsi="宋体" w:cs="仿宋_GB2312"/>
                <w:kern w:val="0"/>
                <w:sz w:val="21"/>
                <w:szCs w:val="21"/>
                <w:lang w:bidi="ar"/>
              </w:rPr>
              <w:t>次</w:t>
            </w:r>
          </w:p>
        </w:tc>
        <w:tc>
          <w:tcPr>
            <w:tcW w:w="2777" w:type="pct"/>
            <w:gridSpan w:val="4"/>
            <w:tcBorders>
              <w:top w:val="nil"/>
              <w:left w:val="nil"/>
              <w:bottom w:val="single" w:color="000000" w:sz="8" w:space="0"/>
              <w:right w:val="single" w:color="000000" w:sz="8" w:space="0"/>
            </w:tcBorders>
            <w:shd w:val="clear" w:color="auto" w:fill="auto"/>
            <w:noWrap/>
            <w:vAlign w:val="center"/>
          </w:tcPr>
          <w:p w14:paraId="7CBEB061">
            <w:pPr>
              <w:tabs>
                <w:tab w:val="left" w:pos="1644"/>
              </w:tabs>
              <w:jc w:val="left"/>
              <w:rPr>
                <w:rFonts w:ascii="宋体" w:hAnsi="宋体"/>
                <w:sz w:val="21"/>
                <w:szCs w:val="21"/>
              </w:rPr>
            </w:pPr>
            <w:r>
              <w:rPr>
                <w:rFonts w:hint="eastAsia" w:ascii="宋体" w:hAnsi="宋体"/>
                <w:sz w:val="21"/>
                <w:szCs w:val="21"/>
              </w:rPr>
              <w:tab/>
            </w:r>
            <w:r>
              <w:rPr>
                <w:rFonts w:hint="eastAsia" w:ascii="宋体" w:hAnsi="宋体"/>
                <w:sz w:val="21"/>
                <w:szCs w:val="21"/>
              </w:rPr>
              <w:t>服从全镇统一调度</w:t>
            </w:r>
          </w:p>
        </w:tc>
      </w:tr>
    </w:tbl>
    <w:p w14:paraId="7DCE989D">
      <w:pPr>
        <w:snapToGrid w:val="0"/>
        <w:spacing w:line="560" w:lineRule="exact"/>
        <w:ind w:firstLine="420" w:firstLineChars="200"/>
        <w:rPr>
          <w:rFonts w:ascii="宋体" w:hAnsi="宋体"/>
          <w:sz w:val="21"/>
          <w:szCs w:val="21"/>
        </w:rPr>
      </w:pPr>
      <w:r>
        <w:rPr>
          <w:rFonts w:ascii="宋体" w:hAnsi="宋体"/>
          <w:sz w:val="21"/>
          <w:szCs w:val="21"/>
        </w:rPr>
        <w:t>备注：</w:t>
      </w:r>
      <w:r>
        <w:rPr>
          <w:rFonts w:hint="eastAsia" w:ascii="宋体" w:hAnsi="宋体"/>
          <w:sz w:val="21"/>
          <w:szCs w:val="21"/>
        </w:rPr>
        <w:t>1、</w:t>
      </w:r>
      <w:r>
        <w:rPr>
          <w:rFonts w:ascii="宋体" w:hAnsi="宋体"/>
          <w:sz w:val="21"/>
          <w:szCs w:val="21"/>
        </w:rPr>
        <w:t>本项目养护作业对象原则上以划片明确的四至范围</w:t>
      </w:r>
      <w:r>
        <w:rPr>
          <w:rFonts w:hint="eastAsia" w:ascii="宋体" w:hAnsi="宋体"/>
          <w:sz w:val="21"/>
          <w:szCs w:val="21"/>
        </w:rPr>
        <w:t>排水</w:t>
      </w:r>
      <w:r>
        <w:rPr>
          <w:rFonts w:ascii="宋体" w:hAnsi="宋体"/>
          <w:sz w:val="21"/>
          <w:szCs w:val="21"/>
        </w:rPr>
        <w:t>管道清单作为基础，具体养护路段、设施量以业主单位提供的为准。</w:t>
      </w:r>
    </w:p>
    <w:p w14:paraId="3BD131FE">
      <w:pPr>
        <w:snapToGrid w:val="0"/>
        <w:spacing w:line="560" w:lineRule="exact"/>
        <w:ind w:firstLine="420" w:firstLineChars="200"/>
        <w:rPr>
          <w:rFonts w:ascii="宋体" w:hAnsi="宋体"/>
          <w:sz w:val="21"/>
          <w:szCs w:val="21"/>
        </w:rPr>
      </w:pPr>
    </w:p>
    <w:p w14:paraId="4F682640">
      <w:pPr>
        <w:snapToGrid w:val="0"/>
        <w:spacing w:line="560" w:lineRule="exact"/>
        <w:ind w:firstLine="422" w:firstLineChars="200"/>
        <w:rPr>
          <w:rFonts w:ascii="宋体" w:hAnsi="宋体"/>
          <w:b/>
          <w:sz w:val="21"/>
          <w:szCs w:val="21"/>
        </w:rPr>
      </w:pPr>
      <w:r>
        <w:rPr>
          <w:rFonts w:ascii="宋体" w:hAnsi="宋体"/>
          <w:b/>
          <w:sz w:val="21"/>
          <w:szCs w:val="21"/>
        </w:rPr>
        <w:t>1.</w:t>
      </w:r>
      <w:r>
        <w:rPr>
          <w:rFonts w:hint="eastAsia" w:ascii="宋体" w:hAnsi="宋体"/>
          <w:b/>
          <w:sz w:val="21"/>
          <w:szCs w:val="21"/>
        </w:rPr>
        <w:t>管道</w:t>
      </w:r>
      <w:r>
        <w:rPr>
          <w:rFonts w:ascii="宋体" w:hAnsi="宋体"/>
          <w:b/>
          <w:sz w:val="21"/>
          <w:szCs w:val="21"/>
        </w:rPr>
        <w:t>设施养护防汛应急抢险（1）工作内容：</w:t>
      </w:r>
    </w:p>
    <w:p w14:paraId="47731A38">
      <w:pPr>
        <w:snapToGrid w:val="0"/>
        <w:spacing w:line="560" w:lineRule="exact"/>
        <w:ind w:firstLine="420" w:firstLineChars="200"/>
        <w:rPr>
          <w:rFonts w:ascii="宋体" w:hAnsi="宋体"/>
          <w:sz w:val="21"/>
          <w:szCs w:val="21"/>
        </w:rPr>
      </w:pPr>
      <w:bookmarkStart w:id="2" w:name="_Hlk155176609"/>
      <w:r>
        <w:rPr>
          <w:rFonts w:ascii="宋体" w:hAnsi="宋体"/>
          <w:sz w:val="21"/>
          <w:szCs w:val="21"/>
        </w:rPr>
        <w:t>①管道养护：</w:t>
      </w:r>
      <w:r>
        <w:rPr>
          <w:rFonts w:hint="eastAsia" w:ascii="宋体" w:hAnsi="宋体"/>
          <w:sz w:val="21"/>
          <w:szCs w:val="21"/>
        </w:rPr>
        <w:t>雨水</w:t>
      </w:r>
      <w:r>
        <w:rPr>
          <w:rFonts w:ascii="宋体" w:hAnsi="宋体"/>
          <w:sz w:val="21"/>
          <w:szCs w:val="21"/>
        </w:rPr>
        <w:t>管道养护频次每季度不少于1次、且汛前应全面完成一次雨水管道养护疏通；</w:t>
      </w:r>
      <w:r>
        <w:rPr>
          <w:rFonts w:hint="eastAsia" w:ascii="宋体" w:hAnsi="宋体"/>
          <w:sz w:val="21"/>
          <w:szCs w:val="21"/>
        </w:rPr>
        <w:t>污</w:t>
      </w:r>
      <w:r>
        <w:rPr>
          <w:rFonts w:ascii="宋体" w:hAnsi="宋体"/>
          <w:sz w:val="21"/>
          <w:szCs w:val="21"/>
        </w:rPr>
        <w:t>水</w:t>
      </w:r>
      <w:r>
        <w:rPr>
          <w:rFonts w:hint="eastAsia" w:ascii="宋体" w:hAnsi="宋体"/>
          <w:sz w:val="21"/>
          <w:szCs w:val="21"/>
        </w:rPr>
        <w:t>管道</w:t>
      </w:r>
      <w:r>
        <w:rPr>
          <w:rFonts w:ascii="宋体" w:hAnsi="宋体"/>
          <w:sz w:val="21"/>
          <w:szCs w:val="21"/>
        </w:rPr>
        <w:t>养护频次每年不少于</w:t>
      </w:r>
      <w:r>
        <w:rPr>
          <w:rFonts w:hint="eastAsia" w:ascii="宋体" w:hAnsi="宋体"/>
          <w:sz w:val="21"/>
          <w:szCs w:val="21"/>
        </w:rPr>
        <w:t>4</w:t>
      </w:r>
      <w:r>
        <w:rPr>
          <w:rFonts w:ascii="宋体" w:hAnsi="宋体"/>
          <w:sz w:val="21"/>
          <w:szCs w:val="21"/>
        </w:rPr>
        <w:t>次；接户管、支连管养护频次每年不少于2次；雨水井养护频次每年不少于</w:t>
      </w:r>
      <w:r>
        <w:rPr>
          <w:rFonts w:hint="eastAsia" w:ascii="宋体" w:hAnsi="宋体"/>
          <w:sz w:val="21"/>
          <w:szCs w:val="21"/>
        </w:rPr>
        <w:t>4</w:t>
      </w:r>
      <w:r>
        <w:rPr>
          <w:rFonts w:ascii="宋体" w:hAnsi="宋体"/>
          <w:sz w:val="21"/>
          <w:szCs w:val="21"/>
        </w:rPr>
        <w:t>次；雨水口养护频次汛期每月至少2次，非汛期每月至少1次全覆盖</w:t>
      </w:r>
      <w:r>
        <w:rPr>
          <w:rFonts w:hint="eastAsia" w:ascii="宋体" w:hAnsi="宋体"/>
          <w:sz w:val="21"/>
          <w:szCs w:val="21"/>
        </w:rPr>
        <w:t>清</w:t>
      </w:r>
      <w:r>
        <w:rPr>
          <w:rFonts w:ascii="宋体" w:hAnsi="宋体"/>
          <w:sz w:val="21"/>
          <w:szCs w:val="21"/>
        </w:rPr>
        <w:t>捞雨水口，排放口养护频次每年不少于1次。</w:t>
      </w:r>
    </w:p>
    <w:p w14:paraId="384CB9D7">
      <w:pPr>
        <w:snapToGrid w:val="0"/>
        <w:spacing w:line="560" w:lineRule="exact"/>
        <w:ind w:firstLine="420" w:firstLineChars="200"/>
        <w:rPr>
          <w:rFonts w:ascii="宋体" w:hAnsi="宋体"/>
          <w:bCs/>
          <w:sz w:val="21"/>
          <w:szCs w:val="21"/>
        </w:rPr>
      </w:pPr>
      <w:r>
        <w:rPr>
          <w:rFonts w:ascii="宋体" w:hAnsi="宋体"/>
          <w:sz w:val="21"/>
          <w:szCs w:val="21"/>
        </w:rPr>
        <w:t>②</w:t>
      </w:r>
      <w:r>
        <w:rPr>
          <w:rFonts w:ascii="宋体" w:hAnsi="宋体"/>
          <w:bCs/>
          <w:sz w:val="21"/>
          <w:szCs w:val="21"/>
        </w:rPr>
        <w:t>防汛应急抢险：包括防汛设备（含泵车）保养和应急支援。其中，防汛设备（含泵车）分别于汛前和汛后各完成至少1次保养；合同期内防汛应急支援</w:t>
      </w:r>
      <w:r>
        <w:rPr>
          <w:rFonts w:hint="eastAsia" w:ascii="宋体" w:hAnsi="宋体"/>
          <w:bCs/>
          <w:sz w:val="21"/>
          <w:szCs w:val="21"/>
        </w:rPr>
        <w:t>任务应随叫随到</w:t>
      </w:r>
      <w:r>
        <w:rPr>
          <w:rFonts w:ascii="宋体" w:hAnsi="宋体"/>
          <w:bCs/>
          <w:sz w:val="21"/>
          <w:szCs w:val="21"/>
        </w:rPr>
        <w:t>。</w:t>
      </w:r>
    </w:p>
    <w:bookmarkEnd w:id="2"/>
    <w:p w14:paraId="10680AB3">
      <w:pPr>
        <w:spacing w:line="560" w:lineRule="exact"/>
        <w:ind w:firstLine="422" w:firstLineChars="200"/>
        <w:rPr>
          <w:rFonts w:ascii="宋体" w:hAnsi="宋体"/>
          <w:b/>
          <w:sz w:val="21"/>
          <w:szCs w:val="21"/>
        </w:rPr>
      </w:pPr>
      <w:r>
        <w:rPr>
          <w:rFonts w:hint="eastAsia" w:ascii="宋体" w:hAnsi="宋体"/>
          <w:b/>
          <w:sz w:val="21"/>
          <w:szCs w:val="21"/>
        </w:rPr>
        <w:t>2</w:t>
      </w:r>
      <w:r>
        <w:rPr>
          <w:rFonts w:ascii="宋体" w:hAnsi="宋体"/>
          <w:b/>
          <w:sz w:val="21"/>
          <w:szCs w:val="21"/>
        </w:rPr>
        <w:t>.支连管、积水点、检查井等应急维修以及网格、热线、井盖病害处置</w:t>
      </w:r>
    </w:p>
    <w:p w14:paraId="1A4C3EC2">
      <w:pPr>
        <w:spacing w:line="560" w:lineRule="exact"/>
        <w:ind w:firstLine="420" w:firstLineChars="200"/>
        <w:rPr>
          <w:rFonts w:ascii="宋体" w:hAnsi="宋体"/>
          <w:sz w:val="21"/>
          <w:szCs w:val="21"/>
        </w:rPr>
      </w:pPr>
      <w:r>
        <w:rPr>
          <w:rFonts w:ascii="宋体" w:hAnsi="宋体"/>
          <w:sz w:val="21"/>
          <w:szCs w:val="21"/>
        </w:rPr>
        <w:t>按照工作要求做好网格、热线工单处置，根据业主单位工作实际，开展支连管、积水点、检查井等应急维修和井盖病害处置，具体应急维修和处置对象类型见下表：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4350"/>
        <w:gridCol w:w="1666"/>
      </w:tblGrid>
      <w:tr w14:paraId="0B02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5191887E">
            <w:pPr>
              <w:spacing w:line="560" w:lineRule="exact"/>
              <w:jc w:val="center"/>
              <w:rPr>
                <w:rFonts w:ascii="宋体" w:hAnsi="宋体"/>
                <w:kern w:val="0"/>
                <w:sz w:val="21"/>
                <w:szCs w:val="21"/>
              </w:rPr>
            </w:pPr>
            <w:r>
              <w:rPr>
                <w:rFonts w:ascii="宋体" w:hAnsi="宋体"/>
                <w:kern w:val="0"/>
                <w:sz w:val="21"/>
                <w:szCs w:val="21"/>
              </w:rPr>
              <w:t>序号</w:t>
            </w:r>
          </w:p>
        </w:tc>
        <w:tc>
          <w:tcPr>
            <w:tcW w:w="4350" w:type="dxa"/>
          </w:tcPr>
          <w:p w14:paraId="566FDACF">
            <w:pPr>
              <w:spacing w:line="560" w:lineRule="exact"/>
              <w:jc w:val="center"/>
              <w:rPr>
                <w:rFonts w:ascii="宋体" w:hAnsi="宋体"/>
                <w:kern w:val="0"/>
                <w:sz w:val="21"/>
                <w:szCs w:val="21"/>
              </w:rPr>
            </w:pPr>
            <w:r>
              <w:rPr>
                <w:rFonts w:ascii="宋体" w:hAnsi="宋体"/>
                <w:kern w:val="0"/>
                <w:sz w:val="21"/>
                <w:szCs w:val="21"/>
              </w:rPr>
              <w:t>维修/处置内容</w:t>
            </w:r>
          </w:p>
        </w:tc>
        <w:tc>
          <w:tcPr>
            <w:tcW w:w="1666" w:type="dxa"/>
          </w:tcPr>
          <w:p w14:paraId="029A4DB5">
            <w:pPr>
              <w:spacing w:line="560" w:lineRule="exact"/>
              <w:jc w:val="center"/>
              <w:rPr>
                <w:rFonts w:ascii="宋体" w:hAnsi="宋体"/>
                <w:kern w:val="0"/>
                <w:sz w:val="21"/>
                <w:szCs w:val="21"/>
              </w:rPr>
            </w:pPr>
            <w:r>
              <w:rPr>
                <w:rFonts w:ascii="宋体" w:hAnsi="宋体"/>
                <w:kern w:val="0"/>
                <w:sz w:val="21"/>
                <w:szCs w:val="21"/>
              </w:rPr>
              <w:t>单位</w:t>
            </w:r>
          </w:p>
        </w:tc>
      </w:tr>
      <w:tr w14:paraId="6C3E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68A27FA9">
            <w:pPr>
              <w:spacing w:line="560" w:lineRule="exact"/>
              <w:jc w:val="center"/>
              <w:rPr>
                <w:rFonts w:ascii="宋体" w:hAnsi="宋体"/>
                <w:kern w:val="0"/>
                <w:sz w:val="21"/>
                <w:szCs w:val="21"/>
              </w:rPr>
            </w:pPr>
            <w:r>
              <w:rPr>
                <w:rFonts w:ascii="宋体" w:hAnsi="宋体"/>
                <w:kern w:val="0"/>
                <w:sz w:val="21"/>
                <w:szCs w:val="21"/>
              </w:rPr>
              <w:t>1</w:t>
            </w:r>
          </w:p>
        </w:tc>
        <w:tc>
          <w:tcPr>
            <w:tcW w:w="4350" w:type="dxa"/>
            <w:vAlign w:val="center"/>
          </w:tcPr>
          <w:p w14:paraId="3FC25B5B">
            <w:pPr>
              <w:spacing w:line="560" w:lineRule="exact"/>
              <w:jc w:val="center"/>
              <w:rPr>
                <w:rFonts w:ascii="宋体" w:hAnsi="宋体"/>
                <w:kern w:val="0"/>
                <w:sz w:val="21"/>
                <w:szCs w:val="21"/>
              </w:rPr>
            </w:pPr>
            <w:r>
              <w:rPr>
                <w:rFonts w:ascii="宋体" w:hAnsi="宋体"/>
                <w:kern w:val="0"/>
                <w:sz w:val="21"/>
                <w:szCs w:val="21"/>
              </w:rPr>
              <w:t>主管维修（应急）</w:t>
            </w:r>
          </w:p>
        </w:tc>
        <w:tc>
          <w:tcPr>
            <w:tcW w:w="1666" w:type="dxa"/>
            <w:vAlign w:val="center"/>
          </w:tcPr>
          <w:p w14:paraId="107F8673">
            <w:pPr>
              <w:spacing w:line="560" w:lineRule="exact"/>
              <w:jc w:val="center"/>
              <w:rPr>
                <w:rFonts w:ascii="宋体" w:hAnsi="宋体"/>
                <w:kern w:val="0"/>
                <w:sz w:val="21"/>
                <w:szCs w:val="21"/>
              </w:rPr>
            </w:pPr>
            <w:r>
              <w:rPr>
                <w:rFonts w:ascii="宋体" w:hAnsi="宋体"/>
                <w:kern w:val="0"/>
                <w:sz w:val="21"/>
                <w:szCs w:val="21"/>
              </w:rPr>
              <w:t>米</w:t>
            </w:r>
          </w:p>
        </w:tc>
      </w:tr>
      <w:tr w14:paraId="0F81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23" w:type="dxa"/>
          </w:tcPr>
          <w:p w14:paraId="5561A399">
            <w:pPr>
              <w:spacing w:line="560" w:lineRule="exact"/>
              <w:jc w:val="center"/>
              <w:rPr>
                <w:rFonts w:ascii="宋体" w:hAnsi="宋体"/>
                <w:kern w:val="0"/>
                <w:sz w:val="21"/>
                <w:szCs w:val="21"/>
              </w:rPr>
            </w:pPr>
            <w:r>
              <w:rPr>
                <w:rFonts w:ascii="宋体" w:hAnsi="宋体"/>
                <w:kern w:val="0"/>
                <w:sz w:val="21"/>
                <w:szCs w:val="21"/>
              </w:rPr>
              <w:t>2</w:t>
            </w:r>
          </w:p>
        </w:tc>
        <w:tc>
          <w:tcPr>
            <w:tcW w:w="4350" w:type="dxa"/>
            <w:vAlign w:val="center"/>
          </w:tcPr>
          <w:p w14:paraId="1977533B">
            <w:pPr>
              <w:spacing w:line="560" w:lineRule="exact"/>
              <w:jc w:val="center"/>
              <w:rPr>
                <w:rFonts w:ascii="宋体" w:hAnsi="宋体"/>
                <w:kern w:val="0"/>
                <w:sz w:val="21"/>
                <w:szCs w:val="21"/>
              </w:rPr>
            </w:pPr>
            <w:r>
              <w:rPr>
                <w:rFonts w:ascii="宋体" w:hAnsi="宋体"/>
                <w:kern w:val="0"/>
                <w:sz w:val="21"/>
                <w:szCs w:val="21"/>
              </w:rPr>
              <w:t>支连管维修</w:t>
            </w:r>
          </w:p>
        </w:tc>
        <w:tc>
          <w:tcPr>
            <w:tcW w:w="1666" w:type="dxa"/>
            <w:vAlign w:val="center"/>
          </w:tcPr>
          <w:p w14:paraId="019EEDB3">
            <w:pPr>
              <w:spacing w:line="560" w:lineRule="exact"/>
              <w:jc w:val="center"/>
              <w:rPr>
                <w:rFonts w:ascii="宋体" w:hAnsi="宋体"/>
                <w:kern w:val="0"/>
                <w:sz w:val="21"/>
                <w:szCs w:val="21"/>
              </w:rPr>
            </w:pPr>
            <w:r>
              <w:rPr>
                <w:rFonts w:ascii="宋体" w:hAnsi="宋体"/>
                <w:kern w:val="0"/>
                <w:sz w:val="21"/>
                <w:szCs w:val="21"/>
              </w:rPr>
              <w:t>米</w:t>
            </w:r>
          </w:p>
        </w:tc>
      </w:tr>
      <w:tr w14:paraId="2227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585E2075">
            <w:pPr>
              <w:spacing w:line="560" w:lineRule="exact"/>
              <w:jc w:val="center"/>
              <w:rPr>
                <w:rFonts w:ascii="宋体" w:hAnsi="宋体"/>
                <w:kern w:val="0"/>
                <w:sz w:val="21"/>
                <w:szCs w:val="21"/>
              </w:rPr>
            </w:pPr>
            <w:r>
              <w:rPr>
                <w:rFonts w:ascii="宋体" w:hAnsi="宋体"/>
                <w:kern w:val="0"/>
                <w:sz w:val="21"/>
                <w:szCs w:val="21"/>
              </w:rPr>
              <w:t>3</w:t>
            </w:r>
          </w:p>
        </w:tc>
        <w:tc>
          <w:tcPr>
            <w:tcW w:w="4350" w:type="dxa"/>
            <w:vAlign w:val="center"/>
          </w:tcPr>
          <w:p w14:paraId="68FECC56">
            <w:pPr>
              <w:spacing w:line="560" w:lineRule="exact"/>
              <w:jc w:val="center"/>
              <w:rPr>
                <w:rFonts w:ascii="宋体" w:hAnsi="宋体"/>
                <w:kern w:val="0"/>
                <w:sz w:val="21"/>
                <w:szCs w:val="21"/>
              </w:rPr>
            </w:pPr>
            <w:r>
              <w:rPr>
                <w:rFonts w:ascii="宋体" w:hAnsi="宋体"/>
                <w:kern w:val="0"/>
                <w:sz w:val="21"/>
                <w:szCs w:val="21"/>
              </w:rPr>
              <w:t>检查井井框更换</w:t>
            </w:r>
          </w:p>
        </w:tc>
        <w:tc>
          <w:tcPr>
            <w:tcW w:w="1666" w:type="dxa"/>
            <w:vAlign w:val="center"/>
          </w:tcPr>
          <w:p w14:paraId="6C3DF249">
            <w:pPr>
              <w:spacing w:line="560" w:lineRule="exact"/>
              <w:jc w:val="center"/>
              <w:rPr>
                <w:rFonts w:ascii="宋体" w:hAnsi="宋体"/>
                <w:kern w:val="0"/>
                <w:sz w:val="21"/>
                <w:szCs w:val="21"/>
              </w:rPr>
            </w:pPr>
            <w:r>
              <w:rPr>
                <w:rFonts w:ascii="宋体" w:hAnsi="宋体"/>
                <w:kern w:val="0"/>
                <w:sz w:val="21"/>
                <w:szCs w:val="21"/>
              </w:rPr>
              <w:t>个</w:t>
            </w:r>
          </w:p>
        </w:tc>
      </w:tr>
      <w:tr w14:paraId="2919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4DF572E8">
            <w:pPr>
              <w:spacing w:line="560" w:lineRule="exact"/>
              <w:jc w:val="center"/>
              <w:rPr>
                <w:rFonts w:ascii="宋体" w:hAnsi="宋体"/>
                <w:kern w:val="0"/>
                <w:sz w:val="21"/>
                <w:szCs w:val="21"/>
              </w:rPr>
            </w:pPr>
            <w:r>
              <w:rPr>
                <w:rFonts w:ascii="宋体" w:hAnsi="宋体"/>
                <w:kern w:val="0"/>
                <w:sz w:val="21"/>
                <w:szCs w:val="21"/>
              </w:rPr>
              <w:t>4</w:t>
            </w:r>
          </w:p>
        </w:tc>
        <w:tc>
          <w:tcPr>
            <w:tcW w:w="4350" w:type="dxa"/>
            <w:vAlign w:val="center"/>
          </w:tcPr>
          <w:p w14:paraId="73A6A3DF">
            <w:pPr>
              <w:spacing w:line="560" w:lineRule="exact"/>
              <w:jc w:val="center"/>
              <w:rPr>
                <w:rFonts w:ascii="宋体" w:hAnsi="宋体"/>
                <w:kern w:val="0"/>
                <w:sz w:val="21"/>
                <w:szCs w:val="21"/>
              </w:rPr>
            </w:pPr>
            <w:r>
              <w:rPr>
                <w:rFonts w:ascii="宋体" w:hAnsi="宋体"/>
                <w:kern w:val="0"/>
                <w:sz w:val="21"/>
                <w:szCs w:val="21"/>
              </w:rPr>
              <w:t>检查井盖更换（铸铁）</w:t>
            </w:r>
          </w:p>
        </w:tc>
        <w:tc>
          <w:tcPr>
            <w:tcW w:w="1666" w:type="dxa"/>
            <w:vAlign w:val="center"/>
          </w:tcPr>
          <w:p w14:paraId="0034420B">
            <w:pPr>
              <w:spacing w:line="560" w:lineRule="exact"/>
              <w:jc w:val="center"/>
              <w:rPr>
                <w:rFonts w:ascii="宋体" w:hAnsi="宋体"/>
                <w:kern w:val="0"/>
                <w:sz w:val="21"/>
                <w:szCs w:val="21"/>
              </w:rPr>
            </w:pPr>
            <w:r>
              <w:rPr>
                <w:rFonts w:ascii="宋体" w:hAnsi="宋体"/>
                <w:kern w:val="0"/>
                <w:sz w:val="21"/>
                <w:szCs w:val="21"/>
              </w:rPr>
              <w:t>个</w:t>
            </w:r>
          </w:p>
        </w:tc>
      </w:tr>
      <w:tr w14:paraId="47D8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306D5169">
            <w:pPr>
              <w:spacing w:line="560" w:lineRule="exact"/>
              <w:jc w:val="center"/>
              <w:rPr>
                <w:rFonts w:ascii="宋体" w:hAnsi="宋体"/>
                <w:kern w:val="0"/>
                <w:sz w:val="21"/>
                <w:szCs w:val="21"/>
              </w:rPr>
            </w:pPr>
            <w:r>
              <w:rPr>
                <w:rFonts w:ascii="宋体" w:hAnsi="宋体"/>
                <w:kern w:val="0"/>
                <w:sz w:val="21"/>
                <w:szCs w:val="21"/>
              </w:rPr>
              <w:t>5</w:t>
            </w:r>
          </w:p>
        </w:tc>
        <w:tc>
          <w:tcPr>
            <w:tcW w:w="4350" w:type="dxa"/>
            <w:vAlign w:val="center"/>
          </w:tcPr>
          <w:p w14:paraId="726A0207">
            <w:pPr>
              <w:spacing w:line="560" w:lineRule="exact"/>
              <w:jc w:val="center"/>
              <w:rPr>
                <w:rFonts w:ascii="宋体" w:hAnsi="宋体"/>
                <w:kern w:val="0"/>
                <w:sz w:val="21"/>
                <w:szCs w:val="21"/>
              </w:rPr>
            </w:pPr>
            <w:r>
              <w:rPr>
                <w:rFonts w:ascii="宋体" w:hAnsi="宋体"/>
                <w:kern w:val="0"/>
                <w:sz w:val="21"/>
                <w:szCs w:val="21"/>
              </w:rPr>
              <w:t>检查井盖更换（钢纤维）</w:t>
            </w:r>
          </w:p>
        </w:tc>
        <w:tc>
          <w:tcPr>
            <w:tcW w:w="1666" w:type="dxa"/>
            <w:vAlign w:val="center"/>
          </w:tcPr>
          <w:p w14:paraId="45D2223E">
            <w:pPr>
              <w:spacing w:line="560" w:lineRule="exact"/>
              <w:jc w:val="center"/>
              <w:rPr>
                <w:rFonts w:ascii="宋体" w:hAnsi="宋体"/>
                <w:kern w:val="0"/>
                <w:sz w:val="21"/>
                <w:szCs w:val="21"/>
              </w:rPr>
            </w:pPr>
            <w:r>
              <w:rPr>
                <w:rFonts w:ascii="宋体" w:hAnsi="宋体"/>
                <w:kern w:val="0"/>
                <w:sz w:val="21"/>
                <w:szCs w:val="21"/>
              </w:rPr>
              <w:t>个</w:t>
            </w:r>
          </w:p>
        </w:tc>
      </w:tr>
      <w:tr w14:paraId="6998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2B85277A">
            <w:pPr>
              <w:spacing w:line="560" w:lineRule="exact"/>
              <w:jc w:val="center"/>
              <w:rPr>
                <w:rFonts w:ascii="宋体" w:hAnsi="宋体"/>
                <w:kern w:val="0"/>
                <w:sz w:val="21"/>
                <w:szCs w:val="21"/>
              </w:rPr>
            </w:pPr>
            <w:r>
              <w:rPr>
                <w:rFonts w:ascii="宋体" w:hAnsi="宋体"/>
                <w:kern w:val="0"/>
                <w:sz w:val="21"/>
                <w:szCs w:val="21"/>
              </w:rPr>
              <w:t>6</w:t>
            </w:r>
          </w:p>
        </w:tc>
        <w:tc>
          <w:tcPr>
            <w:tcW w:w="4350" w:type="dxa"/>
            <w:vAlign w:val="center"/>
          </w:tcPr>
          <w:p w14:paraId="4F19CD2C">
            <w:pPr>
              <w:spacing w:line="560" w:lineRule="exact"/>
              <w:jc w:val="center"/>
              <w:rPr>
                <w:rFonts w:ascii="宋体" w:hAnsi="宋体"/>
                <w:kern w:val="0"/>
                <w:sz w:val="21"/>
                <w:szCs w:val="21"/>
              </w:rPr>
            </w:pPr>
            <w:r>
              <w:rPr>
                <w:rFonts w:ascii="宋体" w:hAnsi="宋体"/>
                <w:kern w:val="0"/>
                <w:sz w:val="21"/>
                <w:szCs w:val="21"/>
              </w:rPr>
              <w:t>雨水口井框更换</w:t>
            </w:r>
          </w:p>
        </w:tc>
        <w:tc>
          <w:tcPr>
            <w:tcW w:w="1666" w:type="dxa"/>
            <w:vAlign w:val="center"/>
          </w:tcPr>
          <w:p w14:paraId="2333DBD7">
            <w:pPr>
              <w:spacing w:line="560" w:lineRule="exact"/>
              <w:jc w:val="center"/>
              <w:rPr>
                <w:rFonts w:ascii="宋体" w:hAnsi="宋体"/>
                <w:kern w:val="0"/>
                <w:sz w:val="21"/>
                <w:szCs w:val="21"/>
              </w:rPr>
            </w:pPr>
            <w:r>
              <w:rPr>
                <w:rFonts w:ascii="宋体" w:hAnsi="宋体"/>
                <w:kern w:val="0"/>
                <w:sz w:val="21"/>
                <w:szCs w:val="21"/>
              </w:rPr>
              <w:t>个</w:t>
            </w:r>
          </w:p>
        </w:tc>
      </w:tr>
      <w:tr w14:paraId="48C8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0A3568CC">
            <w:pPr>
              <w:spacing w:line="560" w:lineRule="exact"/>
              <w:jc w:val="center"/>
              <w:rPr>
                <w:rFonts w:ascii="宋体" w:hAnsi="宋体"/>
                <w:kern w:val="0"/>
                <w:sz w:val="21"/>
                <w:szCs w:val="21"/>
              </w:rPr>
            </w:pPr>
            <w:r>
              <w:rPr>
                <w:rFonts w:ascii="宋体" w:hAnsi="宋体"/>
                <w:kern w:val="0"/>
                <w:sz w:val="21"/>
                <w:szCs w:val="21"/>
              </w:rPr>
              <w:t>7</w:t>
            </w:r>
          </w:p>
        </w:tc>
        <w:tc>
          <w:tcPr>
            <w:tcW w:w="4350" w:type="dxa"/>
            <w:vAlign w:val="center"/>
          </w:tcPr>
          <w:p w14:paraId="1404A043">
            <w:pPr>
              <w:spacing w:line="560" w:lineRule="exact"/>
              <w:jc w:val="center"/>
              <w:rPr>
                <w:rFonts w:ascii="宋体" w:hAnsi="宋体"/>
                <w:kern w:val="0"/>
                <w:sz w:val="21"/>
                <w:szCs w:val="21"/>
              </w:rPr>
            </w:pPr>
            <w:r>
              <w:rPr>
                <w:rFonts w:ascii="宋体" w:hAnsi="宋体"/>
                <w:kern w:val="0"/>
                <w:sz w:val="21"/>
                <w:szCs w:val="21"/>
              </w:rPr>
              <w:t>雨水口盖板（钢纤维）</w:t>
            </w:r>
          </w:p>
        </w:tc>
        <w:tc>
          <w:tcPr>
            <w:tcW w:w="1666" w:type="dxa"/>
            <w:vAlign w:val="center"/>
          </w:tcPr>
          <w:p w14:paraId="15F33BD9">
            <w:pPr>
              <w:spacing w:line="560" w:lineRule="exact"/>
              <w:jc w:val="center"/>
              <w:rPr>
                <w:rFonts w:ascii="宋体" w:hAnsi="宋体"/>
                <w:kern w:val="0"/>
                <w:sz w:val="21"/>
                <w:szCs w:val="21"/>
              </w:rPr>
            </w:pPr>
            <w:r>
              <w:rPr>
                <w:rFonts w:ascii="宋体" w:hAnsi="宋体"/>
                <w:kern w:val="0"/>
                <w:sz w:val="21"/>
                <w:szCs w:val="21"/>
              </w:rPr>
              <w:t>个</w:t>
            </w:r>
          </w:p>
        </w:tc>
      </w:tr>
      <w:tr w14:paraId="784A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3D78F2E2">
            <w:pPr>
              <w:spacing w:line="560" w:lineRule="exact"/>
              <w:jc w:val="center"/>
              <w:rPr>
                <w:rFonts w:ascii="宋体" w:hAnsi="宋体"/>
                <w:kern w:val="0"/>
                <w:sz w:val="21"/>
                <w:szCs w:val="21"/>
              </w:rPr>
            </w:pPr>
            <w:r>
              <w:rPr>
                <w:rFonts w:ascii="宋体" w:hAnsi="宋体"/>
                <w:kern w:val="0"/>
                <w:sz w:val="21"/>
                <w:szCs w:val="21"/>
              </w:rPr>
              <w:t>8</w:t>
            </w:r>
          </w:p>
        </w:tc>
        <w:tc>
          <w:tcPr>
            <w:tcW w:w="4350" w:type="dxa"/>
            <w:vAlign w:val="center"/>
          </w:tcPr>
          <w:p w14:paraId="0DD7068D">
            <w:pPr>
              <w:spacing w:line="560" w:lineRule="exact"/>
              <w:jc w:val="center"/>
              <w:rPr>
                <w:rFonts w:ascii="宋体" w:hAnsi="宋体"/>
                <w:kern w:val="0"/>
                <w:sz w:val="21"/>
                <w:szCs w:val="21"/>
              </w:rPr>
            </w:pPr>
            <w:r>
              <w:rPr>
                <w:rFonts w:ascii="宋体" w:hAnsi="宋体"/>
                <w:kern w:val="0"/>
                <w:sz w:val="21"/>
                <w:szCs w:val="21"/>
              </w:rPr>
              <w:t>雨水口雨箅维修（新型）</w:t>
            </w:r>
          </w:p>
        </w:tc>
        <w:tc>
          <w:tcPr>
            <w:tcW w:w="1666" w:type="dxa"/>
            <w:vAlign w:val="center"/>
          </w:tcPr>
          <w:p w14:paraId="4C1145A9">
            <w:pPr>
              <w:spacing w:line="560" w:lineRule="exact"/>
              <w:jc w:val="center"/>
              <w:rPr>
                <w:rFonts w:ascii="宋体" w:hAnsi="宋体"/>
                <w:kern w:val="0"/>
                <w:sz w:val="21"/>
                <w:szCs w:val="21"/>
              </w:rPr>
            </w:pPr>
            <w:r>
              <w:rPr>
                <w:rFonts w:ascii="宋体" w:hAnsi="宋体"/>
                <w:kern w:val="0"/>
                <w:sz w:val="21"/>
                <w:szCs w:val="21"/>
              </w:rPr>
              <w:t>个</w:t>
            </w:r>
          </w:p>
        </w:tc>
      </w:tr>
      <w:tr w14:paraId="41B4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346443B4">
            <w:pPr>
              <w:spacing w:line="560" w:lineRule="exact"/>
              <w:jc w:val="center"/>
              <w:rPr>
                <w:rFonts w:ascii="宋体" w:hAnsi="宋体"/>
                <w:kern w:val="0"/>
                <w:sz w:val="21"/>
                <w:szCs w:val="21"/>
              </w:rPr>
            </w:pPr>
            <w:r>
              <w:rPr>
                <w:rFonts w:ascii="宋体" w:hAnsi="宋体"/>
                <w:kern w:val="0"/>
                <w:sz w:val="21"/>
                <w:szCs w:val="21"/>
              </w:rPr>
              <w:t>9</w:t>
            </w:r>
          </w:p>
        </w:tc>
        <w:tc>
          <w:tcPr>
            <w:tcW w:w="4350" w:type="dxa"/>
            <w:vAlign w:val="center"/>
          </w:tcPr>
          <w:p w14:paraId="1E6D31E4">
            <w:pPr>
              <w:spacing w:line="560" w:lineRule="exact"/>
              <w:jc w:val="center"/>
              <w:rPr>
                <w:rFonts w:ascii="宋体" w:hAnsi="宋体"/>
                <w:kern w:val="0"/>
                <w:sz w:val="21"/>
                <w:szCs w:val="21"/>
              </w:rPr>
            </w:pPr>
            <w:r>
              <w:rPr>
                <w:rFonts w:ascii="宋体" w:hAnsi="宋体"/>
                <w:kern w:val="0"/>
                <w:sz w:val="21"/>
                <w:szCs w:val="21"/>
              </w:rPr>
              <w:t>雨水口雨箅维修（老式）</w:t>
            </w:r>
          </w:p>
        </w:tc>
        <w:tc>
          <w:tcPr>
            <w:tcW w:w="1666" w:type="dxa"/>
            <w:vAlign w:val="center"/>
          </w:tcPr>
          <w:p w14:paraId="04DFB063">
            <w:pPr>
              <w:spacing w:line="560" w:lineRule="exact"/>
              <w:jc w:val="center"/>
              <w:rPr>
                <w:rFonts w:ascii="宋体" w:hAnsi="宋体"/>
                <w:kern w:val="0"/>
                <w:sz w:val="21"/>
                <w:szCs w:val="21"/>
              </w:rPr>
            </w:pPr>
            <w:r>
              <w:rPr>
                <w:rFonts w:ascii="宋体" w:hAnsi="宋体"/>
                <w:kern w:val="0"/>
                <w:sz w:val="21"/>
                <w:szCs w:val="21"/>
              </w:rPr>
              <w:t>个</w:t>
            </w:r>
          </w:p>
        </w:tc>
      </w:tr>
      <w:tr w14:paraId="1F7B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75AD6213">
            <w:pPr>
              <w:spacing w:line="560" w:lineRule="exact"/>
              <w:jc w:val="center"/>
              <w:rPr>
                <w:rFonts w:ascii="宋体" w:hAnsi="宋体"/>
                <w:kern w:val="0"/>
                <w:sz w:val="21"/>
                <w:szCs w:val="21"/>
              </w:rPr>
            </w:pPr>
            <w:r>
              <w:rPr>
                <w:rFonts w:ascii="宋体" w:hAnsi="宋体"/>
                <w:kern w:val="0"/>
                <w:sz w:val="21"/>
                <w:szCs w:val="21"/>
              </w:rPr>
              <w:t>10</w:t>
            </w:r>
          </w:p>
        </w:tc>
        <w:tc>
          <w:tcPr>
            <w:tcW w:w="4350" w:type="dxa"/>
            <w:vAlign w:val="center"/>
          </w:tcPr>
          <w:p w14:paraId="092050EB">
            <w:pPr>
              <w:spacing w:line="560" w:lineRule="exact"/>
              <w:jc w:val="center"/>
              <w:rPr>
                <w:rFonts w:ascii="宋体" w:hAnsi="宋体"/>
                <w:kern w:val="0"/>
                <w:sz w:val="21"/>
                <w:szCs w:val="21"/>
              </w:rPr>
            </w:pPr>
            <w:r>
              <w:rPr>
                <w:rFonts w:ascii="宋体" w:hAnsi="宋体"/>
                <w:kern w:val="0"/>
                <w:sz w:val="21"/>
                <w:szCs w:val="21"/>
              </w:rPr>
              <w:t>截污挂篮篮子更换</w:t>
            </w:r>
          </w:p>
        </w:tc>
        <w:tc>
          <w:tcPr>
            <w:tcW w:w="1666" w:type="dxa"/>
            <w:vAlign w:val="center"/>
          </w:tcPr>
          <w:p w14:paraId="7DF64F9B">
            <w:pPr>
              <w:spacing w:line="560" w:lineRule="exact"/>
              <w:jc w:val="center"/>
              <w:rPr>
                <w:rFonts w:ascii="宋体" w:hAnsi="宋体"/>
                <w:kern w:val="0"/>
                <w:sz w:val="21"/>
                <w:szCs w:val="21"/>
              </w:rPr>
            </w:pPr>
            <w:r>
              <w:rPr>
                <w:rFonts w:ascii="宋体" w:hAnsi="宋体"/>
                <w:kern w:val="0"/>
                <w:sz w:val="21"/>
                <w:szCs w:val="21"/>
              </w:rPr>
              <w:t>个</w:t>
            </w:r>
          </w:p>
        </w:tc>
      </w:tr>
      <w:tr w14:paraId="05D3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7718979D">
            <w:pPr>
              <w:spacing w:line="560" w:lineRule="exact"/>
              <w:jc w:val="center"/>
              <w:rPr>
                <w:rFonts w:ascii="宋体" w:hAnsi="宋体"/>
                <w:kern w:val="0"/>
                <w:sz w:val="21"/>
                <w:szCs w:val="21"/>
              </w:rPr>
            </w:pPr>
            <w:r>
              <w:rPr>
                <w:rFonts w:ascii="宋体" w:hAnsi="宋体"/>
                <w:kern w:val="0"/>
                <w:sz w:val="21"/>
                <w:szCs w:val="21"/>
              </w:rPr>
              <w:t>11</w:t>
            </w:r>
          </w:p>
        </w:tc>
        <w:tc>
          <w:tcPr>
            <w:tcW w:w="4350" w:type="dxa"/>
            <w:vAlign w:val="center"/>
          </w:tcPr>
          <w:p w14:paraId="48CDAF3C">
            <w:pPr>
              <w:spacing w:line="560" w:lineRule="exact"/>
              <w:jc w:val="center"/>
              <w:rPr>
                <w:rFonts w:ascii="宋体" w:hAnsi="宋体"/>
                <w:kern w:val="0"/>
                <w:sz w:val="21"/>
                <w:szCs w:val="21"/>
              </w:rPr>
            </w:pPr>
            <w:r>
              <w:rPr>
                <w:rFonts w:ascii="宋体" w:hAnsi="宋体"/>
                <w:kern w:val="0"/>
                <w:sz w:val="21"/>
                <w:szCs w:val="21"/>
              </w:rPr>
              <w:t>井体下沉维修</w:t>
            </w:r>
          </w:p>
        </w:tc>
        <w:tc>
          <w:tcPr>
            <w:tcW w:w="1666" w:type="dxa"/>
            <w:vAlign w:val="center"/>
          </w:tcPr>
          <w:p w14:paraId="4503B5E5">
            <w:pPr>
              <w:spacing w:line="560" w:lineRule="exact"/>
              <w:jc w:val="center"/>
              <w:rPr>
                <w:rFonts w:ascii="宋体" w:hAnsi="宋体"/>
                <w:kern w:val="0"/>
                <w:sz w:val="21"/>
                <w:szCs w:val="21"/>
              </w:rPr>
            </w:pPr>
            <w:r>
              <w:rPr>
                <w:rFonts w:ascii="宋体" w:hAnsi="宋体"/>
                <w:kern w:val="0"/>
                <w:sz w:val="21"/>
                <w:szCs w:val="21"/>
              </w:rPr>
              <w:t>套</w:t>
            </w:r>
          </w:p>
        </w:tc>
      </w:tr>
    </w:tbl>
    <w:p w14:paraId="1FBF9355">
      <w:pPr>
        <w:spacing w:line="560" w:lineRule="exact"/>
        <w:ind w:firstLine="420" w:firstLineChars="200"/>
        <w:rPr>
          <w:rFonts w:ascii="宋体" w:hAnsi="宋体"/>
          <w:sz w:val="21"/>
          <w:szCs w:val="21"/>
        </w:rPr>
      </w:pPr>
      <w:r>
        <w:rPr>
          <w:rFonts w:ascii="宋体" w:hAnsi="宋体"/>
          <w:sz w:val="21"/>
          <w:szCs w:val="21"/>
        </w:rPr>
        <w:t>三、相关要求</w:t>
      </w:r>
    </w:p>
    <w:p w14:paraId="4DB4E126">
      <w:pPr>
        <w:spacing w:line="560" w:lineRule="exact"/>
        <w:ind w:firstLine="422" w:firstLineChars="200"/>
        <w:rPr>
          <w:rFonts w:ascii="宋体" w:hAnsi="宋体"/>
          <w:b/>
          <w:bCs/>
          <w:sz w:val="21"/>
          <w:szCs w:val="21"/>
        </w:rPr>
      </w:pPr>
      <w:r>
        <w:rPr>
          <w:rFonts w:ascii="宋体" w:hAnsi="宋体"/>
          <w:b/>
          <w:bCs/>
          <w:sz w:val="21"/>
          <w:szCs w:val="21"/>
        </w:rPr>
        <w:t>（一）单位要求</w:t>
      </w:r>
    </w:p>
    <w:p w14:paraId="2788531F">
      <w:pPr>
        <w:spacing w:line="560" w:lineRule="exact"/>
        <w:ind w:firstLine="420" w:firstLineChars="200"/>
        <w:rPr>
          <w:rFonts w:ascii="宋体" w:hAnsi="宋体"/>
          <w:sz w:val="21"/>
          <w:szCs w:val="21"/>
        </w:rPr>
      </w:pPr>
      <w:r>
        <w:rPr>
          <w:rFonts w:ascii="宋体" w:hAnsi="宋体"/>
          <w:sz w:val="21"/>
          <w:szCs w:val="21"/>
        </w:rPr>
        <w:t>1.投标单位具有省级及以上排水设施运行维护企业作业能力证明，具备排水设施运行维护能力（管道壹类、</w:t>
      </w:r>
      <w:r>
        <w:rPr>
          <w:rFonts w:hint="eastAsia" w:ascii="宋体" w:hAnsi="宋体"/>
          <w:sz w:val="21"/>
          <w:szCs w:val="21"/>
        </w:rPr>
        <w:t>CCTV</w:t>
      </w:r>
      <w:r>
        <w:rPr>
          <w:rFonts w:ascii="宋体" w:hAnsi="宋体"/>
          <w:sz w:val="21"/>
          <w:szCs w:val="21"/>
        </w:rPr>
        <w:t>类</w:t>
      </w:r>
      <w:r>
        <w:rPr>
          <w:rFonts w:hint="eastAsia" w:ascii="宋体" w:hAnsi="宋体"/>
          <w:sz w:val="21"/>
          <w:szCs w:val="21"/>
        </w:rPr>
        <w:t>、排水泵站叁级及以上</w:t>
      </w:r>
      <w:r>
        <w:rPr>
          <w:rFonts w:ascii="宋体" w:hAnsi="宋体"/>
          <w:sz w:val="21"/>
          <w:szCs w:val="21"/>
        </w:rPr>
        <w:t>），管道中级工</w:t>
      </w:r>
      <w:r>
        <w:rPr>
          <w:rFonts w:hint="eastAsia" w:ascii="宋体" w:hAnsi="宋体"/>
          <w:sz w:val="21"/>
          <w:szCs w:val="21"/>
        </w:rPr>
        <w:t>或中级下水道养护工10</w:t>
      </w:r>
      <w:r>
        <w:rPr>
          <w:rFonts w:ascii="宋体" w:hAnsi="宋体"/>
          <w:sz w:val="21"/>
          <w:szCs w:val="21"/>
        </w:rPr>
        <w:t>人及以上，</w:t>
      </w:r>
      <w:r>
        <w:rPr>
          <w:rFonts w:hint="eastAsia" w:ascii="宋体" w:hAnsi="宋体"/>
          <w:sz w:val="21"/>
          <w:szCs w:val="21"/>
        </w:rPr>
        <w:t>具备</w:t>
      </w:r>
      <w:r>
        <w:rPr>
          <w:rFonts w:ascii="宋体" w:hAnsi="宋体"/>
          <w:sz w:val="21"/>
          <w:szCs w:val="21"/>
        </w:rPr>
        <w:t>防汛排水</w:t>
      </w:r>
      <w:r>
        <w:rPr>
          <w:rFonts w:hint="eastAsia" w:ascii="宋体" w:hAnsi="宋体"/>
          <w:sz w:val="21"/>
          <w:szCs w:val="21"/>
        </w:rPr>
        <w:t>泵总排水流量达到1000m³/h以上，备有防汛</w:t>
      </w:r>
      <w:r>
        <w:rPr>
          <w:rFonts w:ascii="宋体" w:hAnsi="宋体"/>
          <w:sz w:val="21"/>
          <w:szCs w:val="21"/>
        </w:rPr>
        <w:t>特种车辆的专职驾驶员</w:t>
      </w:r>
      <w:r>
        <w:rPr>
          <w:rFonts w:hint="eastAsia" w:ascii="宋体" w:hAnsi="宋体"/>
          <w:sz w:val="21"/>
          <w:szCs w:val="21"/>
        </w:rPr>
        <w:t>（提供B照</w:t>
      </w:r>
      <w:r>
        <w:rPr>
          <w:rFonts w:ascii="宋体" w:hAnsi="宋体"/>
          <w:sz w:val="21"/>
          <w:szCs w:val="21"/>
        </w:rPr>
        <w:t>及以上驾驶证</w:t>
      </w:r>
      <w:r>
        <w:rPr>
          <w:rFonts w:hint="eastAsia" w:ascii="宋体" w:hAnsi="宋体"/>
          <w:sz w:val="21"/>
          <w:szCs w:val="21"/>
        </w:rPr>
        <w:t>）</w:t>
      </w:r>
      <w:r>
        <w:rPr>
          <w:rFonts w:ascii="宋体" w:hAnsi="宋体"/>
          <w:sz w:val="21"/>
          <w:szCs w:val="21"/>
        </w:rPr>
        <w:t>。</w:t>
      </w:r>
    </w:p>
    <w:p w14:paraId="17AA1ABB">
      <w:pPr>
        <w:spacing w:line="560" w:lineRule="exact"/>
        <w:ind w:firstLine="420" w:firstLineChars="200"/>
        <w:rPr>
          <w:rFonts w:ascii="宋体" w:hAnsi="宋体"/>
          <w:sz w:val="21"/>
          <w:szCs w:val="21"/>
        </w:rPr>
      </w:pPr>
      <w:r>
        <w:rPr>
          <w:rFonts w:hint="eastAsia" w:ascii="宋体" w:hAnsi="宋体"/>
          <w:sz w:val="21"/>
          <w:szCs w:val="21"/>
        </w:rPr>
        <w:t>2.中标单位须安排专职项目负责人负责项目实施，</w:t>
      </w:r>
      <w:r>
        <w:rPr>
          <w:rFonts w:ascii="宋体" w:hAnsi="宋体"/>
          <w:sz w:val="21"/>
          <w:szCs w:val="21"/>
        </w:rPr>
        <w:t>如发生应急突发事件，接业主单位通知后，中标单位</w:t>
      </w:r>
      <w:r>
        <w:rPr>
          <w:rFonts w:hint="eastAsia" w:ascii="宋体" w:hAnsi="宋体"/>
          <w:sz w:val="21"/>
          <w:szCs w:val="21"/>
        </w:rPr>
        <w:t>项目负责人</w:t>
      </w:r>
      <w:r>
        <w:rPr>
          <w:rFonts w:ascii="宋体" w:hAnsi="宋体"/>
          <w:sz w:val="21"/>
          <w:szCs w:val="21"/>
        </w:rPr>
        <w:t>须在</w:t>
      </w:r>
      <w:r>
        <w:rPr>
          <w:rFonts w:hint="eastAsia" w:ascii="宋体" w:hAnsi="宋体"/>
          <w:sz w:val="21"/>
          <w:szCs w:val="21"/>
        </w:rPr>
        <w:t>15分钟内</w:t>
      </w:r>
      <w:r>
        <w:rPr>
          <w:rFonts w:ascii="宋体" w:hAnsi="宋体"/>
          <w:sz w:val="21"/>
          <w:szCs w:val="21"/>
        </w:rPr>
        <w:t>响应</w:t>
      </w:r>
      <w:r>
        <w:rPr>
          <w:rFonts w:hint="eastAsia" w:ascii="宋体" w:hAnsi="宋体"/>
          <w:sz w:val="21"/>
          <w:szCs w:val="21"/>
        </w:rPr>
        <w:t>并到现场</w:t>
      </w:r>
      <w:r>
        <w:rPr>
          <w:rFonts w:ascii="宋体" w:hAnsi="宋体"/>
          <w:sz w:val="21"/>
          <w:szCs w:val="21"/>
        </w:rPr>
        <w:t>，</w:t>
      </w:r>
      <w:r>
        <w:rPr>
          <w:rFonts w:hint="eastAsia" w:ascii="宋体" w:hAnsi="宋体"/>
          <w:sz w:val="21"/>
          <w:szCs w:val="21"/>
        </w:rPr>
        <w:t>处置人员、车辆设备等须半小时内到达处置现场。</w:t>
      </w:r>
    </w:p>
    <w:p w14:paraId="39B6D7D1">
      <w:pPr>
        <w:spacing w:line="560" w:lineRule="exact"/>
        <w:ind w:firstLine="422" w:firstLineChars="200"/>
        <w:rPr>
          <w:rFonts w:ascii="宋体" w:hAnsi="宋体"/>
          <w:b/>
          <w:bCs/>
          <w:sz w:val="21"/>
          <w:szCs w:val="21"/>
        </w:rPr>
      </w:pPr>
      <w:r>
        <w:rPr>
          <w:rFonts w:ascii="宋体" w:hAnsi="宋体"/>
          <w:b/>
          <w:bCs/>
          <w:sz w:val="21"/>
          <w:szCs w:val="21"/>
        </w:rPr>
        <w:t>（二）设施设备要求</w:t>
      </w:r>
    </w:p>
    <w:p w14:paraId="2255F469">
      <w:pPr>
        <w:spacing w:line="560" w:lineRule="exact"/>
        <w:ind w:firstLine="420" w:firstLineChars="200"/>
        <w:rPr>
          <w:rFonts w:ascii="宋体" w:hAnsi="宋体"/>
          <w:sz w:val="21"/>
          <w:szCs w:val="21"/>
        </w:rPr>
      </w:pPr>
      <w:r>
        <w:rPr>
          <w:rFonts w:ascii="宋体" w:hAnsi="宋体"/>
          <w:sz w:val="21"/>
          <w:szCs w:val="21"/>
        </w:rPr>
        <w:t>1.车辆要求：养护队伍在养护范围内至少保证冲水车（含抓泥车、吸泥车、联合式冲吸车等）2部及以上、绞车</w:t>
      </w:r>
      <w:r>
        <w:rPr>
          <w:rFonts w:hint="eastAsia" w:ascii="宋体" w:hAnsi="宋体"/>
          <w:sz w:val="21"/>
          <w:szCs w:val="21"/>
        </w:rPr>
        <w:t>4</w:t>
      </w:r>
      <w:r>
        <w:rPr>
          <w:rFonts w:ascii="宋体" w:hAnsi="宋体"/>
          <w:sz w:val="21"/>
          <w:szCs w:val="21"/>
        </w:rPr>
        <w:t>部及以上、通沟污泥运输车（含卡车）2部及以上（其中1部必须是专用通沟污泥运输车），通沟污泥车根据管理必须加装卫星定位定位装置，可在线查询轨迹。</w:t>
      </w:r>
      <w:r>
        <w:rPr>
          <w:rFonts w:hint="eastAsia" w:ascii="宋体" w:hAnsi="宋体"/>
          <w:sz w:val="21"/>
          <w:szCs w:val="21"/>
        </w:rPr>
        <w:t>（车辆必须为企业自有，提供行驶证或发票和购买合同）</w:t>
      </w:r>
    </w:p>
    <w:p w14:paraId="200DF92A">
      <w:pPr>
        <w:spacing w:line="560" w:lineRule="exact"/>
        <w:ind w:firstLine="420" w:firstLineChars="200"/>
        <w:rPr>
          <w:rFonts w:ascii="宋体" w:hAnsi="宋体"/>
          <w:sz w:val="21"/>
          <w:szCs w:val="21"/>
        </w:rPr>
      </w:pPr>
      <w:r>
        <w:rPr>
          <w:rFonts w:ascii="宋体" w:hAnsi="宋体"/>
          <w:sz w:val="21"/>
          <w:szCs w:val="21"/>
        </w:rPr>
        <w:t>2.检测设备要求：硫化氢测试仪2台及以上、CCTV检测仪1台及以上、窥无忧</w:t>
      </w:r>
      <w:r>
        <w:rPr>
          <w:rFonts w:hint="eastAsia" w:ascii="宋体" w:hAnsi="宋体"/>
          <w:sz w:val="21"/>
          <w:szCs w:val="21"/>
        </w:rPr>
        <w:t>1</w:t>
      </w:r>
      <w:r>
        <w:rPr>
          <w:rFonts w:ascii="宋体" w:hAnsi="宋体"/>
          <w:sz w:val="21"/>
          <w:szCs w:val="21"/>
        </w:rPr>
        <w:t>台及以上，工作人员需具备相关作业资质。</w:t>
      </w:r>
      <w:r>
        <w:rPr>
          <w:rFonts w:hint="eastAsia" w:ascii="宋体" w:hAnsi="宋体"/>
          <w:sz w:val="21"/>
          <w:szCs w:val="21"/>
        </w:rPr>
        <w:t>（提供发票或购买</w:t>
      </w:r>
      <w:r>
        <w:rPr>
          <w:rFonts w:hint="eastAsia" w:ascii="宋体" w:hAnsi="宋体" w:cs="___WRD_EMBED_SUB_42"/>
          <w:sz w:val="21"/>
          <w:szCs w:val="21"/>
        </w:rPr>
        <w:t>合同</w:t>
      </w:r>
      <w:r>
        <w:rPr>
          <w:rFonts w:hint="eastAsia" w:ascii="宋体" w:hAnsi="宋体"/>
          <w:sz w:val="21"/>
          <w:szCs w:val="21"/>
        </w:rPr>
        <w:t>）</w:t>
      </w:r>
    </w:p>
    <w:p w14:paraId="565D2BD4">
      <w:pPr>
        <w:spacing w:line="560" w:lineRule="exact"/>
        <w:ind w:firstLine="420" w:firstLineChars="200"/>
        <w:rPr>
          <w:rFonts w:ascii="宋体" w:hAnsi="宋体"/>
          <w:sz w:val="21"/>
          <w:szCs w:val="21"/>
        </w:rPr>
      </w:pPr>
      <w:r>
        <w:rPr>
          <w:rFonts w:ascii="宋体" w:hAnsi="宋体"/>
          <w:sz w:val="21"/>
          <w:szCs w:val="21"/>
        </w:rPr>
        <w:t>3.防汛设备要求：各种口径排水管道专用封堵气囊（非闭水试验使用的气囊）不少于20套，防汛沙袋不少于1000个，项目实施期间，所有设施设备须进行统一保管，未经业主单位同意，不得</w:t>
      </w:r>
      <w:r>
        <w:rPr>
          <w:rFonts w:hint="eastAsia" w:ascii="宋体" w:hAnsi="宋体"/>
          <w:sz w:val="21"/>
          <w:szCs w:val="21"/>
        </w:rPr>
        <w:t>挪用，并服从全镇统一调配</w:t>
      </w:r>
      <w:r>
        <w:rPr>
          <w:rFonts w:ascii="宋体" w:hAnsi="宋体"/>
          <w:sz w:val="21"/>
          <w:szCs w:val="21"/>
        </w:rPr>
        <w:t>。</w:t>
      </w:r>
    </w:p>
    <w:p w14:paraId="5774B0F7">
      <w:pPr>
        <w:spacing w:line="560" w:lineRule="exact"/>
        <w:ind w:firstLine="422" w:firstLineChars="200"/>
        <w:rPr>
          <w:rFonts w:ascii="宋体" w:hAnsi="宋体"/>
          <w:b/>
          <w:bCs/>
          <w:sz w:val="21"/>
          <w:szCs w:val="21"/>
        </w:rPr>
      </w:pPr>
      <w:r>
        <w:rPr>
          <w:rFonts w:ascii="宋体" w:hAnsi="宋体"/>
          <w:b/>
          <w:bCs/>
          <w:sz w:val="21"/>
          <w:szCs w:val="21"/>
        </w:rPr>
        <w:t>（三）养护巡查要求</w:t>
      </w:r>
    </w:p>
    <w:p w14:paraId="3A641066">
      <w:pPr>
        <w:snapToGrid w:val="0"/>
        <w:spacing w:line="560" w:lineRule="exact"/>
        <w:ind w:firstLine="420" w:firstLineChars="200"/>
        <w:rPr>
          <w:rFonts w:ascii="宋体" w:hAnsi="宋体"/>
          <w:sz w:val="21"/>
          <w:szCs w:val="21"/>
        </w:rPr>
      </w:pPr>
      <w:r>
        <w:rPr>
          <w:rFonts w:ascii="宋体" w:hAnsi="宋体"/>
          <w:sz w:val="21"/>
          <w:szCs w:val="21"/>
        </w:rPr>
        <w:t>1.管道养护机械化疏通率不得低于95%。</w:t>
      </w:r>
    </w:p>
    <w:p w14:paraId="2EE13086">
      <w:pPr>
        <w:snapToGrid w:val="0"/>
        <w:spacing w:line="560" w:lineRule="exact"/>
        <w:ind w:firstLine="420" w:firstLineChars="200"/>
        <w:rPr>
          <w:rFonts w:ascii="宋体" w:hAnsi="宋体"/>
          <w:sz w:val="21"/>
          <w:szCs w:val="21"/>
        </w:rPr>
      </w:pPr>
      <w:r>
        <w:rPr>
          <w:rFonts w:ascii="宋体" w:hAnsi="宋体"/>
          <w:sz w:val="21"/>
          <w:szCs w:val="21"/>
        </w:rPr>
        <w:t>2.管道、支连管、检查井、雨水口等设施的保养率不得低于行业规定要求。</w:t>
      </w:r>
    </w:p>
    <w:p w14:paraId="4ADB7CCB">
      <w:pPr>
        <w:snapToGrid w:val="0"/>
        <w:spacing w:line="560" w:lineRule="exact"/>
        <w:ind w:firstLine="420" w:firstLineChars="200"/>
        <w:rPr>
          <w:rFonts w:ascii="宋体" w:hAnsi="宋体"/>
          <w:sz w:val="21"/>
          <w:szCs w:val="21"/>
        </w:rPr>
      </w:pPr>
      <w:r>
        <w:rPr>
          <w:rFonts w:ascii="宋体" w:hAnsi="宋体"/>
          <w:sz w:val="21"/>
          <w:szCs w:val="21"/>
        </w:rPr>
        <w:t>3.每月月底前，须报送上月养护完成情况和下月养护计划，所有材料均须书面盖章。</w:t>
      </w:r>
    </w:p>
    <w:p w14:paraId="261DDC6E">
      <w:pPr>
        <w:snapToGrid w:val="0"/>
        <w:spacing w:line="560" w:lineRule="exact"/>
        <w:ind w:firstLine="420" w:firstLineChars="200"/>
        <w:rPr>
          <w:rFonts w:ascii="宋体" w:hAnsi="宋体"/>
          <w:sz w:val="21"/>
          <w:szCs w:val="21"/>
        </w:rPr>
      </w:pPr>
      <w:r>
        <w:rPr>
          <w:rFonts w:ascii="宋体" w:hAnsi="宋体"/>
          <w:sz w:val="21"/>
          <w:szCs w:val="21"/>
        </w:rPr>
        <w:t>4.做好养护范围雨水设施巡视检查，管道、检查井外部、雨水口外部的巡视每周不少于1次，检查井内部和雨水口内部的检查半年不少于1次，可结合养护工作同步实施。如发现雨水设施缺损现象，应立即组织修复；如发现在建项目周边涉及市政雨水设施的，应督促其做好管线交底和管线保护，同时对于建设工地及周边应增加巡视频率，巡视内容和要求按照《城镇排水管渠与泵站运行、维护及安全技术规程》（CJJ68）执行；如发现违规排放行为应予以劝阻制止，取证后及时上报管理部门。</w:t>
      </w:r>
    </w:p>
    <w:p w14:paraId="7AE6FDEB">
      <w:pPr>
        <w:snapToGrid w:val="0"/>
        <w:spacing w:line="560" w:lineRule="exact"/>
        <w:ind w:firstLine="420" w:firstLineChars="200"/>
        <w:rPr>
          <w:rFonts w:ascii="宋体" w:hAnsi="宋体"/>
          <w:sz w:val="21"/>
          <w:szCs w:val="21"/>
        </w:rPr>
      </w:pPr>
      <w:r>
        <w:rPr>
          <w:rFonts w:ascii="宋体" w:hAnsi="宋体"/>
          <w:sz w:val="21"/>
          <w:szCs w:val="21"/>
        </w:rPr>
        <w:t>5.做好养护范围检查井和雨水口开井作业，频次不少于半年1次，所有开井均须留下照片，并按道路整理归档。6.巡查人员在开展日常巡查时，必须穿反光专用衣服，使用巡查专用车辆。</w:t>
      </w:r>
    </w:p>
    <w:p w14:paraId="5A14759B">
      <w:pPr>
        <w:snapToGrid w:val="0"/>
        <w:spacing w:line="560" w:lineRule="exact"/>
        <w:ind w:firstLine="420" w:firstLineChars="200"/>
        <w:rPr>
          <w:rFonts w:ascii="宋体" w:hAnsi="宋体"/>
          <w:sz w:val="21"/>
          <w:szCs w:val="21"/>
        </w:rPr>
      </w:pPr>
      <w:r>
        <w:rPr>
          <w:rFonts w:ascii="宋体" w:hAnsi="宋体"/>
          <w:sz w:val="21"/>
          <w:szCs w:val="21"/>
        </w:rPr>
        <w:t>7.养护巡查人员实行上下班考勤制度，相关设备和信息化平台由中标单位自行提供，并将信息同步共享给业主单位。</w:t>
      </w:r>
    </w:p>
    <w:p w14:paraId="58F38FE1">
      <w:pPr>
        <w:spacing w:line="560" w:lineRule="exact"/>
        <w:ind w:firstLine="420" w:firstLineChars="200"/>
        <w:rPr>
          <w:rFonts w:ascii="宋体" w:hAnsi="宋体"/>
          <w:sz w:val="21"/>
          <w:szCs w:val="21"/>
        </w:rPr>
      </w:pPr>
      <w:r>
        <w:rPr>
          <w:rFonts w:ascii="宋体" w:hAnsi="宋体"/>
          <w:sz w:val="21"/>
          <w:szCs w:val="21"/>
        </w:rPr>
        <w:t>8.有计划对养护范围内的无井深、无下游管、检查井掩埋缺失等管道问题</w:t>
      </w:r>
      <w:r>
        <w:rPr>
          <w:rFonts w:hint="eastAsia" w:ascii="宋体" w:hAnsi="宋体"/>
          <w:sz w:val="21"/>
          <w:szCs w:val="21"/>
        </w:rPr>
        <w:t>通过专业检测设备进行视频记录、</w:t>
      </w:r>
      <w:r>
        <w:rPr>
          <w:rFonts w:ascii="宋体" w:hAnsi="宋体"/>
          <w:sz w:val="21"/>
          <w:szCs w:val="21"/>
        </w:rPr>
        <w:t>测绘</w:t>
      </w:r>
      <w:r>
        <w:rPr>
          <w:rFonts w:hint="eastAsia" w:ascii="宋体" w:hAnsi="宋体"/>
          <w:sz w:val="21"/>
          <w:szCs w:val="21"/>
        </w:rPr>
        <w:t>并及时上报管理单位</w:t>
      </w:r>
      <w:r>
        <w:rPr>
          <w:rFonts w:ascii="宋体" w:hAnsi="宋体"/>
          <w:sz w:val="21"/>
          <w:szCs w:val="21"/>
        </w:rPr>
        <w:t>，消除管理盲区。</w:t>
      </w:r>
    </w:p>
    <w:p w14:paraId="57945B7D">
      <w:pPr>
        <w:spacing w:line="560" w:lineRule="exact"/>
        <w:ind w:firstLine="420" w:firstLineChars="200"/>
        <w:rPr>
          <w:rFonts w:ascii="宋体" w:hAnsi="宋体"/>
          <w:sz w:val="21"/>
          <w:szCs w:val="21"/>
        </w:rPr>
      </w:pPr>
      <w:r>
        <w:rPr>
          <w:rFonts w:ascii="宋体" w:hAnsi="宋体"/>
          <w:sz w:val="21"/>
          <w:szCs w:val="21"/>
        </w:rPr>
        <w:t>10.对辖区内管网设施巡视巡查，及时发现雨污混接、私自接管、水质异常、淤积严重、破坏设施等情况，</w:t>
      </w:r>
      <w:r>
        <w:rPr>
          <w:rFonts w:hint="eastAsia" w:ascii="宋体" w:hAnsi="宋体"/>
          <w:sz w:val="21"/>
          <w:szCs w:val="21"/>
        </w:rPr>
        <w:t>应及时取证并</w:t>
      </w:r>
      <w:r>
        <w:rPr>
          <w:rFonts w:ascii="宋体" w:hAnsi="宋体"/>
          <w:sz w:val="21"/>
          <w:szCs w:val="21"/>
        </w:rPr>
        <w:t>对相关问题进行上报，并配合业主单位对涉及排水用户进行督促整改。</w:t>
      </w:r>
    </w:p>
    <w:p w14:paraId="73D224E8">
      <w:pPr>
        <w:spacing w:line="560" w:lineRule="exact"/>
        <w:ind w:firstLine="422" w:firstLineChars="200"/>
        <w:rPr>
          <w:rFonts w:ascii="宋体" w:hAnsi="宋体"/>
          <w:b/>
          <w:bCs/>
          <w:sz w:val="21"/>
          <w:szCs w:val="21"/>
        </w:rPr>
      </w:pPr>
      <w:r>
        <w:rPr>
          <w:rFonts w:ascii="宋体" w:hAnsi="宋体"/>
          <w:b/>
          <w:bCs/>
          <w:sz w:val="21"/>
          <w:szCs w:val="21"/>
        </w:rPr>
        <w:t>（四）防汛抢险要求</w:t>
      </w:r>
    </w:p>
    <w:p w14:paraId="29B05E0A">
      <w:pPr>
        <w:snapToGrid w:val="0"/>
        <w:spacing w:line="560" w:lineRule="exact"/>
        <w:ind w:firstLine="420" w:firstLineChars="200"/>
        <w:rPr>
          <w:rFonts w:ascii="宋体" w:hAnsi="宋体"/>
          <w:sz w:val="21"/>
          <w:szCs w:val="21"/>
        </w:rPr>
      </w:pPr>
      <w:r>
        <w:rPr>
          <w:rFonts w:ascii="宋体" w:hAnsi="宋体"/>
          <w:sz w:val="21"/>
          <w:szCs w:val="21"/>
        </w:rPr>
        <w:t>1.按照排水行业和防汛应急预案要求，服从业主单位调度，调用防汛设施设备进行防汛排涝工作；中标单位自行编制完善防汛应急抢险预案，接受应急抢险指令后，</w:t>
      </w:r>
      <w:r>
        <w:rPr>
          <w:rFonts w:hint="eastAsia" w:ascii="宋体" w:hAnsi="宋体"/>
          <w:sz w:val="21"/>
          <w:szCs w:val="21"/>
        </w:rPr>
        <w:t>15</w:t>
      </w:r>
      <w:r>
        <w:rPr>
          <w:rFonts w:ascii="宋体" w:hAnsi="宋体"/>
          <w:sz w:val="21"/>
          <w:szCs w:val="21"/>
        </w:rPr>
        <w:t>分钟内做出响应，投入抢险。</w:t>
      </w:r>
    </w:p>
    <w:p w14:paraId="76B0D5BC">
      <w:pPr>
        <w:snapToGrid w:val="0"/>
        <w:spacing w:line="560" w:lineRule="exact"/>
        <w:ind w:firstLine="420" w:firstLineChars="200"/>
        <w:rPr>
          <w:rFonts w:ascii="宋体" w:hAnsi="宋体"/>
          <w:sz w:val="21"/>
          <w:szCs w:val="21"/>
        </w:rPr>
      </w:pPr>
      <w:r>
        <w:rPr>
          <w:rFonts w:ascii="宋体" w:hAnsi="宋体"/>
          <w:sz w:val="21"/>
          <w:szCs w:val="21"/>
        </w:rPr>
        <w:t>2.落实汛期领导带班制度，中标单位24小时值班制度；如遇积水，按照量放水要求安排养护人员进行量放水工作；发布防汛防台黄色预警及以上，中标单位相关负责人须至业主单位集中值班，协助开展抢险任务。</w:t>
      </w:r>
    </w:p>
    <w:p w14:paraId="5CA91124">
      <w:pPr>
        <w:snapToGrid w:val="0"/>
        <w:spacing w:line="560" w:lineRule="exact"/>
        <w:ind w:firstLine="420" w:firstLineChars="200"/>
        <w:rPr>
          <w:rFonts w:ascii="宋体" w:hAnsi="宋体"/>
          <w:sz w:val="21"/>
          <w:szCs w:val="21"/>
        </w:rPr>
      </w:pPr>
      <w:r>
        <w:rPr>
          <w:rFonts w:ascii="宋体" w:hAnsi="宋体"/>
          <w:sz w:val="21"/>
          <w:szCs w:val="21"/>
        </w:rPr>
        <w:t>3.做好道路积水街面巡视、影像资料收集、信息统计报送工作；汛期，使用车辆进行巡查的，不另行计费。</w:t>
      </w:r>
    </w:p>
    <w:p w14:paraId="0775402A">
      <w:pPr>
        <w:snapToGrid w:val="0"/>
        <w:spacing w:line="560" w:lineRule="exact"/>
        <w:ind w:firstLine="420" w:firstLineChars="200"/>
        <w:rPr>
          <w:rFonts w:ascii="宋体" w:hAnsi="宋体"/>
          <w:sz w:val="21"/>
          <w:szCs w:val="21"/>
        </w:rPr>
      </w:pPr>
      <w:r>
        <w:rPr>
          <w:rFonts w:ascii="宋体" w:hAnsi="宋体"/>
          <w:sz w:val="21"/>
          <w:szCs w:val="21"/>
        </w:rPr>
        <w:t>4.参与</w:t>
      </w:r>
      <w:r>
        <w:rPr>
          <w:rFonts w:hint="eastAsia" w:ascii="宋体" w:hAnsi="宋体"/>
          <w:sz w:val="21"/>
          <w:szCs w:val="21"/>
        </w:rPr>
        <w:t>业主组织的</w:t>
      </w:r>
      <w:r>
        <w:rPr>
          <w:rFonts w:ascii="宋体" w:hAnsi="宋体"/>
          <w:sz w:val="21"/>
          <w:szCs w:val="21"/>
        </w:rPr>
        <w:t>防汛应急演练（含车辆维修保养费、燃油费、通讯费等），并提供必要的设施设备保障。</w:t>
      </w:r>
    </w:p>
    <w:p w14:paraId="4F2FD8ED">
      <w:pPr>
        <w:snapToGrid w:val="0"/>
        <w:spacing w:line="560" w:lineRule="exact"/>
        <w:ind w:firstLine="420" w:firstLineChars="200"/>
        <w:rPr>
          <w:rFonts w:ascii="宋体" w:hAnsi="宋体"/>
          <w:sz w:val="21"/>
          <w:szCs w:val="21"/>
        </w:rPr>
      </w:pPr>
      <w:r>
        <w:rPr>
          <w:rFonts w:ascii="宋体" w:hAnsi="宋体"/>
          <w:sz w:val="21"/>
          <w:szCs w:val="21"/>
        </w:rPr>
        <w:t>5.防汛应急抢险等按实际发生金额结算，结算时必须提供发票等相关凭证；片区内防汛值班不另外计算防汛台班费用，街镇面上支援的，防汛台班费用须提供值班人员上下班考勤记录，以及防汛台班费发放到人的佐证材料，防汛台班费用不得高于定额标准和相关规定要求，否则不予结算。</w:t>
      </w:r>
    </w:p>
    <w:p w14:paraId="7082829D">
      <w:pPr>
        <w:spacing w:line="560" w:lineRule="exact"/>
        <w:ind w:firstLine="422" w:firstLineChars="200"/>
        <w:rPr>
          <w:rFonts w:ascii="宋体" w:hAnsi="宋体"/>
          <w:b/>
          <w:bCs/>
          <w:sz w:val="21"/>
          <w:szCs w:val="21"/>
        </w:rPr>
      </w:pPr>
      <w:r>
        <w:rPr>
          <w:rFonts w:ascii="宋体" w:hAnsi="宋体"/>
          <w:b/>
          <w:bCs/>
          <w:sz w:val="21"/>
          <w:szCs w:val="21"/>
        </w:rPr>
        <w:t>（</w:t>
      </w:r>
      <w:r>
        <w:rPr>
          <w:rFonts w:hint="eastAsia" w:ascii="宋体" w:hAnsi="宋体"/>
          <w:b/>
          <w:bCs/>
          <w:sz w:val="21"/>
          <w:szCs w:val="21"/>
        </w:rPr>
        <w:t>五</w:t>
      </w:r>
      <w:r>
        <w:rPr>
          <w:rFonts w:ascii="宋体" w:hAnsi="宋体"/>
          <w:b/>
          <w:bCs/>
          <w:sz w:val="21"/>
          <w:szCs w:val="21"/>
        </w:rPr>
        <w:t>）应急维修以及网格、热线、井盖病害处置要求</w:t>
      </w:r>
    </w:p>
    <w:p w14:paraId="77FC5412">
      <w:pPr>
        <w:spacing w:line="560" w:lineRule="exact"/>
        <w:ind w:firstLine="420" w:firstLineChars="200"/>
        <w:rPr>
          <w:rFonts w:ascii="宋体" w:hAnsi="宋体"/>
          <w:sz w:val="21"/>
          <w:szCs w:val="21"/>
        </w:rPr>
      </w:pPr>
      <w:r>
        <w:rPr>
          <w:rFonts w:ascii="宋体" w:hAnsi="宋体"/>
          <w:sz w:val="21"/>
          <w:szCs w:val="21"/>
        </w:rPr>
        <w:t>1.支连管、积水点、检查井等应急维修以及网格、热线、井盖病害处置内容须经业主单位同意后方可实施。</w:t>
      </w:r>
    </w:p>
    <w:p w14:paraId="51D28CF6">
      <w:pPr>
        <w:spacing w:line="560" w:lineRule="exact"/>
        <w:ind w:firstLine="420" w:firstLineChars="200"/>
        <w:rPr>
          <w:rFonts w:ascii="宋体" w:hAnsi="宋体"/>
          <w:sz w:val="21"/>
          <w:szCs w:val="21"/>
        </w:rPr>
      </w:pPr>
      <w:r>
        <w:rPr>
          <w:rFonts w:ascii="宋体" w:hAnsi="宋体"/>
          <w:sz w:val="21"/>
          <w:szCs w:val="21"/>
        </w:rPr>
        <w:t>2.按照上海市水务（排水）热线工作基础设施管理系统等相关要求，规范有序、快速有效处理雨水排水有关诉求，在接到排水报修、积水问题或巡视人员发现问题后，应按照处理时限要求完成处理并反馈结果。</w:t>
      </w:r>
    </w:p>
    <w:p w14:paraId="1B135C64">
      <w:pPr>
        <w:snapToGrid w:val="0"/>
        <w:spacing w:line="560" w:lineRule="exact"/>
        <w:ind w:firstLine="420" w:firstLineChars="200"/>
        <w:rPr>
          <w:rFonts w:ascii="宋体" w:hAnsi="宋体"/>
          <w:sz w:val="21"/>
          <w:szCs w:val="21"/>
        </w:rPr>
      </w:pPr>
      <w:r>
        <w:rPr>
          <w:rFonts w:ascii="宋体" w:hAnsi="宋体"/>
          <w:sz w:val="21"/>
          <w:szCs w:val="21"/>
        </w:rPr>
        <w:t>3.发现井盖丢失、损坏和移位的，应在2小时内完成处置；排水井盖不平或松动，应在3个工作日内完成处置；遇特殊情况或极端天气不能在规定时限内完成的，应先做好临时安全措施并上报情况，申请调整办理时限。中标单位须按照新的工作要求落实相关工作。</w:t>
      </w:r>
    </w:p>
    <w:p w14:paraId="1D439C26">
      <w:pPr>
        <w:snapToGrid w:val="0"/>
        <w:spacing w:line="560" w:lineRule="exact"/>
        <w:ind w:firstLine="420" w:firstLineChars="200"/>
        <w:rPr>
          <w:rFonts w:ascii="宋体" w:hAnsi="宋体"/>
          <w:sz w:val="21"/>
          <w:szCs w:val="21"/>
        </w:rPr>
      </w:pPr>
      <w:r>
        <w:rPr>
          <w:rFonts w:ascii="宋体" w:hAnsi="宋体"/>
          <w:sz w:val="21"/>
          <w:szCs w:val="21"/>
        </w:rPr>
        <w:t>4.盖框差15-30毫米的，加装橡胶垫圈并用钢钉固定；盖框差大于30毫米的，更换井盖；存在路框差且大于5毫米的，更换为防沉降检查井，路面修复推荐采用柔性沥青；对于非标的病害井盖的，更换为防沉降检查井，路面修复推荐采用柔性沥青；存在井盖破损的，更换井盖；新建检查井盖框差应小于5毫米，井盖病害整治的工作量，不重复计入防沉降井盖改造。</w:t>
      </w:r>
    </w:p>
    <w:p w14:paraId="4650A274">
      <w:pPr>
        <w:spacing w:line="560" w:lineRule="exact"/>
        <w:ind w:firstLine="422" w:firstLineChars="200"/>
        <w:rPr>
          <w:rFonts w:ascii="宋体" w:hAnsi="宋体"/>
          <w:b/>
          <w:bCs/>
          <w:sz w:val="21"/>
          <w:szCs w:val="21"/>
        </w:rPr>
      </w:pPr>
      <w:r>
        <w:rPr>
          <w:rFonts w:ascii="宋体" w:hAnsi="宋体"/>
          <w:b/>
          <w:bCs/>
          <w:sz w:val="21"/>
          <w:szCs w:val="21"/>
        </w:rPr>
        <w:t>（八）其他要求</w:t>
      </w:r>
    </w:p>
    <w:p w14:paraId="56DE5293">
      <w:pPr>
        <w:snapToGrid w:val="0"/>
        <w:spacing w:line="560" w:lineRule="exact"/>
        <w:ind w:firstLine="420" w:firstLineChars="200"/>
        <w:rPr>
          <w:rFonts w:ascii="宋体" w:hAnsi="宋体"/>
          <w:sz w:val="21"/>
          <w:szCs w:val="21"/>
        </w:rPr>
      </w:pPr>
      <w:bookmarkStart w:id="3" w:name="_Hlk29199786"/>
      <w:r>
        <w:rPr>
          <w:rFonts w:ascii="宋体" w:hAnsi="宋体"/>
          <w:sz w:val="21"/>
          <w:szCs w:val="21"/>
        </w:rPr>
        <w:t>1.养护作业一线职工工资、福利保障措施等应当按上海市水务局关于转发《2020年上海市河道养护行业一线职工工资福利待遇工作指导意见》《2020年上海市排水管道养护行业一线职工工资福利待遇工作指导意见》的通知（沪水务〔2020〕1094号）执行。</w:t>
      </w:r>
      <w:bookmarkEnd w:id="3"/>
    </w:p>
    <w:p w14:paraId="471BAF71">
      <w:pPr>
        <w:snapToGrid w:val="0"/>
        <w:spacing w:line="560" w:lineRule="exact"/>
        <w:ind w:firstLine="420" w:firstLineChars="200"/>
        <w:rPr>
          <w:rFonts w:ascii="宋体" w:hAnsi="宋体"/>
          <w:sz w:val="21"/>
          <w:szCs w:val="21"/>
        </w:rPr>
      </w:pPr>
      <w:r>
        <w:rPr>
          <w:rFonts w:ascii="宋体" w:hAnsi="宋体"/>
          <w:sz w:val="21"/>
          <w:szCs w:val="21"/>
        </w:rPr>
        <w:t>2.配件充足入库，按需采购、储备、补充各型号进出水管、接头、防汛沙袋、防沉降雨水检查井和橡胶圈及相应配件，按照片区设施量1%的比例作为备品备件（相关费用原则上由中标单位自行承担，如遇重大灾害天气一事一议，另行结算）。</w:t>
      </w:r>
    </w:p>
    <w:p w14:paraId="2B4F2E4A">
      <w:pPr>
        <w:snapToGrid w:val="0"/>
        <w:spacing w:line="560" w:lineRule="exact"/>
        <w:ind w:firstLine="420" w:firstLineChars="200"/>
        <w:rPr>
          <w:rFonts w:ascii="宋体" w:hAnsi="宋体" w:cs="仿宋_GB2312"/>
          <w:sz w:val="21"/>
          <w:szCs w:val="21"/>
        </w:rPr>
      </w:pPr>
      <w:r>
        <w:rPr>
          <w:rFonts w:hint="eastAsia" w:ascii="宋体" w:hAnsi="宋体" w:cs="仿宋_GB2312"/>
          <w:sz w:val="21"/>
          <w:szCs w:val="21"/>
        </w:rPr>
        <w:t>五、资金拨付</w:t>
      </w:r>
    </w:p>
    <w:p w14:paraId="0493C82E">
      <w:pPr>
        <w:snapToGrid w:val="0"/>
        <w:spacing w:line="560" w:lineRule="exact"/>
        <w:ind w:firstLine="420" w:firstLineChars="200"/>
        <w:rPr>
          <w:rFonts w:ascii="宋体" w:hAnsi="宋体"/>
          <w:sz w:val="21"/>
          <w:szCs w:val="21"/>
        </w:rPr>
      </w:pPr>
      <w:r>
        <w:rPr>
          <w:rFonts w:ascii="宋体" w:hAnsi="宋体"/>
          <w:sz w:val="21"/>
          <w:szCs w:val="21"/>
        </w:rPr>
        <w:t>合同签订后，养护款</w:t>
      </w:r>
      <w:r>
        <w:rPr>
          <w:rFonts w:hint="eastAsia" w:ascii="宋体" w:hAnsi="宋体"/>
          <w:sz w:val="21"/>
          <w:szCs w:val="21"/>
        </w:rPr>
        <w:t>根据考核情况</w:t>
      </w:r>
      <w:r>
        <w:rPr>
          <w:rFonts w:ascii="宋体" w:hAnsi="宋体"/>
          <w:sz w:val="21"/>
          <w:szCs w:val="21"/>
        </w:rPr>
        <w:t>按</w:t>
      </w:r>
      <w:r>
        <w:rPr>
          <w:rFonts w:hint="eastAsia" w:ascii="宋体" w:hAnsi="宋体"/>
          <w:sz w:val="21"/>
          <w:szCs w:val="21"/>
        </w:rPr>
        <w:t>每</w:t>
      </w:r>
      <w:r>
        <w:rPr>
          <w:rFonts w:ascii="宋体" w:hAnsi="宋体"/>
          <w:sz w:val="21"/>
          <w:szCs w:val="21"/>
        </w:rPr>
        <w:t>季度拨付</w:t>
      </w:r>
      <w:r>
        <w:rPr>
          <w:rFonts w:hint="eastAsia" w:ascii="宋体" w:hAnsi="宋体"/>
          <w:sz w:val="21"/>
          <w:szCs w:val="21"/>
        </w:rPr>
        <w:t>20%，剩余20%由第三方财务监理出具审核意见后支付。</w:t>
      </w:r>
    </w:p>
    <w:bookmarkEnd w:id="1"/>
    <w:p w14:paraId="0241F6AD">
      <w:pPr>
        <w:snapToGrid w:val="0"/>
        <w:spacing w:line="560" w:lineRule="exact"/>
        <w:ind w:firstLine="640" w:firstLineChars="200"/>
        <w:rPr>
          <w:rFonts w:ascii="宋体" w:hAnsi="宋体"/>
          <w:sz w:val="32"/>
          <w:szCs w:val="32"/>
        </w:rPr>
      </w:pPr>
    </w:p>
    <w:sectPr>
      <w:pgSz w:w="11907" w:h="16840"/>
      <w:pgMar w:top="1440" w:right="1797" w:bottom="28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__WRD_EMBED_SUB_42">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9"/>
      <w:lvlText w:val="2.1.%1."/>
      <w:lvlJc w:val="left"/>
      <w:pPr>
        <w:tabs>
          <w:tab w:val="left" w:pos="340"/>
        </w:tabs>
        <w:ind w:left="0" w:firstLine="0"/>
      </w:pPr>
      <w:rPr>
        <w:rFonts w:hint="default" w:ascii="宋体"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ZjgxMzk3ZGMxOWZkNmY4NGEyMDY5OWE0N2ViYzgifQ=="/>
  </w:docVars>
  <w:rsids>
    <w:rsidRoot w:val="007F6CCC"/>
    <w:rsid w:val="0004543E"/>
    <w:rsid w:val="00050491"/>
    <w:rsid w:val="000922BA"/>
    <w:rsid w:val="00092368"/>
    <w:rsid w:val="000941A8"/>
    <w:rsid w:val="000A385F"/>
    <w:rsid w:val="00106D11"/>
    <w:rsid w:val="001122C9"/>
    <w:rsid w:val="00143A1E"/>
    <w:rsid w:val="00147342"/>
    <w:rsid w:val="001540DD"/>
    <w:rsid w:val="00154671"/>
    <w:rsid w:val="00167FF8"/>
    <w:rsid w:val="00175D40"/>
    <w:rsid w:val="001847D9"/>
    <w:rsid w:val="001C0A4F"/>
    <w:rsid w:val="001C3F68"/>
    <w:rsid w:val="001D7E8F"/>
    <w:rsid w:val="00224F08"/>
    <w:rsid w:val="00233577"/>
    <w:rsid w:val="002350DB"/>
    <w:rsid w:val="00246FDA"/>
    <w:rsid w:val="002701A8"/>
    <w:rsid w:val="002768FA"/>
    <w:rsid w:val="00282C01"/>
    <w:rsid w:val="002B6853"/>
    <w:rsid w:val="002D0950"/>
    <w:rsid w:val="00331CF5"/>
    <w:rsid w:val="00356535"/>
    <w:rsid w:val="00371F99"/>
    <w:rsid w:val="00376161"/>
    <w:rsid w:val="003E6F21"/>
    <w:rsid w:val="00401AF6"/>
    <w:rsid w:val="00424D98"/>
    <w:rsid w:val="00447EBB"/>
    <w:rsid w:val="00451E31"/>
    <w:rsid w:val="0046213F"/>
    <w:rsid w:val="00472D95"/>
    <w:rsid w:val="00483BB2"/>
    <w:rsid w:val="00493582"/>
    <w:rsid w:val="004A4C6C"/>
    <w:rsid w:val="004F353F"/>
    <w:rsid w:val="00524032"/>
    <w:rsid w:val="005449F5"/>
    <w:rsid w:val="00585776"/>
    <w:rsid w:val="005E26D5"/>
    <w:rsid w:val="005F5658"/>
    <w:rsid w:val="006238AB"/>
    <w:rsid w:val="00653381"/>
    <w:rsid w:val="00657E42"/>
    <w:rsid w:val="00660EDC"/>
    <w:rsid w:val="00662C73"/>
    <w:rsid w:val="00697ED2"/>
    <w:rsid w:val="006A796E"/>
    <w:rsid w:val="006C32F0"/>
    <w:rsid w:val="006E2371"/>
    <w:rsid w:val="006F5195"/>
    <w:rsid w:val="006F6739"/>
    <w:rsid w:val="00707B96"/>
    <w:rsid w:val="0072289E"/>
    <w:rsid w:val="00726A9D"/>
    <w:rsid w:val="00733D9B"/>
    <w:rsid w:val="00750584"/>
    <w:rsid w:val="00766706"/>
    <w:rsid w:val="007B650C"/>
    <w:rsid w:val="007E3653"/>
    <w:rsid w:val="007F6C32"/>
    <w:rsid w:val="007F6CCC"/>
    <w:rsid w:val="007F6F02"/>
    <w:rsid w:val="00833B55"/>
    <w:rsid w:val="00843204"/>
    <w:rsid w:val="00872327"/>
    <w:rsid w:val="008800C6"/>
    <w:rsid w:val="008C6768"/>
    <w:rsid w:val="008E53E8"/>
    <w:rsid w:val="00911914"/>
    <w:rsid w:val="00947C50"/>
    <w:rsid w:val="0096152D"/>
    <w:rsid w:val="00964539"/>
    <w:rsid w:val="00974D80"/>
    <w:rsid w:val="009C3CBB"/>
    <w:rsid w:val="009E7649"/>
    <w:rsid w:val="00A21595"/>
    <w:rsid w:val="00A6255E"/>
    <w:rsid w:val="00A64884"/>
    <w:rsid w:val="00A70245"/>
    <w:rsid w:val="00A80A41"/>
    <w:rsid w:val="00A862D8"/>
    <w:rsid w:val="00A97BAE"/>
    <w:rsid w:val="00AC15D8"/>
    <w:rsid w:val="00AD0636"/>
    <w:rsid w:val="00B77AF9"/>
    <w:rsid w:val="00B90A08"/>
    <w:rsid w:val="00B95E7E"/>
    <w:rsid w:val="00BA1F4E"/>
    <w:rsid w:val="00BB10F1"/>
    <w:rsid w:val="00C32709"/>
    <w:rsid w:val="00C369E6"/>
    <w:rsid w:val="00C67348"/>
    <w:rsid w:val="00C72670"/>
    <w:rsid w:val="00C852FC"/>
    <w:rsid w:val="00C94F9C"/>
    <w:rsid w:val="00CC1049"/>
    <w:rsid w:val="00CE7A88"/>
    <w:rsid w:val="00D25F2B"/>
    <w:rsid w:val="00D56C66"/>
    <w:rsid w:val="00D9312E"/>
    <w:rsid w:val="00D978D7"/>
    <w:rsid w:val="00DA7CC8"/>
    <w:rsid w:val="00DC2ECF"/>
    <w:rsid w:val="00E45C28"/>
    <w:rsid w:val="00E537B6"/>
    <w:rsid w:val="00E6297D"/>
    <w:rsid w:val="00E90103"/>
    <w:rsid w:val="00E92285"/>
    <w:rsid w:val="00EB0C56"/>
    <w:rsid w:val="00EB5810"/>
    <w:rsid w:val="00EB69A8"/>
    <w:rsid w:val="00EE7643"/>
    <w:rsid w:val="00F02694"/>
    <w:rsid w:val="00F22029"/>
    <w:rsid w:val="00F25AE1"/>
    <w:rsid w:val="00F37F51"/>
    <w:rsid w:val="00F64414"/>
    <w:rsid w:val="00F66A53"/>
    <w:rsid w:val="00F80696"/>
    <w:rsid w:val="00F922EF"/>
    <w:rsid w:val="00FB0A61"/>
    <w:rsid w:val="00FB4171"/>
    <w:rsid w:val="00FC024B"/>
    <w:rsid w:val="00FC28EA"/>
    <w:rsid w:val="00FC6F34"/>
    <w:rsid w:val="00FF0709"/>
    <w:rsid w:val="00FF6F02"/>
    <w:rsid w:val="07B95B04"/>
    <w:rsid w:val="0D5E31AB"/>
    <w:rsid w:val="0F7220E8"/>
    <w:rsid w:val="102A2753"/>
    <w:rsid w:val="1E9C4F78"/>
    <w:rsid w:val="24E9024F"/>
    <w:rsid w:val="3BBF5AD5"/>
    <w:rsid w:val="3FF46A08"/>
    <w:rsid w:val="444F607F"/>
    <w:rsid w:val="4A181274"/>
    <w:rsid w:val="4C5725F6"/>
    <w:rsid w:val="4EF919E6"/>
    <w:rsid w:val="5BBD7BA1"/>
    <w:rsid w:val="6020771C"/>
    <w:rsid w:val="61F75D43"/>
    <w:rsid w:val="787B4617"/>
    <w:rsid w:val="78F825FB"/>
    <w:rsid w:val="7FA5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32"/>
    <w:qFormat/>
    <w:uiPriority w:val="0"/>
    <w:pPr>
      <w:keepNext/>
      <w:spacing w:line="216" w:lineRule="auto"/>
      <w:outlineLvl w:val="1"/>
    </w:pPr>
    <w:rPr>
      <w:rFonts w:ascii="宋体" w:hAnsi="Times New Roman" w:eastAsia="宋体" w:cs="宋体"/>
      <w:sz w:val="28"/>
      <w:szCs w:val="20"/>
    </w:rPr>
  </w:style>
  <w:style w:type="paragraph" w:styleId="5">
    <w:name w:val="heading 3"/>
    <w:basedOn w:val="1"/>
    <w:next w:val="1"/>
    <w:link w:val="33"/>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34"/>
    <w:semiHidden/>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7">
    <w:name w:val="heading 7"/>
    <w:basedOn w:val="1"/>
    <w:next w:val="1"/>
    <w:link w:val="35"/>
    <w:qFormat/>
    <w:uiPriority w:val="0"/>
    <w:pPr>
      <w:keepNext/>
      <w:keepLines/>
      <w:spacing w:before="240" w:after="64" w:line="320" w:lineRule="auto"/>
      <w:outlineLvl w:val="6"/>
    </w:pPr>
    <w:rPr>
      <w:rFonts w:ascii="Times New Roman" w:hAnsi="Times New Roman" w:eastAsia="宋体" w:cs="Times New Roman"/>
      <w:b/>
      <w:bCs/>
      <w:sz w:val="24"/>
      <w:szCs w:val="24"/>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8">
    <w:name w:val="annotation text"/>
    <w:basedOn w:val="1"/>
    <w:link w:val="42"/>
    <w:qFormat/>
    <w:uiPriority w:val="0"/>
    <w:pPr>
      <w:jc w:val="left"/>
    </w:pPr>
    <w:rPr>
      <w:rFonts w:ascii="Times New Roman" w:hAnsi="Times New Roman" w:eastAsia="宋体" w:cs="Times New Roman"/>
      <w:szCs w:val="24"/>
    </w:rPr>
  </w:style>
  <w:style w:type="paragraph" w:styleId="9">
    <w:name w:val="Body Text"/>
    <w:basedOn w:val="1"/>
    <w:qFormat/>
    <w:uiPriority w:val="1"/>
    <w:rPr>
      <w:rFonts w:ascii="宋体" w:hAnsi="宋体" w:eastAsia="宋体" w:cs="宋体"/>
      <w:sz w:val="32"/>
      <w:szCs w:val="32"/>
      <w:lang w:val="zh-CN" w:bidi="zh-CN"/>
    </w:rPr>
  </w:style>
  <w:style w:type="paragraph" w:styleId="10">
    <w:name w:val="Body Text Indent"/>
    <w:basedOn w:val="1"/>
    <w:link w:val="45"/>
    <w:qFormat/>
    <w:uiPriority w:val="0"/>
    <w:pPr>
      <w:ind w:firstLine="570"/>
    </w:pPr>
    <w:rPr>
      <w:rFonts w:hint="eastAsia" w:ascii="宋体" w:hAnsi="Times New Roman" w:eastAsia="宋体" w:cs="Times New Roman"/>
      <w:sz w:val="28"/>
      <w:szCs w:val="20"/>
    </w:rPr>
  </w:style>
  <w:style w:type="paragraph" w:styleId="11">
    <w:name w:val="toc 3"/>
    <w:basedOn w:val="1"/>
    <w:next w:val="1"/>
    <w:qFormat/>
    <w:uiPriority w:val="39"/>
    <w:pPr>
      <w:tabs>
        <w:tab w:val="right" w:leader="dot" w:pos="9344"/>
      </w:tabs>
      <w:spacing w:line="360" w:lineRule="auto"/>
    </w:pPr>
    <w:rPr>
      <w:rFonts w:ascii="Times New Roman" w:hAnsi="Times New Roman" w:eastAsia="宋体" w:cs="Times New Roman"/>
      <w:szCs w:val="24"/>
    </w:rPr>
  </w:style>
  <w:style w:type="paragraph" w:styleId="12">
    <w:name w:val="Plain Text"/>
    <w:basedOn w:val="1"/>
    <w:link w:val="39"/>
    <w:qFormat/>
    <w:uiPriority w:val="0"/>
    <w:rPr>
      <w:rFonts w:ascii="宋体" w:hAnsi="Courier New" w:eastAsia="宋体" w:cs="Times New Roman"/>
      <w:snapToGrid w:val="0"/>
      <w:szCs w:val="20"/>
    </w:rPr>
  </w:style>
  <w:style w:type="paragraph" w:styleId="13">
    <w:name w:val="Date"/>
    <w:basedOn w:val="1"/>
    <w:next w:val="1"/>
    <w:link w:val="40"/>
    <w:qFormat/>
    <w:uiPriority w:val="0"/>
    <w:rPr>
      <w:rFonts w:ascii="Times New Roman" w:hAnsi="Times New Roman" w:eastAsia="宋体" w:cs="Times New Roman"/>
      <w:snapToGrid w:val="0"/>
      <w:sz w:val="24"/>
      <w:szCs w:val="20"/>
    </w:rPr>
  </w:style>
  <w:style w:type="paragraph" w:styleId="14">
    <w:name w:val="Balloon Text"/>
    <w:basedOn w:val="1"/>
    <w:link w:val="41"/>
    <w:semiHidden/>
    <w:qFormat/>
    <w:uiPriority w:val="0"/>
    <w:rPr>
      <w:rFonts w:ascii="Times New Roman" w:hAnsi="Times New Roman" w:eastAsia="宋体" w:cs="Times New Roman"/>
      <w:sz w:val="18"/>
      <w:szCs w:val="18"/>
    </w:rPr>
  </w:style>
  <w:style w:type="paragraph" w:styleId="15">
    <w:name w:val="footer"/>
    <w:basedOn w:val="1"/>
    <w:link w:val="36"/>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39"/>
    <w:rPr>
      <w:rFonts w:ascii="Times New Roman" w:hAnsi="Times New Roman" w:eastAsia="宋体" w:cs="Times New Roman"/>
      <w:szCs w:val="24"/>
    </w:rPr>
  </w:style>
  <w:style w:type="paragraph" w:styleId="18">
    <w:name w:val="Subtitle"/>
    <w:basedOn w:val="1"/>
    <w:next w:val="1"/>
    <w:link w:val="48"/>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9">
    <w:name w:val="toc 2"/>
    <w:basedOn w:val="1"/>
    <w:next w:val="1"/>
    <w:qFormat/>
    <w:uiPriority w:val="39"/>
    <w:pPr>
      <w:ind w:left="420" w:leftChars="200"/>
    </w:pPr>
    <w:rPr>
      <w:rFonts w:ascii="Times New Roman" w:hAnsi="Times New Roman" w:eastAsia="宋体" w:cs="Times New Roman"/>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1">
    <w:name w:val="annotation subject"/>
    <w:basedOn w:val="8"/>
    <w:next w:val="8"/>
    <w:link w:val="43"/>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800080" w:themeColor="followedHyperlink"/>
      <w:u w:val="single"/>
    </w:rPr>
  </w:style>
  <w:style w:type="character" w:styleId="28">
    <w:name w:val="Emphasis"/>
    <w:qFormat/>
    <w:uiPriority w:val="0"/>
    <w:rPr>
      <w:i/>
      <w:iCs/>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4"/>
    <w:link w:val="2"/>
    <w:qFormat/>
    <w:uiPriority w:val="0"/>
    <w:rPr>
      <w:rFonts w:ascii="Times New Roman" w:hAnsi="Times New Roman" w:eastAsia="宋体" w:cs="Times New Roman"/>
      <w:b/>
      <w:bCs/>
      <w:kern w:val="44"/>
      <w:sz w:val="44"/>
      <w:szCs w:val="44"/>
    </w:rPr>
  </w:style>
  <w:style w:type="character" w:customStyle="1" w:styleId="32">
    <w:name w:val="标题 2 Char"/>
    <w:basedOn w:val="24"/>
    <w:link w:val="3"/>
    <w:qFormat/>
    <w:uiPriority w:val="0"/>
    <w:rPr>
      <w:rFonts w:ascii="宋体" w:hAnsi="Times New Roman" w:eastAsia="宋体" w:cs="宋体"/>
      <w:sz w:val="28"/>
      <w:szCs w:val="20"/>
    </w:rPr>
  </w:style>
  <w:style w:type="character" w:customStyle="1" w:styleId="33">
    <w:name w:val="标题 3 Char"/>
    <w:basedOn w:val="24"/>
    <w:link w:val="5"/>
    <w:qFormat/>
    <w:uiPriority w:val="0"/>
    <w:rPr>
      <w:rFonts w:ascii="Times New Roman" w:hAnsi="Times New Roman" w:eastAsia="宋体" w:cs="Times New Roman"/>
      <w:b/>
      <w:bCs/>
      <w:sz w:val="32"/>
      <w:szCs w:val="32"/>
    </w:rPr>
  </w:style>
  <w:style w:type="character" w:customStyle="1" w:styleId="34">
    <w:name w:val="标题 4 Char"/>
    <w:basedOn w:val="24"/>
    <w:link w:val="6"/>
    <w:semiHidden/>
    <w:qFormat/>
    <w:uiPriority w:val="0"/>
    <w:rPr>
      <w:rFonts w:ascii="Cambria" w:hAnsi="Cambria" w:eastAsia="宋体" w:cs="Times New Roman"/>
      <w:b/>
      <w:bCs/>
      <w:sz w:val="28"/>
      <w:szCs w:val="28"/>
    </w:rPr>
  </w:style>
  <w:style w:type="character" w:customStyle="1" w:styleId="35">
    <w:name w:val="标题 7 Char"/>
    <w:basedOn w:val="24"/>
    <w:link w:val="7"/>
    <w:qFormat/>
    <w:uiPriority w:val="0"/>
    <w:rPr>
      <w:rFonts w:ascii="Times New Roman" w:hAnsi="Times New Roman" w:eastAsia="宋体" w:cs="Times New Roman"/>
      <w:b/>
      <w:bCs/>
      <w:sz w:val="24"/>
      <w:szCs w:val="24"/>
    </w:rPr>
  </w:style>
  <w:style w:type="character" w:customStyle="1" w:styleId="36">
    <w:name w:val="页脚 Char"/>
    <w:basedOn w:val="24"/>
    <w:link w:val="15"/>
    <w:qFormat/>
    <w:uiPriority w:val="0"/>
    <w:rPr>
      <w:rFonts w:ascii="Times New Roman" w:hAnsi="Times New Roman" w:eastAsia="宋体" w:cs="Times New Roman"/>
      <w:sz w:val="18"/>
      <w:szCs w:val="18"/>
    </w:rPr>
  </w:style>
  <w:style w:type="character" w:customStyle="1" w:styleId="37">
    <w:name w:val="页眉 Char"/>
    <w:basedOn w:val="24"/>
    <w:link w:val="16"/>
    <w:qFormat/>
    <w:uiPriority w:val="0"/>
    <w:rPr>
      <w:rFonts w:ascii="Times New Roman" w:hAnsi="Times New Roman" w:eastAsia="宋体" w:cs="Times New Roman"/>
      <w:sz w:val="18"/>
      <w:szCs w:val="18"/>
    </w:rPr>
  </w:style>
  <w:style w:type="character" w:customStyle="1" w:styleId="38">
    <w:name w:val="纯文本 Char"/>
    <w:basedOn w:val="24"/>
    <w:semiHidden/>
    <w:qFormat/>
    <w:uiPriority w:val="99"/>
    <w:rPr>
      <w:rFonts w:ascii="宋体" w:hAnsi="Courier New" w:eastAsia="宋体" w:cs="Courier New"/>
      <w:szCs w:val="21"/>
    </w:rPr>
  </w:style>
  <w:style w:type="character" w:customStyle="1" w:styleId="39">
    <w:name w:val="纯文本 Char1"/>
    <w:link w:val="12"/>
    <w:qFormat/>
    <w:locked/>
    <w:uiPriority w:val="0"/>
    <w:rPr>
      <w:rFonts w:ascii="宋体" w:hAnsi="Courier New" w:eastAsia="宋体" w:cs="Times New Roman"/>
      <w:snapToGrid w:val="0"/>
      <w:szCs w:val="20"/>
    </w:rPr>
  </w:style>
  <w:style w:type="character" w:customStyle="1" w:styleId="40">
    <w:name w:val="日期 Char"/>
    <w:basedOn w:val="24"/>
    <w:link w:val="13"/>
    <w:qFormat/>
    <w:uiPriority w:val="0"/>
    <w:rPr>
      <w:rFonts w:ascii="Times New Roman" w:hAnsi="Times New Roman" w:eastAsia="宋体" w:cs="Times New Roman"/>
      <w:snapToGrid w:val="0"/>
      <w:sz w:val="24"/>
      <w:szCs w:val="20"/>
    </w:rPr>
  </w:style>
  <w:style w:type="character" w:customStyle="1" w:styleId="41">
    <w:name w:val="批注框文本 Char"/>
    <w:basedOn w:val="24"/>
    <w:link w:val="14"/>
    <w:semiHidden/>
    <w:qFormat/>
    <w:uiPriority w:val="0"/>
    <w:rPr>
      <w:rFonts w:ascii="Times New Roman" w:hAnsi="Times New Roman" w:eastAsia="宋体" w:cs="Times New Roman"/>
      <w:sz w:val="18"/>
      <w:szCs w:val="18"/>
    </w:rPr>
  </w:style>
  <w:style w:type="character" w:customStyle="1" w:styleId="42">
    <w:name w:val="批注文字 Char"/>
    <w:basedOn w:val="24"/>
    <w:link w:val="8"/>
    <w:qFormat/>
    <w:uiPriority w:val="0"/>
    <w:rPr>
      <w:rFonts w:ascii="Times New Roman" w:hAnsi="Times New Roman" w:eastAsia="宋体" w:cs="Times New Roman"/>
      <w:szCs w:val="24"/>
    </w:rPr>
  </w:style>
  <w:style w:type="character" w:customStyle="1" w:styleId="43">
    <w:name w:val="批注主题 Char"/>
    <w:basedOn w:val="42"/>
    <w:link w:val="21"/>
    <w:qFormat/>
    <w:uiPriority w:val="0"/>
    <w:rPr>
      <w:rFonts w:ascii="Times New Roman" w:hAnsi="Times New Roman" w:eastAsia="宋体" w:cs="Times New Roman"/>
      <w:b/>
      <w:bCs/>
      <w:szCs w:val="24"/>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正文文本缩进 Char"/>
    <w:basedOn w:val="24"/>
    <w:link w:val="10"/>
    <w:qFormat/>
    <w:uiPriority w:val="0"/>
    <w:rPr>
      <w:rFonts w:ascii="宋体" w:hAnsi="Times New Roman" w:eastAsia="宋体" w:cs="Times New Roman"/>
      <w:sz w:val="28"/>
      <w:szCs w:val="20"/>
    </w:rPr>
  </w:style>
  <w:style w:type="character" w:customStyle="1" w:styleId="46">
    <w:name w:val="msoins"/>
    <w:basedOn w:val="24"/>
    <w:qFormat/>
    <w:uiPriority w:val="0"/>
  </w:style>
  <w:style w:type="paragraph" w:customStyle="1" w:styleId="47">
    <w:name w:val="Char"/>
    <w:basedOn w:val="1"/>
    <w:next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48">
    <w:name w:val="副标题 Char"/>
    <w:basedOn w:val="24"/>
    <w:link w:val="18"/>
    <w:qFormat/>
    <w:uiPriority w:val="0"/>
    <w:rPr>
      <w:rFonts w:ascii="Cambria" w:hAnsi="Cambria" w:eastAsia="宋体" w:cs="Times New Roman"/>
      <w:b/>
      <w:bCs/>
      <w:kern w:val="28"/>
      <w:sz w:val="32"/>
      <w:szCs w:val="32"/>
    </w:rPr>
  </w:style>
  <w:style w:type="paragraph" w:customStyle="1" w:styleId="49">
    <w:name w:val="样式 宋体 小四 首行缩进:  1.11 厘米 行距: 1.5 倍行距"/>
    <w:basedOn w:val="1"/>
    <w:qFormat/>
    <w:uiPriority w:val="0"/>
    <w:pPr>
      <w:numPr>
        <w:ilvl w:val="0"/>
        <w:numId w:val="1"/>
      </w:numPr>
      <w:tabs>
        <w:tab w:val="clear" w:pos="340"/>
      </w:tabs>
      <w:spacing w:line="360" w:lineRule="auto"/>
      <w:ind w:left="708" w:leftChars="337" w:firstLine="1"/>
    </w:pPr>
    <w:rPr>
      <w:rFonts w:ascii="宋体" w:hAnsi="Times New Roman" w:eastAsia="宋体" w:cs="Times New Roman"/>
      <w:sz w:val="24"/>
      <w:szCs w:val="20"/>
    </w:rPr>
  </w:style>
  <w:style w:type="paragraph" w:styleId="50">
    <w:name w:val="List Paragraph"/>
    <w:basedOn w:val="1"/>
    <w:qFormat/>
    <w:uiPriority w:val="34"/>
    <w:pPr>
      <w:ind w:firstLine="420" w:firstLineChars="200"/>
    </w:pPr>
    <w:rPr>
      <w:rFonts w:ascii="Calibri" w:hAnsi="Calibri" w:eastAsia="宋体" w:cs="Times New Roman"/>
    </w:rPr>
  </w:style>
  <w:style w:type="paragraph" w:customStyle="1" w:styleId="51">
    <w:name w:val="节标题"/>
    <w:basedOn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52">
    <w:name w:val="新样式1"/>
    <w:basedOn w:val="1"/>
    <w:qFormat/>
    <w:uiPriority w:val="0"/>
    <w:pPr>
      <w:tabs>
        <w:tab w:val="left" w:pos="340"/>
      </w:tabs>
      <w:snapToGrid w:val="0"/>
      <w:spacing w:beforeLines="50" w:line="360" w:lineRule="auto"/>
    </w:pPr>
    <w:rPr>
      <w:rFonts w:ascii="宋体" w:hAnsi="宋体" w:eastAsia="宋体" w:cs="Times New Roman"/>
      <w:sz w:val="24"/>
      <w:szCs w:val="24"/>
    </w:rPr>
  </w:style>
  <w:style w:type="paragraph" w:customStyle="1" w:styleId="53">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black1"/>
    <w:qFormat/>
    <w:uiPriority w:val="0"/>
    <w:rPr>
      <w:rFonts w:hint="default" w:ascii="ˎ̥" w:hAnsi="ˎ̥"/>
      <w:color w:val="333333"/>
      <w:sz w:val="18"/>
      <w:szCs w:val="18"/>
      <w:u w:val="none"/>
    </w:rPr>
  </w:style>
  <w:style w:type="paragraph" w:customStyle="1" w:styleId="55">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6">
    <w:name w:val="_Style 53"/>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xl6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9">
    <w:name w:val="xl6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0">
    <w:name w:val="xl6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1">
    <w:name w:val="xl6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2">
    <w:name w:val="xl6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3">
    <w:name w:val="xl61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4">
    <w:name w:val="xl6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5">
    <w:name w:val="xl6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6">
    <w:name w:val="xl6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7">
    <w:name w:val="xl6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8">
    <w:name w:val="xl6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9">
    <w:name w:val="xl6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0">
    <w:name w:val="xl62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1">
    <w:name w:val="xl6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72">
    <w:name w:val="xl6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3">
    <w:name w:val="xl6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4">
    <w:name w:val="xl6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5">
    <w:name w:val="xl6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6">
    <w:name w:val="xl6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7">
    <w:name w:val="xl6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8">
    <w:name w:val="xl6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79">
    <w:name w:val="xl6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80">
    <w:name w:val="xl6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81">
    <w:name w:val="xl6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82">
    <w:name w:val="xl6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83">
    <w:name w:val="xl6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84">
    <w:name w:val="xl6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5">
    <w:name w:val="xl6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6">
    <w:name w:val="xl6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7">
    <w:name w:val="xl6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8">
    <w:name w:val="xl6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9">
    <w:name w:val="xl6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0">
    <w:name w:val="xl6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1">
    <w:name w:val="xl6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2">
    <w:name w:val="xl6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3">
    <w:name w:val="xl6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4">
    <w:name w:val="xl6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5">
    <w:name w:val="xl6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6">
    <w:name w:val="xl6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7">
    <w:name w:val="xl6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8">
    <w:name w:val="xl6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9">
    <w:name w:val="xl6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0">
    <w:name w:val="xl6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1">
    <w:name w:val="xl6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2">
    <w:name w:val="xl6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03">
    <w:name w:val="xl6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04">
    <w:name w:val="xl6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05">
    <w:name w:val="_Style 103"/>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6">
    <w:name w:val="font41"/>
    <w:basedOn w:val="24"/>
    <w:qFormat/>
    <w:uiPriority w:val="0"/>
    <w:rPr>
      <w:rFonts w:hint="eastAsia" w:ascii="宋体" w:hAnsi="宋体" w:eastAsia="宋体" w:cs="宋体"/>
      <w:color w:val="000000"/>
      <w:sz w:val="28"/>
      <w:szCs w:val="28"/>
      <w:u w:val="none"/>
    </w:rPr>
  </w:style>
  <w:style w:type="character" w:customStyle="1" w:styleId="107">
    <w:name w:val="font11"/>
    <w:basedOn w:val="24"/>
    <w:qFormat/>
    <w:uiPriority w:val="0"/>
    <w:rPr>
      <w:rFonts w:hint="eastAsia" w:ascii="宋体" w:hAnsi="宋体" w:eastAsia="宋体" w:cs="宋体"/>
      <w:color w:val="000000"/>
      <w:sz w:val="28"/>
      <w:szCs w:val="28"/>
      <w:u w:val="none"/>
    </w:rPr>
  </w:style>
  <w:style w:type="character" w:customStyle="1" w:styleId="108">
    <w:name w:val="font01"/>
    <w:basedOn w:val="24"/>
    <w:qFormat/>
    <w:uiPriority w:val="0"/>
    <w:rPr>
      <w:rFonts w:hint="eastAsia" w:ascii="宋体" w:hAnsi="宋体" w:eastAsia="宋体" w:cs="宋体"/>
      <w:color w:val="000000"/>
      <w:sz w:val="24"/>
      <w:szCs w:val="24"/>
      <w:u w:val="none"/>
    </w:rPr>
  </w:style>
  <w:style w:type="paragraph" w:customStyle="1" w:styleId="109">
    <w:name w:val="Body text|1"/>
    <w:basedOn w:val="1"/>
    <w:qFormat/>
    <w:uiPriority w:val="0"/>
    <w:pPr>
      <w:spacing w:after="260" w:line="322" w:lineRule="auto"/>
      <w:ind w:firstLine="400"/>
    </w:pPr>
    <w:rPr>
      <w:rFonts w:ascii="宋体" w:hAnsi="宋体" w:eastAsia="宋体" w:cs="宋体"/>
      <w:lang w:val="zh-TW" w:eastAsia="zh-TW" w:bidi="zh-TW"/>
    </w:rPr>
  </w:style>
  <w:style w:type="character" w:customStyle="1" w:styleId="110">
    <w:name w:val="font51"/>
    <w:basedOn w:val="24"/>
    <w:qFormat/>
    <w:uiPriority w:val="0"/>
    <w:rPr>
      <w:rFonts w:hint="eastAsia" w:ascii="宋体" w:hAnsi="宋体" w:eastAsia="宋体" w:cs="宋体"/>
      <w:color w:val="000000"/>
      <w:sz w:val="28"/>
      <w:szCs w:val="28"/>
      <w:u w:val="none"/>
    </w:rPr>
  </w:style>
  <w:style w:type="character" w:customStyle="1" w:styleId="111">
    <w:name w:val="font21"/>
    <w:basedOn w:val="2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2086-F36C-49B4-BE69-9DF21C2CA2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2877</Words>
  <Characters>3364</Characters>
  <Lines>34</Lines>
  <Paragraphs>9</Paragraphs>
  <TotalTime>2</TotalTime>
  <ScaleCrop>false</ScaleCrop>
  <LinksUpToDate>false</LinksUpToDate>
  <CharactersWithSpaces>3365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2021-01-26T02:59:00Z</dcterms:created>
  <dc:creator>HUASINE</dc:creator>
  <cp:lastModifiedBy>DZ</cp:lastModifiedBy>
  <cp:lastPrinted>2022-06-13T05:14:00Z</cp:lastPrinted>
  <dcterms:modified xsi:type="dcterms:W3CDTF">2025-06-30T12:20:35Z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E9381584B95B48C7BBC166DF626656B1</vt:lpwstr>
  </property>
  <property fmtid="{D5CDD505-2E9C-101B-9397-08002B2CF9AE}" pid="4" name="KSOTemplateDocerSaveRecord">
    <vt:lpwstr>eyJoZGlkIjoiOGNiZDU5MmMxMjE4MDlmNTFkZjRjYmM1MDU3ZDY4ZDAiLCJ1c2VySWQiOiIzNDQ3NDg0ODQifQ==</vt:lpwstr>
  </property>
</Properties>
</file>