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8A7" w:rsidRDefault="00F13735">
      <w:pPr>
        <w:pStyle w:val="a8"/>
        <w:spacing w:after="156"/>
        <w:rPr>
          <w:rFonts w:ascii="宋体" w:eastAsia="宋体" w:hAnsi="宋体"/>
        </w:rPr>
      </w:pPr>
      <w:bookmarkStart w:id="0" w:name="_Toc49330207"/>
      <w:bookmarkStart w:id="1" w:name="_Toc118884541"/>
      <w:bookmarkStart w:id="2" w:name="_Toc49333637"/>
      <w:r>
        <w:rPr>
          <w:rFonts w:ascii="宋体" w:eastAsia="宋体" w:hAnsi="宋体" w:hint="eastAsia"/>
        </w:rPr>
        <w:t>2025年青浦城区景观灯光设施管理、养护项目采购需求</w:t>
      </w:r>
    </w:p>
    <w:p w:rsidR="009B28A7" w:rsidRDefault="00F13735">
      <w:pPr>
        <w:spacing w:line="360" w:lineRule="auto"/>
        <w:ind w:firstLineChars="200" w:firstLine="482"/>
        <w:rPr>
          <w:rFonts w:ascii="宋体" w:hAnsi="宋体"/>
          <w:b/>
          <w:sz w:val="24"/>
        </w:rPr>
      </w:pPr>
      <w:r>
        <w:rPr>
          <w:rFonts w:ascii="宋体" w:hAnsi="宋体" w:hint="eastAsia"/>
          <w:b/>
          <w:sz w:val="24"/>
        </w:rPr>
        <w:t>一、项目名称</w:t>
      </w:r>
    </w:p>
    <w:p w:rsidR="009B28A7" w:rsidRDefault="00F13735">
      <w:pPr>
        <w:spacing w:line="360" w:lineRule="auto"/>
        <w:ind w:firstLineChars="200" w:firstLine="480"/>
        <w:rPr>
          <w:rFonts w:ascii="宋体" w:hAnsi="宋体"/>
          <w:sz w:val="24"/>
        </w:rPr>
      </w:pPr>
      <w:r>
        <w:rPr>
          <w:rFonts w:ascii="宋体" w:hAnsi="宋体" w:hint="eastAsia"/>
          <w:sz w:val="24"/>
        </w:rPr>
        <w:t>2025年青浦城区景观灯光设施管理、养护项目。</w:t>
      </w:r>
    </w:p>
    <w:p w:rsidR="009B28A7" w:rsidRDefault="00F13735">
      <w:pPr>
        <w:spacing w:line="360" w:lineRule="auto"/>
        <w:ind w:firstLineChars="200" w:firstLine="482"/>
        <w:rPr>
          <w:rFonts w:ascii="宋体" w:hAnsi="宋体"/>
          <w:b/>
          <w:sz w:val="24"/>
        </w:rPr>
      </w:pPr>
      <w:r>
        <w:rPr>
          <w:rFonts w:ascii="宋体" w:hAnsi="宋体" w:hint="eastAsia"/>
          <w:b/>
          <w:sz w:val="24"/>
        </w:rPr>
        <w:t>二、项目概况</w:t>
      </w:r>
    </w:p>
    <w:p w:rsidR="009B28A7" w:rsidRDefault="00F13735">
      <w:pPr>
        <w:spacing w:line="360" w:lineRule="auto"/>
        <w:ind w:firstLineChars="200" w:firstLine="480"/>
        <w:rPr>
          <w:rFonts w:ascii="宋体" w:hAnsi="宋体"/>
          <w:sz w:val="24"/>
        </w:rPr>
      </w:pPr>
      <w:r>
        <w:rPr>
          <w:rFonts w:ascii="宋体" w:hAnsi="宋体" w:hint="eastAsia"/>
          <w:sz w:val="24"/>
        </w:rPr>
        <w:t>为保障青浦城区景观灯光正常运行，美化城市夜景，青浦区绿化和市容管理局委托社会第三方专业力量，对中心城区指定范围内的景观照明设施开展日常养护，通过对灯具、固定支架、控制箱设施、供配电管线等相关电气设备的外观检查、仪表检测等方式，及时发现、排除、修复、更换各类电器设备存在的技术问题和安全问题，确保景观照明设施正常运转。</w:t>
      </w:r>
    </w:p>
    <w:p w:rsidR="009B28A7" w:rsidRDefault="00F13735">
      <w:pPr>
        <w:spacing w:line="360" w:lineRule="auto"/>
        <w:ind w:firstLineChars="200" w:firstLine="482"/>
        <w:rPr>
          <w:rFonts w:ascii="宋体" w:hAnsi="宋体"/>
          <w:b/>
          <w:sz w:val="24"/>
        </w:rPr>
      </w:pPr>
      <w:r>
        <w:rPr>
          <w:rFonts w:ascii="宋体" w:hAnsi="宋体" w:hint="eastAsia"/>
          <w:b/>
          <w:sz w:val="24"/>
        </w:rPr>
        <w:t>三、项目期限</w:t>
      </w:r>
    </w:p>
    <w:p w:rsidR="009B28A7" w:rsidRDefault="00F13735">
      <w:pPr>
        <w:spacing w:line="360" w:lineRule="auto"/>
        <w:ind w:firstLineChars="200" w:firstLine="480"/>
        <w:rPr>
          <w:rFonts w:ascii="宋体" w:hAnsi="宋体"/>
          <w:sz w:val="24"/>
        </w:rPr>
      </w:pPr>
      <w:r>
        <w:rPr>
          <w:rFonts w:ascii="宋体" w:hAnsi="宋体" w:hint="eastAsia"/>
          <w:sz w:val="24"/>
        </w:rPr>
        <w:t>自本项目合同签订之日起1年内有效。</w:t>
      </w:r>
    </w:p>
    <w:p w:rsidR="009B28A7" w:rsidRDefault="00F13735">
      <w:pPr>
        <w:spacing w:line="360" w:lineRule="auto"/>
        <w:ind w:firstLineChars="200" w:firstLine="482"/>
        <w:rPr>
          <w:rFonts w:ascii="宋体" w:hAnsi="宋体"/>
          <w:b/>
          <w:sz w:val="24"/>
        </w:rPr>
      </w:pPr>
      <w:r>
        <w:rPr>
          <w:rFonts w:ascii="宋体" w:hAnsi="宋体" w:hint="eastAsia"/>
          <w:b/>
          <w:sz w:val="24"/>
        </w:rPr>
        <w:t>四、采购预算和最高限价</w:t>
      </w:r>
    </w:p>
    <w:p w:rsidR="009B28A7" w:rsidRPr="004E018C" w:rsidRDefault="00F13735">
      <w:pPr>
        <w:spacing w:line="360" w:lineRule="auto"/>
        <w:ind w:firstLineChars="200" w:firstLine="480"/>
        <w:rPr>
          <w:rFonts w:ascii="宋体" w:hAnsi="宋体"/>
          <w:color w:val="FF0000"/>
          <w:sz w:val="24"/>
        </w:rPr>
      </w:pPr>
      <w:r>
        <w:rPr>
          <w:rFonts w:ascii="宋体" w:hAnsi="宋体" w:hint="eastAsia"/>
          <w:sz w:val="24"/>
        </w:rPr>
        <w:t>本项目采购预算</w:t>
      </w:r>
      <w:r w:rsidRPr="00171C83">
        <w:rPr>
          <w:rFonts w:ascii="宋体" w:hAnsi="宋体" w:hint="eastAsia"/>
          <w:sz w:val="24"/>
        </w:rPr>
        <w:t>1882368</w:t>
      </w:r>
      <w:r>
        <w:rPr>
          <w:rFonts w:ascii="宋体" w:hAnsi="宋体" w:hint="eastAsia"/>
          <w:sz w:val="24"/>
        </w:rPr>
        <w:t>元人民币，超过采购预算的投标不予接受</w:t>
      </w:r>
      <w:r w:rsidRPr="00B62139">
        <w:rPr>
          <w:rFonts w:ascii="宋体" w:hAnsi="宋体" w:hint="eastAsia"/>
          <w:sz w:val="24"/>
        </w:rPr>
        <w:t>。</w:t>
      </w:r>
    </w:p>
    <w:p w:rsidR="009B28A7" w:rsidRDefault="00F13735">
      <w:pPr>
        <w:spacing w:line="360" w:lineRule="auto"/>
        <w:ind w:firstLineChars="200" w:firstLine="482"/>
        <w:rPr>
          <w:rFonts w:ascii="宋体" w:hAnsi="宋体"/>
          <w:b/>
          <w:sz w:val="24"/>
        </w:rPr>
      </w:pPr>
      <w:r>
        <w:rPr>
          <w:rFonts w:ascii="宋体" w:hAnsi="宋体" w:hint="eastAsia"/>
          <w:b/>
          <w:sz w:val="24"/>
        </w:rPr>
        <w:t>五、投标价组成及要求</w:t>
      </w:r>
    </w:p>
    <w:p w:rsidR="009B28A7" w:rsidRDefault="00F13735">
      <w:pPr>
        <w:spacing w:line="360" w:lineRule="auto"/>
        <w:ind w:firstLineChars="200" w:firstLine="480"/>
        <w:rPr>
          <w:rFonts w:ascii="宋体" w:hAnsi="宋体"/>
          <w:sz w:val="24"/>
        </w:rPr>
      </w:pPr>
      <w:r>
        <w:rPr>
          <w:rFonts w:ascii="宋体" w:hAnsi="宋体" w:hint="eastAsia"/>
          <w:sz w:val="24"/>
        </w:rPr>
        <w:t xml:space="preserve">1、投标总价不得高于最高限价； </w:t>
      </w:r>
    </w:p>
    <w:p w:rsidR="009B28A7" w:rsidRDefault="00F13735">
      <w:pPr>
        <w:spacing w:line="360" w:lineRule="auto"/>
        <w:ind w:firstLineChars="200" w:firstLine="480"/>
        <w:rPr>
          <w:rFonts w:ascii="宋体" w:hAnsi="宋体"/>
          <w:sz w:val="24"/>
        </w:rPr>
      </w:pPr>
      <w:r>
        <w:rPr>
          <w:rFonts w:ascii="宋体" w:hAnsi="宋体" w:hint="eastAsia"/>
          <w:sz w:val="24"/>
        </w:rPr>
        <w:t>2、投标总价由“维护范围及工程量报价表”一栏内单项</w:t>
      </w:r>
      <w:r>
        <w:rPr>
          <w:rFonts w:ascii="宋体" w:hAnsi="宋体"/>
          <w:sz w:val="24"/>
        </w:rPr>
        <w:t>合计</w:t>
      </w:r>
      <w:r>
        <w:rPr>
          <w:rFonts w:ascii="宋体" w:hAnsi="宋体" w:hint="eastAsia"/>
          <w:sz w:val="24"/>
        </w:rPr>
        <w:t>价格相加组成；</w:t>
      </w:r>
    </w:p>
    <w:p w:rsidR="009B28A7" w:rsidRDefault="00F13735">
      <w:pPr>
        <w:spacing w:line="360" w:lineRule="auto"/>
        <w:ind w:firstLineChars="200" w:firstLine="480"/>
        <w:rPr>
          <w:rFonts w:ascii="宋体" w:hAnsi="宋体"/>
          <w:sz w:val="24"/>
        </w:rPr>
      </w:pPr>
      <w:r>
        <w:rPr>
          <w:rFonts w:ascii="宋体" w:hAnsi="宋体"/>
          <w:sz w:val="24"/>
        </w:rPr>
        <w:t>3</w:t>
      </w:r>
      <w:r>
        <w:rPr>
          <w:rFonts w:ascii="宋体" w:hAnsi="宋体" w:hint="eastAsia"/>
          <w:sz w:val="24"/>
        </w:rPr>
        <w:t>、投标报价包含：</w:t>
      </w:r>
    </w:p>
    <w:p w:rsidR="009B28A7" w:rsidRDefault="00F13735">
      <w:pPr>
        <w:spacing w:line="360" w:lineRule="auto"/>
        <w:ind w:firstLineChars="200" w:firstLine="480"/>
        <w:rPr>
          <w:rFonts w:ascii="宋体" w:hAnsi="宋体"/>
          <w:sz w:val="24"/>
        </w:rPr>
      </w:pPr>
      <w:r>
        <w:rPr>
          <w:rFonts w:ascii="宋体" w:hAnsi="宋体"/>
          <w:sz w:val="24"/>
        </w:rPr>
        <w:t>3</w:t>
      </w:r>
      <w:r>
        <w:rPr>
          <w:rFonts w:ascii="宋体" w:hAnsi="宋体" w:hint="eastAsia"/>
          <w:sz w:val="24"/>
        </w:rPr>
        <w:t>.1日常巡查费、作业费、加班费、应急抢险费、节假日值班费等一切人工费；</w:t>
      </w:r>
    </w:p>
    <w:p w:rsidR="009B28A7" w:rsidRDefault="00F13735">
      <w:pPr>
        <w:spacing w:line="360" w:lineRule="auto"/>
        <w:ind w:firstLineChars="200" w:firstLine="480"/>
        <w:rPr>
          <w:rFonts w:ascii="宋体" w:hAnsi="宋体"/>
          <w:sz w:val="24"/>
        </w:rPr>
      </w:pPr>
      <w:r>
        <w:rPr>
          <w:rFonts w:ascii="宋体" w:hAnsi="宋体"/>
          <w:sz w:val="24"/>
        </w:rPr>
        <w:t>3</w:t>
      </w:r>
      <w:r>
        <w:rPr>
          <w:rFonts w:ascii="宋体" w:hAnsi="宋体" w:hint="eastAsia"/>
          <w:sz w:val="24"/>
        </w:rPr>
        <w:t>.2耗材费（维修工具、管线、灯具等各类配件的采购费）；</w:t>
      </w:r>
    </w:p>
    <w:p w:rsidR="009B28A7" w:rsidRDefault="00F13735">
      <w:pPr>
        <w:spacing w:line="360" w:lineRule="auto"/>
        <w:ind w:firstLineChars="200" w:firstLine="480"/>
        <w:rPr>
          <w:rFonts w:ascii="宋体" w:hAnsi="宋体"/>
          <w:sz w:val="24"/>
        </w:rPr>
      </w:pPr>
      <w:r>
        <w:rPr>
          <w:rFonts w:ascii="宋体" w:hAnsi="宋体"/>
          <w:sz w:val="24"/>
        </w:rPr>
        <w:t>3</w:t>
      </w:r>
      <w:r>
        <w:rPr>
          <w:rFonts w:ascii="宋体" w:hAnsi="宋体" w:hint="eastAsia"/>
          <w:sz w:val="24"/>
        </w:rPr>
        <w:t>.3各种施工车辆等设备的采购、租借、使用费等；</w:t>
      </w:r>
    </w:p>
    <w:p w:rsidR="009B28A7" w:rsidRDefault="00F13735">
      <w:pPr>
        <w:spacing w:line="360" w:lineRule="auto"/>
        <w:ind w:firstLineChars="200" w:firstLine="480"/>
        <w:rPr>
          <w:rFonts w:ascii="宋体" w:hAnsi="宋体"/>
          <w:sz w:val="24"/>
        </w:rPr>
      </w:pPr>
      <w:r>
        <w:rPr>
          <w:rFonts w:ascii="宋体" w:hAnsi="宋体"/>
          <w:sz w:val="24"/>
        </w:rPr>
        <w:t>3</w:t>
      </w:r>
      <w:r>
        <w:rPr>
          <w:rFonts w:ascii="宋体" w:hAnsi="宋体" w:hint="eastAsia"/>
          <w:sz w:val="24"/>
        </w:rPr>
        <w:t xml:space="preserve">.4其他保障本项目顺利开展所需的一切费用。 </w:t>
      </w:r>
    </w:p>
    <w:p w:rsidR="009B28A7" w:rsidRDefault="00F13735">
      <w:pPr>
        <w:spacing w:line="360" w:lineRule="auto"/>
        <w:ind w:firstLineChars="200" w:firstLine="480"/>
        <w:rPr>
          <w:rFonts w:ascii="宋体" w:hAnsi="宋体"/>
          <w:sz w:val="24"/>
        </w:rPr>
      </w:pPr>
      <w:r>
        <w:rPr>
          <w:rFonts w:ascii="宋体" w:hAnsi="宋体"/>
          <w:sz w:val="24"/>
        </w:rPr>
        <w:lastRenderedPageBreak/>
        <w:t>4</w:t>
      </w:r>
      <w:r>
        <w:rPr>
          <w:rFonts w:ascii="宋体" w:hAnsi="宋体" w:hint="eastAsia"/>
          <w:sz w:val="24"/>
        </w:rPr>
        <w:t>、如维护工程量发生缩减，采购方无须经中标单位同意，扣除这部分缩减工程量对应的维护费，扣除标准以中标单位投标单价、缩减数量、缩减天数计算；</w:t>
      </w:r>
    </w:p>
    <w:p w:rsidR="009B28A7" w:rsidRDefault="00F13735">
      <w:pPr>
        <w:spacing w:line="360" w:lineRule="auto"/>
        <w:ind w:firstLineChars="200" w:firstLine="480"/>
        <w:rPr>
          <w:rFonts w:ascii="宋体" w:hAnsi="宋体"/>
          <w:sz w:val="24"/>
        </w:rPr>
      </w:pPr>
      <w:r>
        <w:rPr>
          <w:rFonts w:ascii="宋体" w:hAnsi="宋体"/>
          <w:sz w:val="24"/>
        </w:rPr>
        <w:t>5</w:t>
      </w:r>
      <w:r>
        <w:rPr>
          <w:rFonts w:ascii="宋体" w:hAnsi="宋体" w:hint="eastAsia"/>
          <w:sz w:val="24"/>
        </w:rPr>
        <w:t>、投标人须确认维护工作正常有序开展的所有费用都已纳入维护单价内，采购方不再承担其他任何有利于开展此项目的费用；</w:t>
      </w:r>
    </w:p>
    <w:p w:rsidR="009B28A7" w:rsidRDefault="00F13735">
      <w:pPr>
        <w:spacing w:line="360" w:lineRule="auto"/>
        <w:ind w:firstLineChars="200" w:firstLine="480"/>
        <w:rPr>
          <w:rFonts w:ascii="宋体" w:hAnsi="宋体"/>
          <w:sz w:val="24"/>
        </w:rPr>
      </w:pPr>
      <w:r>
        <w:rPr>
          <w:rFonts w:ascii="宋体" w:hAnsi="宋体"/>
          <w:sz w:val="24"/>
        </w:rPr>
        <w:t>6</w:t>
      </w:r>
      <w:r>
        <w:rPr>
          <w:rFonts w:ascii="宋体" w:hAnsi="宋体" w:hint="eastAsia"/>
          <w:sz w:val="24"/>
        </w:rPr>
        <w:t>、中标价并非本项目最终结算价，付款金额需按采购方对每周期考评结果、合同条约履行情况、实际维护工作量等综合考察后按实结算。</w:t>
      </w:r>
    </w:p>
    <w:p w:rsidR="009B28A7" w:rsidRDefault="00F13735">
      <w:pPr>
        <w:spacing w:line="360" w:lineRule="auto"/>
        <w:ind w:firstLineChars="200" w:firstLine="482"/>
        <w:rPr>
          <w:rFonts w:ascii="宋体" w:hAnsi="宋体"/>
          <w:b/>
          <w:sz w:val="24"/>
        </w:rPr>
      </w:pPr>
      <w:r>
        <w:rPr>
          <w:rFonts w:ascii="宋体" w:hAnsi="宋体" w:hint="eastAsia"/>
          <w:b/>
          <w:sz w:val="24"/>
        </w:rPr>
        <w:t>六、付款方式</w:t>
      </w:r>
    </w:p>
    <w:p w:rsidR="009B28A7" w:rsidRDefault="00F13735">
      <w:pPr>
        <w:spacing w:line="360" w:lineRule="auto"/>
        <w:ind w:firstLineChars="200" w:firstLine="480"/>
        <w:rPr>
          <w:rFonts w:ascii="宋体" w:hAnsi="宋体"/>
          <w:sz w:val="24"/>
        </w:rPr>
      </w:pPr>
      <w:r>
        <w:rPr>
          <w:rFonts w:ascii="宋体" w:hAnsi="宋体" w:hint="eastAsia"/>
          <w:sz w:val="24"/>
        </w:rPr>
        <w:t>1、项目经费均分四个周期支付，大致以三个月为一个周期；</w:t>
      </w:r>
    </w:p>
    <w:p w:rsidR="009B28A7" w:rsidRDefault="00F13735">
      <w:pPr>
        <w:spacing w:line="360" w:lineRule="auto"/>
        <w:ind w:firstLineChars="200" w:firstLine="480"/>
        <w:rPr>
          <w:rFonts w:ascii="宋体" w:hAnsi="宋体"/>
          <w:sz w:val="24"/>
        </w:rPr>
      </w:pPr>
      <w:r>
        <w:rPr>
          <w:rFonts w:ascii="宋体" w:hAnsi="宋体" w:hint="eastAsia"/>
          <w:sz w:val="24"/>
        </w:rPr>
        <w:t>2、每周期内由采购方组织对中标单位服务质量进行考评，并以考评得分、实际维护工程量、合同履行情况为依据，按实支付相应费用；</w:t>
      </w:r>
    </w:p>
    <w:p w:rsidR="009B28A7" w:rsidRPr="00171C83" w:rsidRDefault="00F13735">
      <w:pPr>
        <w:spacing w:line="360" w:lineRule="auto"/>
        <w:ind w:firstLineChars="200" w:firstLine="480"/>
        <w:rPr>
          <w:rFonts w:ascii="宋体" w:hAnsi="宋体"/>
          <w:sz w:val="24"/>
        </w:rPr>
      </w:pPr>
      <w:r>
        <w:rPr>
          <w:rFonts w:ascii="宋体" w:hAnsi="宋体" w:hint="eastAsia"/>
          <w:sz w:val="24"/>
        </w:rPr>
        <w:t>3、原则上在每次考评结束后的60个工作日内支付维护经费，如遇采购方财务审核及审</w:t>
      </w:r>
      <w:r w:rsidRPr="00171C83">
        <w:rPr>
          <w:rFonts w:ascii="宋体" w:hAnsi="宋体" w:hint="eastAsia"/>
          <w:sz w:val="24"/>
        </w:rPr>
        <w:t>计规定制度所需延缓支付的，中标单位同意配合延缓支付。</w:t>
      </w:r>
    </w:p>
    <w:p w:rsidR="009B28A7" w:rsidRPr="00171C83" w:rsidRDefault="00F13735">
      <w:pPr>
        <w:spacing w:line="360" w:lineRule="auto"/>
        <w:ind w:firstLineChars="200" w:firstLine="482"/>
        <w:rPr>
          <w:rFonts w:ascii="宋体" w:hAnsi="宋体"/>
          <w:sz w:val="24"/>
        </w:rPr>
      </w:pPr>
      <w:r w:rsidRPr="00171C83">
        <w:rPr>
          <w:rFonts w:ascii="宋体" w:hAnsi="宋体" w:hint="eastAsia"/>
          <w:b/>
          <w:sz w:val="24"/>
        </w:rPr>
        <w:t>七、相关团队及人员要求</w:t>
      </w:r>
    </w:p>
    <w:p w:rsidR="009B28A7" w:rsidRPr="00171C83" w:rsidRDefault="004E018C">
      <w:pPr>
        <w:spacing w:line="360" w:lineRule="auto"/>
        <w:ind w:firstLineChars="200" w:firstLine="480"/>
        <w:rPr>
          <w:rFonts w:ascii="宋体" w:hAnsi="宋体"/>
          <w:sz w:val="24"/>
        </w:rPr>
      </w:pPr>
      <w:r w:rsidRPr="00171C83">
        <w:rPr>
          <w:rFonts w:ascii="宋体" w:hAnsi="宋体"/>
          <w:sz w:val="24"/>
        </w:rPr>
        <w:t>1</w:t>
      </w:r>
      <w:r w:rsidR="00F13735" w:rsidRPr="00171C83">
        <w:rPr>
          <w:rFonts w:ascii="宋体" w:hAnsi="宋体" w:hint="eastAsia"/>
          <w:sz w:val="24"/>
        </w:rPr>
        <w:t>、项目团队负责人及项目实施团队工作人员必须为投标人本单位在职人员</w:t>
      </w:r>
      <w:r w:rsidR="00DC2E05" w:rsidRPr="00171C83">
        <w:rPr>
          <w:rFonts w:ascii="宋体" w:hAnsi="宋体" w:hint="eastAsia"/>
          <w:sz w:val="24"/>
        </w:rPr>
        <w:t>（须出具开标日前六个月内任意一个月投标单位缴纳社会保险证明）</w:t>
      </w:r>
      <w:r w:rsidR="00F13735" w:rsidRPr="00171C83">
        <w:rPr>
          <w:rFonts w:ascii="宋体" w:hAnsi="宋体" w:hint="eastAsia"/>
          <w:sz w:val="24"/>
        </w:rPr>
        <w:t>，有承担过本地区相应的景观照明设施维修、养护工作的实践经历和经验的为佳；</w:t>
      </w:r>
    </w:p>
    <w:p w:rsidR="009B28A7" w:rsidRPr="00171C83" w:rsidRDefault="004E018C">
      <w:pPr>
        <w:spacing w:line="360" w:lineRule="auto"/>
        <w:ind w:firstLineChars="200" w:firstLine="480"/>
        <w:rPr>
          <w:rFonts w:ascii="宋体" w:hAnsi="宋体"/>
          <w:sz w:val="24"/>
        </w:rPr>
      </w:pPr>
      <w:r w:rsidRPr="00171C83">
        <w:rPr>
          <w:rFonts w:ascii="宋体" w:hAnsi="宋体"/>
          <w:sz w:val="24"/>
        </w:rPr>
        <w:t>2</w:t>
      </w:r>
      <w:r w:rsidR="00F13735" w:rsidRPr="00171C83">
        <w:rPr>
          <w:rFonts w:ascii="宋体" w:hAnsi="宋体" w:hint="eastAsia"/>
          <w:sz w:val="24"/>
        </w:rPr>
        <w:t>、项目实施团队成员不得低于6</w:t>
      </w:r>
      <w:r w:rsidR="00BC21B9" w:rsidRPr="00171C83">
        <w:rPr>
          <w:rFonts w:ascii="宋体" w:hAnsi="宋体" w:hint="eastAsia"/>
          <w:sz w:val="24"/>
        </w:rPr>
        <w:t>人。实施团队拥</w:t>
      </w:r>
      <w:r w:rsidR="00F13735" w:rsidRPr="00171C83">
        <w:rPr>
          <w:rFonts w:ascii="宋体" w:hAnsi="宋体" w:hint="eastAsia"/>
          <w:sz w:val="24"/>
        </w:rPr>
        <w:t>有国家及相关行业颁发的高压电工操作证、低压电工操作证、高空作业操作证，且须以上三证缺一不可，</w:t>
      </w:r>
      <w:r w:rsidR="00A96D7C" w:rsidRPr="00171C83">
        <w:rPr>
          <w:rFonts w:ascii="宋体" w:hAnsi="宋体" w:hint="eastAsia"/>
          <w:sz w:val="24"/>
        </w:rPr>
        <w:t>项目</w:t>
      </w:r>
      <w:r w:rsidR="00F13735" w:rsidRPr="00171C83">
        <w:rPr>
          <w:rFonts w:ascii="宋体" w:hAnsi="宋体" w:hint="eastAsia"/>
          <w:sz w:val="24"/>
        </w:rPr>
        <w:t>负责人需具备机电或电气职业资格证书（高级或以上）；一线作业人员应按照国家规定持证上岗</w:t>
      </w:r>
      <w:r w:rsidR="00F13735" w:rsidRPr="00171C83">
        <w:rPr>
          <w:rFonts w:ascii="宋体" w:hAnsi="宋体"/>
          <w:sz w:val="24"/>
        </w:rPr>
        <w:t>；</w:t>
      </w:r>
    </w:p>
    <w:p w:rsidR="009B28A7" w:rsidRPr="00171C83" w:rsidRDefault="004E018C">
      <w:pPr>
        <w:spacing w:line="360" w:lineRule="auto"/>
        <w:ind w:firstLineChars="200" w:firstLine="480"/>
        <w:rPr>
          <w:rFonts w:ascii="宋体" w:hAnsi="宋体"/>
          <w:sz w:val="24"/>
        </w:rPr>
      </w:pPr>
      <w:r w:rsidRPr="00171C83">
        <w:rPr>
          <w:rFonts w:ascii="宋体" w:hAnsi="宋体"/>
          <w:sz w:val="24"/>
        </w:rPr>
        <w:t>3</w:t>
      </w:r>
      <w:r w:rsidR="00F13735" w:rsidRPr="00171C83">
        <w:rPr>
          <w:rFonts w:ascii="宋体" w:hAnsi="宋体" w:hint="eastAsia"/>
          <w:sz w:val="24"/>
        </w:rPr>
        <w:t>、投标人应自行配足维护作业人员，若不能满足本项目的实际工作需求，一旦中标须无条件增加人员力量，直至满足本项目实际工作需要；</w:t>
      </w:r>
    </w:p>
    <w:p w:rsidR="009B28A7" w:rsidRDefault="004E018C">
      <w:pPr>
        <w:spacing w:line="360" w:lineRule="auto"/>
        <w:ind w:firstLineChars="200" w:firstLine="480"/>
        <w:rPr>
          <w:rFonts w:ascii="宋体" w:hAnsi="宋体"/>
          <w:sz w:val="24"/>
        </w:rPr>
      </w:pPr>
      <w:r w:rsidRPr="00171C83">
        <w:rPr>
          <w:rFonts w:ascii="宋体" w:hAnsi="宋体"/>
          <w:sz w:val="24"/>
        </w:rPr>
        <w:t>4</w:t>
      </w:r>
      <w:r w:rsidR="00F13735" w:rsidRPr="00171C83">
        <w:rPr>
          <w:rFonts w:ascii="宋体" w:hAnsi="宋体" w:hint="eastAsia"/>
          <w:sz w:val="24"/>
        </w:rPr>
        <w:t>、项目实施团队人员在中标后不得随意调换，如确实有客观原因需调整的，必须书面报请采购方同意，否则一旦发现，将立即终止本项目继续实施，由此给采购方带来的一切损失由中标单位负责；</w:t>
      </w:r>
    </w:p>
    <w:p w:rsidR="009B28A7" w:rsidRPr="00171C83" w:rsidRDefault="004E018C">
      <w:pPr>
        <w:spacing w:line="360" w:lineRule="auto"/>
        <w:ind w:firstLineChars="200" w:firstLine="480"/>
        <w:rPr>
          <w:rFonts w:ascii="宋体" w:hAnsi="宋体"/>
          <w:sz w:val="24"/>
        </w:rPr>
      </w:pPr>
      <w:r w:rsidRPr="00171C83">
        <w:rPr>
          <w:rFonts w:ascii="宋体" w:hAnsi="宋体"/>
          <w:sz w:val="24"/>
        </w:rPr>
        <w:t>5</w:t>
      </w:r>
      <w:r w:rsidR="00F13735" w:rsidRPr="00171C83">
        <w:rPr>
          <w:rFonts w:ascii="宋体" w:hAnsi="宋体" w:hint="eastAsia"/>
          <w:sz w:val="24"/>
        </w:rPr>
        <w:t>、项目实施团队须具有良好的职业道德和严谨的工作作风；</w:t>
      </w:r>
    </w:p>
    <w:p w:rsidR="009B28A7" w:rsidRPr="00171C83" w:rsidRDefault="004E018C">
      <w:pPr>
        <w:spacing w:line="360" w:lineRule="auto"/>
        <w:ind w:firstLineChars="200" w:firstLine="480"/>
        <w:rPr>
          <w:rFonts w:ascii="宋体" w:hAnsi="宋体"/>
          <w:sz w:val="24"/>
        </w:rPr>
      </w:pPr>
      <w:r w:rsidRPr="00171C83">
        <w:rPr>
          <w:rFonts w:ascii="宋体" w:hAnsi="宋体"/>
          <w:sz w:val="24"/>
        </w:rPr>
        <w:lastRenderedPageBreak/>
        <w:t>6</w:t>
      </w:r>
      <w:r w:rsidR="00F13735" w:rsidRPr="00171C83">
        <w:rPr>
          <w:rFonts w:ascii="宋体" w:hAnsi="宋体" w:hint="eastAsia"/>
          <w:sz w:val="24"/>
        </w:rPr>
        <w:t>、本采购项目</w:t>
      </w:r>
      <w:r w:rsidR="006F2D7C" w:rsidRPr="00171C83">
        <w:rPr>
          <w:rFonts w:ascii="宋体" w:hAnsi="宋体"/>
          <w:sz w:val="24"/>
        </w:rPr>
        <w:t>不接受联合体投标</w:t>
      </w:r>
      <w:r w:rsidR="006F2D7C" w:rsidRPr="00171C83">
        <w:rPr>
          <w:rFonts w:ascii="宋体" w:hAnsi="宋体" w:hint="eastAsia"/>
          <w:sz w:val="24"/>
        </w:rPr>
        <w:t>。</w:t>
      </w:r>
      <w:r w:rsidR="0036023B" w:rsidRPr="00171C83">
        <w:rPr>
          <w:rFonts w:ascii="宋体" w:hAnsi="宋体" w:hint="eastAsia"/>
          <w:sz w:val="24"/>
        </w:rPr>
        <w:t>项目</w:t>
      </w:r>
      <w:r w:rsidR="00F13735" w:rsidRPr="00171C83">
        <w:rPr>
          <w:rFonts w:ascii="宋体" w:hAnsi="宋体" w:hint="eastAsia"/>
          <w:sz w:val="24"/>
        </w:rPr>
        <w:t>一律不得转包、分包，否则采购方有权立即终止合同，由此给采购方带来的一切损失由中标单位负责承担。</w:t>
      </w:r>
    </w:p>
    <w:p w:rsidR="006F2D7C" w:rsidRPr="00171C83" w:rsidRDefault="004E018C" w:rsidP="00AB2B15">
      <w:pPr>
        <w:spacing w:line="360" w:lineRule="auto"/>
        <w:ind w:firstLineChars="200" w:firstLine="480"/>
        <w:rPr>
          <w:rFonts w:ascii="宋体" w:hAnsi="宋体"/>
          <w:sz w:val="24"/>
        </w:rPr>
      </w:pPr>
      <w:r w:rsidRPr="00171C83">
        <w:rPr>
          <w:rFonts w:ascii="宋体" w:hAnsi="宋体" w:hint="eastAsia"/>
          <w:sz w:val="24"/>
        </w:rPr>
        <w:t>7</w:t>
      </w:r>
      <w:r w:rsidR="00AB2B15" w:rsidRPr="00171C83">
        <w:rPr>
          <w:rFonts w:ascii="宋体" w:hAnsi="宋体" w:hint="eastAsia"/>
          <w:sz w:val="24"/>
        </w:rPr>
        <w:t>、</w:t>
      </w:r>
      <w:r w:rsidR="003B29F0" w:rsidRPr="00171C83">
        <w:rPr>
          <w:rFonts w:ascii="宋体" w:hAnsi="宋体" w:hint="eastAsia"/>
          <w:sz w:val="24"/>
        </w:rPr>
        <w:t>本项目专门面向中小企业采购。参加投标的中小企业应当符合《政府采购促进中小企业发展管理办法》的规定。中小企业应当按照规定在投标文件中提供《中小企业声明函》。</w:t>
      </w:r>
    </w:p>
    <w:p w:rsidR="009B28A7" w:rsidRPr="00171C83" w:rsidRDefault="00F13735">
      <w:pPr>
        <w:spacing w:line="360" w:lineRule="auto"/>
        <w:ind w:firstLineChars="200" w:firstLine="482"/>
        <w:rPr>
          <w:rFonts w:ascii="宋体" w:hAnsi="宋体"/>
          <w:b/>
          <w:sz w:val="24"/>
        </w:rPr>
      </w:pPr>
      <w:r w:rsidRPr="00171C83">
        <w:rPr>
          <w:rFonts w:ascii="宋体" w:hAnsi="宋体" w:hint="eastAsia"/>
          <w:b/>
          <w:sz w:val="24"/>
        </w:rPr>
        <w:t>八、投标要求</w:t>
      </w:r>
    </w:p>
    <w:p w:rsidR="009B28A7" w:rsidRPr="00171C83" w:rsidRDefault="00F13735">
      <w:pPr>
        <w:spacing w:line="360" w:lineRule="auto"/>
        <w:ind w:firstLineChars="200" w:firstLine="480"/>
        <w:rPr>
          <w:rFonts w:ascii="宋体" w:hAnsi="宋体"/>
          <w:sz w:val="24"/>
        </w:rPr>
      </w:pPr>
      <w:r w:rsidRPr="00171C83">
        <w:rPr>
          <w:rFonts w:ascii="宋体" w:hAnsi="宋体" w:hint="eastAsia"/>
          <w:sz w:val="24"/>
        </w:rPr>
        <w:t>投标人需具备城市及道路照明工程专业承包</w:t>
      </w:r>
      <w:r w:rsidR="0036776A" w:rsidRPr="00171C83">
        <w:rPr>
          <w:rFonts w:ascii="宋体" w:hAnsi="宋体" w:hint="eastAsia"/>
          <w:sz w:val="24"/>
        </w:rPr>
        <w:t>三</w:t>
      </w:r>
      <w:r w:rsidRPr="00171C83">
        <w:rPr>
          <w:rFonts w:ascii="宋体" w:hAnsi="宋体" w:hint="eastAsia"/>
          <w:sz w:val="24"/>
        </w:rPr>
        <w:t>级及以上资质。</w:t>
      </w:r>
    </w:p>
    <w:p w:rsidR="009B28A7" w:rsidRPr="00171C83" w:rsidRDefault="00F13735">
      <w:pPr>
        <w:spacing w:line="360" w:lineRule="auto"/>
        <w:ind w:firstLineChars="200" w:firstLine="482"/>
        <w:rPr>
          <w:rFonts w:ascii="宋体" w:hAnsi="宋体"/>
          <w:b/>
          <w:sz w:val="24"/>
        </w:rPr>
      </w:pPr>
      <w:r w:rsidRPr="00171C83">
        <w:rPr>
          <w:rFonts w:ascii="宋体" w:hAnsi="宋体" w:hint="eastAsia"/>
          <w:b/>
          <w:sz w:val="24"/>
        </w:rPr>
        <w:t>九、响应要求</w:t>
      </w:r>
    </w:p>
    <w:p w:rsidR="009B28A7" w:rsidRPr="00171C83" w:rsidRDefault="00F13735">
      <w:pPr>
        <w:spacing w:line="360" w:lineRule="auto"/>
        <w:ind w:firstLineChars="200" w:firstLine="480"/>
        <w:rPr>
          <w:rFonts w:ascii="宋体" w:hAnsi="宋体"/>
          <w:sz w:val="24"/>
        </w:rPr>
      </w:pPr>
      <w:r w:rsidRPr="00171C83">
        <w:rPr>
          <w:rFonts w:ascii="宋体" w:hAnsi="宋体" w:hint="eastAsia"/>
          <w:sz w:val="24"/>
        </w:rPr>
        <w:t>1、投标截止日前6个月未发生一般安全责任事故、12个月内未发生重大安全责任事故、24个月内未发生特大安全责任事故；</w:t>
      </w:r>
    </w:p>
    <w:p w:rsidR="009B28A7" w:rsidRPr="00171C83" w:rsidRDefault="00F13735">
      <w:pPr>
        <w:spacing w:line="360" w:lineRule="auto"/>
        <w:ind w:firstLineChars="200" w:firstLine="480"/>
        <w:rPr>
          <w:rFonts w:ascii="宋体" w:hAnsi="宋体"/>
          <w:sz w:val="24"/>
        </w:rPr>
      </w:pPr>
      <w:r w:rsidRPr="00171C83">
        <w:rPr>
          <w:rFonts w:ascii="宋体" w:hAnsi="宋体" w:hint="eastAsia"/>
          <w:sz w:val="24"/>
        </w:rPr>
        <w:t>2、中标单位需确保在景观灯开灯过程中保持24小时电话微信等联系畅通，接到采购方指令，30分钟内到达采购方指定现场、1小时内落实针对性处置措施。</w:t>
      </w:r>
    </w:p>
    <w:p w:rsidR="009B28A7" w:rsidRDefault="00F13735">
      <w:pPr>
        <w:spacing w:line="360" w:lineRule="auto"/>
        <w:ind w:firstLineChars="200" w:firstLine="482"/>
        <w:rPr>
          <w:rFonts w:ascii="宋体" w:hAnsi="宋体"/>
          <w:sz w:val="24"/>
        </w:rPr>
      </w:pPr>
      <w:r>
        <w:rPr>
          <w:rFonts w:ascii="宋体" w:hAnsi="宋体" w:hint="eastAsia"/>
          <w:b/>
          <w:sz w:val="24"/>
        </w:rPr>
        <w:t>十、维护要求和内容</w:t>
      </w:r>
    </w:p>
    <w:p w:rsidR="009B28A7" w:rsidRDefault="00F13735">
      <w:pPr>
        <w:spacing w:line="360" w:lineRule="auto"/>
        <w:ind w:firstLineChars="200" w:firstLine="480"/>
        <w:rPr>
          <w:rFonts w:ascii="宋体" w:hAnsi="宋体"/>
          <w:sz w:val="24"/>
        </w:rPr>
      </w:pPr>
      <w:r>
        <w:rPr>
          <w:rFonts w:ascii="宋体" w:hAnsi="宋体" w:hint="eastAsia"/>
          <w:sz w:val="24"/>
        </w:rPr>
        <w:t>1、按照《上海市地方标准（</w:t>
      </w:r>
      <w:r>
        <w:rPr>
          <w:rFonts w:ascii="宋体" w:hAnsi="宋体"/>
          <w:sz w:val="24"/>
        </w:rPr>
        <w:t>DB 31/T 316—2023</w:t>
      </w:r>
      <w:r>
        <w:rPr>
          <w:rFonts w:ascii="宋体" w:hAnsi="宋体" w:hint="eastAsia"/>
          <w:sz w:val="24"/>
        </w:rPr>
        <w:t>）（城市景观照明技术规范）》要求执行；</w:t>
      </w:r>
    </w:p>
    <w:p w:rsidR="009B28A7" w:rsidRDefault="00F13735">
      <w:pPr>
        <w:spacing w:line="360" w:lineRule="auto"/>
        <w:ind w:firstLineChars="200" w:firstLine="480"/>
        <w:rPr>
          <w:rFonts w:ascii="宋体" w:hAnsi="宋体"/>
          <w:sz w:val="24"/>
        </w:rPr>
      </w:pPr>
      <w:r>
        <w:rPr>
          <w:rFonts w:ascii="宋体" w:hAnsi="宋体" w:hint="eastAsia"/>
          <w:sz w:val="24"/>
        </w:rPr>
        <w:t>2、按照上海市绿化和市容管理局关于印发《上海市景观照明技术规范》的通知（沪绿容〔2022〕310文）有关要求执行；</w:t>
      </w:r>
    </w:p>
    <w:p w:rsidR="009B28A7" w:rsidRDefault="00F13735">
      <w:pPr>
        <w:spacing w:line="360" w:lineRule="auto"/>
        <w:ind w:firstLineChars="200" w:firstLine="480"/>
        <w:rPr>
          <w:rFonts w:ascii="宋体" w:hAnsi="宋体"/>
          <w:sz w:val="24"/>
        </w:rPr>
      </w:pPr>
      <w:r>
        <w:rPr>
          <w:rFonts w:ascii="宋体" w:hAnsi="宋体" w:hint="eastAsia"/>
          <w:sz w:val="24"/>
        </w:rPr>
        <w:t>3、按照上海市绿化和市容管理局关于印发《关于加强本市景观照明集中控制工作的指导意见（试行）》和《上海市景观照明设施运行维护工作指导意见（试行）》的通知，及其附件《关于上海市景观照明设施运行维护工作指导意见》（沪绿容〔2020〕293号文）有关要求执行；</w:t>
      </w:r>
    </w:p>
    <w:p w:rsidR="009B28A7" w:rsidRDefault="00F13735">
      <w:pPr>
        <w:spacing w:line="360" w:lineRule="auto"/>
        <w:ind w:firstLineChars="200" w:firstLine="480"/>
        <w:rPr>
          <w:rFonts w:ascii="宋体" w:hAnsi="宋体"/>
          <w:sz w:val="24"/>
        </w:rPr>
      </w:pPr>
      <w:r>
        <w:rPr>
          <w:rFonts w:ascii="宋体" w:hAnsi="宋体" w:hint="eastAsia"/>
          <w:sz w:val="24"/>
        </w:rPr>
        <w:t>4、按照上海市绿化和市容管理局关于印发《景观照明设施维护规范（试行）》的通知及附件（沪绿容〔2017〕389号文）有关要求执行；</w:t>
      </w:r>
    </w:p>
    <w:p w:rsidR="009B28A7" w:rsidRDefault="00F13735">
      <w:pPr>
        <w:spacing w:line="360" w:lineRule="auto"/>
        <w:ind w:firstLineChars="200" w:firstLine="480"/>
        <w:rPr>
          <w:rFonts w:ascii="宋体" w:hAnsi="宋体"/>
          <w:sz w:val="24"/>
        </w:rPr>
      </w:pPr>
      <w:r>
        <w:rPr>
          <w:rFonts w:ascii="宋体" w:hAnsi="宋体" w:hint="eastAsia"/>
          <w:sz w:val="24"/>
        </w:rPr>
        <w:t>5、中标单位须在项目合同签订日起，立即开展日常维护工作，不得借故拖延；</w:t>
      </w:r>
    </w:p>
    <w:p w:rsidR="009B28A7" w:rsidRDefault="00F13735">
      <w:pPr>
        <w:spacing w:line="360" w:lineRule="auto"/>
        <w:ind w:firstLineChars="200" w:firstLine="480"/>
        <w:rPr>
          <w:rFonts w:ascii="宋体" w:hAnsi="宋体"/>
          <w:sz w:val="24"/>
        </w:rPr>
      </w:pPr>
      <w:r>
        <w:rPr>
          <w:rFonts w:ascii="宋体" w:hAnsi="宋体" w:hint="eastAsia"/>
          <w:sz w:val="24"/>
        </w:rPr>
        <w:t>6、根据采购方要求，在项目实施期间，中标单位需按时制定完成景观照明应急抢险预案、重大公共活动及公共节假日值班制度，并落</w:t>
      </w:r>
      <w:r>
        <w:rPr>
          <w:rFonts w:ascii="宋体" w:hAnsi="宋体" w:hint="eastAsia"/>
          <w:sz w:val="24"/>
        </w:rPr>
        <w:lastRenderedPageBreak/>
        <w:t>实到位；</w:t>
      </w:r>
    </w:p>
    <w:p w:rsidR="009B28A7" w:rsidRDefault="00F13735">
      <w:pPr>
        <w:spacing w:line="360" w:lineRule="auto"/>
        <w:ind w:firstLineChars="200" w:firstLine="480"/>
        <w:rPr>
          <w:rFonts w:ascii="宋体" w:hAnsi="宋体"/>
          <w:sz w:val="24"/>
        </w:rPr>
      </w:pPr>
      <w:r>
        <w:rPr>
          <w:rFonts w:ascii="宋体" w:hAnsi="宋体" w:hint="eastAsia"/>
          <w:sz w:val="24"/>
        </w:rPr>
        <w:t>7、发生以下行为、并造成后果的，由中标单位负责赔偿一切损失、承担一切后续责任：</w:t>
      </w:r>
    </w:p>
    <w:p w:rsidR="009B28A7" w:rsidRDefault="00F13735">
      <w:pPr>
        <w:spacing w:line="360" w:lineRule="auto"/>
        <w:ind w:firstLineChars="200" w:firstLine="480"/>
        <w:rPr>
          <w:rFonts w:ascii="宋体" w:hAnsi="宋体"/>
          <w:sz w:val="24"/>
        </w:rPr>
      </w:pPr>
      <w:r>
        <w:rPr>
          <w:rFonts w:ascii="宋体" w:hAnsi="宋体" w:hint="eastAsia"/>
          <w:sz w:val="24"/>
        </w:rPr>
        <w:t>7.1有人为偷盗、破坏、损毁景观照明设施的；</w:t>
      </w:r>
    </w:p>
    <w:p w:rsidR="009B28A7" w:rsidRDefault="00F13735">
      <w:pPr>
        <w:spacing w:line="360" w:lineRule="auto"/>
        <w:ind w:firstLineChars="200" w:firstLine="480"/>
        <w:rPr>
          <w:rFonts w:ascii="宋体" w:hAnsi="宋体"/>
          <w:sz w:val="24"/>
        </w:rPr>
      </w:pPr>
      <w:r>
        <w:rPr>
          <w:rFonts w:ascii="宋体" w:hAnsi="宋体" w:hint="eastAsia"/>
          <w:sz w:val="24"/>
        </w:rPr>
        <w:t>7.2未经采购方同意，有擅自拆除、移动、挪用景观照明各类设施设备的；</w:t>
      </w:r>
    </w:p>
    <w:p w:rsidR="009B28A7" w:rsidRDefault="00F13735">
      <w:pPr>
        <w:spacing w:line="360" w:lineRule="auto"/>
        <w:ind w:firstLineChars="200" w:firstLine="480"/>
        <w:rPr>
          <w:rFonts w:ascii="宋体" w:hAnsi="宋体"/>
          <w:sz w:val="24"/>
        </w:rPr>
      </w:pPr>
      <w:r>
        <w:rPr>
          <w:rFonts w:ascii="宋体" w:hAnsi="宋体" w:hint="eastAsia"/>
          <w:sz w:val="24"/>
        </w:rPr>
        <w:t>7.3未经采购方同意，有擅自切断或私搭乱接景观照明用电的；</w:t>
      </w:r>
    </w:p>
    <w:p w:rsidR="009B28A7" w:rsidRDefault="00F13735">
      <w:pPr>
        <w:spacing w:line="360" w:lineRule="auto"/>
        <w:ind w:firstLineChars="200" w:firstLine="480"/>
        <w:rPr>
          <w:rFonts w:ascii="宋体" w:hAnsi="宋体"/>
          <w:sz w:val="24"/>
        </w:rPr>
      </w:pPr>
      <w:r>
        <w:rPr>
          <w:rFonts w:ascii="宋体" w:hAnsi="宋体" w:hint="eastAsia"/>
          <w:sz w:val="24"/>
        </w:rPr>
        <w:t>8、按照采购方指令，中标单位必须落实白天闭灯、晚上开灯各1次日常巡检，3天内对所有景观照明设施进行全覆盖巡检一遍，确保维护对象正常、平稳、准点、安全运行和开闭灯，及时消除安全隐患工作，确保景观照明设施不发生安全事故，保障城区夜景效果；</w:t>
      </w:r>
    </w:p>
    <w:p w:rsidR="009B28A7" w:rsidRDefault="00F13735">
      <w:pPr>
        <w:spacing w:line="360" w:lineRule="auto"/>
        <w:ind w:firstLineChars="200" w:firstLine="480"/>
        <w:rPr>
          <w:rFonts w:ascii="宋体" w:hAnsi="宋体"/>
          <w:sz w:val="24"/>
        </w:rPr>
      </w:pPr>
      <w:r>
        <w:rPr>
          <w:rFonts w:ascii="宋体" w:hAnsi="宋体" w:hint="eastAsia"/>
          <w:sz w:val="24"/>
        </w:rPr>
        <w:t>9、中标单位必须对采购方一切有利于景观照明安全、平稳、可靠、准点运行的指令做出及时、正面回应，不得拒绝执行和拖延执行，</w:t>
      </w:r>
    </w:p>
    <w:p w:rsidR="009B28A7" w:rsidRDefault="00F13735">
      <w:pPr>
        <w:spacing w:line="360" w:lineRule="auto"/>
        <w:ind w:firstLineChars="200" w:firstLine="480"/>
        <w:rPr>
          <w:rFonts w:ascii="宋体" w:hAnsi="宋体"/>
          <w:sz w:val="24"/>
        </w:rPr>
      </w:pPr>
      <w:r>
        <w:rPr>
          <w:rFonts w:ascii="宋体" w:hAnsi="宋体" w:hint="eastAsia"/>
          <w:sz w:val="24"/>
        </w:rPr>
        <w:t>10、中标单位在进行日常巡检过程中，必须及时发现、制止不利于景观照明设施设备安全运行的各类行为，并第一时间告知、配合采购方开展相应调查，最低限度降低景观照明设施损失破坏程度；</w:t>
      </w:r>
    </w:p>
    <w:p w:rsidR="009B28A7" w:rsidRDefault="00F13735">
      <w:pPr>
        <w:spacing w:line="360" w:lineRule="auto"/>
        <w:ind w:firstLineChars="200" w:firstLine="480"/>
        <w:rPr>
          <w:rFonts w:ascii="宋体" w:hAnsi="宋体"/>
          <w:sz w:val="24"/>
        </w:rPr>
      </w:pPr>
      <w:r>
        <w:rPr>
          <w:rFonts w:ascii="宋体" w:hAnsi="宋体" w:hint="eastAsia"/>
          <w:sz w:val="24"/>
        </w:rPr>
        <w:t>11、中标单位应制定严密的安全文明施工方案，全力保障维护作业安全文明，避免发生安全责任事故。如发生安全责任事故造成人员伤亡和财产损失的，由中标单位全部承担一切责任；</w:t>
      </w:r>
    </w:p>
    <w:p w:rsidR="009B28A7" w:rsidRDefault="00F13735">
      <w:pPr>
        <w:spacing w:line="360" w:lineRule="auto"/>
        <w:ind w:firstLineChars="200" w:firstLine="480"/>
        <w:rPr>
          <w:rFonts w:ascii="宋体" w:hAnsi="宋体"/>
          <w:sz w:val="24"/>
        </w:rPr>
      </w:pPr>
      <w:r>
        <w:rPr>
          <w:rFonts w:ascii="宋体" w:hAnsi="宋体" w:hint="eastAsia"/>
          <w:sz w:val="24"/>
        </w:rPr>
        <w:t>12、中标单位因维修工作需求，暂无法避免对临近设施，如人行道、绿化带、绿地等设施造成损坏的，此等情况下必须提前书面请示采购方，经同意后方可实施，未经同意擅自实施造成后果的，由中标单位承担一切责任；</w:t>
      </w:r>
    </w:p>
    <w:p w:rsidR="009B28A7" w:rsidRDefault="00F13735">
      <w:pPr>
        <w:spacing w:line="360" w:lineRule="auto"/>
        <w:ind w:firstLineChars="200" w:firstLine="480"/>
        <w:rPr>
          <w:rFonts w:ascii="宋体" w:hAnsi="宋体"/>
          <w:sz w:val="24"/>
        </w:rPr>
      </w:pPr>
      <w:r>
        <w:rPr>
          <w:rFonts w:ascii="宋体" w:hAnsi="宋体" w:hint="eastAsia"/>
          <w:sz w:val="24"/>
        </w:rPr>
        <w:t>13、按照采购方要求，对景观照明城运案件、市民投诉等各类案件的实地调查、限期处理、按时回复等工作；</w:t>
      </w:r>
    </w:p>
    <w:p w:rsidR="009B28A7" w:rsidRDefault="00F13735">
      <w:pPr>
        <w:spacing w:line="360" w:lineRule="auto"/>
        <w:ind w:firstLineChars="200" w:firstLine="480"/>
        <w:rPr>
          <w:rFonts w:ascii="宋体" w:hAnsi="宋体"/>
          <w:sz w:val="24"/>
        </w:rPr>
      </w:pPr>
      <w:r>
        <w:rPr>
          <w:rFonts w:ascii="宋体" w:hAnsi="宋体" w:hint="eastAsia"/>
          <w:sz w:val="24"/>
        </w:rPr>
        <w:t>14、本项目服务期结束后，中标单位须在采购方规定时间段内完成维护职责交接工作；</w:t>
      </w:r>
    </w:p>
    <w:p w:rsidR="009B28A7" w:rsidRDefault="00F13735">
      <w:pPr>
        <w:spacing w:line="360" w:lineRule="auto"/>
        <w:ind w:firstLineChars="200" w:firstLine="480"/>
        <w:rPr>
          <w:rFonts w:ascii="宋体" w:hAnsi="宋体"/>
          <w:sz w:val="24"/>
        </w:rPr>
      </w:pPr>
      <w:r>
        <w:rPr>
          <w:rFonts w:ascii="宋体" w:hAnsi="宋体" w:hint="eastAsia"/>
          <w:sz w:val="24"/>
        </w:rPr>
        <w:t>15、做好采购方交办的其他工作。</w:t>
      </w:r>
    </w:p>
    <w:p w:rsidR="009B28A7" w:rsidRDefault="00F13735">
      <w:pPr>
        <w:spacing w:line="360" w:lineRule="auto"/>
        <w:ind w:firstLineChars="200" w:firstLine="482"/>
        <w:rPr>
          <w:rFonts w:ascii="宋体" w:hAnsi="宋体"/>
          <w:b/>
          <w:sz w:val="24"/>
        </w:rPr>
      </w:pPr>
      <w:r>
        <w:rPr>
          <w:rFonts w:ascii="宋体" w:hAnsi="宋体" w:hint="eastAsia"/>
          <w:b/>
          <w:sz w:val="24"/>
        </w:rPr>
        <w:t>十一、有关责任</w:t>
      </w:r>
    </w:p>
    <w:p w:rsidR="009B28A7" w:rsidRDefault="00F13735" w:rsidP="00F13735">
      <w:pPr>
        <w:spacing w:line="360" w:lineRule="auto"/>
        <w:ind w:firstLineChars="200" w:firstLine="480"/>
        <w:rPr>
          <w:rFonts w:ascii="宋体" w:hAnsi="宋体"/>
          <w:sz w:val="24"/>
        </w:rPr>
      </w:pPr>
      <w:r>
        <w:rPr>
          <w:rFonts w:ascii="宋体" w:hAnsi="宋体" w:hint="eastAsia"/>
          <w:sz w:val="24"/>
        </w:rPr>
        <w:t>1、中标单位在维护期内，存在景观照明设施缺失、损毁现象的，由中标单位负责修复、补足，直至采购方满意，在此期间，采购方有权暂停支付项目服务经费，如果中标单位拒绝执行的，采购方有权另行委托社会其他机构代为修复，相关费用由中标单位支付，同时，采购</w:t>
      </w:r>
      <w:r>
        <w:rPr>
          <w:rFonts w:ascii="宋体" w:hAnsi="宋体" w:hint="eastAsia"/>
          <w:sz w:val="24"/>
        </w:rPr>
        <w:lastRenderedPageBreak/>
        <w:t>方有权扣除本项目中标价的30%作为项目违约金；</w:t>
      </w:r>
    </w:p>
    <w:p w:rsidR="009B28A7" w:rsidRDefault="00F13735" w:rsidP="004752B0">
      <w:pPr>
        <w:spacing w:line="360" w:lineRule="auto"/>
        <w:ind w:firstLineChars="200" w:firstLine="480"/>
        <w:rPr>
          <w:rFonts w:ascii="宋体" w:hAnsi="宋体"/>
          <w:sz w:val="24"/>
        </w:rPr>
      </w:pPr>
      <w:r>
        <w:rPr>
          <w:rFonts w:ascii="宋体" w:hAnsi="宋体" w:hint="eastAsia"/>
          <w:sz w:val="24"/>
        </w:rPr>
        <w:t>2、中标单位日常巡查、维护作业马虎大意，未按照规范操作、未及时发现各类故障和安全隐患，造成人身伤害及财产损失等安全责任事故的，由中标单位承担一切责任，同时，采购方有权采取拒绝支付项目经费、已支付部分要求退回、扣除本项目中标价的30%作为项目违约金等一切保护自身利益的行为；</w:t>
      </w:r>
    </w:p>
    <w:p w:rsidR="009B28A7" w:rsidRDefault="00F13735">
      <w:pPr>
        <w:spacing w:line="360" w:lineRule="auto"/>
        <w:ind w:firstLineChars="200" w:firstLine="480"/>
        <w:rPr>
          <w:rFonts w:ascii="宋体" w:hAnsi="宋体"/>
          <w:sz w:val="24"/>
        </w:rPr>
      </w:pPr>
      <w:r>
        <w:rPr>
          <w:rFonts w:ascii="宋体" w:hAnsi="宋体" w:hint="eastAsia"/>
          <w:sz w:val="24"/>
        </w:rPr>
        <w:t>3、中标单位未经采购方同意，擅自将本项目分包给其他单位或个人的，一经发现，除要求中标单位立即改正外，采购方有权采取拒绝支付项目经费、已支付部分要求退回、扣除本项目中标价的30%作为项目违约金等一切保护自身利益的行为；</w:t>
      </w:r>
    </w:p>
    <w:p w:rsidR="009B28A7" w:rsidRDefault="00F13735">
      <w:pPr>
        <w:spacing w:line="360" w:lineRule="auto"/>
        <w:ind w:firstLineChars="200" w:firstLine="480"/>
        <w:rPr>
          <w:rFonts w:ascii="宋体" w:hAnsi="宋体"/>
          <w:sz w:val="24"/>
        </w:rPr>
      </w:pPr>
      <w:r>
        <w:rPr>
          <w:rFonts w:ascii="宋体" w:hAnsi="宋体" w:hint="eastAsia"/>
          <w:sz w:val="24"/>
        </w:rPr>
        <w:t>4、中标单位在维护作业过程中，对非维护对象造成损坏的，由中标单位负责承担一切后续赔偿责任，同时，采购方有权采取拒绝支付项目经费、已支付部分要求退回、扣除本项目中标价的30%作为项目违约金等一切保护自身利益的行为；</w:t>
      </w:r>
    </w:p>
    <w:p w:rsidR="009B28A7" w:rsidRDefault="00F13735">
      <w:pPr>
        <w:spacing w:line="360" w:lineRule="auto"/>
        <w:ind w:firstLineChars="200" w:firstLine="480"/>
        <w:rPr>
          <w:rFonts w:ascii="宋体" w:hAnsi="宋体"/>
          <w:sz w:val="24"/>
        </w:rPr>
      </w:pPr>
      <w:r>
        <w:rPr>
          <w:rFonts w:ascii="宋体" w:hAnsi="宋体" w:hint="eastAsia"/>
          <w:sz w:val="24"/>
        </w:rPr>
        <w:t>5、中标单位须对其维护作业人员签订合法的劳动合同，购买缴纳社会保险及相关商业保险，保护作业人员合法权益，如发生劳资纠纷，与采购方无关，由中标单位妥善解决，采购方有权采取拒绝支付项目经费、已支付部分要求退回、扣除本项目中标价的30%作为项目违约金等一切保护自身利益的行为。</w:t>
      </w:r>
    </w:p>
    <w:p w:rsidR="009B28A7" w:rsidRDefault="00F13735">
      <w:pPr>
        <w:spacing w:line="360" w:lineRule="auto"/>
        <w:ind w:firstLineChars="200" w:firstLine="482"/>
        <w:rPr>
          <w:rFonts w:ascii="宋体" w:hAnsi="宋体"/>
          <w:b/>
          <w:sz w:val="24"/>
        </w:rPr>
      </w:pPr>
      <w:r>
        <w:rPr>
          <w:rFonts w:ascii="宋体" w:hAnsi="宋体" w:hint="eastAsia"/>
          <w:b/>
          <w:sz w:val="24"/>
        </w:rPr>
        <w:t>十二、工作指标</w:t>
      </w:r>
    </w:p>
    <w:p w:rsidR="009B28A7" w:rsidRDefault="00F13735">
      <w:pPr>
        <w:spacing w:line="360" w:lineRule="auto"/>
        <w:ind w:firstLineChars="200" w:firstLine="480"/>
        <w:rPr>
          <w:rFonts w:ascii="宋体" w:hAnsi="宋体"/>
          <w:sz w:val="24"/>
        </w:rPr>
      </w:pPr>
      <w:r>
        <w:rPr>
          <w:rFonts w:ascii="宋体" w:hAnsi="宋体" w:hint="eastAsia"/>
          <w:sz w:val="24"/>
        </w:rPr>
        <w:t>1、景观照明设施运行时间：</w:t>
      </w:r>
    </w:p>
    <w:p w:rsidR="009B28A7" w:rsidRDefault="00F13735">
      <w:pPr>
        <w:spacing w:line="360" w:lineRule="auto"/>
        <w:ind w:firstLineChars="200" w:firstLine="480"/>
        <w:rPr>
          <w:rFonts w:ascii="宋体" w:hAnsi="宋体"/>
          <w:sz w:val="24"/>
        </w:rPr>
      </w:pPr>
      <w:r>
        <w:rPr>
          <w:rFonts w:ascii="宋体" w:hAnsi="宋体" w:hint="eastAsia"/>
          <w:sz w:val="24"/>
        </w:rPr>
        <w:t>1.1每年5月1日至09月30日：18:30亮灯，22:30关灯；</w:t>
      </w:r>
    </w:p>
    <w:p w:rsidR="009B28A7" w:rsidRDefault="00F13735">
      <w:pPr>
        <w:spacing w:line="360" w:lineRule="auto"/>
        <w:ind w:firstLineChars="200" w:firstLine="480"/>
        <w:rPr>
          <w:rFonts w:ascii="宋体" w:hAnsi="宋体"/>
          <w:sz w:val="24"/>
        </w:rPr>
      </w:pPr>
      <w:r>
        <w:rPr>
          <w:rFonts w:ascii="宋体" w:hAnsi="宋体" w:hint="eastAsia"/>
          <w:sz w:val="24"/>
        </w:rPr>
        <w:t>1.2每年10月1日至次年4月30日：18:00亮灯，22:00关灯；</w:t>
      </w:r>
    </w:p>
    <w:p w:rsidR="009B28A7" w:rsidRDefault="00F13735">
      <w:pPr>
        <w:spacing w:line="360" w:lineRule="auto"/>
        <w:ind w:firstLineChars="200" w:firstLine="480"/>
        <w:rPr>
          <w:rFonts w:ascii="宋体" w:hAnsi="宋体"/>
          <w:sz w:val="24"/>
        </w:rPr>
      </w:pPr>
      <w:r>
        <w:rPr>
          <w:rFonts w:ascii="宋体" w:hAnsi="宋体" w:hint="eastAsia"/>
          <w:sz w:val="24"/>
        </w:rPr>
        <w:t>1.3采购方有另行安排的以通知为准。</w:t>
      </w:r>
    </w:p>
    <w:p w:rsidR="009B28A7" w:rsidRDefault="00F13735">
      <w:pPr>
        <w:spacing w:line="360" w:lineRule="auto"/>
        <w:ind w:firstLineChars="200" w:firstLine="480"/>
        <w:rPr>
          <w:rFonts w:ascii="宋体" w:hAnsi="宋体"/>
          <w:sz w:val="24"/>
        </w:rPr>
      </w:pPr>
      <w:r>
        <w:rPr>
          <w:rFonts w:ascii="宋体" w:hAnsi="宋体" w:hint="eastAsia"/>
          <w:sz w:val="24"/>
        </w:rPr>
        <w:t>2、景观照明设施维护指标：</w:t>
      </w:r>
    </w:p>
    <w:p w:rsidR="009B28A7" w:rsidRDefault="00F13735">
      <w:pPr>
        <w:spacing w:line="360" w:lineRule="auto"/>
        <w:ind w:firstLineChars="200" w:firstLine="480"/>
        <w:rPr>
          <w:rFonts w:ascii="宋体" w:hAnsi="宋体"/>
          <w:sz w:val="24"/>
        </w:rPr>
      </w:pPr>
      <w:r>
        <w:rPr>
          <w:rFonts w:ascii="宋体" w:hAnsi="宋体" w:hint="eastAsia"/>
          <w:sz w:val="24"/>
        </w:rPr>
        <w:t>2.1亮灯率达到98%或以上；</w:t>
      </w:r>
    </w:p>
    <w:p w:rsidR="009B28A7" w:rsidRDefault="00F13735">
      <w:pPr>
        <w:spacing w:line="360" w:lineRule="auto"/>
        <w:ind w:firstLineChars="200" w:firstLine="480"/>
        <w:rPr>
          <w:rFonts w:ascii="宋体" w:hAnsi="宋体"/>
          <w:sz w:val="24"/>
        </w:rPr>
      </w:pPr>
      <w:r>
        <w:rPr>
          <w:rFonts w:ascii="宋体" w:hAnsi="宋体" w:hint="eastAsia"/>
          <w:sz w:val="24"/>
        </w:rPr>
        <w:t>2.2设施清洁率95%或以上；</w:t>
      </w:r>
    </w:p>
    <w:p w:rsidR="009B28A7" w:rsidRDefault="00F13735">
      <w:pPr>
        <w:spacing w:line="360" w:lineRule="auto"/>
        <w:ind w:firstLineChars="200" w:firstLine="480"/>
        <w:rPr>
          <w:rFonts w:ascii="宋体" w:hAnsi="宋体"/>
          <w:sz w:val="24"/>
        </w:rPr>
      </w:pPr>
      <w:r>
        <w:rPr>
          <w:rFonts w:ascii="宋体" w:hAnsi="宋体" w:hint="eastAsia"/>
          <w:sz w:val="24"/>
        </w:rPr>
        <w:t>2.3设施完好率98%或以上；</w:t>
      </w:r>
    </w:p>
    <w:p w:rsidR="009B28A7" w:rsidRDefault="00F13735">
      <w:pPr>
        <w:spacing w:line="360" w:lineRule="auto"/>
        <w:ind w:firstLineChars="200" w:firstLine="480"/>
        <w:rPr>
          <w:rFonts w:ascii="宋体" w:hAnsi="宋体"/>
          <w:sz w:val="24"/>
        </w:rPr>
      </w:pPr>
      <w:r>
        <w:rPr>
          <w:rFonts w:ascii="宋体" w:hAnsi="宋体" w:hint="eastAsia"/>
          <w:sz w:val="24"/>
        </w:rPr>
        <w:lastRenderedPageBreak/>
        <w:t>2.4故障处置及时率100%；</w:t>
      </w:r>
    </w:p>
    <w:p w:rsidR="009B28A7" w:rsidRDefault="00F13735">
      <w:pPr>
        <w:spacing w:line="360" w:lineRule="auto"/>
        <w:ind w:firstLineChars="200" w:firstLine="480"/>
        <w:rPr>
          <w:rFonts w:ascii="宋体" w:hAnsi="宋体"/>
          <w:sz w:val="24"/>
        </w:rPr>
      </w:pPr>
      <w:r>
        <w:rPr>
          <w:rFonts w:ascii="宋体" w:hAnsi="宋体" w:hint="eastAsia"/>
          <w:sz w:val="24"/>
        </w:rPr>
        <w:t>2.5故障处置完成率100%。</w:t>
      </w:r>
    </w:p>
    <w:p w:rsidR="009B28A7" w:rsidRDefault="00F13735">
      <w:pPr>
        <w:spacing w:line="360" w:lineRule="auto"/>
        <w:ind w:firstLineChars="200" w:firstLine="482"/>
        <w:rPr>
          <w:rFonts w:ascii="宋体" w:hAnsi="宋体"/>
          <w:b/>
          <w:sz w:val="24"/>
        </w:rPr>
      </w:pPr>
      <w:r>
        <w:rPr>
          <w:rFonts w:ascii="宋体" w:hAnsi="宋体" w:hint="eastAsia"/>
          <w:b/>
          <w:sz w:val="24"/>
        </w:rPr>
        <w:t>十三、维护范围及工程量</w:t>
      </w:r>
    </w:p>
    <w:tbl>
      <w:tblPr>
        <w:tblW w:w="8400" w:type="dxa"/>
        <w:jc w:val="center"/>
        <w:tblLook w:val="04A0" w:firstRow="1" w:lastRow="0" w:firstColumn="1" w:lastColumn="0" w:noHBand="0" w:noVBand="1"/>
      </w:tblPr>
      <w:tblGrid>
        <w:gridCol w:w="900"/>
        <w:gridCol w:w="2840"/>
        <w:gridCol w:w="3460"/>
        <w:gridCol w:w="1200"/>
      </w:tblGrid>
      <w:tr w:rsidR="00F13735" w:rsidRPr="00C96249" w:rsidTr="00F13735">
        <w:trPr>
          <w:trHeight w:val="390"/>
          <w:jc w:val="center"/>
        </w:trPr>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b/>
                <w:bCs/>
                <w:color w:val="000000"/>
                <w:kern w:val="0"/>
                <w:sz w:val="18"/>
                <w:szCs w:val="18"/>
              </w:rPr>
            </w:pPr>
            <w:r w:rsidRPr="00C96249">
              <w:rPr>
                <w:rFonts w:ascii="宋体" w:hAnsi="宋体" w:cs="宋体" w:hint="eastAsia"/>
                <w:b/>
                <w:bCs/>
                <w:color w:val="000000"/>
                <w:kern w:val="0"/>
                <w:sz w:val="18"/>
                <w:szCs w:val="18"/>
              </w:rPr>
              <w:t>序号</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b/>
                <w:bCs/>
                <w:color w:val="000000"/>
                <w:kern w:val="0"/>
                <w:sz w:val="18"/>
                <w:szCs w:val="18"/>
              </w:rPr>
            </w:pPr>
            <w:r w:rsidRPr="00C96249">
              <w:rPr>
                <w:rFonts w:ascii="宋体" w:hAnsi="宋体" w:cs="宋体" w:hint="eastAsia"/>
                <w:b/>
                <w:bCs/>
                <w:color w:val="000000"/>
                <w:kern w:val="0"/>
                <w:sz w:val="18"/>
                <w:szCs w:val="18"/>
              </w:rPr>
              <w:t>区域（路段）</w:t>
            </w:r>
          </w:p>
        </w:tc>
        <w:tc>
          <w:tcPr>
            <w:tcW w:w="3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b/>
                <w:bCs/>
                <w:color w:val="000000"/>
                <w:kern w:val="0"/>
                <w:sz w:val="18"/>
                <w:szCs w:val="18"/>
              </w:rPr>
            </w:pPr>
            <w:r w:rsidRPr="00C96249">
              <w:rPr>
                <w:rFonts w:ascii="宋体" w:hAnsi="宋体" w:cs="宋体" w:hint="eastAsia"/>
                <w:b/>
                <w:bCs/>
                <w:color w:val="000000"/>
                <w:kern w:val="0"/>
                <w:sz w:val="18"/>
                <w:szCs w:val="18"/>
              </w:rPr>
              <w:t>设备类型</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b/>
                <w:bCs/>
                <w:color w:val="000000"/>
                <w:kern w:val="0"/>
                <w:sz w:val="18"/>
                <w:szCs w:val="18"/>
              </w:rPr>
            </w:pPr>
            <w:r w:rsidRPr="00C96249">
              <w:rPr>
                <w:rFonts w:ascii="宋体" w:hAnsi="宋体" w:cs="宋体" w:hint="eastAsia"/>
                <w:b/>
                <w:bCs/>
                <w:color w:val="000000"/>
                <w:kern w:val="0"/>
                <w:sz w:val="18"/>
                <w:szCs w:val="18"/>
              </w:rPr>
              <w:t>数 量</w:t>
            </w:r>
          </w:p>
        </w:tc>
      </w:tr>
      <w:tr w:rsidR="00F13735" w:rsidRPr="00C96249" w:rsidTr="00F13735">
        <w:trPr>
          <w:trHeight w:val="390"/>
          <w:jc w:val="center"/>
        </w:trPr>
        <w:tc>
          <w:tcPr>
            <w:tcW w:w="900" w:type="dxa"/>
            <w:vMerge/>
            <w:tcBorders>
              <w:top w:val="single" w:sz="4" w:space="0" w:color="auto"/>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b/>
                <w:bCs/>
                <w:color w:val="000000"/>
                <w:kern w:val="0"/>
                <w:sz w:val="18"/>
                <w:szCs w:val="18"/>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b/>
                <w:bCs/>
                <w:color w:val="000000"/>
                <w:kern w:val="0"/>
                <w:sz w:val="18"/>
                <w:szCs w:val="18"/>
              </w:rPr>
            </w:pPr>
          </w:p>
        </w:tc>
        <w:tc>
          <w:tcPr>
            <w:tcW w:w="3460" w:type="dxa"/>
            <w:vMerge/>
            <w:tcBorders>
              <w:top w:val="single" w:sz="4" w:space="0" w:color="auto"/>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b/>
                <w:bCs/>
                <w:color w:val="000000"/>
                <w:kern w:val="0"/>
                <w:sz w:val="18"/>
                <w:szCs w:val="18"/>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b/>
                <w:bCs/>
                <w:color w:val="000000"/>
                <w:kern w:val="0"/>
                <w:sz w:val="18"/>
                <w:szCs w:val="18"/>
              </w:rPr>
            </w:pPr>
          </w:p>
        </w:tc>
      </w:tr>
      <w:tr w:rsidR="00F13735" w:rsidRPr="00C96249" w:rsidTr="00F13735">
        <w:trPr>
          <w:trHeight w:val="390"/>
          <w:jc w:val="center"/>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1</w:t>
            </w:r>
          </w:p>
        </w:tc>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夏阳湖区域</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草坪灯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372</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投光灯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256</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春晓桥立柱洞灯（桥面）</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16</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海鸥庭院灯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180</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水晶球形灯（水中）</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432</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星光灯（水面木栈道外侧）</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258</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灯带</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370</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地坪小射灯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100</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LED七彩投光灯（水中）</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213</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RGB贴片灯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119</w:t>
            </w:r>
          </w:p>
        </w:tc>
      </w:tr>
      <w:tr w:rsidR="00F13735" w:rsidRPr="00C96249" w:rsidTr="00F13735">
        <w:trPr>
          <w:trHeight w:val="390"/>
          <w:jc w:val="center"/>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2</w:t>
            </w:r>
          </w:p>
        </w:tc>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公园路</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草坪灯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58</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投光灯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87</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LED36w黄光投光灯（五层大楼外立面）</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11</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28wT5LED洗墙灯（五层大楼外立面）</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239</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灯带</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43</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LED白光贴片灯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42</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24W洗墙灯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26</w:t>
            </w:r>
          </w:p>
        </w:tc>
      </w:tr>
      <w:tr w:rsidR="00F13735" w:rsidRPr="00C96249" w:rsidTr="00F13735">
        <w:trPr>
          <w:trHeight w:val="390"/>
          <w:jc w:val="center"/>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lastRenderedPageBreak/>
              <w:t>3</w:t>
            </w:r>
          </w:p>
        </w:tc>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G50青浦出口绿地（气象站）</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LED射树灯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32</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150W造型射灯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45</w:t>
            </w:r>
          </w:p>
        </w:tc>
      </w:tr>
      <w:tr w:rsidR="00F13735" w:rsidRPr="00C96249" w:rsidTr="00F13735">
        <w:trPr>
          <w:trHeight w:val="390"/>
          <w:jc w:val="center"/>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4</w:t>
            </w:r>
          </w:p>
        </w:tc>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G50青浦出口绿地（路政）</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LED投光灯150W</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3</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LED投光灯100W</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17</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LED平板小射灯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62</w:t>
            </w:r>
          </w:p>
        </w:tc>
      </w:tr>
      <w:tr w:rsidR="00F13735" w:rsidRPr="00C96249" w:rsidTr="00F13735">
        <w:trPr>
          <w:trHeight w:val="39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5</w:t>
            </w:r>
          </w:p>
        </w:tc>
        <w:tc>
          <w:tcPr>
            <w:tcW w:w="284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万寿绿地</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庭院灯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12</w:t>
            </w:r>
          </w:p>
        </w:tc>
      </w:tr>
      <w:tr w:rsidR="00F13735" w:rsidRPr="00C96249" w:rsidTr="00F13735">
        <w:trPr>
          <w:trHeight w:val="390"/>
          <w:jc w:val="center"/>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6</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汇金路（秀泾路-秀泉路）</w:t>
            </w:r>
          </w:p>
        </w:tc>
        <w:tc>
          <w:tcPr>
            <w:tcW w:w="3460" w:type="dxa"/>
            <w:tcBorders>
              <w:top w:val="single" w:sz="4" w:space="0" w:color="auto"/>
              <w:left w:val="nil"/>
              <w:bottom w:val="single" w:sz="4" w:space="0" w:color="auto"/>
              <w:right w:val="single" w:sz="4" w:space="0" w:color="000000"/>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草坪灯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46</w:t>
            </w:r>
          </w:p>
        </w:tc>
      </w:tr>
      <w:tr w:rsidR="00F13735" w:rsidRPr="00C96249" w:rsidTr="00F13735">
        <w:trPr>
          <w:trHeight w:val="390"/>
          <w:jc w:val="center"/>
        </w:trPr>
        <w:tc>
          <w:tcPr>
            <w:tcW w:w="900" w:type="dxa"/>
            <w:vMerge/>
            <w:tcBorders>
              <w:top w:val="nil"/>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庭院灯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27</w:t>
            </w:r>
          </w:p>
        </w:tc>
      </w:tr>
      <w:tr w:rsidR="00F13735" w:rsidRPr="00C96249" w:rsidTr="00F13735">
        <w:trPr>
          <w:trHeight w:val="39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7</w:t>
            </w:r>
          </w:p>
        </w:tc>
        <w:tc>
          <w:tcPr>
            <w:tcW w:w="284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北淀浦河路、环城西路健身步道景观灯光</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地埋灯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780</w:t>
            </w:r>
          </w:p>
        </w:tc>
      </w:tr>
      <w:tr w:rsidR="00F13735" w:rsidRPr="00C96249" w:rsidTr="00F13735">
        <w:trPr>
          <w:trHeight w:val="39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8</w:t>
            </w:r>
          </w:p>
        </w:tc>
        <w:tc>
          <w:tcPr>
            <w:tcW w:w="284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新城大居08、09地块（秀禾路、古安路口）</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太阳能庭院灯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23</w:t>
            </w:r>
          </w:p>
        </w:tc>
      </w:tr>
      <w:tr w:rsidR="00F13735" w:rsidRPr="00C96249" w:rsidTr="00F13735">
        <w:trPr>
          <w:trHeight w:val="390"/>
          <w:jc w:val="center"/>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9</w:t>
            </w:r>
          </w:p>
        </w:tc>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浦仓路人行桥及周围绿地</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投光灯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54</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LED小射灯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290</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庭院灯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9</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LED小方灯（桥外侧）</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80</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LED线条灯（桥外侧）</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368</w:t>
            </w:r>
          </w:p>
        </w:tc>
      </w:tr>
      <w:tr w:rsidR="00F13735" w:rsidRPr="00C96249" w:rsidTr="00F13735">
        <w:trPr>
          <w:trHeight w:val="390"/>
          <w:jc w:val="center"/>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10</w:t>
            </w:r>
          </w:p>
        </w:tc>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崧泽广场区域</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草坪灯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155</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庭院灯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52</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“奥立八方”广场大型不锈钢高立柱庭院灯（10X5）</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50</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LED彩色投光灯（奥立八方顶灯）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10</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投光灯（博物馆）</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33</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广场喷泉水下灯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1700</w:t>
            </w:r>
          </w:p>
        </w:tc>
      </w:tr>
      <w:tr w:rsidR="00F13735" w:rsidRPr="00C96249" w:rsidTr="00F13735">
        <w:trPr>
          <w:trHeight w:val="390"/>
          <w:jc w:val="center"/>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lastRenderedPageBreak/>
              <w:t>11</w:t>
            </w:r>
          </w:p>
        </w:tc>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公园东路（华乐路至外青松公路）</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草坪灯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223</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投光灯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312</w:t>
            </w:r>
          </w:p>
        </w:tc>
      </w:tr>
      <w:tr w:rsidR="00F13735" w:rsidRPr="00C96249" w:rsidTr="00F13735">
        <w:trPr>
          <w:trHeight w:val="390"/>
          <w:jc w:val="center"/>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12</w:t>
            </w:r>
          </w:p>
        </w:tc>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保安绿地</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投光灯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33</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庭院灯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10</w:t>
            </w:r>
          </w:p>
        </w:tc>
      </w:tr>
      <w:tr w:rsidR="00F13735" w:rsidRPr="00C96249" w:rsidTr="00F13735">
        <w:trPr>
          <w:trHeight w:val="390"/>
          <w:jc w:val="center"/>
        </w:trPr>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13</w:t>
            </w:r>
          </w:p>
        </w:tc>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城中东路加油站绿地</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草坪灯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24</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投光灯</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4</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color w:val="000000"/>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庭院灯（灯柱）</w:t>
            </w:r>
          </w:p>
        </w:tc>
        <w:tc>
          <w:tcPr>
            <w:tcW w:w="120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color w:val="000000"/>
                <w:kern w:val="0"/>
                <w:sz w:val="18"/>
                <w:szCs w:val="18"/>
              </w:rPr>
            </w:pPr>
            <w:r w:rsidRPr="00C96249">
              <w:rPr>
                <w:rFonts w:ascii="宋体" w:hAnsi="宋体" w:cs="宋体" w:hint="eastAsia"/>
                <w:color w:val="000000"/>
                <w:kern w:val="0"/>
                <w:sz w:val="18"/>
                <w:szCs w:val="18"/>
              </w:rPr>
              <w:t>6</w:t>
            </w:r>
          </w:p>
        </w:tc>
      </w:tr>
      <w:tr w:rsidR="00F13735" w:rsidRPr="00C96249" w:rsidTr="00F13735">
        <w:trPr>
          <w:trHeight w:val="39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14</w:t>
            </w:r>
          </w:p>
        </w:tc>
        <w:tc>
          <w:tcPr>
            <w:tcW w:w="2840" w:type="dxa"/>
            <w:tcBorders>
              <w:top w:val="nil"/>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城北大桥区</w:t>
            </w:r>
            <w:r w:rsidRPr="00C96249">
              <w:rPr>
                <w:rFonts w:ascii="宋体" w:hAnsi="宋体" w:cs="宋体" w:hint="eastAsia"/>
                <w:kern w:val="0"/>
                <w:sz w:val="18"/>
                <w:szCs w:val="18"/>
              </w:rPr>
              <w:br/>
              <w:t>域</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七彩投光灯（跨线桥外侧）</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190</w:t>
            </w:r>
          </w:p>
        </w:tc>
      </w:tr>
      <w:tr w:rsidR="00F13735" w:rsidRPr="00C96249" w:rsidTr="00F13735">
        <w:trPr>
          <w:trHeight w:val="390"/>
          <w:jc w:val="center"/>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15</w:t>
            </w:r>
          </w:p>
        </w:tc>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三元河绿地</w:t>
            </w:r>
            <w:r w:rsidRPr="00C96249">
              <w:rPr>
                <w:rFonts w:ascii="宋体" w:hAnsi="宋体" w:cs="宋体" w:hint="eastAsia"/>
                <w:kern w:val="0"/>
                <w:sz w:val="18"/>
                <w:szCs w:val="18"/>
              </w:rPr>
              <w:br/>
              <w:t>（城中西路、海盈路交叉口）</w:t>
            </w:r>
          </w:p>
        </w:tc>
        <w:tc>
          <w:tcPr>
            <w:tcW w:w="3460" w:type="dxa"/>
            <w:tcBorders>
              <w:top w:val="single" w:sz="4" w:space="0" w:color="auto"/>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草坪灯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58</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庭院灯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11</w:t>
            </w:r>
          </w:p>
        </w:tc>
      </w:tr>
      <w:tr w:rsidR="00F13735" w:rsidRPr="00C96249" w:rsidTr="00F13735">
        <w:trPr>
          <w:trHeight w:val="390"/>
          <w:jc w:val="center"/>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16</w:t>
            </w:r>
          </w:p>
        </w:tc>
        <w:tc>
          <w:tcPr>
            <w:tcW w:w="28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永乐绿地</w:t>
            </w:r>
          </w:p>
        </w:tc>
        <w:tc>
          <w:tcPr>
            <w:tcW w:w="3460" w:type="dxa"/>
            <w:tcBorders>
              <w:top w:val="single" w:sz="4" w:space="0" w:color="auto"/>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草坪灯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9</w:t>
            </w:r>
          </w:p>
        </w:tc>
      </w:tr>
      <w:tr w:rsidR="00F13735" w:rsidRPr="00C96249" w:rsidTr="00F13735">
        <w:trPr>
          <w:trHeight w:val="390"/>
          <w:jc w:val="center"/>
        </w:trPr>
        <w:tc>
          <w:tcPr>
            <w:tcW w:w="90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2840" w:type="dxa"/>
            <w:vMerge/>
            <w:tcBorders>
              <w:top w:val="nil"/>
              <w:left w:val="single" w:sz="4" w:space="0" w:color="auto"/>
              <w:bottom w:val="single" w:sz="4" w:space="0" w:color="auto"/>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高杆庭院灯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14</w:t>
            </w:r>
          </w:p>
        </w:tc>
      </w:tr>
      <w:tr w:rsidR="00F13735" w:rsidRPr="00C96249" w:rsidTr="00F13735">
        <w:trPr>
          <w:trHeight w:val="390"/>
          <w:jc w:val="center"/>
        </w:trPr>
        <w:tc>
          <w:tcPr>
            <w:tcW w:w="900" w:type="dxa"/>
            <w:vMerge w:val="restart"/>
            <w:tcBorders>
              <w:top w:val="nil"/>
              <w:left w:val="single" w:sz="4" w:space="0" w:color="auto"/>
              <w:bottom w:val="nil"/>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17</w:t>
            </w:r>
          </w:p>
        </w:tc>
        <w:tc>
          <w:tcPr>
            <w:tcW w:w="2840" w:type="dxa"/>
            <w:vMerge w:val="restart"/>
            <w:tcBorders>
              <w:top w:val="nil"/>
              <w:left w:val="single" w:sz="4" w:space="0" w:color="auto"/>
              <w:bottom w:val="nil"/>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南菁园</w:t>
            </w:r>
          </w:p>
        </w:tc>
        <w:tc>
          <w:tcPr>
            <w:tcW w:w="3460" w:type="dxa"/>
            <w:tcBorders>
              <w:top w:val="single" w:sz="4" w:space="0" w:color="auto"/>
              <w:left w:val="nil"/>
              <w:bottom w:val="single" w:sz="4" w:space="0" w:color="auto"/>
              <w:right w:val="single" w:sz="4" w:space="0" w:color="000000"/>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庭院灯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178</w:t>
            </w:r>
          </w:p>
        </w:tc>
      </w:tr>
      <w:tr w:rsidR="00F13735" w:rsidRPr="00C96249" w:rsidTr="00F13735">
        <w:trPr>
          <w:trHeight w:val="390"/>
          <w:jc w:val="center"/>
        </w:trPr>
        <w:tc>
          <w:tcPr>
            <w:tcW w:w="900" w:type="dxa"/>
            <w:vMerge/>
            <w:tcBorders>
              <w:top w:val="nil"/>
              <w:left w:val="single" w:sz="4" w:space="0" w:color="auto"/>
              <w:bottom w:val="nil"/>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2840" w:type="dxa"/>
            <w:vMerge/>
            <w:tcBorders>
              <w:top w:val="nil"/>
              <w:left w:val="single" w:sz="4" w:space="0" w:color="auto"/>
              <w:bottom w:val="nil"/>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3460" w:type="dxa"/>
            <w:tcBorders>
              <w:top w:val="single" w:sz="4" w:space="0" w:color="auto"/>
              <w:left w:val="nil"/>
              <w:bottom w:val="single" w:sz="4" w:space="0" w:color="auto"/>
              <w:right w:val="single" w:sz="4" w:space="0" w:color="000000"/>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圆盘型庭院灯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6</w:t>
            </w:r>
          </w:p>
        </w:tc>
      </w:tr>
      <w:tr w:rsidR="00F13735" w:rsidRPr="00C96249" w:rsidTr="00F13735">
        <w:trPr>
          <w:trHeight w:val="390"/>
          <w:jc w:val="center"/>
        </w:trPr>
        <w:tc>
          <w:tcPr>
            <w:tcW w:w="900" w:type="dxa"/>
            <w:vMerge/>
            <w:tcBorders>
              <w:top w:val="nil"/>
              <w:left w:val="single" w:sz="4" w:space="0" w:color="auto"/>
              <w:bottom w:val="nil"/>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2840" w:type="dxa"/>
            <w:vMerge/>
            <w:tcBorders>
              <w:top w:val="nil"/>
              <w:left w:val="single" w:sz="4" w:space="0" w:color="auto"/>
              <w:bottom w:val="nil"/>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3460" w:type="dxa"/>
            <w:tcBorders>
              <w:top w:val="single" w:sz="4" w:space="0" w:color="auto"/>
              <w:left w:val="nil"/>
              <w:bottom w:val="single" w:sz="4" w:space="0" w:color="auto"/>
              <w:right w:val="single" w:sz="4" w:space="0" w:color="000000"/>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球场照明灯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4</w:t>
            </w:r>
          </w:p>
        </w:tc>
      </w:tr>
      <w:tr w:rsidR="00F13735" w:rsidRPr="00C96249" w:rsidTr="00F13735">
        <w:trPr>
          <w:trHeight w:val="390"/>
          <w:jc w:val="center"/>
        </w:trPr>
        <w:tc>
          <w:tcPr>
            <w:tcW w:w="9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18</w:t>
            </w:r>
          </w:p>
        </w:tc>
        <w:tc>
          <w:tcPr>
            <w:tcW w:w="28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北菁园</w:t>
            </w:r>
          </w:p>
        </w:tc>
        <w:tc>
          <w:tcPr>
            <w:tcW w:w="3460" w:type="dxa"/>
            <w:tcBorders>
              <w:top w:val="single" w:sz="4" w:space="0" w:color="auto"/>
              <w:left w:val="nil"/>
              <w:bottom w:val="single" w:sz="4" w:space="0" w:color="auto"/>
              <w:right w:val="single" w:sz="4" w:space="0" w:color="000000"/>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庭院灯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160</w:t>
            </w:r>
          </w:p>
        </w:tc>
      </w:tr>
      <w:tr w:rsidR="00F13735" w:rsidRPr="00C96249" w:rsidTr="00F13735">
        <w:trPr>
          <w:trHeight w:val="390"/>
          <w:jc w:val="center"/>
        </w:trPr>
        <w:tc>
          <w:tcPr>
            <w:tcW w:w="900" w:type="dxa"/>
            <w:vMerge/>
            <w:tcBorders>
              <w:top w:val="single" w:sz="4" w:space="0" w:color="auto"/>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2840" w:type="dxa"/>
            <w:vMerge/>
            <w:tcBorders>
              <w:top w:val="single" w:sz="4" w:space="0" w:color="auto"/>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3460" w:type="dxa"/>
            <w:tcBorders>
              <w:top w:val="single" w:sz="4" w:space="0" w:color="auto"/>
              <w:left w:val="nil"/>
              <w:bottom w:val="single" w:sz="4" w:space="0" w:color="auto"/>
              <w:right w:val="single" w:sz="4" w:space="0" w:color="000000"/>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立杆景观灯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12</w:t>
            </w:r>
          </w:p>
        </w:tc>
      </w:tr>
      <w:tr w:rsidR="00F13735" w:rsidRPr="00C96249" w:rsidTr="00F13735">
        <w:trPr>
          <w:trHeight w:val="390"/>
          <w:jc w:val="center"/>
        </w:trPr>
        <w:tc>
          <w:tcPr>
            <w:tcW w:w="900" w:type="dxa"/>
            <w:vMerge/>
            <w:tcBorders>
              <w:top w:val="single" w:sz="4" w:space="0" w:color="auto"/>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2840" w:type="dxa"/>
            <w:vMerge/>
            <w:tcBorders>
              <w:top w:val="single" w:sz="4" w:space="0" w:color="auto"/>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3460" w:type="dxa"/>
            <w:tcBorders>
              <w:top w:val="single" w:sz="4" w:space="0" w:color="auto"/>
              <w:left w:val="nil"/>
              <w:bottom w:val="single" w:sz="4" w:space="0" w:color="auto"/>
              <w:right w:val="single" w:sz="4" w:space="0" w:color="000000"/>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埋地投射灯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21</w:t>
            </w:r>
          </w:p>
        </w:tc>
      </w:tr>
      <w:tr w:rsidR="00F13735" w:rsidRPr="00C96249" w:rsidTr="00F13735">
        <w:trPr>
          <w:trHeight w:val="390"/>
          <w:jc w:val="center"/>
        </w:trPr>
        <w:tc>
          <w:tcPr>
            <w:tcW w:w="900" w:type="dxa"/>
            <w:vMerge/>
            <w:tcBorders>
              <w:top w:val="single" w:sz="4" w:space="0" w:color="auto"/>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2840" w:type="dxa"/>
            <w:vMerge/>
            <w:tcBorders>
              <w:top w:val="single" w:sz="4" w:space="0" w:color="auto"/>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3460" w:type="dxa"/>
            <w:tcBorders>
              <w:top w:val="single" w:sz="4" w:space="0" w:color="auto"/>
              <w:left w:val="nil"/>
              <w:bottom w:val="single" w:sz="4" w:space="0" w:color="auto"/>
              <w:right w:val="single" w:sz="4" w:space="0" w:color="000000"/>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圆盘型庭院灯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8</w:t>
            </w:r>
          </w:p>
        </w:tc>
      </w:tr>
      <w:tr w:rsidR="00F13735" w:rsidRPr="00C96249" w:rsidTr="00F13735">
        <w:trPr>
          <w:trHeight w:val="390"/>
          <w:jc w:val="center"/>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19</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三林带（东水港-淀浦河段）</w:t>
            </w:r>
            <w:r w:rsidRPr="00C96249">
              <w:rPr>
                <w:rFonts w:ascii="宋体" w:hAnsi="宋体" w:cs="宋体" w:hint="eastAsia"/>
                <w:kern w:val="0"/>
                <w:sz w:val="18"/>
                <w:szCs w:val="18"/>
              </w:rPr>
              <w:br/>
              <w:t>防护绿地</w:t>
            </w:r>
          </w:p>
        </w:tc>
        <w:tc>
          <w:tcPr>
            <w:tcW w:w="3460" w:type="dxa"/>
            <w:tcBorders>
              <w:top w:val="single" w:sz="4" w:space="0" w:color="auto"/>
              <w:left w:val="nil"/>
              <w:bottom w:val="single" w:sz="4" w:space="0" w:color="auto"/>
              <w:right w:val="single" w:sz="4" w:space="0" w:color="000000"/>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庭院灯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164</w:t>
            </w:r>
          </w:p>
        </w:tc>
      </w:tr>
      <w:tr w:rsidR="00F13735" w:rsidRPr="00C96249" w:rsidTr="00F13735">
        <w:trPr>
          <w:trHeight w:val="390"/>
          <w:jc w:val="center"/>
        </w:trPr>
        <w:tc>
          <w:tcPr>
            <w:tcW w:w="900" w:type="dxa"/>
            <w:vMerge/>
            <w:tcBorders>
              <w:top w:val="nil"/>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2840" w:type="dxa"/>
            <w:vMerge/>
            <w:tcBorders>
              <w:top w:val="nil"/>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3460" w:type="dxa"/>
            <w:tcBorders>
              <w:top w:val="single" w:sz="4" w:space="0" w:color="auto"/>
              <w:left w:val="nil"/>
              <w:bottom w:val="single" w:sz="4" w:space="0" w:color="auto"/>
              <w:right w:val="single" w:sz="4" w:space="0" w:color="000000"/>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草坪灯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113</w:t>
            </w:r>
          </w:p>
        </w:tc>
      </w:tr>
      <w:tr w:rsidR="00F13735" w:rsidRPr="00C96249" w:rsidTr="00F13735">
        <w:trPr>
          <w:trHeight w:val="390"/>
          <w:jc w:val="center"/>
        </w:trPr>
        <w:tc>
          <w:tcPr>
            <w:tcW w:w="900" w:type="dxa"/>
            <w:vMerge/>
            <w:tcBorders>
              <w:top w:val="nil"/>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2840" w:type="dxa"/>
            <w:vMerge/>
            <w:tcBorders>
              <w:top w:val="nil"/>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3460" w:type="dxa"/>
            <w:tcBorders>
              <w:top w:val="single" w:sz="4" w:space="0" w:color="auto"/>
              <w:left w:val="nil"/>
              <w:bottom w:val="single" w:sz="4" w:space="0" w:color="auto"/>
              <w:right w:val="single" w:sz="4" w:space="0" w:color="000000"/>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照树灯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50</w:t>
            </w:r>
          </w:p>
        </w:tc>
      </w:tr>
      <w:tr w:rsidR="00F13735" w:rsidRPr="00C96249" w:rsidTr="00F13735">
        <w:trPr>
          <w:trHeight w:val="390"/>
          <w:jc w:val="center"/>
        </w:trPr>
        <w:tc>
          <w:tcPr>
            <w:tcW w:w="900" w:type="dxa"/>
            <w:vMerge/>
            <w:tcBorders>
              <w:top w:val="nil"/>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2840" w:type="dxa"/>
            <w:vMerge/>
            <w:tcBorders>
              <w:top w:val="nil"/>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3460" w:type="dxa"/>
            <w:tcBorders>
              <w:top w:val="single" w:sz="4" w:space="0" w:color="auto"/>
              <w:left w:val="nil"/>
              <w:bottom w:val="single" w:sz="4" w:space="0" w:color="auto"/>
              <w:right w:val="single" w:sz="4" w:space="0" w:color="000000"/>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台阶侧壁灯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72</w:t>
            </w:r>
          </w:p>
        </w:tc>
      </w:tr>
      <w:tr w:rsidR="00F13735" w:rsidRPr="00C96249" w:rsidTr="00F13735">
        <w:trPr>
          <w:trHeight w:val="390"/>
          <w:jc w:val="center"/>
        </w:trPr>
        <w:tc>
          <w:tcPr>
            <w:tcW w:w="900" w:type="dxa"/>
            <w:vMerge/>
            <w:tcBorders>
              <w:top w:val="nil"/>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2840" w:type="dxa"/>
            <w:vMerge/>
            <w:tcBorders>
              <w:top w:val="nil"/>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3460" w:type="dxa"/>
            <w:tcBorders>
              <w:top w:val="single" w:sz="4" w:space="0" w:color="auto"/>
              <w:left w:val="nil"/>
              <w:bottom w:val="single" w:sz="4" w:space="0" w:color="auto"/>
              <w:right w:val="single" w:sz="4" w:space="0" w:color="000000"/>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亭沿投光灯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36</w:t>
            </w:r>
          </w:p>
        </w:tc>
      </w:tr>
      <w:tr w:rsidR="00F13735" w:rsidRPr="00C96249" w:rsidTr="00F13735">
        <w:trPr>
          <w:trHeight w:val="390"/>
          <w:jc w:val="center"/>
        </w:trPr>
        <w:tc>
          <w:tcPr>
            <w:tcW w:w="900" w:type="dxa"/>
            <w:vMerge/>
            <w:tcBorders>
              <w:top w:val="nil"/>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2840" w:type="dxa"/>
            <w:vMerge/>
            <w:tcBorders>
              <w:top w:val="nil"/>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3460" w:type="dxa"/>
            <w:tcBorders>
              <w:top w:val="single" w:sz="4" w:space="0" w:color="auto"/>
              <w:left w:val="nil"/>
              <w:bottom w:val="single" w:sz="4" w:space="0" w:color="auto"/>
              <w:right w:val="single" w:sz="4" w:space="0" w:color="000000"/>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高杆照明灯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2</w:t>
            </w:r>
          </w:p>
        </w:tc>
      </w:tr>
      <w:tr w:rsidR="00F13735" w:rsidRPr="00C96249" w:rsidTr="00F13735">
        <w:trPr>
          <w:trHeight w:val="39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20</w:t>
            </w:r>
          </w:p>
        </w:tc>
        <w:tc>
          <w:tcPr>
            <w:tcW w:w="284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贺桥村路绿地</w:t>
            </w:r>
          </w:p>
        </w:tc>
        <w:tc>
          <w:tcPr>
            <w:tcW w:w="3460" w:type="dxa"/>
            <w:tcBorders>
              <w:top w:val="single" w:sz="4" w:space="0" w:color="auto"/>
              <w:left w:val="nil"/>
              <w:bottom w:val="single" w:sz="4" w:space="0" w:color="auto"/>
              <w:right w:val="single" w:sz="4" w:space="0" w:color="000000"/>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庭院灯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15</w:t>
            </w:r>
          </w:p>
        </w:tc>
      </w:tr>
      <w:tr w:rsidR="00F13735" w:rsidRPr="00C96249" w:rsidTr="00F13735">
        <w:trPr>
          <w:trHeight w:val="390"/>
          <w:jc w:val="center"/>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21</w:t>
            </w:r>
          </w:p>
        </w:tc>
        <w:tc>
          <w:tcPr>
            <w:tcW w:w="28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复旦附中周边绿地</w:t>
            </w:r>
          </w:p>
        </w:tc>
        <w:tc>
          <w:tcPr>
            <w:tcW w:w="3460" w:type="dxa"/>
            <w:tcBorders>
              <w:top w:val="single" w:sz="4" w:space="0" w:color="auto"/>
              <w:left w:val="nil"/>
              <w:bottom w:val="single" w:sz="4" w:space="0" w:color="auto"/>
              <w:right w:val="single" w:sz="4" w:space="0" w:color="000000"/>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庭院灯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84</w:t>
            </w:r>
          </w:p>
        </w:tc>
      </w:tr>
      <w:tr w:rsidR="00F13735" w:rsidRPr="00C96249" w:rsidTr="00F13735">
        <w:trPr>
          <w:trHeight w:val="390"/>
          <w:jc w:val="center"/>
        </w:trPr>
        <w:tc>
          <w:tcPr>
            <w:tcW w:w="900" w:type="dxa"/>
            <w:vMerge/>
            <w:tcBorders>
              <w:top w:val="nil"/>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2840" w:type="dxa"/>
            <w:vMerge/>
            <w:tcBorders>
              <w:top w:val="nil"/>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3460" w:type="dxa"/>
            <w:tcBorders>
              <w:top w:val="single" w:sz="4" w:space="0" w:color="auto"/>
              <w:left w:val="nil"/>
              <w:bottom w:val="single" w:sz="4" w:space="0" w:color="auto"/>
              <w:right w:val="single" w:sz="4" w:space="0" w:color="000000"/>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草坪灯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100</w:t>
            </w:r>
          </w:p>
        </w:tc>
      </w:tr>
      <w:tr w:rsidR="00F13735" w:rsidRPr="00C96249" w:rsidTr="00F13735">
        <w:trPr>
          <w:trHeight w:val="390"/>
          <w:jc w:val="center"/>
        </w:trPr>
        <w:tc>
          <w:tcPr>
            <w:tcW w:w="900" w:type="dxa"/>
            <w:vMerge/>
            <w:tcBorders>
              <w:top w:val="nil"/>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2840" w:type="dxa"/>
            <w:vMerge/>
            <w:tcBorders>
              <w:top w:val="nil"/>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3460" w:type="dxa"/>
            <w:tcBorders>
              <w:top w:val="single" w:sz="4" w:space="0" w:color="auto"/>
              <w:left w:val="nil"/>
              <w:bottom w:val="single" w:sz="4" w:space="0" w:color="auto"/>
              <w:right w:val="single" w:sz="4" w:space="0" w:color="000000"/>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射灯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19</w:t>
            </w:r>
          </w:p>
        </w:tc>
      </w:tr>
      <w:tr w:rsidR="00F13735" w:rsidRPr="00C96249" w:rsidTr="00F13735">
        <w:trPr>
          <w:trHeight w:val="390"/>
          <w:jc w:val="center"/>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22</w:t>
            </w:r>
          </w:p>
        </w:tc>
        <w:tc>
          <w:tcPr>
            <w:tcW w:w="28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支三十一路东侧绿地</w:t>
            </w:r>
          </w:p>
        </w:tc>
        <w:tc>
          <w:tcPr>
            <w:tcW w:w="3460" w:type="dxa"/>
            <w:tcBorders>
              <w:top w:val="single" w:sz="4" w:space="0" w:color="auto"/>
              <w:left w:val="nil"/>
              <w:bottom w:val="single" w:sz="4" w:space="0" w:color="auto"/>
              <w:right w:val="single" w:sz="4" w:space="0" w:color="000000"/>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庭院灯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21</w:t>
            </w:r>
          </w:p>
        </w:tc>
      </w:tr>
      <w:tr w:rsidR="00F13735" w:rsidRPr="00C96249" w:rsidTr="00F13735">
        <w:trPr>
          <w:trHeight w:val="390"/>
          <w:jc w:val="center"/>
        </w:trPr>
        <w:tc>
          <w:tcPr>
            <w:tcW w:w="900" w:type="dxa"/>
            <w:vMerge/>
            <w:tcBorders>
              <w:top w:val="nil"/>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2840" w:type="dxa"/>
            <w:vMerge/>
            <w:tcBorders>
              <w:top w:val="nil"/>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3460" w:type="dxa"/>
            <w:tcBorders>
              <w:top w:val="single" w:sz="4" w:space="0" w:color="auto"/>
              <w:left w:val="nil"/>
              <w:bottom w:val="single" w:sz="4" w:space="0" w:color="auto"/>
              <w:right w:val="single" w:sz="4" w:space="0" w:color="000000"/>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草坪灯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43</w:t>
            </w:r>
          </w:p>
        </w:tc>
      </w:tr>
      <w:tr w:rsidR="00F13735" w:rsidRPr="00C96249" w:rsidTr="00F13735">
        <w:trPr>
          <w:trHeight w:val="390"/>
          <w:jc w:val="center"/>
        </w:trPr>
        <w:tc>
          <w:tcPr>
            <w:tcW w:w="900" w:type="dxa"/>
            <w:vMerge/>
            <w:tcBorders>
              <w:top w:val="nil"/>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2840" w:type="dxa"/>
            <w:vMerge/>
            <w:tcBorders>
              <w:top w:val="nil"/>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3460" w:type="dxa"/>
            <w:tcBorders>
              <w:top w:val="single" w:sz="4" w:space="0" w:color="auto"/>
              <w:left w:val="nil"/>
              <w:bottom w:val="single" w:sz="4" w:space="0" w:color="auto"/>
              <w:right w:val="single" w:sz="4" w:space="0" w:color="000000"/>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照树射灯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30</w:t>
            </w:r>
          </w:p>
        </w:tc>
      </w:tr>
      <w:tr w:rsidR="00F13735" w:rsidRPr="00C96249" w:rsidTr="00F13735">
        <w:trPr>
          <w:trHeight w:val="390"/>
          <w:jc w:val="center"/>
        </w:trPr>
        <w:tc>
          <w:tcPr>
            <w:tcW w:w="900" w:type="dxa"/>
            <w:vMerge/>
            <w:tcBorders>
              <w:top w:val="nil"/>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2840" w:type="dxa"/>
            <w:vMerge/>
            <w:tcBorders>
              <w:top w:val="nil"/>
              <w:left w:val="single" w:sz="4" w:space="0" w:color="auto"/>
              <w:bottom w:val="single" w:sz="4" w:space="0" w:color="000000"/>
              <w:right w:val="single" w:sz="4" w:space="0" w:color="auto"/>
            </w:tcBorders>
            <w:vAlign w:val="center"/>
            <w:hideMark/>
          </w:tcPr>
          <w:p w:rsidR="00F13735" w:rsidRPr="00C96249" w:rsidRDefault="00F13735" w:rsidP="00F13735">
            <w:pPr>
              <w:widowControl/>
              <w:jc w:val="left"/>
              <w:rPr>
                <w:rFonts w:ascii="宋体" w:hAnsi="宋体" w:cs="宋体"/>
                <w:kern w:val="0"/>
                <w:sz w:val="18"/>
                <w:szCs w:val="18"/>
              </w:rPr>
            </w:pPr>
          </w:p>
        </w:tc>
        <w:tc>
          <w:tcPr>
            <w:tcW w:w="3460" w:type="dxa"/>
            <w:tcBorders>
              <w:top w:val="single" w:sz="4" w:space="0" w:color="auto"/>
              <w:left w:val="nil"/>
              <w:bottom w:val="single" w:sz="4" w:space="0" w:color="auto"/>
              <w:right w:val="single" w:sz="4" w:space="0" w:color="000000"/>
            </w:tcBorders>
            <w:shd w:val="clear" w:color="auto" w:fill="auto"/>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高杆照明灯</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kern w:val="0"/>
                <w:sz w:val="18"/>
                <w:szCs w:val="18"/>
              </w:rPr>
            </w:pPr>
            <w:r w:rsidRPr="00C96249">
              <w:rPr>
                <w:rFonts w:ascii="宋体" w:hAnsi="宋体" w:cs="宋体" w:hint="eastAsia"/>
                <w:kern w:val="0"/>
                <w:sz w:val="18"/>
                <w:szCs w:val="18"/>
              </w:rPr>
              <w:t>4</w:t>
            </w:r>
          </w:p>
        </w:tc>
      </w:tr>
      <w:tr w:rsidR="00F13735" w:rsidRPr="00C96249" w:rsidTr="00F13735">
        <w:trPr>
          <w:trHeight w:val="390"/>
          <w:jc w:val="center"/>
        </w:trPr>
        <w:tc>
          <w:tcPr>
            <w:tcW w:w="37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13735" w:rsidRPr="00C96249" w:rsidRDefault="00F13735" w:rsidP="00F13735">
            <w:pPr>
              <w:widowControl/>
              <w:jc w:val="center"/>
              <w:rPr>
                <w:rFonts w:ascii="宋体" w:hAnsi="宋体" w:cs="宋体"/>
                <w:b/>
                <w:bCs/>
                <w:kern w:val="0"/>
                <w:sz w:val="18"/>
                <w:szCs w:val="18"/>
              </w:rPr>
            </w:pPr>
            <w:r w:rsidRPr="00C96249">
              <w:rPr>
                <w:rFonts w:ascii="宋体" w:hAnsi="宋体" w:cs="宋体" w:hint="eastAsia"/>
                <w:b/>
                <w:bCs/>
                <w:kern w:val="0"/>
                <w:sz w:val="18"/>
                <w:szCs w:val="18"/>
              </w:rPr>
              <w:t>总计</w:t>
            </w:r>
          </w:p>
        </w:tc>
        <w:tc>
          <w:tcPr>
            <w:tcW w:w="3460" w:type="dxa"/>
            <w:tcBorders>
              <w:top w:val="single" w:sz="4" w:space="0" w:color="auto"/>
              <w:left w:val="nil"/>
              <w:bottom w:val="single" w:sz="4" w:space="0" w:color="auto"/>
              <w:right w:val="single" w:sz="4" w:space="0" w:color="000000"/>
            </w:tcBorders>
            <w:shd w:val="clear" w:color="auto" w:fill="auto"/>
            <w:noWrap/>
            <w:vAlign w:val="center"/>
            <w:hideMark/>
          </w:tcPr>
          <w:p w:rsidR="00F13735" w:rsidRPr="00C96249" w:rsidRDefault="00F13735" w:rsidP="00F13735">
            <w:pPr>
              <w:widowControl/>
              <w:jc w:val="center"/>
              <w:rPr>
                <w:rFonts w:ascii="宋体" w:hAnsi="宋体" w:cs="宋体"/>
                <w:b/>
                <w:bCs/>
                <w:kern w:val="0"/>
                <w:sz w:val="18"/>
                <w:szCs w:val="18"/>
              </w:rPr>
            </w:pPr>
            <w:r w:rsidRPr="00C96249">
              <w:rPr>
                <w:rFonts w:ascii="宋体" w:hAnsi="宋体" w:cs="宋体" w:hint="eastAsia"/>
                <w:b/>
                <w:bCs/>
                <w:kern w:val="0"/>
                <w:sz w:val="18"/>
                <w:szCs w:val="18"/>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F13735" w:rsidRPr="00C96249" w:rsidRDefault="00F13735" w:rsidP="00F13735">
            <w:pPr>
              <w:widowControl/>
              <w:jc w:val="center"/>
              <w:rPr>
                <w:rFonts w:ascii="宋体" w:hAnsi="宋体" w:cs="宋体"/>
                <w:b/>
                <w:bCs/>
                <w:kern w:val="0"/>
                <w:sz w:val="18"/>
                <w:szCs w:val="18"/>
              </w:rPr>
            </w:pPr>
            <w:r w:rsidRPr="00C96249">
              <w:rPr>
                <w:rFonts w:ascii="宋体" w:hAnsi="宋体" w:cs="宋体" w:hint="eastAsia"/>
                <w:b/>
                <w:bCs/>
                <w:kern w:val="0"/>
                <w:sz w:val="18"/>
                <w:szCs w:val="18"/>
              </w:rPr>
              <w:t>8706</w:t>
            </w:r>
          </w:p>
        </w:tc>
      </w:tr>
    </w:tbl>
    <w:p w:rsidR="009B28A7" w:rsidRDefault="00F13735">
      <w:pPr>
        <w:spacing w:line="360" w:lineRule="auto"/>
        <w:rPr>
          <w:rFonts w:ascii="宋体" w:hAnsi="宋体"/>
        </w:rPr>
      </w:pPr>
      <w:r>
        <w:rPr>
          <w:rFonts w:ascii="宋体" w:hAnsi="宋体" w:hint="eastAsia"/>
          <w:b/>
          <w:sz w:val="24"/>
        </w:rPr>
        <w:t xml:space="preserve">   </w:t>
      </w:r>
      <w:r w:rsidR="004752B0">
        <w:rPr>
          <w:rFonts w:ascii="宋体" w:hAnsi="宋体" w:hint="eastAsia"/>
          <w:b/>
          <w:sz w:val="24"/>
        </w:rPr>
        <w:t xml:space="preserve">　</w:t>
      </w:r>
      <w:r>
        <w:rPr>
          <w:rFonts w:ascii="宋体" w:hAnsi="宋体" w:hint="eastAsia"/>
          <w:b/>
          <w:sz w:val="24"/>
        </w:rPr>
        <w:t>★1、投标人不得对采购人提供的《维护范围及工程量》及报价表内工作量进行缩减，否则视为投标不响应。2、未提供或提供不全《维护范围及工程量报价表》的投标文件作废标处理。</w:t>
      </w:r>
    </w:p>
    <w:p w:rsidR="009B28A7" w:rsidRDefault="00F13735" w:rsidP="004752B0">
      <w:pPr>
        <w:spacing w:line="360" w:lineRule="auto"/>
        <w:ind w:firstLineChars="200" w:firstLine="482"/>
        <w:rPr>
          <w:rFonts w:ascii="宋体" w:hAnsi="宋体"/>
          <w:b/>
          <w:sz w:val="24"/>
        </w:rPr>
      </w:pPr>
      <w:r>
        <w:rPr>
          <w:rFonts w:ascii="宋体" w:hAnsi="宋体" w:hint="eastAsia"/>
          <w:b/>
          <w:sz w:val="24"/>
        </w:rPr>
        <w:t>十四、考评验收标准</w:t>
      </w:r>
    </w:p>
    <w:p w:rsidR="009B28A7" w:rsidRDefault="00F13735">
      <w:pPr>
        <w:spacing w:line="360" w:lineRule="auto"/>
        <w:ind w:firstLineChars="200" w:firstLine="480"/>
        <w:rPr>
          <w:rFonts w:ascii="宋体" w:hAnsi="宋体"/>
          <w:sz w:val="24"/>
        </w:rPr>
      </w:pPr>
      <w:r>
        <w:rPr>
          <w:rFonts w:ascii="宋体" w:hAnsi="宋体" w:hint="eastAsia"/>
          <w:sz w:val="24"/>
        </w:rPr>
        <w:t>采购方有权委托其他第三方专业机构，根据国家及行业标准或有关部门文件、规范（规定）等，独立实施或参与采购方组织的评定、考核、检测、验收中标单位服务质量的活动，在此过程中，中标单位必须无条件配合采购方</w:t>
      </w:r>
      <w:bookmarkStart w:id="3" w:name="_Toc49330211"/>
      <w:bookmarkStart w:id="4" w:name="_Toc49333641"/>
      <w:bookmarkStart w:id="5" w:name="_Toc118884546"/>
      <w:bookmarkEnd w:id="0"/>
      <w:bookmarkEnd w:id="1"/>
      <w:bookmarkEnd w:id="2"/>
      <w:r>
        <w:rPr>
          <w:rFonts w:ascii="宋体" w:hAnsi="宋体" w:hint="eastAsia"/>
          <w:sz w:val="24"/>
        </w:rPr>
        <w:t>完成考核验收工作。</w:t>
      </w:r>
    </w:p>
    <w:tbl>
      <w:tblPr>
        <w:tblW w:w="9229" w:type="dxa"/>
        <w:jc w:val="center"/>
        <w:tblLayout w:type="fixed"/>
        <w:tblLook w:val="0000" w:firstRow="0" w:lastRow="0" w:firstColumn="0" w:lastColumn="0" w:noHBand="0" w:noVBand="0"/>
      </w:tblPr>
      <w:tblGrid>
        <w:gridCol w:w="595"/>
        <w:gridCol w:w="992"/>
        <w:gridCol w:w="3407"/>
        <w:gridCol w:w="666"/>
        <w:gridCol w:w="2873"/>
        <w:gridCol w:w="696"/>
      </w:tblGrid>
      <w:tr w:rsidR="00F13735" w:rsidRPr="00C30295" w:rsidTr="004752B0">
        <w:trPr>
          <w:trHeight w:val="677"/>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F13735" w:rsidRPr="004752B0" w:rsidRDefault="00F13735" w:rsidP="00F13735">
            <w:pPr>
              <w:jc w:val="center"/>
              <w:rPr>
                <w:rFonts w:asciiTheme="minorEastAsia" w:eastAsiaTheme="minorEastAsia" w:hAnsiTheme="minorEastAsia"/>
                <w:b/>
                <w:sz w:val="18"/>
                <w:szCs w:val="18"/>
              </w:rPr>
            </w:pPr>
            <w:r w:rsidRPr="004752B0">
              <w:rPr>
                <w:rFonts w:asciiTheme="minorEastAsia" w:eastAsiaTheme="minorEastAsia" w:hAnsiTheme="minorEastAsia" w:hint="eastAsia"/>
                <w:b/>
                <w:sz w:val="18"/>
                <w:szCs w:val="18"/>
              </w:rPr>
              <w:t>序号</w:t>
            </w:r>
          </w:p>
        </w:tc>
        <w:tc>
          <w:tcPr>
            <w:tcW w:w="992" w:type="dxa"/>
            <w:tcBorders>
              <w:top w:val="single" w:sz="4" w:space="0" w:color="auto"/>
              <w:left w:val="nil"/>
              <w:bottom w:val="single" w:sz="4" w:space="0" w:color="auto"/>
              <w:right w:val="single" w:sz="4" w:space="0" w:color="auto"/>
            </w:tcBorders>
            <w:vAlign w:val="center"/>
          </w:tcPr>
          <w:p w:rsidR="00F13735" w:rsidRPr="004752B0" w:rsidRDefault="00F13735" w:rsidP="00F13735">
            <w:pPr>
              <w:jc w:val="center"/>
              <w:rPr>
                <w:rFonts w:asciiTheme="minorEastAsia" w:eastAsiaTheme="minorEastAsia" w:hAnsiTheme="minorEastAsia"/>
                <w:b/>
                <w:sz w:val="18"/>
                <w:szCs w:val="18"/>
              </w:rPr>
            </w:pPr>
            <w:r w:rsidRPr="004752B0">
              <w:rPr>
                <w:rFonts w:asciiTheme="minorEastAsia" w:eastAsiaTheme="minorEastAsia" w:hAnsiTheme="minorEastAsia" w:hint="eastAsia"/>
                <w:b/>
                <w:sz w:val="18"/>
                <w:szCs w:val="18"/>
              </w:rPr>
              <w:t>考核项目</w:t>
            </w:r>
          </w:p>
        </w:tc>
        <w:tc>
          <w:tcPr>
            <w:tcW w:w="3407" w:type="dxa"/>
            <w:tcBorders>
              <w:top w:val="single" w:sz="4" w:space="0" w:color="auto"/>
              <w:left w:val="nil"/>
              <w:bottom w:val="single" w:sz="4" w:space="0" w:color="auto"/>
              <w:right w:val="single" w:sz="4" w:space="0" w:color="auto"/>
            </w:tcBorders>
            <w:vAlign w:val="center"/>
          </w:tcPr>
          <w:p w:rsidR="00F13735" w:rsidRPr="004752B0" w:rsidRDefault="00F13735" w:rsidP="00F13735">
            <w:pPr>
              <w:jc w:val="center"/>
              <w:rPr>
                <w:rFonts w:asciiTheme="minorEastAsia" w:eastAsiaTheme="minorEastAsia" w:hAnsiTheme="minorEastAsia"/>
                <w:b/>
                <w:sz w:val="18"/>
                <w:szCs w:val="18"/>
              </w:rPr>
            </w:pPr>
            <w:r w:rsidRPr="004752B0">
              <w:rPr>
                <w:rFonts w:asciiTheme="minorEastAsia" w:eastAsiaTheme="minorEastAsia" w:hAnsiTheme="minorEastAsia" w:hint="eastAsia"/>
                <w:b/>
                <w:sz w:val="18"/>
                <w:szCs w:val="18"/>
              </w:rPr>
              <w:t>考核内容</w:t>
            </w:r>
          </w:p>
        </w:tc>
        <w:tc>
          <w:tcPr>
            <w:tcW w:w="666" w:type="dxa"/>
            <w:tcBorders>
              <w:top w:val="single" w:sz="4" w:space="0" w:color="auto"/>
              <w:left w:val="nil"/>
              <w:bottom w:val="single" w:sz="4" w:space="0" w:color="auto"/>
              <w:right w:val="single" w:sz="4" w:space="0" w:color="auto"/>
            </w:tcBorders>
            <w:vAlign w:val="center"/>
          </w:tcPr>
          <w:p w:rsidR="00F13735" w:rsidRPr="004752B0" w:rsidRDefault="00F13735" w:rsidP="00F13735">
            <w:pPr>
              <w:jc w:val="center"/>
              <w:rPr>
                <w:rFonts w:asciiTheme="minorEastAsia" w:eastAsiaTheme="minorEastAsia" w:hAnsiTheme="minorEastAsia"/>
                <w:b/>
                <w:sz w:val="18"/>
                <w:szCs w:val="18"/>
              </w:rPr>
            </w:pPr>
            <w:r w:rsidRPr="004752B0">
              <w:rPr>
                <w:rFonts w:asciiTheme="minorEastAsia" w:eastAsiaTheme="minorEastAsia" w:hAnsiTheme="minorEastAsia" w:hint="eastAsia"/>
                <w:b/>
                <w:sz w:val="18"/>
                <w:szCs w:val="18"/>
              </w:rPr>
              <w:t>分值</w:t>
            </w:r>
          </w:p>
        </w:tc>
        <w:tc>
          <w:tcPr>
            <w:tcW w:w="2873" w:type="dxa"/>
            <w:tcBorders>
              <w:top w:val="single" w:sz="4" w:space="0" w:color="auto"/>
              <w:left w:val="nil"/>
              <w:bottom w:val="single" w:sz="4" w:space="0" w:color="auto"/>
              <w:right w:val="single" w:sz="4" w:space="0" w:color="auto"/>
            </w:tcBorders>
            <w:vAlign w:val="center"/>
          </w:tcPr>
          <w:p w:rsidR="00F13735" w:rsidRPr="004752B0" w:rsidRDefault="00F13735" w:rsidP="00F13735">
            <w:pPr>
              <w:jc w:val="center"/>
              <w:rPr>
                <w:rFonts w:asciiTheme="minorEastAsia" w:eastAsiaTheme="minorEastAsia" w:hAnsiTheme="minorEastAsia"/>
                <w:b/>
                <w:sz w:val="18"/>
                <w:szCs w:val="18"/>
              </w:rPr>
            </w:pPr>
            <w:r w:rsidRPr="004752B0">
              <w:rPr>
                <w:rFonts w:asciiTheme="minorEastAsia" w:eastAsiaTheme="minorEastAsia" w:hAnsiTheme="minorEastAsia" w:hint="eastAsia"/>
                <w:b/>
                <w:sz w:val="18"/>
                <w:szCs w:val="18"/>
              </w:rPr>
              <w:t>扣分标准</w:t>
            </w:r>
          </w:p>
        </w:tc>
        <w:tc>
          <w:tcPr>
            <w:tcW w:w="696" w:type="dxa"/>
            <w:tcBorders>
              <w:top w:val="single" w:sz="4" w:space="0" w:color="auto"/>
              <w:left w:val="nil"/>
              <w:bottom w:val="single" w:sz="4" w:space="0" w:color="auto"/>
              <w:right w:val="single" w:sz="4" w:space="0" w:color="auto"/>
            </w:tcBorders>
            <w:vAlign w:val="center"/>
          </w:tcPr>
          <w:p w:rsidR="00F13735" w:rsidRPr="004752B0" w:rsidRDefault="00F13735" w:rsidP="00F13735">
            <w:pPr>
              <w:jc w:val="center"/>
              <w:rPr>
                <w:rFonts w:asciiTheme="minorEastAsia" w:eastAsiaTheme="minorEastAsia" w:hAnsiTheme="minorEastAsia"/>
                <w:b/>
                <w:sz w:val="18"/>
                <w:szCs w:val="18"/>
              </w:rPr>
            </w:pPr>
            <w:r w:rsidRPr="004752B0">
              <w:rPr>
                <w:rFonts w:asciiTheme="minorEastAsia" w:eastAsiaTheme="minorEastAsia" w:hAnsiTheme="minorEastAsia" w:hint="eastAsia"/>
                <w:b/>
                <w:sz w:val="18"/>
                <w:szCs w:val="18"/>
              </w:rPr>
              <w:t>得分</w:t>
            </w:r>
          </w:p>
        </w:tc>
      </w:tr>
      <w:tr w:rsidR="00F13735" w:rsidRPr="00C30295" w:rsidTr="004752B0">
        <w:trPr>
          <w:trHeight w:val="985"/>
          <w:jc w:val="center"/>
        </w:trPr>
        <w:tc>
          <w:tcPr>
            <w:tcW w:w="595" w:type="dxa"/>
            <w:tcBorders>
              <w:top w:val="nil"/>
              <w:left w:val="single" w:sz="4" w:space="0" w:color="auto"/>
              <w:bottom w:val="single" w:sz="4" w:space="0" w:color="auto"/>
              <w:right w:val="single" w:sz="4" w:space="0" w:color="auto"/>
            </w:tcBorders>
            <w:vAlign w:val="center"/>
          </w:tcPr>
          <w:p w:rsidR="00F13735" w:rsidRDefault="00F13735" w:rsidP="00F13735">
            <w:pPr>
              <w:jc w:val="center"/>
              <w:rPr>
                <w:rFonts w:asciiTheme="minorEastAsia" w:eastAsiaTheme="minorEastAsia" w:hAnsiTheme="minorEastAsia"/>
                <w:sz w:val="18"/>
                <w:szCs w:val="18"/>
              </w:rPr>
            </w:pPr>
            <w:r w:rsidRPr="00CF5B8B">
              <w:rPr>
                <w:rFonts w:asciiTheme="minorEastAsia" w:eastAsiaTheme="minorEastAsia" w:hAnsiTheme="minorEastAsia"/>
                <w:sz w:val="18"/>
                <w:szCs w:val="18"/>
              </w:rPr>
              <w:t>1</w:t>
            </w:r>
          </w:p>
        </w:tc>
        <w:tc>
          <w:tcPr>
            <w:tcW w:w="992" w:type="dxa"/>
            <w:tcBorders>
              <w:top w:val="nil"/>
              <w:left w:val="nil"/>
              <w:bottom w:val="single" w:sz="4" w:space="0" w:color="auto"/>
              <w:right w:val="single" w:sz="4" w:space="0" w:color="auto"/>
            </w:tcBorders>
            <w:vAlign w:val="center"/>
          </w:tcPr>
          <w:p w:rsidR="00F13735" w:rsidRPr="006E0367" w:rsidRDefault="00F13735" w:rsidP="00F13735">
            <w:pPr>
              <w:rPr>
                <w:rFonts w:asciiTheme="minorEastAsia" w:eastAsiaTheme="minorEastAsia" w:hAnsiTheme="minorEastAsia"/>
                <w:sz w:val="18"/>
                <w:szCs w:val="18"/>
              </w:rPr>
            </w:pPr>
            <w:r w:rsidRPr="00CF5B8B">
              <w:rPr>
                <w:rFonts w:asciiTheme="minorEastAsia" w:eastAsiaTheme="minorEastAsia" w:hAnsiTheme="minorEastAsia" w:hint="eastAsia"/>
                <w:sz w:val="18"/>
                <w:szCs w:val="18"/>
              </w:rPr>
              <w:t>制度建设和维护记录</w:t>
            </w:r>
          </w:p>
        </w:tc>
        <w:tc>
          <w:tcPr>
            <w:tcW w:w="3407" w:type="dxa"/>
            <w:tcBorders>
              <w:top w:val="nil"/>
              <w:left w:val="nil"/>
              <w:bottom w:val="single" w:sz="4" w:space="0" w:color="auto"/>
              <w:right w:val="single" w:sz="4" w:space="0" w:color="auto"/>
            </w:tcBorders>
            <w:vAlign w:val="center"/>
          </w:tcPr>
          <w:p w:rsidR="00F13735" w:rsidRPr="006E0367" w:rsidRDefault="00F13735" w:rsidP="00F13735">
            <w:pPr>
              <w:rPr>
                <w:rFonts w:asciiTheme="minorEastAsia" w:eastAsiaTheme="minorEastAsia" w:hAnsiTheme="minorEastAsia"/>
                <w:sz w:val="18"/>
                <w:szCs w:val="18"/>
              </w:rPr>
            </w:pPr>
            <w:r w:rsidRPr="00CF5B8B">
              <w:rPr>
                <w:rFonts w:asciiTheme="minorEastAsia" w:eastAsiaTheme="minorEastAsia" w:hAnsiTheme="minorEastAsia" w:hint="eastAsia"/>
                <w:sz w:val="18"/>
                <w:szCs w:val="18"/>
              </w:rPr>
              <w:t>各项制度、措施的建立和完善；巡查日志、维修日志及其他台账的建立和完善</w:t>
            </w:r>
          </w:p>
        </w:tc>
        <w:tc>
          <w:tcPr>
            <w:tcW w:w="666" w:type="dxa"/>
            <w:tcBorders>
              <w:top w:val="nil"/>
              <w:left w:val="nil"/>
              <w:bottom w:val="single" w:sz="4" w:space="0" w:color="auto"/>
              <w:right w:val="single" w:sz="4" w:space="0" w:color="auto"/>
            </w:tcBorders>
            <w:vAlign w:val="center"/>
          </w:tcPr>
          <w:p w:rsidR="00F13735" w:rsidRDefault="00F13735" w:rsidP="00F13735">
            <w:pPr>
              <w:jc w:val="center"/>
              <w:rPr>
                <w:rFonts w:asciiTheme="minorEastAsia" w:eastAsiaTheme="minorEastAsia" w:hAnsiTheme="minorEastAsia"/>
                <w:sz w:val="18"/>
                <w:szCs w:val="18"/>
              </w:rPr>
            </w:pPr>
            <w:r w:rsidRPr="00CF5B8B">
              <w:rPr>
                <w:rFonts w:asciiTheme="minorEastAsia" w:eastAsiaTheme="minorEastAsia" w:hAnsiTheme="minorEastAsia"/>
                <w:sz w:val="18"/>
                <w:szCs w:val="18"/>
              </w:rPr>
              <w:t>5</w:t>
            </w:r>
          </w:p>
        </w:tc>
        <w:tc>
          <w:tcPr>
            <w:tcW w:w="2873" w:type="dxa"/>
            <w:tcBorders>
              <w:top w:val="nil"/>
              <w:left w:val="nil"/>
              <w:bottom w:val="single" w:sz="4" w:space="0" w:color="auto"/>
              <w:right w:val="single" w:sz="4" w:space="0" w:color="auto"/>
            </w:tcBorders>
            <w:vAlign w:val="center"/>
          </w:tcPr>
          <w:p w:rsidR="00F13735" w:rsidRPr="006E0367" w:rsidRDefault="00F13735" w:rsidP="00F13735">
            <w:pPr>
              <w:rPr>
                <w:rFonts w:asciiTheme="minorEastAsia" w:eastAsiaTheme="minorEastAsia" w:hAnsiTheme="minorEastAsia"/>
                <w:sz w:val="18"/>
                <w:szCs w:val="18"/>
              </w:rPr>
            </w:pPr>
            <w:r w:rsidRPr="00CF5B8B">
              <w:rPr>
                <w:rFonts w:asciiTheme="minorEastAsia" w:eastAsiaTheme="minorEastAsia" w:hAnsiTheme="minorEastAsia" w:hint="eastAsia"/>
                <w:sz w:val="18"/>
                <w:szCs w:val="18"/>
              </w:rPr>
              <w:t>制度不完善、责任不明确、各类台账模糊不清，整改不到位的，每发现一起、扣</w:t>
            </w:r>
            <w:r w:rsidRPr="00CF5B8B">
              <w:rPr>
                <w:rFonts w:asciiTheme="minorEastAsia" w:eastAsiaTheme="minorEastAsia" w:hAnsiTheme="minorEastAsia"/>
                <w:sz w:val="18"/>
                <w:szCs w:val="18"/>
              </w:rPr>
              <w:t>1分。</w:t>
            </w:r>
          </w:p>
        </w:tc>
        <w:tc>
          <w:tcPr>
            <w:tcW w:w="696" w:type="dxa"/>
            <w:tcBorders>
              <w:top w:val="nil"/>
              <w:left w:val="nil"/>
              <w:bottom w:val="single" w:sz="4" w:space="0" w:color="auto"/>
              <w:right w:val="single" w:sz="4" w:space="0" w:color="auto"/>
            </w:tcBorders>
            <w:vAlign w:val="center"/>
          </w:tcPr>
          <w:p w:rsidR="00F13735" w:rsidRPr="006E0367" w:rsidRDefault="00F13735" w:rsidP="00F13735">
            <w:pPr>
              <w:keepNext/>
              <w:keepLines/>
              <w:spacing w:before="260" w:after="260" w:line="416" w:lineRule="auto"/>
              <w:rPr>
                <w:rFonts w:asciiTheme="minorEastAsia" w:eastAsiaTheme="minorEastAsia" w:hAnsiTheme="minorEastAsia"/>
                <w:sz w:val="18"/>
                <w:szCs w:val="18"/>
              </w:rPr>
            </w:pPr>
          </w:p>
        </w:tc>
      </w:tr>
      <w:tr w:rsidR="00F13735" w:rsidRPr="00C30295" w:rsidTr="004752B0">
        <w:trPr>
          <w:trHeight w:val="701"/>
          <w:jc w:val="center"/>
        </w:trPr>
        <w:tc>
          <w:tcPr>
            <w:tcW w:w="595" w:type="dxa"/>
            <w:tcBorders>
              <w:top w:val="nil"/>
              <w:left w:val="single" w:sz="4" w:space="0" w:color="auto"/>
              <w:bottom w:val="single" w:sz="4" w:space="0" w:color="auto"/>
              <w:right w:val="single" w:sz="4" w:space="0" w:color="auto"/>
            </w:tcBorders>
            <w:vAlign w:val="center"/>
          </w:tcPr>
          <w:p w:rsidR="00F13735" w:rsidRDefault="00F13735" w:rsidP="00F13735">
            <w:pPr>
              <w:jc w:val="center"/>
              <w:rPr>
                <w:rFonts w:asciiTheme="minorEastAsia" w:eastAsiaTheme="minorEastAsia" w:hAnsiTheme="minorEastAsia"/>
                <w:sz w:val="18"/>
                <w:szCs w:val="18"/>
              </w:rPr>
            </w:pPr>
            <w:r w:rsidRPr="00CF5B8B">
              <w:rPr>
                <w:rFonts w:asciiTheme="minorEastAsia" w:eastAsiaTheme="minorEastAsia" w:hAnsiTheme="minorEastAsia"/>
                <w:sz w:val="18"/>
                <w:szCs w:val="18"/>
              </w:rPr>
              <w:lastRenderedPageBreak/>
              <w:t>2</w:t>
            </w:r>
          </w:p>
        </w:tc>
        <w:tc>
          <w:tcPr>
            <w:tcW w:w="992" w:type="dxa"/>
            <w:vMerge w:val="restart"/>
            <w:tcBorders>
              <w:top w:val="nil"/>
              <w:left w:val="single" w:sz="4" w:space="0" w:color="auto"/>
              <w:bottom w:val="single" w:sz="4" w:space="0" w:color="auto"/>
              <w:right w:val="single" w:sz="4" w:space="0" w:color="auto"/>
            </w:tcBorders>
            <w:vAlign w:val="center"/>
          </w:tcPr>
          <w:p w:rsidR="00F13735" w:rsidRPr="006E0367" w:rsidRDefault="00F13735" w:rsidP="00F13735">
            <w:pPr>
              <w:rPr>
                <w:rFonts w:asciiTheme="minorEastAsia" w:eastAsiaTheme="minorEastAsia" w:hAnsiTheme="minorEastAsia"/>
                <w:sz w:val="18"/>
                <w:szCs w:val="18"/>
              </w:rPr>
            </w:pPr>
            <w:r w:rsidRPr="00CF5B8B">
              <w:rPr>
                <w:rFonts w:asciiTheme="minorEastAsia" w:eastAsiaTheme="minorEastAsia" w:hAnsiTheme="minorEastAsia" w:hint="eastAsia"/>
                <w:sz w:val="18"/>
                <w:szCs w:val="18"/>
              </w:rPr>
              <w:t>维护指标</w:t>
            </w:r>
          </w:p>
        </w:tc>
        <w:tc>
          <w:tcPr>
            <w:tcW w:w="3407" w:type="dxa"/>
            <w:tcBorders>
              <w:top w:val="nil"/>
              <w:left w:val="nil"/>
              <w:bottom w:val="single" w:sz="4" w:space="0" w:color="auto"/>
              <w:right w:val="single" w:sz="4" w:space="0" w:color="auto"/>
            </w:tcBorders>
            <w:vAlign w:val="center"/>
          </w:tcPr>
          <w:p w:rsidR="00F13735" w:rsidRPr="006E0367" w:rsidRDefault="00F13735" w:rsidP="00F13735">
            <w:pPr>
              <w:rPr>
                <w:rFonts w:asciiTheme="minorEastAsia" w:eastAsiaTheme="minorEastAsia" w:hAnsiTheme="minorEastAsia"/>
                <w:sz w:val="18"/>
                <w:szCs w:val="18"/>
              </w:rPr>
            </w:pPr>
            <w:r w:rsidRPr="00CF5B8B">
              <w:rPr>
                <w:rFonts w:asciiTheme="minorEastAsia" w:eastAsiaTheme="minorEastAsia" w:hAnsiTheme="minorEastAsia" w:hint="eastAsia"/>
                <w:sz w:val="18"/>
                <w:szCs w:val="18"/>
              </w:rPr>
              <w:t>亮灯率达到</w:t>
            </w:r>
            <w:r w:rsidRPr="00CF5B8B">
              <w:rPr>
                <w:rFonts w:asciiTheme="minorEastAsia" w:eastAsiaTheme="minorEastAsia" w:hAnsiTheme="minorEastAsia"/>
                <w:sz w:val="18"/>
                <w:szCs w:val="18"/>
              </w:rPr>
              <w:t>98%以上；</w:t>
            </w:r>
          </w:p>
        </w:tc>
        <w:tc>
          <w:tcPr>
            <w:tcW w:w="666" w:type="dxa"/>
            <w:tcBorders>
              <w:top w:val="nil"/>
              <w:left w:val="nil"/>
              <w:bottom w:val="single" w:sz="4" w:space="0" w:color="auto"/>
              <w:right w:val="single" w:sz="4" w:space="0" w:color="auto"/>
            </w:tcBorders>
            <w:vAlign w:val="center"/>
          </w:tcPr>
          <w:p w:rsidR="00F13735" w:rsidRDefault="00F13735" w:rsidP="00F13735">
            <w:pPr>
              <w:jc w:val="center"/>
              <w:rPr>
                <w:rFonts w:asciiTheme="minorEastAsia" w:eastAsiaTheme="minorEastAsia" w:hAnsiTheme="minorEastAsia"/>
                <w:sz w:val="18"/>
                <w:szCs w:val="18"/>
              </w:rPr>
            </w:pPr>
            <w:r w:rsidRPr="00CF5B8B">
              <w:rPr>
                <w:rFonts w:asciiTheme="minorEastAsia" w:eastAsiaTheme="minorEastAsia" w:hAnsiTheme="minorEastAsia"/>
                <w:sz w:val="18"/>
                <w:szCs w:val="18"/>
              </w:rPr>
              <w:t>25</w:t>
            </w:r>
          </w:p>
        </w:tc>
        <w:tc>
          <w:tcPr>
            <w:tcW w:w="2873" w:type="dxa"/>
            <w:tcBorders>
              <w:top w:val="nil"/>
              <w:left w:val="nil"/>
              <w:bottom w:val="single" w:sz="4" w:space="0" w:color="auto"/>
              <w:right w:val="single" w:sz="4" w:space="0" w:color="auto"/>
            </w:tcBorders>
            <w:vAlign w:val="center"/>
          </w:tcPr>
          <w:p w:rsidR="00F13735" w:rsidRPr="006E0367" w:rsidRDefault="00F13735" w:rsidP="00F13735">
            <w:pPr>
              <w:rPr>
                <w:rFonts w:asciiTheme="minorEastAsia" w:eastAsiaTheme="minorEastAsia" w:hAnsiTheme="minorEastAsia"/>
                <w:sz w:val="18"/>
                <w:szCs w:val="18"/>
              </w:rPr>
            </w:pPr>
            <w:r w:rsidRPr="00CF5B8B">
              <w:rPr>
                <w:rFonts w:asciiTheme="minorEastAsia" w:eastAsiaTheme="minorEastAsia" w:hAnsiTheme="minorEastAsia" w:hint="eastAsia"/>
                <w:sz w:val="18"/>
                <w:szCs w:val="18"/>
              </w:rPr>
              <w:t>检查景观灯亮灯情况，每下降一个百分点、扣</w:t>
            </w:r>
            <w:r w:rsidRPr="00CF5B8B">
              <w:rPr>
                <w:rFonts w:asciiTheme="minorEastAsia" w:eastAsiaTheme="minorEastAsia" w:hAnsiTheme="minorEastAsia"/>
                <w:sz w:val="18"/>
                <w:szCs w:val="18"/>
              </w:rPr>
              <w:t>1分。</w:t>
            </w:r>
          </w:p>
        </w:tc>
        <w:tc>
          <w:tcPr>
            <w:tcW w:w="696" w:type="dxa"/>
            <w:tcBorders>
              <w:top w:val="nil"/>
              <w:left w:val="nil"/>
              <w:bottom w:val="single" w:sz="4" w:space="0" w:color="auto"/>
              <w:right w:val="single" w:sz="4" w:space="0" w:color="auto"/>
            </w:tcBorders>
            <w:vAlign w:val="center"/>
          </w:tcPr>
          <w:p w:rsidR="00F13735" w:rsidRPr="006E0367" w:rsidRDefault="00F13735" w:rsidP="00F13735">
            <w:pPr>
              <w:keepNext/>
              <w:keepLines/>
              <w:spacing w:before="260" w:after="260" w:line="416" w:lineRule="auto"/>
              <w:rPr>
                <w:rFonts w:asciiTheme="minorEastAsia" w:eastAsiaTheme="minorEastAsia" w:hAnsiTheme="minorEastAsia"/>
                <w:sz w:val="18"/>
                <w:szCs w:val="18"/>
              </w:rPr>
            </w:pPr>
          </w:p>
        </w:tc>
      </w:tr>
      <w:tr w:rsidR="00F13735" w:rsidRPr="00C30295" w:rsidTr="004752B0">
        <w:trPr>
          <w:trHeight w:val="630"/>
          <w:jc w:val="center"/>
        </w:trPr>
        <w:tc>
          <w:tcPr>
            <w:tcW w:w="595" w:type="dxa"/>
            <w:tcBorders>
              <w:top w:val="nil"/>
              <w:left w:val="single" w:sz="4" w:space="0" w:color="auto"/>
              <w:bottom w:val="single" w:sz="4" w:space="0" w:color="auto"/>
              <w:right w:val="single" w:sz="4" w:space="0" w:color="auto"/>
            </w:tcBorders>
            <w:vAlign w:val="center"/>
          </w:tcPr>
          <w:p w:rsidR="00F13735" w:rsidRDefault="00F13735" w:rsidP="00F13735">
            <w:pPr>
              <w:jc w:val="center"/>
              <w:rPr>
                <w:rFonts w:asciiTheme="minorEastAsia" w:eastAsiaTheme="minorEastAsia" w:hAnsiTheme="minorEastAsia"/>
                <w:sz w:val="18"/>
                <w:szCs w:val="18"/>
              </w:rPr>
            </w:pPr>
            <w:r w:rsidRPr="00CF5B8B">
              <w:rPr>
                <w:rFonts w:asciiTheme="minorEastAsia" w:eastAsiaTheme="minorEastAsia" w:hAnsiTheme="minorEastAsia"/>
                <w:sz w:val="18"/>
                <w:szCs w:val="18"/>
              </w:rPr>
              <w:t>3</w:t>
            </w:r>
          </w:p>
        </w:tc>
        <w:tc>
          <w:tcPr>
            <w:tcW w:w="992" w:type="dxa"/>
            <w:vMerge/>
            <w:tcBorders>
              <w:top w:val="nil"/>
              <w:left w:val="single" w:sz="4" w:space="0" w:color="auto"/>
              <w:bottom w:val="single" w:sz="4" w:space="0" w:color="auto"/>
              <w:right w:val="single" w:sz="4" w:space="0" w:color="auto"/>
            </w:tcBorders>
            <w:vAlign w:val="center"/>
          </w:tcPr>
          <w:p w:rsidR="00F13735" w:rsidRPr="006E0367" w:rsidRDefault="00F13735" w:rsidP="00F13735">
            <w:pPr>
              <w:keepNext/>
              <w:keepLines/>
              <w:spacing w:before="340" w:after="330" w:line="578" w:lineRule="auto"/>
              <w:rPr>
                <w:rFonts w:asciiTheme="minorEastAsia" w:eastAsiaTheme="minorEastAsia" w:hAnsiTheme="minorEastAsia"/>
                <w:sz w:val="18"/>
                <w:szCs w:val="18"/>
              </w:rPr>
            </w:pPr>
          </w:p>
        </w:tc>
        <w:tc>
          <w:tcPr>
            <w:tcW w:w="3407" w:type="dxa"/>
            <w:tcBorders>
              <w:top w:val="nil"/>
              <w:left w:val="nil"/>
              <w:bottom w:val="single" w:sz="4" w:space="0" w:color="auto"/>
              <w:right w:val="single" w:sz="4" w:space="0" w:color="auto"/>
            </w:tcBorders>
            <w:vAlign w:val="center"/>
          </w:tcPr>
          <w:p w:rsidR="00F13735" w:rsidRPr="006E0367" w:rsidRDefault="00F13735" w:rsidP="00F13735">
            <w:pPr>
              <w:rPr>
                <w:rFonts w:asciiTheme="minorEastAsia" w:eastAsiaTheme="minorEastAsia" w:hAnsiTheme="minorEastAsia"/>
                <w:sz w:val="18"/>
                <w:szCs w:val="18"/>
              </w:rPr>
            </w:pPr>
            <w:r w:rsidRPr="00CF5B8B">
              <w:rPr>
                <w:rFonts w:asciiTheme="minorEastAsia" w:eastAsiaTheme="minorEastAsia" w:hAnsiTheme="minorEastAsia" w:hint="eastAsia"/>
                <w:sz w:val="18"/>
                <w:szCs w:val="18"/>
              </w:rPr>
              <w:t>设施整洁率</w:t>
            </w:r>
            <w:r w:rsidRPr="00CF5B8B">
              <w:rPr>
                <w:rFonts w:asciiTheme="minorEastAsia" w:eastAsiaTheme="minorEastAsia" w:hAnsiTheme="minorEastAsia"/>
                <w:sz w:val="18"/>
                <w:szCs w:val="18"/>
              </w:rPr>
              <w:t>95%以上；</w:t>
            </w:r>
          </w:p>
        </w:tc>
        <w:tc>
          <w:tcPr>
            <w:tcW w:w="666" w:type="dxa"/>
            <w:tcBorders>
              <w:top w:val="nil"/>
              <w:left w:val="nil"/>
              <w:bottom w:val="single" w:sz="4" w:space="0" w:color="auto"/>
              <w:right w:val="single" w:sz="4" w:space="0" w:color="auto"/>
            </w:tcBorders>
            <w:vAlign w:val="center"/>
          </w:tcPr>
          <w:p w:rsidR="00F13735" w:rsidRDefault="00F13735" w:rsidP="00F13735">
            <w:pPr>
              <w:jc w:val="center"/>
              <w:rPr>
                <w:rFonts w:asciiTheme="minorEastAsia" w:eastAsiaTheme="minorEastAsia" w:hAnsiTheme="minorEastAsia"/>
                <w:sz w:val="18"/>
                <w:szCs w:val="18"/>
              </w:rPr>
            </w:pPr>
            <w:r w:rsidRPr="00CF5B8B">
              <w:rPr>
                <w:rFonts w:asciiTheme="minorEastAsia" w:eastAsiaTheme="minorEastAsia" w:hAnsiTheme="minorEastAsia"/>
                <w:sz w:val="18"/>
                <w:szCs w:val="18"/>
              </w:rPr>
              <w:t>25</w:t>
            </w:r>
          </w:p>
        </w:tc>
        <w:tc>
          <w:tcPr>
            <w:tcW w:w="2873" w:type="dxa"/>
            <w:tcBorders>
              <w:top w:val="nil"/>
              <w:left w:val="nil"/>
              <w:bottom w:val="single" w:sz="4" w:space="0" w:color="auto"/>
              <w:right w:val="single" w:sz="4" w:space="0" w:color="auto"/>
            </w:tcBorders>
            <w:vAlign w:val="center"/>
          </w:tcPr>
          <w:p w:rsidR="00F13735" w:rsidRPr="006E0367" w:rsidRDefault="00F13735" w:rsidP="00F13735">
            <w:pPr>
              <w:rPr>
                <w:rFonts w:asciiTheme="minorEastAsia" w:eastAsiaTheme="minorEastAsia" w:hAnsiTheme="minorEastAsia"/>
                <w:sz w:val="18"/>
                <w:szCs w:val="18"/>
              </w:rPr>
            </w:pPr>
            <w:r w:rsidRPr="00CF5B8B">
              <w:rPr>
                <w:rFonts w:asciiTheme="minorEastAsia" w:eastAsiaTheme="minorEastAsia" w:hAnsiTheme="minorEastAsia" w:hint="eastAsia"/>
                <w:sz w:val="18"/>
                <w:szCs w:val="18"/>
              </w:rPr>
              <w:t>检查设施外观是否整洁，每下降一个百分点、扣</w:t>
            </w:r>
            <w:r w:rsidRPr="00CF5B8B">
              <w:rPr>
                <w:rFonts w:asciiTheme="minorEastAsia" w:eastAsiaTheme="minorEastAsia" w:hAnsiTheme="minorEastAsia"/>
                <w:sz w:val="18"/>
                <w:szCs w:val="18"/>
              </w:rPr>
              <w:t>0.5分。</w:t>
            </w:r>
          </w:p>
        </w:tc>
        <w:tc>
          <w:tcPr>
            <w:tcW w:w="696" w:type="dxa"/>
            <w:tcBorders>
              <w:top w:val="nil"/>
              <w:left w:val="nil"/>
              <w:bottom w:val="single" w:sz="4" w:space="0" w:color="auto"/>
              <w:right w:val="single" w:sz="4" w:space="0" w:color="auto"/>
            </w:tcBorders>
            <w:vAlign w:val="center"/>
          </w:tcPr>
          <w:p w:rsidR="00F13735" w:rsidRPr="006E0367" w:rsidRDefault="00F13735" w:rsidP="00F13735">
            <w:pPr>
              <w:keepNext/>
              <w:keepLines/>
              <w:spacing w:before="260" w:after="260" w:line="416" w:lineRule="auto"/>
              <w:rPr>
                <w:rFonts w:asciiTheme="minorEastAsia" w:eastAsiaTheme="minorEastAsia" w:hAnsiTheme="minorEastAsia"/>
                <w:sz w:val="18"/>
                <w:szCs w:val="18"/>
              </w:rPr>
            </w:pPr>
          </w:p>
        </w:tc>
      </w:tr>
      <w:tr w:rsidR="00F13735" w:rsidRPr="00C30295" w:rsidTr="004752B0">
        <w:trPr>
          <w:trHeight w:val="763"/>
          <w:jc w:val="center"/>
        </w:trPr>
        <w:tc>
          <w:tcPr>
            <w:tcW w:w="595" w:type="dxa"/>
            <w:tcBorders>
              <w:top w:val="nil"/>
              <w:left w:val="single" w:sz="4" w:space="0" w:color="auto"/>
              <w:bottom w:val="single" w:sz="4" w:space="0" w:color="auto"/>
              <w:right w:val="single" w:sz="4" w:space="0" w:color="auto"/>
            </w:tcBorders>
            <w:vAlign w:val="center"/>
          </w:tcPr>
          <w:p w:rsidR="00F13735" w:rsidRDefault="00F13735" w:rsidP="00F13735">
            <w:pPr>
              <w:jc w:val="center"/>
              <w:rPr>
                <w:rFonts w:asciiTheme="minorEastAsia" w:eastAsiaTheme="minorEastAsia" w:hAnsiTheme="minorEastAsia"/>
                <w:sz w:val="18"/>
                <w:szCs w:val="18"/>
              </w:rPr>
            </w:pPr>
            <w:r w:rsidRPr="00CF5B8B">
              <w:rPr>
                <w:rFonts w:asciiTheme="minorEastAsia" w:eastAsiaTheme="minorEastAsia" w:hAnsiTheme="minorEastAsia"/>
                <w:sz w:val="18"/>
                <w:szCs w:val="18"/>
              </w:rPr>
              <w:t>4</w:t>
            </w:r>
          </w:p>
        </w:tc>
        <w:tc>
          <w:tcPr>
            <w:tcW w:w="992" w:type="dxa"/>
            <w:vMerge/>
            <w:tcBorders>
              <w:top w:val="nil"/>
              <w:left w:val="single" w:sz="4" w:space="0" w:color="auto"/>
              <w:bottom w:val="single" w:sz="4" w:space="0" w:color="auto"/>
              <w:right w:val="single" w:sz="4" w:space="0" w:color="auto"/>
            </w:tcBorders>
            <w:vAlign w:val="center"/>
          </w:tcPr>
          <w:p w:rsidR="00F13735" w:rsidRPr="006E0367" w:rsidRDefault="00F13735" w:rsidP="00F13735">
            <w:pPr>
              <w:keepNext/>
              <w:keepLines/>
              <w:spacing w:before="340" w:after="330" w:line="578" w:lineRule="auto"/>
              <w:rPr>
                <w:rFonts w:asciiTheme="minorEastAsia" w:eastAsiaTheme="minorEastAsia" w:hAnsiTheme="minorEastAsia"/>
                <w:sz w:val="18"/>
                <w:szCs w:val="18"/>
              </w:rPr>
            </w:pPr>
          </w:p>
        </w:tc>
        <w:tc>
          <w:tcPr>
            <w:tcW w:w="3407" w:type="dxa"/>
            <w:tcBorders>
              <w:top w:val="nil"/>
              <w:left w:val="nil"/>
              <w:bottom w:val="single" w:sz="4" w:space="0" w:color="auto"/>
              <w:right w:val="single" w:sz="4" w:space="0" w:color="auto"/>
            </w:tcBorders>
            <w:vAlign w:val="center"/>
          </w:tcPr>
          <w:p w:rsidR="00F13735" w:rsidRPr="006E0367" w:rsidRDefault="00F13735" w:rsidP="00F13735">
            <w:pPr>
              <w:rPr>
                <w:rFonts w:asciiTheme="minorEastAsia" w:eastAsiaTheme="minorEastAsia" w:hAnsiTheme="minorEastAsia"/>
                <w:sz w:val="18"/>
                <w:szCs w:val="18"/>
              </w:rPr>
            </w:pPr>
            <w:r w:rsidRPr="00CF5B8B">
              <w:rPr>
                <w:rFonts w:asciiTheme="minorEastAsia" w:eastAsiaTheme="minorEastAsia" w:hAnsiTheme="minorEastAsia" w:hint="eastAsia"/>
                <w:sz w:val="18"/>
                <w:szCs w:val="18"/>
              </w:rPr>
              <w:t>设施完好率</w:t>
            </w:r>
            <w:r w:rsidRPr="00CF5B8B">
              <w:rPr>
                <w:rFonts w:asciiTheme="minorEastAsia" w:eastAsiaTheme="minorEastAsia" w:hAnsiTheme="minorEastAsia"/>
                <w:sz w:val="18"/>
                <w:szCs w:val="18"/>
              </w:rPr>
              <w:t>98%以上；</w:t>
            </w:r>
          </w:p>
        </w:tc>
        <w:tc>
          <w:tcPr>
            <w:tcW w:w="666" w:type="dxa"/>
            <w:tcBorders>
              <w:top w:val="nil"/>
              <w:left w:val="nil"/>
              <w:bottom w:val="single" w:sz="4" w:space="0" w:color="auto"/>
              <w:right w:val="single" w:sz="4" w:space="0" w:color="auto"/>
            </w:tcBorders>
            <w:vAlign w:val="center"/>
          </w:tcPr>
          <w:p w:rsidR="00F13735" w:rsidRDefault="00F13735" w:rsidP="00F13735">
            <w:pPr>
              <w:jc w:val="center"/>
              <w:rPr>
                <w:rFonts w:asciiTheme="minorEastAsia" w:eastAsiaTheme="minorEastAsia" w:hAnsiTheme="minorEastAsia"/>
                <w:sz w:val="18"/>
                <w:szCs w:val="18"/>
              </w:rPr>
            </w:pPr>
            <w:r w:rsidRPr="00CF5B8B">
              <w:rPr>
                <w:rFonts w:asciiTheme="minorEastAsia" w:eastAsiaTheme="minorEastAsia" w:hAnsiTheme="minorEastAsia"/>
                <w:sz w:val="18"/>
                <w:szCs w:val="18"/>
              </w:rPr>
              <w:t>25</w:t>
            </w:r>
          </w:p>
        </w:tc>
        <w:tc>
          <w:tcPr>
            <w:tcW w:w="2873" w:type="dxa"/>
            <w:tcBorders>
              <w:top w:val="nil"/>
              <w:left w:val="nil"/>
              <w:bottom w:val="single" w:sz="4" w:space="0" w:color="auto"/>
              <w:right w:val="single" w:sz="4" w:space="0" w:color="auto"/>
            </w:tcBorders>
            <w:vAlign w:val="center"/>
          </w:tcPr>
          <w:p w:rsidR="00F13735" w:rsidRPr="006E0367" w:rsidRDefault="00F13735" w:rsidP="00F13735">
            <w:pPr>
              <w:rPr>
                <w:rFonts w:asciiTheme="minorEastAsia" w:eastAsiaTheme="minorEastAsia" w:hAnsiTheme="minorEastAsia"/>
                <w:sz w:val="18"/>
                <w:szCs w:val="18"/>
              </w:rPr>
            </w:pPr>
            <w:r w:rsidRPr="00CF5B8B">
              <w:rPr>
                <w:rFonts w:asciiTheme="minorEastAsia" w:eastAsiaTheme="minorEastAsia" w:hAnsiTheme="minorEastAsia" w:hint="eastAsia"/>
                <w:sz w:val="18"/>
                <w:szCs w:val="18"/>
              </w:rPr>
              <w:t>检查有无破损、坠落、松动、裸露等现象，每下降一个百分点、扣</w:t>
            </w:r>
            <w:r w:rsidRPr="00CF5B8B">
              <w:rPr>
                <w:rFonts w:asciiTheme="minorEastAsia" w:eastAsiaTheme="minorEastAsia" w:hAnsiTheme="minorEastAsia"/>
                <w:sz w:val="18"/>
                <w:szCs w:val="18"/>
              </w:rPr>
              <w:t>0.5分</w:t>
            </w:r>
          </w:p>
        </w:tc>
        <w:tc>
          <w:tcPr>
            <w:tcW w:w="696" w:type="dxa"/>
            <w:tcBorders>
              <w:top w:val="nil"/>
              <w:left w:val="nil"/>
              <w:bottom w:val="single" w:sz="4" w:space="0" w:color="auto"/>
              <w:right w:val="single" w:sz="4" w:space="0" w:color="auto"/>
            </w:tcBorders>
            <w:vAlign w:val="center"/>
          </w:tcPr>
          <w:p w:rsidR="00F13735" w:rsidRPr="006E0367" w:rsidRDefault="00F13735" w:rsidP="00F13735">
            <w:pPr>
              <w:keepNext/>
              <w:keepLines/>
              <w:spacing w:before="260" w:after="260" w:line="416" w:lineRule="auto"/>
              <w:rPr>
                <w:rFonts w:asciiTheme="minorEastAsia" w:eastAsiaTheme="minorEastAsia" w:hAnsiTheme="minorEastAsia"/>
                <w:sz w:val="18"/>
                <w:szCs w:val="18"/>
              </w:rPr>
            </w:pPr>
          </w:p>
        </w:tc>
      </w:tr>
      <w:tr w:rsidR="00F13735" w:rsidRPr="00C30295" w:rsidTr="004752B0">
        <w:trPr>
          <w:trHeight w:val="547"/>
          <w:jc w:val="center"/>
        </w:trPr>
        <w:tc>
          <w:tcPr>
            <w:tcW w:w="595" w:type="dxa"/>
            <w:tcBorders>
              <w:top w:val="nil"/>
              <w:left w:val="single" w:sz="4" w:space="0" w:color="auto"/>
              <w:bottom w:val="single" w:sz="4" w:space="0" w:color="auto"/>
              <w:right w:val="single" w:sz="4" w:space="0" w:color="auto"/>
            </w:tcBorders>
            <w:vAlign w:val="center"/>
          </w:tcPr>
          <w:p w:rsidR="00F13735" w:rsidRDefault="00F13735" w:rsidP="00F13735">
            <w:pPr>
              <w:jc w:val="center"/>
              <w:rPr>
                <w:rFonts w:asciiTheme="minorEastAsia" w:eastAsiaTheme="minorEastAsia" w:hAnsiTheme="minorEastAsia"/>
                <w:sz w:val="18"/>
                <w:szCs w:val="18"/>
              </w:rPr>
            </w:pPr>
            <w:r w:rsidRPr="00CF5B8B">
              <w:rPr>
                <w:rFonts w:asciiTheme="minorEastAsia" w:eastAsiaTheme="minorEastAsia" w:hAnsiTheme="minorEastAsia"/>
                <w:sz w:val="18"/>
                <w:szCs w:val="18"/>
              </w:rPr>
              <w:t>5</w:t>
            </w:r>
          </w:p>
        </w:tc>
        <w:tc>
          <w:tcPr>
            <w:tcW w:w="992" w:type="dxa"/>
            <w:vMerge w:val="restart"/>
            <w:tcBorders>
              <w:top w:val="nil"/>
              <w:left w:val="single" w:sz="4" w:space="0" w:color="auto"/>
              <w:right w:val="single" w:sz="4" w:space="0" w:color="auto"/>
            </w:tcBorders>
            <w:vAlign w:val="center"/>
          </w:tcPr>
          <w:p w:rsidR="00F13735" w:rsidRPr="006E0367" w:rsidRDefault="00F13735" w:rsidP="00F13735">
            <w:pPr>
              <w:rPr>
                <w:rFonts w:asciiTheme="minorEastAsia" w:eastAsiaTheme="minorEastAsia" w:hAnsiTheme="minorEastAsia"/>
                <w:sz w:val="18"/>
                <w:szCs w:val="18"/>
              </w:rPr>
            </w:pPr>
            <w:r w:rsidRPr="00CF5B8B">
              <w:rPr>
                <w:rFonts w:asciiTheme="minorEastAsia" w:eastAsiaTheme="minorEastAsia" w:hAnsiTheme="minorEastAsia" w:hint="eastAsia"/>
                <w:sz w:val="18"/>
                <w:szCs w:val="18"/>
              </w:rPr>
              <w:t>故障处置</w:t>
            </w:r>
          </w:p>
        </w:tc>
        <w:tc>
          <w:tcPr>
            <w:tcW w:w="3407" w:type="dxa"/>
            <w:tcBorders>
              <w:top w:val="nil"/>
              <w:left w:val="nil"/>
              <w:bottom w:val="single" w:sz="4" w:space="0" w:color="auto"/>
              <w:right w:val="single" w:sz="4" w:space="0" w:color="auto"/>
            </w:tcBorders>
            <w:vAlign w:val="center"/>
          </w:tcPr>
          <w:p w:rsidR="00F13735" w:rsidRPr="006E0367" w:rsidRDefault="00F13735" w:rsidP="00F13735">
            <w:pPr>
              <w:rPr>
                <w:rFonts w:asciiTheme="minorEastAsia" w:eastAsiaTheme="minorEastAsia" w:hAnsiTheme="minorEastAsia"/>
                <w:sz w:val="18"/>
                <w:szCs w:val="18"/>
              </w:rPr>
            </w:pPr>
            <w:r w:rsidRPr="00CF5B8B">
              <w:rPr>
                <w:rFonts w:asciiTheme="minorEastAsia" w:eastAsiaTheme="minorEastAsia" w:hAnsiTheme="minorEastAsia" w:hint="eastAsia"/>
                <w:sz w:val="18"/>
                <w:szCs w:val="18"/>
              </w:rPr>
              <w:t>需白天开灯检修，必须提前报甲方同意后实施。</w:t>
            </w:r>
          </w:p>
        </w:tc>
        <w:tc>
          <w:tcPr>
            <w:tcW w:w="666" w:type="dxa"/>
            <w:tcBorders>
              <w:top w:val="nil"/>
              <w:left w:val="single" w:sz="4" w:space="0" w:color="auto"/>
              <w:bottom w:val="single" w:sz="4" w:space="0" w:color="auto"/>
              <w:right w:val="single" w:sz="4" w:space="0" w:color="auto"/>
            </w:tcBorders>
            <w:vAlign w:val="center"/>
          </w:tcPr>
          <w:p w:rsidR="00F13735" w:rsidRDefault="00F13735" w:rsidP="00F13735">
            <w:pPr>
              <w:jc w:val="center"/>
              <w:rPr>
                <w:rFonts w:asciiTheme="minorEastAsia" w:eastAsiaTheme="minorEastAsia" w:hAnsiTheme="minorEastAsia"/>
                <w:sz w:val="18"/>
                <w:szCs w:val="18"/>
              </w:rPr>
            </w:pPr>
            <w:r w:rsidRPr="00CF5B8B">
              <w:rPr>
                <w:rFonts w:asciiTheme="minorEastAsia" w:eastAsiaTheme="minorEastAsia" w:hAnsiTheme="minorEastAsia"/>
                <w:sz w:val="18"/>
                <w:szCs w:val="18"/>
              </w:rPr>
              <w:t>5</w:t>
            </w:r>
          </w:p>
        </w:tc>
        <w:tc>
          <w:tcPr>
            <w:tcW w:w="2873" w:type="dxa"/>
            <w:tcBorders>
              <w:top w:val="nil"/>
              <w:left w:val="single" w:sz="4" w:space="0" w:color="auto"/>
              <w:bottom w:val="single" w:sz="4" w:space="0" w:color="auto"/>
              <w:right w:val="single" w:sz="4" w:space="0" w:color="auto"/>
            </w:tcBorders>
            <w:vAlign w:val="center"/>
          </w:tcPr>
          <w:p w:rsidR="00F13735" w:rsidRPr="006E0367" w:rsidRDefault="00F13735" w:rsidP="00F13735">
            <w:pPr>
              <w:rPr>
                <w:rFonts w:asciiTheme="minorEastAsia" w:eastAsiaTheme="minorEastAsia" w:hAnsiTheme="minorEastAsia"/>
                <w:sz w:val="18"/>
                <w:szCs w:val="18"/>
              </w:rPr>
            </w:pPr>
            <w:r w:rsidRPr="00CF5B8B">
              <w:rPr>
                <w:rFonts w:asciiTheme="minorEastAsia" w:eastAsiaTheme="minorEastAsia" w:hAnsiTheme="minorEastAsia" w:hint="eastAsia"/>
                <w:sz w:val="18"/>
                <w:szCs w:val="18"/>
              </w:rPr>
              <w:t>每发现一次未达要求扣</w:t>
            </w:r>
            <w:r w:rsidRPr="00CF5B8B">
              <w:rPr>
                <w:rFonts w:asciiTheme="minorEastAsia" w:eastAsiaTheme="minorEastAsia" w:hAnsiTheme="minorEastAsia"/>
                <w:sz w:val="18"/>
                <w:szCs w:val="18"/>
              </w:rPr>
              <w:t>0.5分</w:t>
            </w:r>
          </w:p>
        </w:tc>
        <w:tc>
          <w:tcPr>
            <w:tcW w:w="696" w:type="dxa"/>
            <w:tcBorders>
              <w:top w:val="nil"/>
              <w:left w:val="single" w:sz="4" w:space="0" w:color="auto"/>
              <w:bottom w:val="single" w:sz="4" w:space="0" w:color="auto"/>
              <w:right w:val="single" w:sz="4" w:space="0" w:color="auto"/>
            </w:tcBorders>
            <w:vAlign w:val="center"/>
          </w:tcPr>
          <w:p w:rsidR="00F13735" w:rsidRPr="006E0367" w:rsidRDefault="00F13735" w:rsidP="00F13735">
            <w:pPr>
              <w:keepNext/>
              <w:keepLines/>
              <w:spacing w:before="260" w:after="260" w:line="416" w:lineRule="auto"/>
              <w:rPr>
                <w:rFonts w:asciiTheme="minorEastAsia" w:eastAsiaTheme="minorEastAsia" w:hAnsiTheme="minorEastAsia"/>
                <w:sz w:val="18"/>
                <w:szCs w:val="18"/>
              </w:rPr>
            </w:pPr>
          </w:p>
        </w:tc>
      </w:tr>
      <w:tr w:rsidR="00F13735" w:rsidRPr="00C30295" w:rsidTr="004752B0">
        <w:trPr>
          <w:trHeight w:val="274"/>
          <w:jc w:val="center"/>
        </w:trPr>
        <w:tc>
          <w:tcPr>
            <w:tcW w:w="595" w:type="dxa"/>
            <w:tcBorders>
              <w:top w:val="single" w:sz="4" w:space="0" w:color="auto"/>
              <w:left w:val="single" w:sz="4" w:space="0" w:color="auto"/>
              <w:bottom w:val="single" w:sz="4" w:space="0" w:color="auto"/>
              <w:right w:val="single" w:sz="4" w:space="0" w:color="auto"/>
            </w:tcBorders>
            <w:vAlign w:val="center"/>
          </w:tcPr>
          <w:p w:rsidR="00F13735" w:rsidRDefault="00F13735" w:rsidP="00F13735">
            <w:pPr>
              <w:jc w:val="center"/>
              <w:rPr>
                <w:rFonts w:asciiTheme="minorEastAsia" w:eastAsiaTheme="minorEastAsia" w:hAnsiTheme="minorEastAsia"/>
                <w:sz w:val="18"/>
                <w:szCs w:val="18"/>
              </w:rPr>
            </w:pPr>
            <w:r w:rsidRPr="00CF5B8B">
              <w:rPr>
                <w:rFonts w:asciiTheme="minorEastAsia" w:eastAsiaTheme="minorEastAsia" w:hAnsiTheme="minorEastAsia"/>
                <w:sz w:val="18"/>
                <w:szCs w:val="18"/>
              </w:rPr>
              <w:t>6</w:t>
            </w:r>
          </w:p>
        </w:tc>
        <w:tc>
          <w:tcPr>
            <w:tcW w:w="992" w:type="dxa"/>
            <w:vMerge/>
            <w:tcBorders>
              <w:left w:val="single" w:sz="4" w:space="0" w:color="auto"/>
              <w:bottom w:val="single" w:sz="4" w:space="0" w:color="auto"/>
              <w:right w:val="single" w:sz="4" w:space="0" w:color="auto"/>
            </w:tcBorders>
            <w:vAlign w:val="center"/>
          </w:tcPr>
          <w:p w:rsidR="00F13735" w:rsidRPr="006E0367" w:rsidRDefault="00F13735" w:rsidP="00F13735">
            <w:pPr>
              <w:keepNext/>
              <w:keepLines/>
              <w:spacing w:before="340" w:after="330" w:line="578" w:lineRule="auto"/>
              <w:rPr>
                <w:rFonts w:asciiTheme="minorEastAsia" w:eastAsiaTheme="minorEastAsia" w:hAnsiTheme="minorEastAsia"/>
                <w:sz w:val="18"/>
                <w:szCs w:val="18"/>
              </w:rPr>
            </w:pPr>
          </w:p>
        </w:tc>
        <w:tc>
          <w:tcPr>
            <w:tcW w:w="3407" w:type="dxa"/>
            <w:tcBorders>
              <w:top w:val="single" w:sz="4" w:space="0" w:color="auto"/>
              <w:left w:val="nil"/>
              <w:bottom w:val="single" w:sz="4" w:space="0" w:color="auto"/>
              <w:right w:val="single" w:sz="4" w:space="0" w:color="auto"/>
            </w:tcBorders>
            <w:vAlign w:val="center"/>
          </w:tcPr>
          <w:p w:rsidR="00F13735" w:rsidRPr="006E0367" w:rsidRDefault="00F13735" w:rsidP="00F13735">
            <w:pPr>
              <w:rPr>
                <w:rFonts w:asciiTheme="minorEastAsia" w:eastAsiaTheme="minorEastAsia" w:hAnsiTheme="minorEastAsia"/>
                <w:sz w:val="18"/>
                <w:szCs w:val="18"/>
              </w:rPr>
            </w:pPr>
            <w:r w:rsidRPr="00CF5B8B">
              <w:rPr>
                <w:rFonts w:asciiTheme="minorEastAsia" w:eastAsiaTheme="minorEastAsia" w:hAnsiTheme="minorEastAsia" w:hint="eastAsia"/>
                <w:sz w:val="18"/>
                <w:szCs w:val="18"/>
              </w:rPr>
              <w:t>接到甲方指令</w:t>
            </w:r>
            <w:r w:rsidRPr="00CF5B8B">
              <w:rPr>
                <w:rFonts w:asciiTheme="minorEastAsia" w:eastAsiaTheme="minorEastAsia" w:hAnsiTheme="minorEastAsia"/>
                <w:sz w:val="18"/>
                <w:szCs w:val="18"/>
              </w:rPr>
              <w:t>30分钟内到达指定现场、简易故障3小时内修复、一般故障48小时内修复、重大故障5日内修复。</w:t>
            </w:r>
          </w:p>
        </w:tc>
        <w:tc>
          <w:tcPr>
            <w:tcW w:w="666" w:type="dxa"/>
            <w:tcBorders>
              <w:top w:val="single" w:sz="4" w:space="0" w:color="auto"/>
              <w:left w:val="single" w:sz="4" w:space="0" w:color="auto"/>
              <w:bottom w:val="single" w:sz="4" w:space="0" w:color="000000"/>
              <w:right w:val="single" w:sz="4" w:space="0" w:color="auto"/>
            </w:tcBorders>
            <w:vAlign w:val="center"/>
          </w:tcPr>
          <w:p w:rsidR="00F13735" w:rsidRDefault="00F13735" w:rsidP="00F13735">
            <w:pPr>
              <w:jc w:val="center"/>
              <w:rPr>
                <w:rFonts w:asciiTheme="minorEastAsia" w:eastAsiaTheme="minorEastAsia" w:hAnsiTheme="minorEastAsia"/>
                <w:sz w:val="18"/>
                <w:szCs w:val="18"/>
              </w:rPr>
            </w:pPr>
            <w:r w:rsidRPr="00CF5B8B">
              <w:rPr>
                <w:rFonts w:asciiTheme="minorEastAsia" w:eastAsiaTheme="minorEastAsia" w:hAnsiTheme="minorEastAsia"/>
                <w:sz w:val="18"/>
                <w:szCs w:val="18"/>
              </w:rPr>
              <w:t>5</w:t>
            </w:r>
          </w:p>
        </w:tc>
        <w:tc>
          <w:tcPr>
            <w:tcW w:w="2873" w:type="dxa"/>
            <w:tcBorders>
              <w:top w:val="single" w:sz="4" w:space="0" w:color="auto"/>
              <w:left w:val="single" w:sz="4" w:space="0" w:color="auto"/>
              <w:bottom w:val="single" w:sz="4" w:space="0" w:color="000000"/>
              <w:right w:val="single" w:sz="4" w:space="0" w:color="auto"/>
            </w:tcBorders>
            <w:vAlign w:val="center"/>
          </w:tcPr>
          <w:p w:rsidR="00F13735" w:rsidRPr="006E0367" w:rsidRDefault="00F13735" w:rsidP="00F13735">
            <w:pPr>
              <w:rPr>
                <w:rFonts w:asciiTheme="minorEastAsia" w:eastAsiaTheme="minorEastAsia" w:hAnsiTheme="minorEastAsia"/>
                <w:sz w:val="18"/>
                <w:szCs w:val="18"/>
              </w:rPr>
            </w:pPr>
            <w:r w:rsidRPr="00CF5B8B">
              <w:rPr>
                <w:rFonts w:asciiTheme="minorEastAsia" w:eastAsiaTheme="minorEastAsia" w:hAnsiTheme="minorEastAsia" w:hint="eastAsia"/>
                <w:sz w:val="18"/>
                <w:szCs w:val="18"/>
              </w:rPr>
              <w:t>每发现一次未达要求扣</w:t>
            </w:r>
            <w:r w:rsidRPr="00CF5B8B">
              <w:rPr>
                <w:rFonts w:asciiTheme="minorEastAsia" w:eastAsiaTheme="minorEastAsia" w:hAnsiTheme="minorEastAsia"/>
                <w:sz w:val="18"/>
                <w:szCs w:val="18"/>
              </w:rPr>
              <w:t>0.5分</w:t>
            </w:r>
          </w:p>
        </w:tc>
        <w:tc>
          <w:tcPr>
            <w:tcW w:w="696" w:type="dxa"/>
            <w:tcBorders>
              <w:top w:val="single" w:sz="4" w:space="0" w:color="auto"/>
              <w:left w:val="single" w:sz="4" w:space="0" w:color="auto"/>
              <w:bottom w:val="single" w:sz="4" w:space="0" w:color="000000"/>
              <w:right w:val="single" w:sz="4" w:space="0" w:color="auto"/>
            </w:tcBorders>
            <w:vAlign w:val="center"/>
          </w:tcPr>
          <w:p w:rsidR="00F13735" w:rsidRPr="006E0367" w:rsidRDefault="00F13735" w:rsidP="00F13735">
            <w:pPr>
              <w:keepNext/>
              <w:keepLines/>
              <w:spacing w:before="260" w:after="260" w:line="416" w:lineRule="auto"/>
              <w:rPr>
                <w:rFonts w:asciiTheme="minorEastAsia" w:eastAsiaTheme="minorEastAsia" w:hAnsiTheme="minorEastAsia"/>
                <w:sz w:val="18"/>
                <w:szCs w:val="18"/>
              </w:rPr>
            </w:pPr>
          </w:p>
        </w:tc>
      </w:tr>
      <w:tr w:rsidR="00F13735" w:rsidRPr="00C30295" w:rsidTr="004752B0">
        <w:trPr>
          <w:trHeight w:val="1005"/>
          <w:jc w:val="center"/>
        </w:trPr>
        <w:tc>
          <w:tcPr>
            <w:tcW w:w="595" w:type="dxa"/>
            <w:tcBorders>
              <w:top w:val="nil"/>
              <w:left w:val="single" w:sz="4" w:space="0" w:color="auto"/>
              <w:bottom w:val="single" w:sz="4" w:space="0" w:color="auto"/>
              <w:right w:val="single" w:sz="4" w:space="0" w:color="auto"/>
            </w:tcBorders>
            <w:vAlign w:val="center"/>
          </w:tcPr>
          <w:p w:rsidR="00F13735" w:rsidRDefault="00F13735" w:rsidP="00F13735">
            <w:pPr>
              <w:jc w:val="center"/>
              <w:rPr>
                <w:rFonts w:asciiTheme="minorEastAsia" w:eastAsiaTheme="minorEastAsia" w:hAnsiTheme="minorEastAsia"/>
                <w:sz w:val="18"/>
                <w:szCs w:val="18"/>
              </w:rPr>
            </w:pPr>
            <w:r w:rsidRPr="00CF5B8B">
              <w:rPr>
                <w:rFonts w:asciiTheme="minorEastAsia" w:eastAsiaTheme="minorEastAsia" w:hAnsiTheme="minorEastAsia"/>
                <w:sz w:val="18"/>
                <w:szCs w:val="18"/>
              </w:rPr>
              <w:t>7</w:t>
            </w:r>
          </w:p>
        </w:tc>
        <w:tc>
          <w:tcPr>
            <w:tcW w:w="992" w:type="dxa"/>
            <w:vMerge w:val="restart"/>
            <w:tcBorders>
              <w:top w:val="nil"/>
              <w:left w:val="single" w:sz="4" w:space="0" w:color="auto"/>
              <w:bottom w:val="single" w:sz="4" w:space="0" w:color="auto"/>
              <w:right w:val="single" w:sz="4" w:space="0" w:color="auto"/>
            </w:tcBorders>
            <w:vAlign w:val="center"/>
          </w:tcPr>
          <w:p w:rsidR="00F13735" w:rsidRPr="006E0367" w:rsidRDefault="00F13735" w:rsidP="00F13735">
            <w:pPr>
              <w:rPr>
                <w:rFonts w:asciiTheme="minorEastAsia" w:eastAsiaTheme="minorEastAsia" w:hAnsiTheme="minorEastAsia"/>
                <w:sz w:val="18"/>
                <w:szCs w:val="18"/>
              </w:rPr>
            </w:pPr>
            <w:r w:rsidRPr="00CF5B8B">
              <w:rPr>
                <w:rFonts w:asciiTheme="minorEastAsia" w:eastAsiaTheme="minorEastAsia" w:hAnsiTheme="minorEastAsia" w:hint="eastAsia"/>
                <w:sz w:val="18"/>
                <w:szCs w:val="18"/>
              </w:rPr>
              <w:t>安全维护工作</w:t>
            </w:r>
          </w:p>
        </w:tc>
        <w:tc>
          <w:tcPr>
            <w:tcW w:w="3407" w:type="dxa"/>
            <w:tcBorders>
              <w:top w:val="nil"/>
              <w:left w:val="nil"/>
              <w:bottom w:val="single" w:sz="4" w:space="0" w:color="auto"/>
              <w:right w:val="single" w:sz="4" w:space="0" w:color="auto"/>
            </w:tcBorders>
            <w:vAlign w:val="center"/>
          </w:tcPr>
          <w:p w:rsidR="00F13735" w:rsidRPr="006E0367" w:rsidRDefault="00F13735" w:rsidP="00F13735">
            <w:pPr>
              <w:rPr>
                <w:rFonts w:asciiTheme="minorEastAsia" w:eastAsiaTheme="minorEastAsia" w:hAnsiTheme="minorEastAsia"/>
                <w:sz w:val="18"/>
                <w:szCs w:val="18"/>
              </w:rPr>
            </w:pPr>
            <w:r w:rsidRPr="00CF5B8B">
              <w:rPr>
                <w:rFonts w:asciiTheme="minorEastAsia" w:eastAsiaTheme="minorEastAsia" w:hAnsiTheme="minorEastAsia" w:hint="eastAsia"/>
                <w:sz w:val="18"/>
                <w:szCs w:val="18"/>
              </w:rPr>
              <w:t>维护作业必须设置安全隔离标识、要求</w:t>
            </w:r>
            <w:r w:rsidRPr="00CF5B8B">
              <w:rPr>
                <w:rFonts w:asciiTheme="minorEastAsia" w:eastAsiaTheme="minorEastAsia" w:hAnsiTheme="minorEastAsia"/>
                <w:sz w:val="18"/>
                <w:szCs w:val="18"/>
              </w:rPr>
              <w:t>2人及以上操作、佩戴安全防护装备并持证上岗。</w:t>
            </w:r>
          </w:p>
        </w:tc>
        <w:tc>
          <w:tcPr>
            <w:tcW w:w="666" w:type="dxa"/>
            <w:tcBorders>
              <w:top w:val="nil"/>
              <w:left w:val="single" w:sz="4" w:space="0" w:color="auto"/>
              <w:bottom w:val="single" w:sz="4" w:space="0" w:color="auto"/>
              <w:right w:val="single" w:sz="4" w:space="0" w:color="auto"/>
            </w:tcBorders>
            <w:vAlign w:val="center"/>
          </w:tcPr>
          <w:p w:rsidR="00F13735" w:rsidRDefault="00F13735" w:rsidP="00F13735">
            <w:pPr>
              <w:jc w:val="center"/>
              <w:rPr>
                <w:rFonts w:asciiTheme="minorEastAsia" w:eastAsiaTheme="minorEastAsia" w:hAnsiTheme="minorEastAsia"/>
                <w:sz w:val="18"/>
                <w:szCs w:val="18"/>
              </w:rPr>
            </w:pPr>
            <w:r w:rsidRPr="00CF5B8B">
              <w:rPr>
                <w:rFonts w:asciiTheme="minorEastAsia" w:eastAsiaTheme="minorEastAsia" w:hAnsiTheme="minorEastAsia"/>
                <w:sz w:val="18"/>
                <w:szCs w:val="18"/>
              </w:rPr>
              <w:t>5</w:t>
            </w:r>
          </w:p>
        </w:tc>
        <w:tc>
          <w:tcPr>
            <w:tcW w:w="2873" w:type="dxa"/>
            <w:vMerge w:val="restart"/>
            <w:tcBorders>
              <w:top w:val="nil"/>
              <w:left w:val="single" w:sz="4" w:space="0" w:color="auto"/>
              <w:bottom w:val="single" w:sz="4" w:space="0" w:color="auto"/>
              <w:right w:val="single" w:sz="4" w:space="0" w:color="auto"/>
            </w:tcBorders>
            <w:vAlign w:val="center"/>
          </w:tcPr>
          <w:p w:rsidR="00F13735" w:rsidRPr="006E0367" w:rsidRDefault="00F13735" w:rsidP="00F13735">
            <w:pPr>
              <w:rPr>
                <w:rFonts w:asciiTheme="minorEastAsia" w:eastAsiaTheme="minorEastAsia" w:hAnsiTheme="minorEastAsia"/>
                <w:sz w:val="18"/>
                <w:szCs w:val="18"/>
              </w:rPr>
            </w:pPr>
            <w:r w:rsidRPr="00CF5B8B">
              <w:rPr>
                <w:rFonts w:asciiTheme="minorEastAsia" w:eastAsiaTheme="minorEastAsia" w:hAnsiTheme="minorEastAsia" w:hint="eastAsia"/>
                <w:sz w:val="18"/>
                <w:szCs w:val="18"/>
              </w:rPr>
              <w:t>每发现一次未达要求扣</w:t>
            </w:r>
            <w:r w:rsidRPr="00CF5B8B">
              <w:rPr>
                <w:rFonts w:asciiTheme="minorEastAsia" w:eastAsiaTheme="minorEastAsia" w:hAnsiTheme="minorEastAsia"/>
                <w:sz w:val="18"/>
                <w:szCs w:val="18"/>
              </w:rPr>
              <w:t>1分</w:t>
            </w:r>
          </w:p>
        </w:tc>
        <w:tc>
          <w:tcPr>
            <w:tcW w:w="696" w:type="dxa"/>
            <w:vMerge w:val="restart"/>
            <w:tcBorders>
              <w:top w:val="nil"/>
              <w:left w:val="single" w:sz="4" w:space="0" w:color="auto"/>
              <w:bottom w:val="single" w:sz="4" w:space="0" w:color="000000"/>
              <w:right w:val="single" w:sz="4" w:space="0" w:color="auto"/>
            </w:tcBorders>
            <w:vAlign w:val="center"/>
          </w:tcPr>
          <w:p w:rsidR="00F13735" w:rsidRPr="006E0367" w:rsidRDefault="00F13735" w:rsidP="00F13735">
            <w:pPr>
              <w:keepNext/>
              <w:keepLines/>
              <w:spacing w:before="260" w:after="260" w:line="416" w:lineRule="auto"/>
              <w:rPr>
                <w:rFonts w:asciiTheme="minorEastAsia" w:eastAsiaTheme="minorEastAsia" w:hAnsiTheme="minorEastAsia"/>
                <w:sz w:val="18"/>
                <w:szCs w:val="18"/>
              </w:rPr>
            </w:pPr>
          </w:p>
        </w:tc>
      </w:tr>
      <w:tr w:rsidR="00F13735" w:rsidRPr="00C30295" w:rsidTr="004752B0">
        <w:trPr>
          <w:trHeight w:val="835"/>
          <w:jc w:val="center"/>
        </w:trPr>
        <w:tc>
          <w:tcPr>
            <w:tcW w:w="595" w:type="dxa"/>
            <w:tcBorders>
              <w:top w:val="nil"/>
              <w:left w:val="single" w:sz="4" w:space="0" w:color="auto"/>
              <w:bottom w:val="single" w:sz="4" w:space="0" w:color="auto"/>
              <w:right w:val="single" w:sz="4" w:space="0" w:color="auto"/>
            </w:tcBorders>
            <w:vAlign w:val="center"/>
          </w:tcPr>
          <w:p w:rsidR="00F13735" w:rsidRDefault="00F13735" w:rsidP="00F13735">
            <w:pPr>
              <w:jc w:val="center"/>
              <w:rPr>
                <w:rFonts w:asciiTheme="minorEastAsia" w:eastAsiaTheme="minorEastAsia" w:hAnsiTheme="minorEastAsia"/>
                <w:sz w:val="18"/>
                <w:szCs w:val="18"/>
              </w:rPr>
            </w:pPr>
            <w:r w:rsidRPr="00CF5B8B">
              <w:rPr>
                <w:rFonts w:asciiTheme="minorEastAsia" w:eastAsiaTheme="minorEastAsia" w:hAnsiTheme="minorEastAsia"/>
                <w:sz w:val="18"/>
                <w:szCs w:val="18"/>
              </w:rPr>
              <w:t>8</w:t>
            </w:r>
          </w:p>
        </w:tc>
        <w:tc>
          <w:tcPr>
            <w:tcW w:w="992" w:type="dxa"/>
            <w:vMerge/>
            <w:tcBorders>
              <w:top w:val="nil"/>
              <w:left w:val="single" w:sz="4" w:space="0" w:color="auto"/>
              <w:bottom w:val="single" w:sz="4" w:space="0" w:color="auto"/>
              <w:right w:val="single" w:sz="4" w:space="0" w:color="auto"/>
            </w:tcBorders>
            <w:vAlign w:val="center"/>
          </w:tcPr>
          <w:p w:rsidR="00F13735" w:rsidRPr="006E0367" w:rsidRDefault="00F13735" w:rsidP="00F13735">
            <w:pPr>
              <w:keepNext/>
              <w:keepLines/>
              <w:spacing w:before="340" w:after="330" w:line="578" w:lineRule="auto"/>
              <w:rPr>
                <w:rFonts w:asciiTheme="minorEastAsia" w:eastAsiaTheme="minorEastAsia" w:hAnsiTheme="minorEastAsia"/>
                <w:sz w:val="18"/>
                <w:szCs w:val="18"/>
              </w:rPr>
            </w:pPr>
          </w:p>
        </w:tc>
        <w:tc>
          <w:tcPr>
            <w:tcW w:w="3407" w:type="dxa"/>
            <w:tcBorders>
              <w:top w:val="single" w:sz="4" w:space="0" w:color="auto"/>
              <w:left w:val="nil"/>
              <w:bottom w:val="single" w:sz="4" w:space="0" w:color="auto"/>
              <w:right w:val="single" w:sz="4" w:space="0" w:color="auto"/>
            </w:tcBorders>
            <w:vAlign w:val="center"/>
          </w:tcPr>
          <w:p w:rsidR="00F13735" w:rsidRPr="006E0367" w:rsidRDefault="00F13735" w:rsidP="00F13735">
            <w:pPr>
              <w:rPr>
                <w:rFonts w:asciiTheme="minorEastAsia" w:eastAsiaTheme="minorEastAsia" w:hAnsiTheme="minorEastAsia"/>
                <w:sz w:val="18"/>
                <w:szCs w:val="18"/>
              </w:rPr>
            </w:pPr>
            <w:r w:rsidRPr="00CF5B8B">
              <w:rPr>
                <w:rFonts w:asciiTheme="minorEastAsia" w:eastAsiaTheme="minorEastAsia" w:hAnsiTheme="minorEastAsia" w:hint="eastAsia"/>
                <w:sz w:val="18"/>
                <w:szCs w:val="18"/>
              </w:rPr>
              <w:t>更换的各类配件需经国家、行业相关质量、安全认证。</w:t>
            </w:r>
          </w:p>
        </w:tc>
        <w:tc>
          <w:tcPr>
            <w:tcW w:w="666" w:type="dxa"/>
            <w:tcBorders>
              <w:top w:val="single" w:sz="4" w:space="0" w:color="auto"/>
              <w:left w:val="single" w:sz="4" w:space="0" w:color="auto"/>
              <w:bottom w:val="single" w:sz="4" w:space="0" w:color="auto"/>
              <w:right w:val="single" w:sz="4" w:space="0" w:color="auto"/>
            </w:tcBorders>
            <w:vAlign w:val="center"/>
          </w:tcPr>
          <w:p w:rsidR="00F13735" w:rsidRDefault="00F13735" w:rsidP="00F13735">
            <w:pPr>
              <w:jc w:val="center"/>
              <w:rPr>
                <w:rFonts w:asciiTheme="minorEastAsia" w:eastAsiaTheme="minorEastAsia" w:hAnsiTheme="minorEastAsia"/>
                <w:sz w:val="18"/>
                <w:szCs w:val="18"/>
              </w:rPr>
            </w:pPr>
            <w:r w:rsidRPr="00CF5B8B">
              <w:rPr>
                <w:rFonts w:asciiTheme="minorEastAsia" w:eastAsiaTheme="minorEastAsia" w:hAnsiTheme="minorEastAsia"/>
                <w:sz w:val="18"/>
                <w:szCs w:val="18"/>
              </w:rPr>
              <w:t>5</w:t>
            </w:r>
          </w:p>
        </w:tc>
        <w:tc>
          <w:tcPr>
            <w:tcW w:w="2873" w:type="dxa"/>
            <w:vMerge/>
            <w:tcBorders>
              <w:top w:val="nil"/>
              <w:left w:val="single" w:sz="4" w:space="0" w:color="auto"/>
              <w:bottom w:val="single" w:sz="4" w:space="0" w:color="auto"/>
              <w:right w:val="single" w:sz="4" w:space="0" w:color="auto"/>
            </w:tcBorders>
            <w:vAlign w:val="center"/>
          </w:tcPr>
          <w:p w:rsidR="00F13735" w:rsidRPr="006E0367" w:rsidRDefault="00F13735" w:rsidP="00F13735">
            <w:pPr>
              <w:keepNext/>
              <w:keepLines/>
              <w:spacing w:before="340" w:after="330" w:line="578" w:lineRule="auto"/>
              <w:rPr>
                <w:rFonts w:asciiTheme="minorEastAsia" w:eastAsiaTheme="minorEastAsia" w:hAnsiTheme="minorEastAsia"/>
                <w:sz w:val="18"/>
                <w:szCs w:val="18"/>
              </w:rPr>
            </w:pPr>
          </w:p>
        </w:tc>
        <w:tc>
          <w:tcPr>
            <w:tcW w:w="696" w:type="dxa"/>
            <w:vMerge/>
            <w:tcBorders>
              <w:top w:val="nil"/>
              <w:left w:val="single" w:sz="4" w:space="0" w:color="auto"/>
              <w:bottom w:val="single" w:sz="4" w:space="0" w:color="000000"/>
              <w:right w:val="single" w:sz="4" w:space="0" w:color="auto"/>
            </w:tcBorders>
            <w:vAlign w:val="center"/>
          </w:tcPr>
          <w:p w:rsidR="00F13735" w:rsidRPr="006E0367" w:rsidRDefault="00F13735" w:rsidP="00F13735">
            <w:pPr>
              <w:keepNext/>
              <w:keepLines/>
              <w:spacing w:before="340" w:after="330" w:line="578" w:lineRule="auto"/>
              <w:rPr>
                <w:rFonts w:asciiTheme="minorEastAsia" w:eastAsiaTheme="minorEastAsia" w:hAnsiTheme="minorEastAsia"/>
                <w:sz w:val="18"/>
                <w:szCs w:val="18"/>
              </w:rPr>
            </w:pPr>
          </w:p>
        </w:tc>
      </w:tr>
      <w:tr w:rsidR="00F13735" w:rsidRPr="00C30295" w:rsidTr="004752B0">
        <w:trPr>
          <w:trHeight w:val="1130"/>
          <w:jc w:val="center"/>
        </w:trPr>
        <w:tc>
          <w:tcPr>
            <w:tcW w:w="9229" w:type="dxa"/>
            <w:gridSpan w:val="6"/>
            <w:tcBorders>
              <w:top w:val="single" w:sz="4" w:space="0" w:color="auto"/>
              <w:left w:val="single" w:sz="4" w:space="0" w:color="auto"/>
              <w:bottom w:val="single" w:sz="4" w:space="0" w:color="auto"/>
              <w:right w:val="single" w:sz="4" w:space="0" w:color="auto"/>
            </w:tcBorders>
            <w:vAlign w:val="center"/>
          </w:tcPr>
          <w:p w:rsidR="00F13735" w:rsidRPr="006E0367" w:rsidRDefault="00F13735" w:rsidP="00F13735">
            <w:pPr>
              <w:rPr>
                <w:rFonts w:asciiTheme="minorEastAsia" w:eastAsiaTheme="minorEastAsia" w:hAnsiTheme="minorEastAsia"/>
                <w:sz w:val="18"/>
                <w:szCs w:val="18"/>
              </w:rPr>
            </w:pPr>
            <w:r w:rsidRPr="00CF5B8B">
              <w:rPr>
                <w:rFonts w:asciiTheme="minorEastAsia" w:eastAsiaTheme="minorEastAsia" w:hAnsiTheme="minorEastAsia"/>
                <w:sz w:val="18"/>
                <w:szCs w:val="18"/>
              </w:rPr>
              <w:t xml:space="preserve">    </w:t>
            </w:r>
            <w:r w:rsidRPr="00CF5B8B">
              <w:rPr>
                <w:rFonts w:asciiTheme="minorEastAsia" w:eastAsiaTheme="minorEastAsia" w:hAnsiTheme="minorEastAsia" w:hint="eastAsia"/>
                <w:sz w:val="18"/>
                <w:szCs w:val="18"/>
              </w:rPr>
              <w:t>维护经费支付标准：每阶段考核评分在</w:t>
            </w:r>
            <w:r w:rsidRPr="00CF5B8B">
              <w:rPr>
                <w:rFonts w:asciiTheme="minorEastAsia" w:eastAsiaTheme="minorEastAsia" w:hAnsiTheme="minorEastAsia"/>
                <w:sz w:val="18"/>
                <w:szCs w:val="18"/>
              </w:rPr>
              <w:t>90分以上、全额支付本阶段考核经费；评分在89分—85分之间、扣除5%经费；评分在84分—80分之间、扣除10%经费；评分在79分—75分之间、扣除15%经费；每阶段考核评分在74分以下，直接扣除本阶段50%经费。</w:t>
            </w:r>
          </w:p>
        </w:tc>
      </w:tr>
    </w:tbl>
    <w:p w:rsidR="009B28A7" w:rsidRDefault="00F13735">
      <w:pPr>
        <w:spacing w:line="360" w:lineRule="auto"/>
        <w:ind w:firstLineChars="200" w:firstLine="482"/>
        <w:rPr>
          <w:rFonts w:ascii="宋体" w:hAnsi="宋体"/>
          <w:b/>
          <w:sz w:val="24"/>
        </w:rPr>
      </w:pPr>
      <w:r>
        <w:rPr>
          <w:rFonts w:ascii="宋体" w:hAnsi="宋体" w:hint="eastAsia"/>
          <w:b/>
          <w:sz w:val="24"/>
        </w:rPr>
        <w:lastRenderedPageBreak/>
        <w:t>十五、</w:t>
      </w:r>
      <w:r>
        <w:rPr>
          <w:rFonts w:ascii="宋体" w:hAnsi="宋体"/>
          <w:b/>
          <w:sz w:val="24"/>
        </w:rPr>
        <w:t>安全、文明施工</w:t>
      </w:r>
      <w:bookmarkEnd w:id="3"/>
      <w:bookmarkEnd w:id="4"/>
      <w:r>
        <w:rPr>
          <w:rFonts w:ascii="宋体" w:hAnsi="宋体"/>
          <w:b/>
          <w:sz w:val="24"/>
        </w:rPr>
        <w:t>、环境保护</w:t>
      </w:r>
      <w:bookmarkEnd w:id="5"/>
    </w:p>
    <w:p w:rsidR="009B28A7" w:rsidRDefault="00F13735">
      <w:pPr>
        <w:spacing w:line="360" w:lineRule="auto"/>
        <w:ind w:firstLineChars="200" w:firstLine="480"/>
        <w:rPr>
          <w:rFonts w:ascii="宋体" w:hAnsi="宋体"/>
          <w:sz w:val="24"/>
        </w:rPr>
      </w:pPr>
      <w:bookmarkStart w:id="6" w:name="_Toc49330212"/>
      <w:bookmarkStart w:id="7" w:name="_Toc49333642"/>
      <w:bookmarkStart w:id="8" w:name="_Toc118884547"/>
      <w:r>
        <w:rPr>
          <w:rFonts w:ascii="宋体" w:hAnsi="宋体" w:hint="eastAsia"/>
          <w:sz w:val="24"/>
        </w:rPr>
        <w:t>1、中标单位项目实施期间须确保作业区域周围环境的整洁和交通正常进行，投标人必须按照上海市人民政府和上海市交通委员会有关规定结合本项目的特点，在投标书中明确安全生产具体措施，在施工过程中必须严格执行国家与地方政府的环境保护政策、法规和法律，严格遵守上海市有关建设工程文明施工管理的规定，积极主动落实安全文明及环境保护施工的管理和考核等有关工作，严格履行采购人关于现场临时设施及施工区域企业标识要求，承担文明施工措施的费用；</w:t>
      </w:r>
    </w:p>
    <w:p w:rsidR="009B28A7" w:rsidRDefault="00F13735">
      <w:pPr>
        <w:spacing w:line="360" w:lineRule="auto"/>
        <w:ind w:firstLineChars="200" w:firstLine="480"/>
        <w:rPr>
          <w:rFonts w:ascii="宋体" w:hAnsi="宋体"/>
          <w:sz w:val="24"/>
        </w:rPr>
      </w:pPr>
      <w:r>
        <w:rPr>
          <w:rFonts w:ascii="宋体" w:hAnsi="宋体" w:hint="eastAsia"/>
          <w:sz w:val="24"/>
        </w:rPr>
        <w:t>2、中标单位应遵循国家和上海市人民政府有关安全生产和安全文明施工的要求，加强和做好安全文明养护、维修施工管理工作，并按规定承担相应的费用。;</w:t>
      </w:r>
    </w:p>
    <w:p w:rsidR="009B28A7" w:rsidRDefault="00F13735">
      <w:pPr>
        <w:spacing w:line="360" w:lineRule="auto"/>
        <w:ind w:firstLineChars="200" w:firstLine="480"/>
        <w:rPr>
          <w:rFonts w:ascii="宋体" w:hAnsi="宋体"/>
          <w:sz w:val="24"/>
        </w:rPr>
      </w:pPr>
      <w:r>
        <w:rPr>
          <w:rFonts w:ascii="宋体" w:hAnsi="宋体" w:hint="eastAsia"/>
          <w:sz w:val="24"/>
        </w:rPr>
        <w:t>3、中标单位应根据有关规范标准，严密组织，精心施工，做到：</w:t>
      </w:r>
    </w:p>
    <w:p w:rsidR="009B28A7" w:rsidRDefault="00F13735">
      <w:pPr>
        <w:spacing w:line="360" w:lineRule="auto"/>
        <w:ind w:firstLineChars="200" w:firstLine="480"/>
        <w:rPr>
          <w:rFonts w:ascii="宋体" w:hAnsi="宋体"/>
          <w:sz w:val="24"/>
        </w:rPr>
      </w:pPr>
      <w:r>
        <w:rPr>
          <w:rFonts w:ascii="宋体" w:hAnsi="宋体" w:hint="eastAsia"/>
          <w:sz w:val="24"/>
        </w:rPr>
        <w:t>3.1满足自身和周边交通组织的需要；</w:t>
      </w:r>
    </w:p>
    <w:p w:rsidR="009B28A7" w:rsidRDefault="00F13735">
      <w:pPr>
        <w:spacing w:line="360" w:lineRule="auto"/>
        <w:ind w:firstLineChars="200" w:firstLine="480"/>
        <w:rPr>
          <w:rFonts w:ascii="宋体" w:hAnsi="宋体"/>
          <w:sz w:val="24"/>
        </w:rPr>
      </w:pPr>
      <w:r>
        <w:rPr>
          <w:rFonts w:ascii="宋体" w:hAnsi="宋体" w:hint="eastAsia"/>
          <w:sz w:val="24"/>
        </w:rPr>
        <w:t>3.2无管线事故、无重大伤亡事故，施工现场道路平整无积水；</w:t>
      </w:r>
    </w:p>
    <w:p w:rsidR="009B28A7" w:rsidRDefault="00F13735">
      <w:pPr>
        <w:spacing w:line="360" w:lineRule="auto"/>
        <w:ind w:firstLineChars="200" w:firstLine="480"/>
        <w:rPr>
          <w:rFonts w:ascii="宋体" w:hAnsi="宋体"/>
          <w:sz w:val="24"/>
        </w:rPr>
      </w:pPr>
      <w:r>
        <w:rPr>
          <w:rFonts w:ascii="宋体" w:hAnsi="宋体" w:hint="eastAsia"/>
          <w:sz w:val="24"/>
        </w:rPr>
        <w:t>3.3环境影响要确保最小化；</w:t>
      </w:r>
    </w:p>
    <w:p w:rsidR="009B28A7" w:rsidRDefault="00F13735">
      <w:pPr>
        <w:spacing w:line="360" w:lineRule="auto"/>
        <w:ind w:firstLineChars="200" w:firstLine="480"/>
        <w:rPr>
          <w:rFonts w:ascii="宋体" w:hAnsi="宋体"/>
          <w:sz w:val="24"/>
        </w:rPr>
      </w:pPr>
      <w:r>
        <w:rPr>
          <w:rFonts w:ascii="宋体" w:hAnsi="宋体" w:hint="eastAsia"/>
          <w:sz w:val="24"/>
        </w:rPr>
        <w:t>3.4现场材料堆放整齐，生活设施清洁，周边环境文明；</w:t>
      </w:r>
    </w:p>
    <w:p w:rsidR="009B28A7" w:rsidRDefault="00F13735">
      <w:pPr>
        <w:spacing w:line="360" w:lineRule="auto"/>
        <w:ind w:firstLineChars="200" w:firstLine="480"/>
        <w:rPr>
          <w:rFonts w:ascii="宋体" w:hAnsi="宋体"/>
          <w:sz w:val="24"/>
        </w:rPr>
      </w:pPr>
      <w:r>
        <w:rPr>
          <w:rFonts w:ascii="宋体" w:hAnsi="宋体" w:hint="eastAsia"/>
          <w:sz w:val="24"/>
        </w:rPr>
        <w:t>3.5清洁运输；</w:t>
      </w:r>
    </w:p>
    <w:p w:rsidR="009B28A7" w:rsidRDefault="00F13735">
      <w:pPr>
        <w:spacing w:line="360" w:lineRule="auto"/>
        <w:ind w:firstLineChars="200" w:firstLine="480"/>
        <w:rPr>
          <w:rFonts w:ascii="宋体" w:hAnsi="宋体"/>
          <w:sz w:val="24"/>
        </w:rPr>
      </w:pPr>
      <w:r>
        <w:rPr>
          <w:rFonts w:ascii="宋体" w:hAnsi="宋体" w:hint="eastAsia"/>
          <w:sz w:val="24"/>
        </w:rPr>
        <w:t>3.6减少对沿线单位、市民的工作、生活和出行的影响；</w:t>
      </w:r>
    </w:p>
    <w:p w:rsidR="009B28A7" w:rsidRDefault="00F13735">
      <w:pPr>
        <w:spacing w:line="360" w:lineRule="auto"/>
        <w:ind w:firstLineChars="200" w:firstLine="480"/>
        <w:rPr>
          <w:rFonts w:ascii="宋体" w:hAnsi="宋体"/>
          <w:sz w:val="24"/>
        </w:rPr>
      </w:pPr>
      <w:r>
        <w:rPr>
          <w:rFonts w:ascii="宋体" w:hAnsi="宋体" w:hint="eastAsia"/>
          <w:sz w:val="24"/>
        </w:rPr>
        <w:t>3.7服从采购方的统一协调，做到文明施工、安全管理；</w:t>
      </w:r>
    </w:p>
    <w:p w:rsidR="009B28A7" w:rsidRDefault="00F13735">
      <w:pPr>
        <w:spacing w:line="360" w:lineRule="auto"/>
        <w:ind w:firstLineChars="200" w:firstLine="480"/>
        <w:rPr>
          <w:rFonts w:ascii="宋体" w:hAnsi="宋体"/>
          <w:sz w:val="24"/>
        </w:rPr>
      </w:pPr>
      <w:r>
        <w:rPr>
          <w:rFonts w:ascii="宋体" w:hAnsi="宋体" w:hint="eastAsia"/>
          <w:sz w:val="24"/>
        </w:rPr>
        <w:t>4、中标单位在项目实施期间，必须配备专职安全员，建立安全养护、维修和动用明火申请批准制度，配备必要的安全设施和消防器材，经单位安全部门批准后，送采购单位备案；</w:t>
      </w:r>
    </w:p>
    <w:p w:rsidR="009B28A7" w:rsidRDefault="00F13735">
      <w:pPr>
        <w:spacing w:line="360" w:lineRule="auto"/>
        <w:ind w:firstLineChars="200" w:firstLine="480"/>
        <w:rPr>
          <w:rFonts w:ascii="宋体" w:hAnsi="宋体"/>
          <w:sz w:val="24"/>
        </w:rPr>
      </w:pPr>
      <w:r>
        <w:rPr>
          <w:rFonts w:ascii="宋体" w:hAnsi="宋体" w:hint="eastAsia"/>
          <w:sz w:val="24"/>
        </w:rPr>
        <w:t>5、中标单位在项目实施期间，必须建立安全用电制度，确保施工用电设备的完好，并设置好漏电保护装置等，杜绝施工用电事故的发生；</w:t>
      </w:r>
    </w:p>
    <w:p w:rsidR="009B28A7" w:rsidRDefault="00F13735">
      <w:pPr>
        <w:spacing w:line="360" w:lineRule="auto"/>
        <w:ind w:firstLineChars="200" w:firstLine="480"/>
        <w:rPr>
          <w:rFonts w:ascii="宋体" w:hAnsi="宋体"/>
          <w:sz w:val="24"/>
        </w:rPr>
      </w:pPr>
      <w:r>
        <w:rPr>
          <w:rFonts w:ascii="宋体" w:hAnsi="宋体" w:hint="eastAsia"/>
          <w:sz w:val="24"/>
        </w:rPr>
        <w:t>6、中标单位在与采购方签订项目承包合同的同时要签订安全管理协议、治安消防协议、廉政协议，中标单位若违反规定，实施野蛮施</w:t>
      </w:r>
      <w:r>
        <w:rPr>
          <w:rFonts w:ascii="宋体" w:hAnsi="宋体" w:hint="eastAsia"/>
          <w:sz w:val="24"/>
        </w:rPr>
        <w:lastRenderedPageBreak/>
        <w:t>工、违章作业等，采购单位有权限令停工整改，一切损失由中标单位承担；</w:t>
      </w:r>
    </w:p>
    <w:p w:rsidR="009B28A7" w:rsidRPr="00171C83" w:rsidRDefault="00F13735">
      <w:pPr>
        <w:spacing w:line="360" w:lineRule="auto"/>
        <w:ind w:firstLineChars="200" w:firstLine="480"/>
        <w:rPr>
          <w:rFonts w:ascii="宋体" w:hAnsi="宋体"/>
          <w:sz w:val="24"/>
        </w:rPr>
      </w:pPr>
      <w:r w:rsidRPr="00171C83">
        <w:rPr>
          <w:rFonts w:ascii="宋体" w:hAnsi="宋体" w:hint="eastAsia"/>
          <w:sz w:val="24"/>
        </w:rPr>
        <w:t>7、各投标人在投标文件中要结合本项目在道路上实施的特点和采购单位上述的具体要求，制定相应的文明施工和安全生产管理措施，一旦中标须购买项目实施人员人身意外保险。</w:t>
      </w:r>
      <w:bookmarkEnd w:id="6"/>
      <w:bookmarkEnd w:id="7"/>
      <w:bookmarkEnd w:id="8"/>
    </w:p>
    <w:p w:rsidR="004E4057" w:rsidRPr="00171C83" w:rsidRDefault="004E4057" w:rsidP="004E4057">
      <w:pPr>
        <w:spacing w:line="360" w:lineRule="auto"/>
        <w:ind w:firstLineChars="200" w:firstLine="482"/>
        <w:jc w:val="left"/>
        <w:rPr>
          <w:rFonts w:ascii="宋体" w:hAnsi="宋体"/>
          <w:b/>
          <w:sz w:val="24"/>
        </w:rPr>
      </w:pPr>
      <w:r w:rsidRPr="00171C83">
        <w:rPr>
          <w:rFonts w:ascii="宋体" w:hAnsi="宋体" w:hint="eastAsia"/>
          <w:b/>
          <w:sz w:val="24"/>
        </w:rPr>
        <w:t>十六</w:t>
      </w:r>
      <w:r w:rsidRPr="00171C83">
        <w:rPr>
          <w:rFonts w:ascii="宋体" w:hAnsi="宋体"/>
          <w:b/>
          <w:sz w:val="24"/>
        </w:rPr>
        <w:t>、</w:t>
      </w:r>
      <w:r w:rsidRPr="00171C83">
        <w:rPr>
          <w:rFonts w:ascii="宋体" w:hAnsi="宋体" w:hint="eastAsia"/>
          <w:b/>
          <w:sz w:val="24"/>
        </w:rPr>
        <w:t>投标人的总体要求</w:t>
      </w:r>
      <w:bookmarkStart w:id="9" w:name="_GoBack"/>
      <w:bookmarkEnd w:id="9"/>
    </w:p>
    <w:p w:rsidR="004E4057" w:rsidRPr="00171C83" w:rsidRDefault="004E4057" w:rsidP="004E4057">
      <w:pPr>
        <w:spacing w:line="360" w:lineRule="auto"/>
        <w:ind w:firstLineChars="200" w:firstLine="480"/>
        <w:rPr>
          <w:rFonts w:ascii="宋体" w:hAnsi="宋体"/>
          <w:sz w:val="24"/>
        </w:rPr>
      </w:pPr>
      <w:r w:rsidRPr="00171C83">
        <w:rPr>
          <w:rFonts w:ascii="宋体" w:hAnsi="宋体" w:hint="eastAsia"/>
          <w:sz w:val="24"/>
        </w:rPr>
        <w:t>1、项目重难点分析及对应思路：对本项目重点难点进行分析，提出针对性有效措施，提出符合</w:t>
      </w:r>
      <w:r w:rsidRPr="00171C83">
        <w:rPr>
          <w:rFonts w:ascii="宋体" w:hAnsi="宋体"/>
          <w:sz w:val="24"/>
        </w:rPr>
        <w:t>规范要求的</w:t>
      </w:r>
      <w:r w:rsidRPr="00171C83">
        <w:rPr>
          <w:rFonts w:ascii="宋体" w:hAnsi="宋体" w:hint="eastAsia"/>
          <w:sz w:val="24"/>
        </w:rPr>
        <w:t>养护思路。</w:t>
      </w:r>
    </w:p>
    <w:p w:rsidR="004E4057" w:rsidRPr="00171C83" w:rsidRDefault="004E4057" w:rsidP="004E4057">
      <w:pPr>
        <w:spacing w:line="360" w:lineRule="auto"/>
        <w:ind w:firstLineChars="200" w:firstLine="480"/>
        <w:rPr>
          <w:rFonts w:ascii="宋体" w:hAnsi="宋体"/>
          <w:sz w:val="24"/>
        </w:rPr>
      </w:pPr>
      <w:r w:rsidRPr="00171C83">
        <w:rPr>
          <w:rFonts w:ascii="宋体" w:hAnsi="宋体" w:hint="eastAsia"/>
          <w:sz w:val="24"/>
        </w:rPr>
        <w:t>2、运行管理方案：完善运行管理模式、管理体系、制度建设；日常巡检、巡修和和交接班的管理、与路政、公安交通等部门的配合协调，服务与投诉的处理，资料管理等；投标人养护维修作业工作</w:t>
      </w:r>
      <w:r w:rsidRPr="00171C83">
        <w:rPr>
          <w:rFonts w:ascii="宋体" w:hAnsi="宋体"/>
          <w:sz w:val="24"/>
        </w:rPr>
        <w:t>及进度</w:t>
      </w:r>
      <w:r w:rsidRPr="00171C83">
        <w:rPr>
          <w:rFonts w:ascii="宋体" w:hAnsi="宋体" w:hint="eastAsia"/>
          <w:sz w:val="24"/>
        </w:rPr>
        <w:t>计划的适用性合理性。</w:t>
      </w:r>
    </w:p>
    <w:p w:rsidR="004E4057" w:rsidRPr="00171C83" w:rsidRDefault="004E4057" w:rsidP="004E4057">
      <w:pPr>
        <w:spacing w:line="360" w:lineRule="auto"/>
        <w:ind w:firstLineChars="200" w:firstLine="480"/>
        <w:rPr>
          <w:rFonts w:ascii="宋体" w:hAnsi="宋体"/>
          <w:sz w:val="24"/>
        </w:rPr>
      </w:pPr>
      <w:r w:rsidRPr="00171C83">
        <w:rPr>
          <w:rFonts w:ascii="宋体" w:hAnsi="宋体" w:hint="eastAsia"/>
          <w:sz w:val="24"/>
        </w:rPr>
        <w:t>3、养护维修管理作业方案：分析养护维修设施概况、历史资料；</w:t>
      </w:r>
      <w:r w:rsidRPr="00171C83">
        <w:rPr>
          <w:rFonts w:ascii="宋体" w:hAnsi="宋体"/>
          <w:sz w:val="24"/>
        </w:rPr>
        <w:t>完善</w:t>
      </w:r>
      <w:r w:rsidRPr="00171C83">
        <w:rPr>
          <w:rFonts w:ascii="宋体" w:hAnsi="宋体" w:hint="eastAsia"/>
          <w:sz w:val="24"/>
        </w:rPr>
        <w:t>养护维修作业方案与</w:t>
      </w:r>
      <w:r w:rsidRPr="00171C83">
        <w:rPr>
          <w:rFonts w:ascii="宋体" w:hAnsi="宋体"/>
          <w:sz w:val="24"/>
        </w:rPr>
        <w:t>需求</w:t>
      </w:r>
      <w:r w:rsidRPr="00171C83">
        <w:rPr>
          <w:rFonts w:ascii="宋体" w:hAnsi="宋体" w:hint="eastAsia"/>
          <w:sz w:val="24"/>
        </w:rPr>
        <w:t>吻合</w:t>
      </w:r>
      <w:r w:rsidRPr="00171C83">
        <w:rPr>
          <w:rFonts w:ascii="宋体" w:hAnsi="宋体"/>
          <w:sz w:val="24"/>
        </w:rPr>
        <w:t>并符合行业标准</w:t>
      </w:r>
      <w:r w:rsidRPr="00171C83">
        <w:rPr>
          <w:rFonts w:ascii="宋体" w:hAnsi="宋体" w:hint="eastAsia"/>
          <w:sz w:val="24"/>
        </w:rPr>
        <w:t>，</w:t>
      </w:r>
      <w:r w:rsidRPr="00171C83">
        <w:rPr>
          <w:rFonts w:ascii="宋体" w:hAnsi="宋体"/>
          <w:sz w:val="24"/>
        </w:rPr>
        <w:t>提供可用性可拓展性的方案</w:t>
      </w:r>
      <w:r w:rsidRPr="00171C83">
        <w:rPr>
          <w:rFonts w:ascii="宋体" w:hAnsi="宋体" w:hint="eastAsia"/>
          <w:sz w:val="24"/>
        </w:rPr>
        <w:t>；设施</w:t>
      </w:r>
      <w:r w:rsidRPr="00171C83">
        <w:rPr>
          <w:rFonts w:ascii="宋体" w:hAnsi="宋体"/>
          <w:sz w:val="24"/>
        </w:rPr>
        <w:t>检测养护方法</w:t>
      </w:r>
      <w:r w:rsidRPr="00171C83">
        <w:rPr>
          <w:rFonts w:ascii="宋体" w:hAnsi="宋体" w:hint="eastAsia"/>
          <w:sz w:val="24"/>
        </w:rPr>
        <w:t>及养护技术措施等需符合质量标准、符合规范要求，设施结构安全受控程度；养护维修方案应</w:t>
      </w:r>
      <w:r w:rsidRPr="00171C83">
        <w:rPr>
          <w:rFonts w:ascii="宋体" w:hAnsi="宋体"/>
          <w:sz w:val="24"/>
        </w:rPr>
        <w:t>全面深入且</w:t>
      </w:r>
      <w:r w:rsidRPr="00171C83">
        <w:rPr>
          <w:rFonts w:ascii="宋体" w:hAnsi="宋体" w:hint="eastAsia"/>
          <w:sz w:val="24"/>
        </w:rPr>
        <w:t>客观反映设施状况。</w:t>
      </w:r>
    </w:p>
    <w:p w:rsidR="004E4057" w:rsidRPr="00171C83" w:rsidRDefault="004E4057" w:rsidP="004E4057">
      <w:pPr>
        <w:spacing w:line="360" w:lineRule="auto"/>
        <w:ind w:firstLineChars="200" w:firstLine="480"/>
        <w:rPr>
          <w:rFonts w:ascii="宋体" w:hAnsi="宋体"/>
          <w:sz w:val="24"/>
        </w:rPr>
      </w:pPr>
      <w:r w:rsidRPr="00171C83">
        <w:rPr>
          <w:rFonts w:ascii="宋体" w:hAnsi="宋体"/>
          <w:sz w:val="24"/>
        </w:rPr>
        <w:t>4</w:t>
      </w:r>
      <w:r w:rsidRPr="00171C83">
        <w:rPr>
          <w:rFonts w:ascii="宋体" w:hAnsi="宋体" w:hint="eastAsia"/>
          <w:sz w:val="24"/>
        </w:rPr>
        <w:t>、安全文明措施：编制完善的安全生产保证管理制度，养护过程的安全保证措施及文明施工管理、环境保护方面的保证措施；能根据项目作业安全、文明施工现状采取针对性措施。</w:t>
      </w:r>
    </w:p>
    <w:p w:rsidR="004E4057" w:rsidRPr="00171C83" w:rsidRDefault="004E4057" w:rsidP="004E4057">
      <w:pPr>
        <w:spacing w:line="360" w:lineRule="auto"/>
        <w:ind w:firstLineChars="200" w:firstLine="480"/>
        <w:rPr>
          <w:rFonts w:ascii="宋体" w:hAnsi="宋体"/>
          <w:sz w:val="24"/>
        </w:rPr>
      </w:pPr>
      <w:r w:rsidRPr="00171C83">
        <w:rPr>
          <w:rFonts w:ascii="宋体" w:hAnsi="宋体"/>
          <w:sz w:val="24"/>
        </w:rPr>
        <w:t>5</w:t>
      </w:r>
      <w:r w:rsidRPr="00171C83">
        <w:rPr>
          <w:rFonts w:ascii="宋体" w:hAnsi="宋体" w:hint="eastAsia"/>
          <w:sz w:val="24"/>
        </w:rPr>
        <w:t>、质量保证措施：投标人应</w:t>
      </w:r>
      <w:r w:rsidRPr="00171C83">
        <w:rPr>
          <w:rFonts w:ascii="宋体" w:hAnsi="宋体"/>
          <w:sz w:val="24"/>
        </w:rPr>
        <w:t>完善</w:t>
      </w:r>
      <w:r w:rsidRPr="00171C83">
        <w:rPr>
          <w:rFonts w:ascii="宋体" w:hAnsi="宋体" w:hint="eastAsia"/>
          <w:sz w:val="24"/>
        </w:rPr>
        <w:t>在养护周期内的质量保证措施及方法；提供可操作的、</w:t>
      </w:r>
      <w:r w:rsidRPr="00171C83">
        <w:rPr>
          <w:rFonts w:ascii="宋体" w:hAnsi="宋体"/>
          <w:sz w:val="24"/>
        </w:rPr>
        <w:t>符合实际要求的</w:t>
      </w:r>
      <w:r w:rsidRPr="00171C83">
        <w:rPr>
          <w:rFonts w:ascii="宋体" w:hAnsi="宋体" w:hint="eastAsia"/>
          <w:sz w:val="24"/>
        </w:rPr>
        <w:t>质量保证措施；</w:t>
      </w:r>
      <w:r w:rsidRPr="00171C83">
        <w:rPr>
          <w:rFonts w:ascii="宋体" w:hAnsi="宋体"/>
          <w:sz w:val="24"/>
        </w:rPr>
        <w:t xml:space="preserve"> </w:t>
      </w:r>
    </w:p>
    <w:p w:rsidR="004E4057" w:rsidRPr="00171C83" w:rsidRDefault="004E4057" w:rsidP="004E4057">
      <w:pPr>
        <w:spacing w:line="360" w:lineRule="auto"/>
        <w:ind w:firstLineChars="200" w:firstLine="480"/>
        <w:rPr>
          <w:rFonts w:ascii="宋体" w:hAnsi="宋体"/>
          <w:sz w:val="24"/>
        </w:rPr>
      </w:pPr>
      <w:r w:rsidRPr="00171C83">
        <w:rPr>
          <w:rFonts w:ascii="宋体" w:hAnsi="宋体"/>
          <w:sz w:val="24"/>
        </w:rPr>
        <w:t>6</w:t>
      </w:r>
      <w:r w:rsidRPr="00171C83">
        <w:rPr>
          <w:rFonts w:ascii="宋体" w:hAnsi="宋体" w:hint="eastAsia"/>
          <w:sz w:val="24"/>
        </w:rPr>
        <w:t>、应急保障方案：投标人需完善应急组织体系；应急人员、设备、物资保障情况应</w:t>
      </w:r>
      <w:r w:rsidRPr="00171C83">
        <w:rPr>
          <w:rFonts w:ascii="宋体" w:hAnsi="宋体"/>
          <w:sz w:val="24"/>
        </w:rPr>
        <w:t>符合实际需求，</w:t>
      </w:r>
      <w:r w:rsidRPr="00171C83">
        <w:rPr>
          <w:rFonts w:ascii="宋体" w:hAnsi="宋体" w:hint="eastAsia"/>
          <w:sz w:val="24"/>
        </w:rPr>
        <w:t>完善</w:t>
      </w:r>
      <w:r w:rsidRPr="00171C83">
        <w:rPr>
          <w:rFonts w:ascii="宋体" w:hAnsi="宋体"/>
          <w:sz w:val="24"/>
        </w:rPr>
        <w:t>应急响应方案（</w:t>
      </w:r>
      <w:r w:rsidRPr="00171C83">
        <w:rPr>
          <w:rFonts w:ascii="宋体" w:hAnsi="宋体" w:hint="eastAsia"/>
          <w:sz w:val="24"/>
        </w:rPr>
        <w:t>包括详细的应急响应过程，响应方式，响应时间等</w:t>
      </w:r>
      <w:r w:rsidRPr="00171C83">
        <w:rPr>
          <w:rFonts w:ascii="宋体" w:hAnsi="宋体"/>
          <w:sz w:val="24"/>
        </w:rPr>
        <w:t>）</w:t>
      </w:r>
      <w:r w:rsidRPr="00171C83">
        <w:rPr>
          <w:rFonts w:ascii="宋体" w:hAnsi="宋体" w:hint="eastAsia"/>
          <w:sz w:val="24"/>
        </w:rPr>
        <w:t>，具备</w:t>
      </w:r>
      <w:r w:rsidRPr="00171C83">
        <w:rPr>
          <w:rFonts w:ascii="宋体" w:hAnsi="宋体"/>
          <w:sz w:val="24"/>
        </w:rPr>
        <w:t>应急管理经验</w:t>
      </w:r>
      <w:r w:rsidRPr="00171C83">
        <w:rPr>
          <w:rFonts w:ascii="宋体" w:hAnsi="宋体" w:hint="eastAsia"/>
          <w:sz w:val="24"/>
        </w:rPr>
        <w:t>。</w:t>
      </w:r>
    </w:p>
    <w:p w:rsidR="009B28A7" w:rsidRPr="00171C83" w:rsidRDefault="009B28A7">
      <w:pPr>
        <w:pStyle w:val="a4"/>
        <w:rPr>
          <w:rFonts w:ascii="宋体" w:hAnsi="宋体"/>
          <w:sz w:val="24"/>
        </w:rPr>
      </w:pPr>
    </w:p>
    <w:p w:rsidR="009B28A7" w:rsidRPr="00171C83" w:rsidRDefault="009B28A7" w:rsidP="0036023B">
      <w:pPr>
        <w:rPr>
          <w:rFonts w:ascii="宋体" w:hAnsi="宋体"/>
          <w:sz w:val="24"/>
        </w:rPr>
      </w:pPr>
    </w:p>
    <w:sectPr w:rsidR="009B28A7" w:rsidRPr="00171C83" w:rsidSect="00D3108B">
      <w:footerReference w:type="default" r:id="rId6"/>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B92" w:rsidRDefault="005F6B92" w:rsidP="009B28A7">
      <w:r>
        <w:separator/>
      </w:r>
    </w:p>
  </w:endnote>
  <w:endnote w:type="continuationSeparator" w:id="0">
    <w:p w:rsidR="005F6B92" w:rsidRDefault="005F6B92" w:rsidP="009B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482410"/>
    </w:sdtPr>
    <w:sdtEndPr/>
    <w:sdtContent>
      <w:sdt>
        <w:sdtPr>
          <w:id w:val="171357217"/>
        </w:sdtPr>
        <w:sdtEndPr/>
        <w:sdtContent>
          <w:p w:rsidR="00F13735" w:rsidRDefault="00F13735">
            <w:pPr>
              <w:pStyle w:val="ac"/>
              <w:jc w:val="center"/>
            </w:pPr>
            <w:r>
              <w:rPr>
                <w:b/>
                <w:sz w:val="24"/>
                <w:szCs w:val="24"/>
              </w:rPr>
              <w:fldChar w:fldCharType="begin"/>
            </w:r>
            <w:r>
              <w:rPr>
                <w:b/>
              </w:rPr>
              <w:instrText>PAGE</w:instrText>
            </w:r>
            <w:r>
              <w:rPr>
                <w:b/>
                <w:sz w:val="24"/>
                <w:szCs w:val="24"/>
              </w:rPr>
              <w:fldChar w:fldCharType="separate"/>
            </w:r>
            <w:r w:rsidR="00D3108B">
              <w:rPr>
                <w:b/>
                <w:noProof/>
              </w:rPr>
              <w:t>12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3108B">
              <w:rPr>
                <w:b/>
                <w:noProof/>
              </w:rPr>
              <w:t>12</w:t>
            </w:r>
            <w:r>
              <w:rPr>
                <w:b/>
                <w:sz w:val="24"/>
                <w:szCs w:val="24"/>
              </w:rPr>
              <w:fldChar w:fldCharType="end"/>
            </w:r>
          </w:p>
        </w:sdtContent>
      </w:sdt>
    </w:sdtContent>
  </w:sdt>
  <w:p w:rsidR="00F13735" w:rsidRDefault="00F1373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B92" w:rsidRDefault="005F6B92" w:rsidP="009B28A7">
      <w:r>
        <w:separator/>
      </w:r>
    </w:p>
  </w:footnote>
  <w:footnote w:type="continuationSeparator" w:id="0">
    <w:p w:rsidR="005F6B92" w:rsidRDefault="005F6B92" w:rsidP="009B2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ZiZTZlODFiM2I1MGIwNjFjYzYyZmI2MmVjOGY4MGYifQ=="/>
    <w:docVar w:name="KSO_WPS_MARK_KEY" w:val="f1e86ed5-60a7-4489-8cfa-e3f257395dcf"/>
  </w:docVars>
  <w:rsids>
    <w:rsidRoot w:val="009D5D7A"/>
    <w:rsid w:val="00010357"/>
    <w:rsid w:val="00014C35"/>
    <w:rsid w:val="00024095"/>
    <w:rsid w:val="0002592E"/>
    <w:rsid w:val="0002653F"/>
    <w:rsid w:val="00042819"/>
    <w:rsid w:val="0004590D"/>
    <w:rsid w:val="0006248E"/>
    <w:rsid w:val="0008461E"/>
    <w:rsid w:val="000866AD"/>
    <w:rsid w:val="000A1453"/>
    <w:rsid w:val="000B50EB"/>
    <w:rsid w:val="000C7AE5"/>
    <w:rsid w:val="000D2224"/>
    <w:rsid w:val="000F28DF"/>
    <w:rsid w:val="00104B82"/>
    <w:rsid w:val="001346E4"/>
    <w:rsid w:val="0013781F"/>
    <w:rsid w:val="00142B31"/>
    <w:rsid w:val="00171C83"/>
    <w:rsid w:val="0017588F"/>
    <w:rsid w:val="001771A8"/>
    <w:rsid w:val="001839B0"/>
    <w:rsid w:val="001C1C14"/>
    <w:rsid w:val="001C2163"/>
    <w:rsid w:val="001D7D06"/>
    <w:rsid w:val="00211C18"/>
    <w:rsid w:val="00230FED"/>
    <w:rsid w:val="00243D04"/>
    <w:rsid w:val="00272831"/>
    <w:rsid w:val="0027303B"/>
    <w:rsid w:val="002846CD"/>
    <w:rsid w:val="002A7B54"/>
    <w:rsid w:val="002C0B0C"/>
    <w:rsid w:val="002E45DA"/>
    <w:rsid w:val="002F35F3"/>
    <w:rsid w:val="00340FAC"/>
    <w:rsid w:val="00346233"/>
    <w:rsid w:val="00353B43"/>
    <w:rsid w:val="0036023B"/>
    <w:rsid w:val="0036776A"/>
    <w:rsid w:val="00377AF3"/>
    <w:rsid w:val="003806F1"/>
    <w:rsid w:val="00381887"/>
    <w:rsid w:val="003A2AC3"/>
    <w:rsid w:val="003A4685"/>
    <w:rsid w:val="003B29F0"/>
    <w:rsid w:val="003D623C"/>
    <w:rsid w:val="00405713"/>
    <w:rsid w:val="00425E4E"/>
    <w:rsid w:val="004428F4"/>
    <w:rsid w:val="00442FE9"/>
    <w:rsid w:val="00451D1B"/>
    <w:rsid w:val="00460E6F"/>
    <w:rsid w:val="00473BE8"/>
    <w:rsid w:val="004752B0"/>
    <w:rsid w:val="004760C5"/>
    <w:rsid w:val="00486D01"/>
    <w:rsid w:val="00491119"/>
    <w:rsid w:val="004A1AAB"/>
    <w:rsid w:val="004A4C68"/>
    <w:rsid w:val="004B36BF"/>
    <w:rsid w:val="004D025F"/>
    <w:rsid w:val="004E018C"/>
    <w:rsid w:val="004E4057"/>
    <w:rsid w:val="005131F1"/>
    <w:rsid w:val="0056447D"/>
    <w:rsid w:val="00586F8A"/>
    <w:rsid w:val="005A69AB"/>
    <w:rsid w:val="005A7B92"/>
    <w:rsid w:val="005D777A"/>
    <w:rsid w:val="005E571D"/>
    <w:rsid w:val="005F0C47"/>
    <w:rsid w:val="005F1D7A"/>
    <w:rsid w:val="005F6B92"/>
    <w:rsid w:val="00612670"/>
    <w:rsid w:val="0062186C"/>
    <w:rsid w:val="0063549B"/>
    <w:rsid w:val="006638C5"/>
    <w:rsid w:val="006754B0"/>
    <w:rsid w:val="00687D0C"/>
    <w:rsid w:val="00693044"/>
    <w:rsid w:val="006A0FC8"/>
    <w:rsid w:val="006A522F"/>
    <w:rsid w:val="006A6B5A"/>
    <w:rsid w:val="006C4F3B"/>
    <w:rsid w:val="006C7774"/>
    <w:rsid w:val="006D1EC5"/>
    <w:rsid w:val="006D31F9"/>
    <w:rsid w:val="006D5AB0"/>
    <w:rsid w:val="006E14C3"/>
    <w:rsid w:val="006F2D7C"/>
    <w:rsid w:val="00704C0E"/>
    <w:rsid w:val="00717DEA"/>
    <w:rsid w:val="00723B50"/>
    <w:rsid w:val="007438D9"/>
    <w:rsid w:val="00773C9E"/>
    <w:rsid w:val="007947EC"/>
    <w:rsid w:val="00795D10"/>
    <w:rsid w:val="007C2A6B"/>
    <w:rsid w:val="007F579E"/>
    <w:rsid w:val="007F7447"/>
    <w:rsid w:val="00824631"/>
    <w:rsid w:val="0082720A"/>
    <w:rsid w:val="0083222F"/>
    <w:rsid w:val="00853EBC"/>
    <w:rsid w:val="00890913"/>
    <w:rsid w:val="00893F15"/>
    <w:rsid w:val="00897D02"/>
    <w:rsid w:val="008A0475"/>
    <w:rsid w:val="008D4892"/>
    <w:rsid w:val="008E4F99"/>
    <w:rsid w:val="008F1DC2"/>
    <w:rsid w:val="008F23D1"/>
    <w:rsid w:val="00913980"/>
    <w:rsid w:val="0094484C"/>
    <w:rsid w:val="00947F92"/>
    <w:rsid w:val="009647FC"/>
    <w:rsid w:val="00973DC9"/>
    <w:rsid w:val="00991F6F"/>
    <w:rsid w:val="009B28A7"/>
    <w:rsid w:val="009D5D7A"/>
    <w:rsid w:val="009E2499"/>
    <w:rsid w:val="009E3D75"/>
    <w:rsid w:val="009F3F98"/>
    <w:rsid w:val="009F73A2"/>
    <w:rsid w:val="00A06E97"/>
    <w:rsid w:val="00A36213"/>
    <w:rsid w:val="00A436DD"/>
    <w:rsid w:val="00A47F04"/>
    <w:rsid w:val="00A96D7C"/>
    <w:rsid w:val="00AA36BA"/>
    <w:rsid w:val="00AB2B15"/>
    <w:rsid w:val="00AC2323"/>
    <w:rsid w:val="00AC714A"/>
    <w:rsid w:val="00B22BBB"/>
    <w:rsid w:val="00B25DCC"/>
    <w:rsid w:val="00B4430F"/>
    <w:rsid w:val="00B44837"/>
    <w:rsid w:val="00B52247"/>
    <w:rsid w:val="00B54625"/>
    <w:rsid w:val="00B62139"/>
    <w:rsid w:val="00B66E23"/>
    <w:rsid w:val="00BA5A9A"/>
    <w:rsid w:val="00BA6C3D"/>
    <w:rsid w:val="00BC21B9"/>
    <w:rsid w:val="00BD14B5"/>
    <w:rsid w:val="00BF52FA"/>
    <w:rsid w:val="00C30295"/>
    <w:rsid w:val="00C57458"/>
    <w:rsid w:val="00C5750E"/>
    <w:rsid w:val="00C87185"/>
    <w:rsid w:val="00C87F90"/>
    <w:rsid w:val="00C93C31"/>
    <w:rsid w:val="00CB36F1"/>
    <w:rsid w:val="00CC20AD"/>
    <w:rsid w:val="00D3108B"/>
    <w:rsid w:val="00D375BB"/>
    <w:rsid w:val="00D63305"/>
    <w:rsid w:val="00D936AE"/>
    <w:rsid w:val="00DC2E05"/>
    <w:rsid w:val="00DD0E1E"/>
    <w:rsid w:val="00DE40DE"/>
    <w:rsid w:val="00DE76E8"/>
    <w:rsid w:val="00E15EEF"/>
    <w:rsid w:val="00E22D11"/>
    <w:rsid w:val="00E429CA"/>
    <w:rsid w:val="00E50601"/>
    <w:rsid w:val="00E539D1"/>
    <w:rsid w:val="00E7348B"/>
    <w:rsid w:val="00E800B3"/>
    <w:rsid w:val="00E84A5A"/>
    <w:rsid w:val="00EA124A"/>
    <w:rsid w:val="00ED53E0"/>
    <w:rsid w:val="00EE0BE3"/>
    <w:rsid w:val="00EF3895"/>
    <w:rsid w:val="00F13735"/>
    <w:rsid w:val="00F13E22"/>
    <w:rsid w:val="00F16D69"/>
    <w:rsid w:val="00F40118"/>
    <w:rsid w:val="00F562A4"/>
    <w:rsid w:val="00F71C9A"/>
    <w:rsid w:val="00F776D5"/>
    <w:rsid w:val="00F829E0"/>
    <w:rsid w:val="00FF37D9"/>
    <w:rsid w:val="00FF5E06"/>
    <w:rsid w:val="088F6DEF"/>
    <w:rsid w:val="18892B57"/>
    <w:rsid w:val="18D9399E"/>
    <w:rsid w:val="669962E3"/>
    <w:rsid w:val="773A50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1571C26-19EA-448F-A3CC-58D18479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8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9B28A7"/>
    <w:pPr>
      <w:jc w:val="left"/>
    </w:pPr>
  </w:style>
  <w:style w:type="paragraph" w:styleId="a4">
    <w:name w:val="Body Text"/>
    <w:basedOn w:val="a"/>
    <w:link w:val="a5"/>
    <w:qFormat/>
    <w:rsid w:val="009B28A7"/>
    <w:pPr>
      <w:widowControl/>
      <w:spacing w:line="320" w:lineRule="atLeast"/>
    </w:pPr>
    <w:rPr>
      <w:rFonts w:ascii="仿宋" w:eastAsia="仿宋" w:hAnsi="仿宋" w:cstheme="minorBidi"/>
      <w:sz w:val="28"/>
      <w:szCs w:val="28"/>
    </w:rPr>
  </w:style>
  <w:style w:type="paragraph" w:styleId="a6">
    <w:name w:val="Body Text Indent"/>
    <w:basedOn w:val="a"/>
    <w:link w:val="a7"/>
    <w:uiPriority w:val="99"/>
    <w:semiHidden/>
    <w:unhideWhenUsed/>
    <w:qFormat/>
    <w:rsid w:val="009B28A7"/>
    <w:pPr>
      <w:spacing w:after="120"/>
      <w:ind w:leftChars="200" w:left="420"/>
    </w:pPr>
  </w:style>
  <w:style w:type="paragraph" w:styleId="a8">
    <w:name w:val="Plain Text"/>
    <w:basedOn w:val="a"/>
    <w:link w:val="a9"/>
    <w:uiPriority w:val="99"/>
    <w:qFormat/>
    <w:rsid w:val="009B28A7"/>
    <w:pPr>
      <w:snapToGrid w:val="0"/>
      <w:spacing w:afterLines="50" w:line="360" w:lineRule="atLeast"/>
      <w:jc w:val="center"/>
      <w:outlineLvl w:val="0"/>
    </w:pPr>
    <w:rPr>
      <w:rFonts w:ascii="黑体" w:eastAsia="黑体" w:hAnsi="黑体" w:cstheme="minorBidi"/>
      <w:sz w:val="36"/>
      <w:szCs w:val="36"/>
    </w:rPr>
  </w:style>
  <w:style w:type="paragraph" w:styleId="aa">
    <w:name w:val="Balloon Text"/>
    <w:basedOn w:val="a"/>
    <w:link w:val="ab"/>
    <w:uiPriority w:val="99"/>
    <w:semiHidden/>
    <w:unhideWhenUsed/>
    <w:qFormat/>
    <w:rsid w:val="009B28A7"/>
    <w:rPr>
      <w:sz w:val="18"/>
      <w:szCs w:val="18"/>
    </w:rPr>
  </w:style>
  <w:style w:type="paragraph" w:styleId="ac">
    <w:name w:val="footer"/>
    <w:basedOn w:val="a"/>
    <w:link w:val="ad"/>
    <w:uiPriority w:val="99"/>
    <w:unhideWhenUsed/>
    <w:qFormat/>
    <w:rsid w:val="009B28A7"/>
    <w:pPr>
      <w:tabs>
        <w:tab w:val="center" w:pos="4153"/>
        <w:tab w:val="right" w:pos="8306"/>
      </w:tabs>
      <w:snapToGrid w:val="0"/>
      <w:jc w:val="left"/>
    </w:pPr>
    <w:rPr>
      <w:rFonts w:asciiTheme="minorHAnsi" w:eastAsiaTheme="minorEastAsia" w:hAnsiTheme="minorHAnsi" w:cstheme="minorBidi"/>
      <w:sz w:val="18"/>
      <w:szCs w:val="18"/>
    </w:rPr>
  </w:style>
  <w:style w:type="paragraph" w:styleId="ae">
    <w:name w:val="header"/>
    <w:basedOn w:val="a"/>
    <w:link w:val="af"/>
    <w:uiPriority w:val="99"/>
    <w:unhideWhenUsed/>
    <w:qFormat/>
    <w:rsid w:val="009B28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f0">
    <w:name w:val="Table Grid"/>
    <w:basedOn w:val="a1"/>
    <w:uiPriority w:val="59"/>
    <w:qFormat/>
    <w:rsid w:val="009B2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qFormat/>
    <w:rsid w:val="009B28A7"/>
    <w:rPr>
      <w:color w:val="0000FF" w:themeColor="hyperlink"/>
      <w:u w:val="single"/>
    </w:rPr>
  </w:style>
  <w:style w:type="paragraph" w:customStyle="1" w:styleId="af2">
    <w:name w:val="表格文字"/>
    <w:next w:val="a4"/>
    <w:qFormat/>
    <w:rsid w:val="009B28A7"/>
    <w:pPr>
      <w:widowControl w:val="0"/>
      <w:adjustRightInd w:val="0"/>
      <w:spacing w:line="360" w:lineRule="auto"/>
      <w:textAlignment w:val="baseline"/>
    </w:pPr>
    <w:rPr>
      <w:rFonts w:ascii="仿宋" w:eastAsia="仿宋" w:hAnsi="仿宋"/>
      <w:color w:val="FF0000"/>
      <w:sz w:val="24"/>
      <w:szCs w:val="24"/>
    </w:rPr>
  </w:style>
  <w:style w:type="character" w:customStyle="1" w:styleId="af">
    <w:name w:val="页眉 字符"/>
    <w:basedOn w:val="a0"/>
    <w:link w:val="ae"/>
    <w:uiPriority w:val="99"/>
    <w:qFormat/>
    <w:rsid w:val="009B28A7"/>
    <w:rPr>
      <w:sz w:val="18"/>
      <w:szCs w:val="18"/>
    </w:rPr>
  </w:style>
  <w:style w:type="character" w:customStyle="1" w:styleId="ad">
    <w:name w:val="页脚 字符"/>
    <w:basedOn w:val="a0"/>
    <w:link w:val="ac"/>
    <w:uiPriority w:val="99"/>
    <w:qFormat/>
    <w:rsid w:val="009B28A7"/>
    <w:rPr>
      <w:sz w:val="18"/>
      <w:szCs w:val="18"/>
    </w:rPr>
  </w:style>
  <w:style w:type="character" w:customStyle="1" w:styleId="Char">
    <w:name w:val="纯文本 Char"/>
    <w:uiPriority w:val="99"/>
    <w:qFormat/>
    <w:rsid w:val="009B28A7"/>
    <w:rPr>
      <w:rFonts w:ascii="宋体" w:hAnsi="Courier New"/>
    </w:rPr>
  </w:style>
  <w:style w:type="character" w:customStyle="1" w:styleId="Char0">
    <w:name w:val="正文文本 Char"/>
    <w:basedOn w:val="a0"/>
    <w:qFormat/>
    <w:rsid w:val="009B28A7"/>
    <w:rPr>
      <w:rFonts w:eastAsia="隶书"/>
      <w:b/>
      <w:sz w:val="44"/>
    </w:rPr>
  </w:style>
  <w:style w:type="character" w:customStyle="1" w:styleId="a5">
    <w:name w:val="正文文本 字符"/>
    <w:basedOn w:val="a0"/>
    <w:link w:val="a4"/>
    <w:qFormat/>
    <w:rsid w:val="009B28A7"/>
    <w:rPr>
      <w:rFonts w:ascii="仿宋" w:eastAsia="仿宋" w:hAnsi="仿宋" w:cstheme="minorBidi"/>
      <w:kern w:val="2"/>
      <w:sz w:val="28"/>
      <w:szCs w:val="28"/>
    </w:rPr>
  </w:style>
  <w:style w:type="character" w:customStyle="1" w:styleId="a9">
    <w:name w:val="纯文本 字符"/>
    <w:basedOn w:val="a0"/>
    <w:link w:val="a8"/>
    <w:uiPriority w:val="99"/>
    <w:qFormat/>
    <w:rsid w:val="009B28A7"/>
    <w:rPr>
      <w:rFonts w:ascii="黑体" w:eastAsia="黑体" w:hAnsi="黑体" w:cstheme="minorBidi"/>
      <w:kern w:val="2"/>
      <w:sz w:val="36"/>
      <w:szCs w:val="36"/>
    </w:rPr>
  </w:style>
  <w:style w:type="character" w:customStyle="1" w:styleId="a7">
    <w:name w:val="正文文本缩进 字符"/>
    <w:basedOn w:val="a0"/>
    <w:link w:val="a6"/>
    <w:uiPriority w:val="99"/>
    <w:semiHidden/>
    <w:qFormat/>
    <w:rsid w:val="009B28A7"/>
    <w:rPr>
      <w:rFonts w:ascii="Times New Roman" w:eastAsia="宋体" w:hAnsi="Times New Roman" w:cs="Times New Roman"/>
      <w:szCs w:val="24"/>
    </w:rPr>
  </w:style>
  <w:style w:type="character" w:customStyle="1" w:styleId="ab">
    <w:name w:val="批注框文本 字符"/>
    <w:basedOn w:val="a0"/>
    <w:link w:val="aa"/>
    <w:uiPriority w:val="99"/>
    <w:semiHidden/>
    <w:qFormat/>
    <w:rsid w:val="009B28A7"/>
    <w:rPr>
      <w:rFonts w:ascii="Times New Roman" w:eastAsia="宋体" w:hAnsi="Times New Roman" w:cs="Times New Roman"/>
      <w:sz w:val="18"/>
      <w:szCs w:val="18"/>
    </w:rPr>
  </w:style>
  <w:style w:type="character" w:customStyle="1" w:styleId="font11">
    <w:name w:val="font11"/>
    <w:basedOn w:val="a0"/>
    <w:rsid w:val="009B28A7"/>
    <w:rPr>
      <w:rFonts w:ascii="仿宋" w:eastAsia="仿宋" w:hAnsi="仿宋" w:cs="仿宋" w:hint="eastAsia"/>
      <w:b/>
      <w:bCs/>
      <w:color w:val="000000"/>
      <w:sz w:val="24"/>
      <w:szCs w:val="24"/>
      <w:u w:val="none"/>
    </w:rPr>
  </w:style>
  <w:style w:type="character" w:customStyle="1" w:styleId="font21">
    <w:name w:val="font21"/>
    <w:basedOn w:val="a0"/>
    <w:qFormat/>
    <w:rsid w:val="009B28A7"/>
    <w:rPr>
      <w:rFonts w:ascii="仿宋" w:eastAsia="仿宋" w:hAnsi="仿宋" w:cs="仿宋" w:hint="eastAsia"/>
      <w:color w:val="000000"/>
      <w:sz w:val="24"/>
      <w:szCs w:val="24"/>
      <w:u w:val="none"/>
    </w:rPr>
  </w:style>
  <w:style w:type="character" w:customStyle="1" w:styleId="font31">
    <w:name w:val="font31"/>
    <w:basedOn w:val="a0"/>
    <w:qFormat/>
    <w:rsid w:val="009B28A7"/>
    <w:rPr>
      <w:rFonts w:ascii="仿宋" w:eastAsia="仿宋" w:hAnsi="仿宋" w:cs="仿宋" w:hint="eastAsia"/>
      <w:color w:val="000000"/>
      <w:sz w:val="22"/>
      <w:szCs w:val="22"/>
      <w:u w:val="none"/>
    </w:rPr>
  </w:style>
  <w:style w:type="paragraph" w:customStyle="1" w:styleId="TableParagraph">
    <w:name w:val="Table Paragraph"/>
    <w:basedOn w:val="a"/>
    <w:uiPriority w:val="1"/>
    <w:qFormat/>
    <w:rsid w:val="009B28A7"/>
  </w:style>
  <w:style w:type="paragraph" w:styleId="2">
    <w:name w:val="List 2"/>
    <w:basedOn w:val="a"/>
    <w:qFormat/>
    <w:rsid w:val="004E4057"/>
    <w:pPr>
      <w:ind w:leftChars="200" w:left="100" w:hangingChars="200" w:hanging="20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12</Pages>
  <Words>3411</Words>
  <Characters>3447</Characters>
  <Application>Microsoft Office Word</Application>
  <DocSecurity>0</DocSecurity>
  <Lines>149</Lines>
  <Paragraphs>67</Paragraphs>
  <ScaleCrop>false</ScaleCrop>
  <Company>微软中国</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cp:lastPrinted>2024-01-31T06:39:00Z</cp:lastPrinted>
  <dcterms:created xsi:type="dcterms:W3CDTF">2025-03-26T07:57:00Z</dcterms:created>
  <dcterms:modified xsi:type="dcterms:W3CDTF">2025-04-14T01:30:00Z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EF94673F815B4667931324AFF70655B0_13</vt:lpwstr>
  </property>
  <property fmtid="{D5CDD505-2E9C-101B-9397-08002B2CF9AE}" pid="4" name="KSOTemplateDocerSaveRecord">
    <vt:lpwstr>eyJoZGlkIjoiNGRlOWQ0N2RkMjhmNDFmYjA3Y2VkY2NkNjJkODRhNjIiLCJ1c2VySWQiOiI5MTIwMzAyNTYifQ==</vt:lpwstr>
  </property>
</Properties>
</file>