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4DDB" w14:textId="77777777" w:rsidR="007F62A3" w:rsidRDefault="009136AD">
      <w:pPr>
        <w:pStyle w:val="1"/>
        <w:ind w:left="2552" w:rightChars="-2984" w:right="-6565"/>
        <w:jc w:val="left"/>
      </w:pPr>
      <w:r>
        <w:rPr>
          <w:spacing w:val="-2"/>
        </w:rPr>
        <w:t>采购需求书</w:t>
      </w:r>
    </w:p>
    <w:p w14:paraId="7C523544" w14:textId="77777777" w:rsidR="007F62A3" w:rsidRDefault="007F62A3"/>
    <w:p w14:paraId="0F8A657F" w14:textId="77777777" w:rsidR="007F62A3" w:rsidRDefault="007F62A3"/>
    <w:p w14:paraId="36CB1D43" w14:textId="77777777" w:rsidR="007F62A3" w:rsidRDefault="009136AD">
      <w:pPr>
        <w:pStyle w:val="a3"/>
        <w:tabs>
          <w:tab w:val="left" w:pos="0"/>
        </w:tabs>
        <w:spacing w:before="1"/>
        <w:ind w:firstLineChars="196" w:firstLine="619"/>
        <w:rPr>
          <w:rFonts w:ascii="仿宋" w:eastAsia="仿宋" w:hAnsi="仿宋" w:cs="仿宋"/>
          <w:spacing w:val="-4"/>
          <w:sz w:val="32"/>
          <w:szCs w:val="32"/>
        </w:rPr>
      </w:pPr>
      <w:bookmarkStart w:id="0" w:name="OLE_LINK17"/>
      <w:bookmarkStart w:id="1" w:name="_bookmark2"/>
      <w:bookmarkEnd w:id="0"/>
      <w:bookmarkEnd w:id="1"/>
      <w:r>
        <w:rPr>
          <w:rFonts w:ascii="仿宋" w:eastAsia="仿宋" w:hAnsi="仿宋" w:cs="仿宋" w:hint="eastAsia"/>
          <w:spacing w:val="-2"/>
          <w:sz w:val="32"/>
          <w:szCs w:val="32"/>
        </w:rPr>
        <w:t>一、项目背景及概况</w:t>
      </w:r>
    </w:p>
    <w:p w14:paraId="672D78F6" w14:textId="77777777" w:rsidR="007F62A3" w:rsidRDefault="009136AD">
      <w:pPr>
        <w:tabs>
          <w:tab w:val="left" w:pos="0"/>
        </w:tabs>
        <w:spacing w:line="360" w:lineRule="auto"/>
        <w:ind w:firstLineChars="196" w:firstLine="612"/>
        <w:rPr>
          <w:rFonts w:ascii="仿宋" w:eastAsia="仿宋" w:hAnsi="仿宋" w:cs="仿宋"/>
          <w:spacing w:val="-4"/>
          <w:sz w:val="32"/>
          <w:szCs w:val="32"/>
        </w:rPr>
      </w:pPr>
      <w:r>
        <w:rPr>
          <w:rFonts w:ascii="仿宋" w:eastAsia="仿宋" w:hAnsi="仿宋" w:cs="仿宋" w:hint="eastAsia"/>
          <w:spacing w:val="-4"/>
          <w:sz w:val="32"/>
          <w:szCs w:val="32"/>
        </w:rPr>
        <w:t>依据沪房保障〔2024〕120 号《关于本市保障房配建的实施意见》的文件精神，为进一步优化保障性住房供给，推进区域职住平衡，统筹好市场和保障、增量和存量之间的关系，提升招商竞争力、优化住宅小区品质，更好助推区域经济发展，需委托具有相应资质和良好社会信誉的评估机构对实施货币化配建的商品住房地块内5%配建保障房进行货币化配建的价值评估。</w:t>
      </w:r>
    </w:p>
    <w:p w14:paraId="5714A1F1" w14:textId="77777777" w:rsidR="007F62A3" w:rsidRDefault="009136AD">
      <w:pPr>
        <w:tabs>
          <w:tab w:val="left" w:pos="0"/>
        </w:tabs>
        <w:spacing w:line="360" w:lineRule="auto"/>
        <w:ind w:firstLineChars="196" w:firstLine="612"/>
        <w:rPr>
          <w:rFonts w:ascii="仿宋" w:eastAsia="仿宋" w:hAnsi="仿宋" w:cs="仿宋"/>
          <w:spacing w:val="-4"/>
          <w:sz w:val="32"/>
          <w:szCs w:val="32"/>
        </w:rPr>
      </w:pPr>
      <w:r>
        <w:rPr>
          <w:rFonts w:ascii="仿宋" w:eastAsia="仿宋" w:hAnsi="仿宋" w:cs="仿宋" w:hint="eastAsia"/>
          <w:spacing w:val="-4"/>
          <w:sz w:val="32"/>
          <w:szCs w:val="32"/>
        </w:rPr>
        <w:t>二、项目概述</w:t>
      </w:r>
    </w:p>
    <w:p w14:paraId="7B15F2CE" w14:textId="77777777" w:rsidR="007F62A3" w:rsidRDefault="009136AD">
      <w:pPr>
        <w:tabs>
          <w:tab w:val="left" w:pos="0"/>
        </w:tabs>
        <w:spacing w:line="360" w:lineRule="auto"/>
        <w:ind w:firstLineChars="196" w:firstLine="612"/>
        <w:rPr>
          <w:rFonts w:ascii="仿宋" w:eastAsia="仿宋" w:hAnsi="仿宋" w:cs="仿宋"/>
          <w:spacing w:val="-4"/>
          <w:sz w:val="32"/>
          <w:szCs w:val="32"/>
        </w:rPr>
      </w:pPr>
      <w:r>
        <w:rPr>
          <w:rFonts w:ascii="仿宋" w:eastAsia="仿宋" w:hAnsi="仿宋" w:cs="仿宋" w:hint="eastAsia"/>
          <w:spacing w:val="-4"/>
          <w:sz w:val="32"/>
          <w:szCs w:val="32"/>
        </w:rPr>
        <w:t>根据土地出让计划，本次涉及货币化配建评估的商品住房地块如下：</w:t>
      </w:r>
    </w:p>
    <w:tbl>
      <w:tblPr>
        <w:tblW w:w="8018" w:type="dxa"/>
        <w:tblLayout w:type="fixed"/>
        <w:tblLook w:val="04A0" w:firstRow="1" w:lastRow="0" w:firstColumn="1" w:lastColumn="0" w:noHBand="0" w:noVBand="1"/>
      </w:tblPr>
      <w:tblGrid>
        <w:gridCol w:w="878"/>
        <w:gridCol w:w="4587"/>
        <w:gridCol w:w="2553"/>
      </w:tblGrid>
      <w:tr w:rsidR="007F62A3" w14:paraId="7B06A7C0" w14:textId="77777777">
        <w:trPr>
          <w:trHeight w:val="600"/>
        </w:trPr>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9B04"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序号</w:t>
            </w:r>
          </w:p>
        </w:tc>
        <w:tc>
          <w:tcPr>
            <w:tcW w:w="4587" w:type="dxa"/>
            <w:tcBorders>
              <w:top w:val="single" w:sz="4" w:space="0" w:color="auto"/>
              <w:left w:val="nil"/>
              <w:bottom w:val="single" w:sz="4" w:space="0" w:color="auto"/>
              <w:right w:val="single" w:sz="4" w:space="0" w:color="auto"/>
            </w:tcBorders>
            <w:shd w:val="clear" w:color="auto" w:fill="auto"/>
            <w:noWrap/>
            <w:vAlign w:val="center"/>
          </w:tcPr>
          <w:p w14:paraId="61463B4A"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地块名称</w:t>
            </w:r>
          </w:p>
        </w:tc>
        <w:tc>
          <w:tcPr>
            <w:tcW w:w="2553" w:type="dxa"/>
            <w:tcBorders>
              <w:top w:val="single" w:sz="4" w:space="0" w:color="auto"/>
              <w:left w:val="nil"/>
              <w:bottom w:val="single" w:sz="4" w:space="0" w:color="auto"/>
              <w:right w:val="single" w:sz="4" w:space="0" w:color="auto"/>
            </w:tcBorders>
            <w:shd w:val="clear" w:color="auto" w:fill="auto"/>
            <w:vAlign w:val="center"/>
          </w:tcPr>
          <w:p w14:paraId="580ECD0F"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0"/>
                <w:szCs w:val="30"/>
              </w:rPr>
              <w:t>住宅建筑面积（㎡）</w:t>
            </w:r>
          </w:p>
        </w:tc>
      </w:tr>
      <w:tr w:rsidR="007F62A3" w14:paraId="76A61D5E"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52E08C4B"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w:t>
            </w:r>
          </w:p>
        </w:tc>
        <w:tc>
          <w:tcPr>
            <w:tcW w:w="4587" w:type="dxa"/>
            <w:tcBorders>
              <w:top w:val="nil"/>
              <w:left w:val="nil"/>
              <w:bottom w:val="single" w:sz="4" w:space="0" w:color="auto"/>
              <w:right w:val="single" w:sz="4" w:space="0" w:color="auto"/>
            </w:tcBorders>
            <w:shd w:val="clear" w:color="auto" w:fill="auto"/>
            <w:noWrap/>
            <w:vAlign w:val="center"/>
          </w:tcPr>
          <w:p w14:paraId="0D7319FF"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青浦区朱家角未来城市样板区47-04地块</w:t>
            </w:r>
          </w:p>
        </w:tc>
        <w:tc>
          <w:tcPr>
            <w:tcW w:w="2553" w:type="dxa"/>
            <w:tcBorders>
              <w:top w:val="nil"/>
              <w:left w:val="nil"/>
              <w:bottom w:val="single" w:sz="4" w:space="0" w:color="auto"/>
              <w:right w:val="single" w:sz="4" w:space="0" w:color="auto"/>
            </w:tcBorders>
            <w:shd w:val="clear" w:color="auto" w:fill="auto"/>
            <w:noWrap/>
            <w:vAlign w:val="center"/>
          </w:tcPr>
          <w:p w14:paraId="5EFA34AF"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58572.30</w:t>
            </w:r>
          </w:p>
        </w:tc>
      </w:tr>
      <w:tr w:rsidR="007F62A3" w14:paraId="1CC03744"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449A9F6"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2</w:t>
            </w:r>
          </w:p>
        </w:tc>
        <w:tc>
          <w:tcPr>
            <w:tcW w:w="4587" w:type="dxa"/>
            <w:tcBorders>
              <w:top w:val="nil"/>
              <w:left w:val="nil"/>
              <w:bottom w:val="single" w:sz="4" w:space="0" w:color="auto"/>
              <w:right w:val="single" w:sz="4" w:space="0" w:color="auto"/>
            </w:tcBorders>
            <w:shd w:val="clear" w:color="auto" w:fill="auto"/>
            <w:noWrap/>
            <w:vAlign w:val="center"/>
          </w:tcPr>
          <w:p w14:paraId="0EF22AEF"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青浦区朱家角未来城市样板区49-01地块</w:t>
            </w:r>
          </w:p>
        </w:tc>
        <w:tc>
          <w:tcPr>
            <w:tcW w:w="2553" w:type="dxa"/>
            <w:tcBorders>
              <w:top w:val="nil"/>
              <w:left w:val="nil"/>
              <w:bottom w:val="single" w:sz="4" w:space="0" w:color="auto"/>
              <w:right w:val="single" w:sz="4" w:space="0" w:color="auto"/>
            </w:tcBorders>
            <w:shd w:val="clear" w:color="auto" w:fill="auto"/>
            <w:noWrap/>
            <w:vAlign w:val="center"/>
          </w:tcPr>
          <w:p w14:paraId="62F99DE4"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40113.22</w:t>
            </w:r>
          </w:p>
        </w:tc>
      </w:tr>
      <w:tr w:rsidR="007F62A3" w14:paraId="5911FEA4"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42404AFB"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3</w:t>
            </w:r>
          </w:p>
        </w:tc>
        <w:tc>
          <w:tcPr>
            <w:tcW w:w="4587" w:type="dxa"/>
            <w:tcBorders>
              <w:top w:val="nil"/>
              <w:left w:val="nil"/>
              <w:bottom w:val="single" w:sz="4" w:space="0" w:color="auto"/>
              <w:right w:val="single" w:sz="4" w:space="0" w:color="auto"/>
            </w:tcBorders>
            <w:shd w:val="clear" w:color="auto" w:fill="auto"/>
            <w:noWrap/>
            <w:vAlign w:val="center"/>
          </w:tcPr>
          <w:p w14:paraId="3268DE4F"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青浦区朱家角未来城市样板区50-01地块</w:t>
            </w:r>
          </w:p>
        </w:tc>
        <w:tc>
          <w:tcPr>
            <w:tcW w:w="2553" w:type="dxa"/>
            <w:tcBorders>
              <w:top w:val="nil"/>
              <w:left w:val="nil"/>
              <w:bottom w:val="single" w:sz="4" w:space="0" w:color="auto"/>
              <w:right w:val="single" w:sz="4" w:space="0" w:color="auto"/>
            </w:tcBorders>
            <w:shd w:val="clear" w:color="auto" w:fill="auto"/>
            <w:noWrap/>
            <w:vAlign w:val="center"/>
          </w:tcPr>
          <w:p w14:paraId="712CCA66"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36111.73</w:t>
            </w:r>
          </w:p>
        </w:tc>
      </w:tr>
      <w:tr w:rsidR="007F62A3" w14:paraId="135F0815"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068EB7F"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4</w:t>
            </w:r>
          </w:p>
        </w:tc>
        <w:tc>
          <w:tcPr>
            <w:tcW w:w="4587" w:type="dxa"/>
            <w:tcBorders>
              <w:top w:val="nil"/>
              <w:left w:val="nil"/>
              <w:bottom w:val="single" w:sz="4" w:space="0" w:color="auto"/>
              <w:right w:val="single" w:sz="4" w:space="0" w:color="auto"/>
            </w:tcBorders>
            <w:shd w:val="clear" w:color="auto" w:fill="auto"/>
            <w:noWrap/>
            <w:vAlign w:val="center"/>
          </w:tcPr>
          <w:p w14:paraId="156AA68E"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青浦区夏阳街道盈港路北侧75-04地块</w:t>
            </w:r>
          </w:p>
        </w:tc>
        <w:tc>
          <w:tcPr>
            <w:tcW w:w="2553" w:type="dxa"/>
            <w:tcBorders>
              <w:top w:val="nil"/>
              <w:left w:val="nil"/>
              <w:bottom w:val="single" w:sz="4" w:space="0" w:color="auto"/>
              <w:right w:val="single" w:sz="4" w:space="0" w:color="auto"/>
            </w:tcBorders>
            <w:shd w:val="clear" w:color="auto" w:fill="auto"/>
            <w:noWrap/>
            <w:vAlign w:val="center"/>
          </w:tcPr>
          <w:p w14:paraId="257A6D35"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14827.23</w:t>
            </w:r>
          </w:p>
        </w:tc>
      </w:tr>
      <w:tr w:rsidR="007F62A3" w14:paraId="13478B3B"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34EE1A48"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5</w:t>
            </w:r>
          </w:p>
        </w:tc>
        <w:tc>
          <w:tcPr>
            <w:tcW w:w="4587" w:type="dxa"/>
            <w:tcBorders>
              <w:top w:val="nil"/>
              <w:left w:val="nil"/>
              <w:bottom w:val="single" w:sz="4" w:space="0" w:color="auto"/>
              <w:right w:val="single" w:sz="4" w:space="0" w:color="auto"/>
            </w:tcBorders>
            <w:shd w:val="clear" w:color="auto" w:fill="auto"/>
            <w:noWrap/>
            <w:vAlign w:val="center"/>
          </w:tcPr>
          <w:p w14:paraId="4243B0FE"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青浦区香花桥街道外青松公路东侧61-06地块</w:t>
            </w:r>
          </w:p>
        </w:tc>
        <w:tc>
          <w:tcPr>
            <w:tcW w:w="2553" w:type="dxa"/>
            <w:tcBorders>
              <w:top w:val="nil"/>
              <w:left w:val="nil"/>
              <w:bottom w:val="single" w:sz="4" w:space="0" w:color="auto"/>
              <w:right w:val="single" w:sz="4" w:space="0" w:color="auto"/>
            </w:tcBorders>
            <w:shd w:val="clear" w:color="auto" w:fill="auto"/>
            <w:noWrap/>
            <w:vAlign w:val="center"/>
          </w:tcPr>
          <w:p w14:paraId="6648E5BD"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24406.80</w:t>
            </w:r>
          </w:p>
        </w:tc>
      </w:tr>
      <w:tr w:rsidR="007F62A3" w14:paraId="5ED0CCB2"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1BBCE0E9"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6</w:t>
            </w:r>
          </w:p>
        </w:tc>
        <w:tc>
          <w:tcPr>
            <w:tcW w:w="4587" w:type="dxa"/>
            <w:tcBorders>
              <w:top w:val="nil"/>
              <w:left w:val="nil"/>
              <w:bottom w:val="single" w:sz="4" w:space="0" w:color="auto"/>
              <w:right w:val="single" w:sz="4" w:space="0" w:color="auto"/>
            </w:tcBorders>
            <w:shd w:val="clear" w:color="auto" w:fill="auto"/>
            <w:noWrap/>
            <w:vAlign w:val="center"/>
          </w:tcPr>
          <w:p w14:paraId="126C6E18"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青浦区QPPO-0101单元17-05地块</w:t>
            </w:r>
          </w:p>
        </w:tc>
        <w:tc>
          <w:tcPr>
            <w:tcW w:w="2553" w:type="dxa"/>
            <w:tcBorders>
              <w:top w:val="nil"/>
              <w:left w:val="nil"/>
              <w:bottom w:val="single" w:sz="4" w:space="0" w:color="auto"/>
              <w:right w:val="single" w:sz="4" w:space="0" w:color="auto"/>
            </w:tcBorders>
            <w:shd w:val="clear" w:color="auto" w:fill="auto"/>
            <w:noWrap/>
            <w:vAlign w:val="center"/>
          </w:tcPr>
          <w:p w14:paraId="6E003C31"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54824.00</w:t>
            </w:r>
          </w:p>
        </w:tc>
      </w:tr>
      <w:tr w:rsidR="007F62A3" w14:paraId="2388EED5"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43CCD9E6"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7</w:t>
            </w:r>
          </w:p>
        </w:tc>
        <w:tc>
          <w:tcPr>
            <w:tcW w:w="4587" w:type="dxa"/>
            <w:tcBorders>
              <w:top w:val="nil"/>
              <w:left w:val="nil"/>
              <w:bottom w:val="single" w:sz="4" w:space="0" w:color="auto"/>
              <w:right w:val="single" w:sz="4" w:space="0" w:color="auto"/>
            </w:tcBorders>
            <w:shd w:val="clear" w:color="auto" w:fill="auto"/>
            <w:noWrap/>
            <w:vAlign w:val="center"/>
          </w:tcPr>
          <w:p w14:paraId="78DC7836"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青浦区QPPO-0101单元18-05地块</w:t>
            </w:r>
          </w:p>
        </w:tc>
        <w:tc>
          <w:tcPr>
            <w:tcW w:w="2553" w:type="dxa"/>
            <w:tcBorders>
              <w:top w:val="nil"/>
              <w:left w:val="nil"/>
              <w:bottom w:val="single" w:sz="4" w:space="0" w:color="auto"/>
              <w:right w:val="single" w:sz="4" w:space="0" w:color="auto"/>
            </w:tcBorders>
            <w:shd w:val="clear" w:color="auto" w:fill="auto"/>
            <w:noWrap/>
            <w:vAlign w:val="center"/>
          </w:tcPr>
          <w:p w14:paraId="4FDE1342"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83666.00</w:t>
            </w:r>
          </w:p>
        </w:tc>
      </w:tr>
      <w:tr w:rsidR="007F62A3" w14:paraId="55A60DD6"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D4FA32C"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8</w:t>
            </w:r>
          </w:p>
        </w:tc>
        <w:tc>
          <w:tcPr>
            <w:tcW w:w="4587" w:type="dxa"/>
            <w:tcBorders>
              <w:top w:val="nil"/>
              <w:left w:val="nil"/>
              <w:bottom w:val="single" w:sz="4" w:space="0" w:color="auto"/>
              <w:right w:val="single" w:sz="4" w:space="0" w:color="auto"/>
            </w:tcBorders>
            <w:shd w:val="clear" w:color="auto" w:fill="auto"/>
            <w:noWrap/>
            <w:vAlign w:val="center"/>
          </w:tcPr>
          <w:p w14:paraId="538A08C1"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青浦区练塘QPS3-0101单元21-01单元</w:t>
            </w:r>
          </w:p>
        </w:tc>
        <w:tc>
          <w:tcPr>
            <w:tcW w:w="2553" w:type="dxa"/>
            <w:tcBorders>
              <w:top w:val="nil"/>
              <w:left w:val="nil"/>
              <w:bottom w:val="single" w:sz="4" w:space="0" w:color="auto"/>
              <w:right w:val="single" w:sz="4" w:space="0" w:color="auto"/>
            </w:tcBorders>
            <w:shd w:val="clear" w:color="auto" w:fill="auto"/>
            <w:noWrap/>
            <w:vAlign w:val="center"/>
          </w:tcPr>
          <w:p w14:paraId="0D5CA3D0"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39065.25</w:t>
            </w:r>
          </w:p>
        </w:tc>
      </w:tr>
      <w:tr w:rsidR="007F62A3" w14:paraId="0C29215A"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682D31D"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9</w:t>
            </w:r>
          </w:p>
        </w:tc>
        <w:tc>
          <w:tcPr>
            <w:tcW w:w="4587" w:type="dxa"/>
            <w:tcBorders>
              <w:top w:val="nil"/>
              <w:left w:val="nil"/>
              <w:bottom w:val="single" w:sz="4" w:space="0" w:color="auto"/>
              <w:right w:val="single" w:sz="4" w:space="0" w:color="auto"/>
            </w:tcBorders>
            <w:shd w:val="clear" w:color="auto" w:fill="auto"/>
            <w:noWrap/>
            <w:vAlign w:val="center"/>
          </w:tcPr>
          <w:p w14:paraId="0EC7381A"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青浦区练塘QPS3-0101单元22-01单元</w:t>
            </w:r>
          </w:p>
        </w:tc>
        <w:tc>
          <w:tcPr>
            <w:tcW w:w="2553" w:type="dxa"/>
            <w:tcBorders>
              <w:top w:val="nil"/>
              <w:left w:val="nil"/>
              <w:bottom w:val="single" w:sz="4" w:space="0" w:color="auto"/>
              <w:right w:val="single" w:sz="4" w:space="0" w:color="auto"/>
            </w:tcBorders>
            <w:shd w:val="clear" w:color="auto" w:fill="auto"/>
            <w:noWrap/>
            <w:vAlign w:val="center"/>
          </w:tcPr>
          <w:p w14:paraId="4B55ED82"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46033.05</w:t>
            </w:r>
          </w:p>
        </w:tc>
      </w:tr>
      <w:tr w:rsidR="007F62A3" w14:paraId="3A3D086C"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595F7656"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10</w:t>
            </w:r>
          </w:p>
        </w:tc>
        <w:tc>
          <w:tcPr>
            <w:tcW w:w="4587" w:type="dxa"/>
            <w:tcBorders>
              <w:top w:val="nil"/>
              <w:left w:val="nil"/>
              <w:bottom w:val="single" w:sz="4" w:space="0" w:color="auto"/>
              <w:right w:val="single" w:sz="4" w:space="0" w:color="auto"/>
            </w:tcBorders>
            <w:shd w:val="clear" w:color="auto" w:fill="auto"/>
            <w:noWrap/>
            <w:vAlign w:val="center"/>
          </w:tcPr>
          <w:p w14:paraId="0E300382"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青浦区香花桥街道外青松公路东侧52-04地块</w:t>
            </w:r>
          </w:p>
        </w:tc>
        <w:tc>
          <w:tcPr>
            <w:tcW w:w="2553" w:type="dxa"/>
            <w:tcBorders>
              <w:top w:val="nil"/>
              <w:left w:val="nil"/>
              <w:bottom w:val="single" w:sz="4" w:space="0" w:color="auto"/>
              <w:right w:val="single" w:sz="4" w:space="0" w:color="auto"/>
            </w:tcBorders>
            <w:shd w:val="clear" w:color="auto" w:fill="auto"/>
            <w:noWrap/>
            <w:vAlign w:val="center"/>
          </w:tcPr>
          <w:p w14:paraId="36ACB055"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27756.24</w:t>
            </w:r>
          </w:p>
        </w:tc>
      </w:tr>
      <w:tr w:rsidR="007F62A3" w14:paraId="254BF3C0"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0223ECCC"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11</w:t>
            </w:r>
          </w:p>
        </w:tc>
        <w:tc>
          <w:tcPr>
            <w:tcW w:w="4587" w:type="dxa"/>
            <w:tcBorders>
              <w:top w:val="nil"/>
              <w:left w:val="nil"/>
              <w:bottom w:val="single" w:sz="4" w:space="0" w:color="auto"/>
              <w:right w:val="single" w:sz="4" w:space="0" w:color="auto"/>
            </w:tcBorders>
            <w:shd w:val="clear" w:color="auto" w:fill="auto"/>
            <w:noWrap/>
            <w:vAlign w:val="center"/>
          </w:tcPr>
          <w:p w14:paraId="2D6B1B73"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青浦区香花桥街道新达路南侧63-15地块</w:t>
            </w:r>
          </w:p>
        </w:tc>
        <w:tc>
          <w:tcPr>
            <w:tcW w:w="2553" w:type="dxa"/>
            <w:tcBorders>
              <w:top w:val="nil"/>
              <w:left w:val="nil"/>
              <w:bottom w:val="single" w:sz="4" w:space="0" w:color="auto"/>
              <w:right w:val="single" w:sz="4" w:space="0" w:color="auto"/>
            </w:tcBorders>
            <w:shd w:val="clear" w:color="auto" w:fill="auto"/>
            <w:noWrap/>
            <w:vAlign w:val="center"/>
          </w:tcPr>
          <w:p w14:paraId="435BCCA7"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10171.20</w:t>
            </w:r>
          </w:p>
        </w:tc>
      </w:tr>
      <w:tr w:rsidR="007F62A3" w14:paraId="614C8CAD"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08C07D2"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12</w:t>
            </w:r>
          </w:p>
        </w:tc>
        <w:tc>
          <w:tcPr>
            <w:tcW w:w="4587" w:type="dxa"/>
            <w:tcBorders>
              <w:top w:val="nil"/>
              <w:left w:val="nil"/>
              <w:bottom w:val="single" w:sz="4" w:space="0" w:color="auto"/>
              <w:right w:val="single" w:sz="4" w:space="0" w:color="auto"/>
            </w:tcBorders>
            <w:shd w:val="clear" w:color="auto" w:fill="auto"/>
            <w:noWrap/>
            <w:vAlign w:val="center"/>
          </w:tcPr>
          <w:p w14:paraId="6AF13013"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青浦区香花桥街道新达路南侧63-16地块</w:t>
            </w:r>
          </w:p>
        </w:tc>
        <w:tc>
          <w:tcPr>
            <w:tcW w:w="2553" w:type="dxa"/>
            <w:tcBorders>
              <w:top w:val="nil"/>
              <w:left w:val="nil"/>
              <w:bottom w:val="single" w:sz="4" w:space="0" w:color="auto"/>
              <w:right w:val="single" w:sz="4" w:space="0" w:color="auto"/>
            </w:tcBorders>
            <w:shd w:val="clear" w:color="auto" w:fill="auto"/>
            <w:noWrap/>
            <w:vAlign w:val="center"/>
          </w:tcPr>
          <w:p w14:paraId="53E5E821"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20279.60</w:t>
            </w:r>
          </w:p>
        </w:tc>
      </w:tr>
      <w:tr w:rsidR="007F62A3" w14:paraId="605AEE04"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45D1ADBC"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13</w:t>
            </w:r>
          </w:p>
        </w:tc>
        <w:tc>
          <w:tcPr>
            <w:tcW w:w="4587" w:type="dxa"/>
            <w:tcBorders>
              <w:top w:val="nil"/>
              <w:left w:val="nil"/>
              <w:bottom w:val="single" w:sz="4" w:space="0" w:color="auto"/>
              <w:right w:val="single" w:sz="4" w:space="0" w:color="auto"/>
            </w:tcBorders>
            <w:shd w:val="clear" w:color="auto" w:fill="auto"/>
            <w:noWrap/>
            <w:vAlign w:val="center"/>
          </w:tcPr>
          <w:p w14:paraId="2FE4105E"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青浦区赵巷镇佳迪路西侧D21-04地块</w:t>
            </w:r>
          </w:p>
        </w:tc>
        <w:tc>
          <w:tcPr>
            <w:tcW w:w="2553" w:type="dxa"/>
            <w:tcBorders>
              <w:top w:val="nil"/>
              <w:left w:val="nil"/>
              <w:bottom w:val="single" w:sz="4" w:space="0" w:color="auto"/>
              <w:right w:val="single" w:sz="4" w:space="0" w:color="auto"/>
            </w:tcBorders>
            <w:shd w:val="clear" w:color="auto" w:fill="auto"/>
            <w:noWrap/>
            <w:vAlign w:val="center"/>
          </w:tcPr>
          <w:p w14:paraId="45B86261"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27255.60</w:t>
            </w:r>
          </w:p>
        </w:tc>
      </w:tr>
      <w:tr w:rsidR="007F62A3" w14:paraId="4A7233EA"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2733BFA"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14</w:t>
            </w:r>
          </w:p>
        </w:tc>
        <w:tc>
          <w:tcPr>
            <w:tcW w:w="4587" w:type="dxa"/>
            <w:tcBorders>
              <w:top w:val="nil"/>
              <w:left w:val="nil"/>
              <w:bottom w:val="single" w:sz="4" w:space="0" w:color="auto"/>
              <w:right w:val="single" w:sz="4" w:space="0" w:color="auto"/>
            </w:tcBorders>
            <w:shd w:val="clear" w:color="auto" w:fill="auto"/>
            <w:noWrap/>
            <w:vAlign w:val="center"/>
          </w:tcPr>
          <w:p w14:paraId="7DC6A8B0"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青浦区赵巷镇佳迪路东侧C61-02地块</w:t>
            </w:r>
          </w:p>
        </w:tc>
        <w:tc>
          <w:tcPr>
            <w:tcW w:w="2553" w:type="dxa"/>
            <w:tcBorders>
              <w:top w:val="nil"/>
              <w:left w:val="nil"/>
              <w:bottom w:val="single" w:sz="4" w:space="0" w:color="auto"/>
              <w:right w:val="single" w:sz="4" w:space="0" w:color="auto"/>
            </w:tcBorders>
            <w:shd w:val="clear" w:color="auto" w:fill="auto"/>
            <w:noWrap/>
            <w:vAlign w:val="center"/>
          </w:tcPr>
          <w:p w14:paraId="7AE4F4A5"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18493.20</w:t>
            </w:r>
          </w:p>
        </w:tc>
      </w:tr>
      <w:tr w:rsidR="007F62A3" w14:paraId="72FAA806"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28DDC2F8"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15</w:t>
            </w:r>
          </w:p>
        </w:tc>
        <w:tc>
          <w:tcPr>
            <w:tcW w:w="4587" w:type="dxa"/>
            <w:tcBorders>
              <w:top w:val="nil"/>
              <w:left w:val="nil"/>
              <w:bottom w:val="single" w:sz="4" w:space="0" w:color="auto"/>
              <w:right w:val="single" w:sz="4" w:space="0" w:color="auto"/>
            </w:tcBorders>
            <w:shd w:val="clear" w:color="auto" w:fill="auto"/>
            <w:noWrap/>
            <w:vAlign w:val="center"/>
          </w:tcPr>
          <w:p w14:paraId="60482CB4"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青浦区赵巷镇佳迪路西侧D21-05地块</w:t>
            </w:r>
          </w:p>
        </w:tc>
        <w:tc>
          <w:tcPr>
            <w:tcW w:w="2553" w:type="dxa"/>
            <w:tcBorders>
              <w:top w:val="nil"/>
              <w:left w:val="nil"/>
              <w:bottom w:val="single" w:sz="4" w:space="0" w:color="auto"/>
              <w:right w:val="single" w:sz="4" w:space="0" w:color="auto"/>
            </w:tcBorders>
            <w:shd w:val="clear" w:color="auto" w:fill="auto"/>
            <w:noWrap/>
            <w:vAlign w:val="center"/>
          </w:tcPr>
          <w:p w14:paraId="1F9D71BC"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24425.10</w:t>
            </w:r>
          </w:p>
        </w:tc>
      </w:tr>
      <w:tr w:rsidR="007F62A3" w14:paraId="487C9910" w14:textId="77777777">
        <w:trPr>
          <w:trHeight w:val="402"/>
        </w:trPr>
        <w:tc>
          <w:tcPr>
            <w:tcW w:w="878" w:type="dxa"/>
            <w:tcBorders>
              <w:top w:val="nil"/>
              <w:left w:val="single" w:sz="4" w:space="0" w:color="auto"/>
              <w:bottom w:val="single" w:sz="4" w:space="0" w:color="auto"/>
              <w:right w:val="single" w:sz="4" w:space="0" w:color="auto"/>
            </w:tcBorders>
            <w:shd w:val="clear" w:color="auto" w:fill="auto"/>
            <w:noWrap/>
            <w:vAlign w:val="center"/>
          </w:tcPr>
          <w:p w14:paraId="758E79C1" w14:textId="77777777" w:rsidR="007F62A3" w:rsidRDefault="009136AD">
            <w:pPr>
              <w:widowControl/>
              <w:autoSpaceDE/>
              <w:autoSpaceDN/>
              <w:jc w:val="center"/>
              <w:rPr>
                <w:rFonts w:ascii="仿宋" w:eastAsia="仿宋" w:hAnsi="仿宋" w:cs="仿宋"/>
                <w:color w:val="000000"/>
                <w:sz w:val="32"/>
                <w:szCs w:val="32"/>
              </w:rPr>
            </w:pPr>
            <w:r>
              <w:rPr>
                <w:rFonts w:ascii="仿宋" w:eastAsia="仿宋" w:hAnsi="仿宋" w:cs="仿宋" w:hint="eastAsia"/>
                <w:color w:val="000000"/>
                <w:sz w:val="32"/>
                <w:szCs w:val="32"/>
              </w:rPr>
              <w:t>16</w:t>
            </w:r>
          </w:p>
        </w:tc>
        <w:tc>
          <w:tcPr>
            <w:tcW w:w="4587" w:type="dxa"/>
            <w:tcBorders>
              <w:top w:val="nil"/>
              <w:left w:val="nil"/>
              <w:bottom w:val="single" w:sz="4" w:space="0" w:color="auto"/>
              <w:right w:val="single" w:sz="4" w:space="0" w:color="auto"/>
            </w:tcBorders>
            <w:shd w:val="clear" w:color="auto" w:fill="auto"/>
            <w:noWrap/>
            <w:vAlign w:val="center"/>
          </w:tcPr>
          <w:p w14:paraId="4AAD21EB" w14:textId="77777777" w:rsidR="007F62A3" w:rsidRDefault="009136AD">
            <w:pPr>
              <w:widowControl/>
              <w:autoSpaceDE/>
              <w:autoSpaceDN/>
              <w:spacing w:line="440" w:lineRule="exact"/>
              <w:jc w:val="center"/>
              <w:rPr>
                <w:rFonts w:ascii="仿宋" w:eastAsia="仿宋" w:hAnsi="仿宋" w:cs="仿宋"/>
                <w:color w:val="000000"/>
                <w:sz w:val="30"/>
                <w:szCs w:val="30"/>
              </w:rPr>
            </w:pPr>
            <w:r>
              <w:rPr>
                <w:rFonts w:ascii="仿宋" w:eastAsia="仿宋" w:hAnsi="仿宋" w:cs="仿宋" w:hint="eastAsia"/>
                <w:color w:val="000000"/>
                <w:sz w:val="30"/>
                <w:szCs w:val="30"/>
              </w:rPr>
              <w:t>青浦区赵巷镇佳迪路东侧C61-09A地块</w:t>
            </w:r>
          </w:p>
        </w:tc>
        <w:tc>
          <w:tcPr>
            <w:tcW w:w="2553" w:type="dxa"/>
            <w:tcBorders>
              <w:top w:val="nil"/>
              <w:left w:val="nil"/>
              <w:bottom w:val="single" w:sz="4" w:space="0" w:color="auto"/>
              <w:right w:val="single" w:sz="4" w:space="0" w:color="auto"/>
            </w:tcBorders>
            <w:shd w:val="clear" w:color="auto" w:fill="auto"/>
            <w:noWrap/>
            <w:vAlign w:val="center"/>
          </w:tcPr>
          <w:p w14:paraId="14CF5C98" w14:textId="77777777" w:rsidR="007F62A3" w:rsidRDefault="009136AD">
            <w:pPr>
              <w:widowControl/>
              <w:autoSpaceDE/>
              <w:autoSpaceDN/>
              <w:spacing w:line="4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19784.10</w:t>
            </w:r>
          </w:p>
        </w:tc>
      </w:tr>
    </w:tbl>
    <w:p w14:paraId="2025747F" w14:textId="77777777" w:rsidR="007F62A3" w:rsidRDefault="009136AD">
      <w:pPr>
        <w:pStyle w:val="a3"/>
        <w:spacing w:before="161"/>
        <w:ind w:left="565"/>
        <w:rPr>
          <w:rFonts w:ascii="仿宋" w:eastAsia="仿宋" w:hAnsi="仿宋" w:cs="仿宋"/>
          <w:spacing w:val="-2"/>
          <w:sz w:val="32"/>
          <w:szCs w:val="32"/>
        </w:rPr>
      </w:pPr>
      <w:r>
        <w:rPr>
          <w:rFonts w:ascii="仿宋" w:eastAsia="仿宋" w:hAnsi="仿宋" w:cs="仿宋" w:hint="eastAsia"/>
          <w:spacing w:val="-2"/>
          <w:sz w:val="32"/>
          <w:szCs w:val="32"/>
        </w:rPr>
        <w:t>三、服务内容</w:t>
      </w:r>
    </w:p>
    <w:p w14:paraId="2145567B" w14:textId="77777777" w:rsidR="007F62A3" w:rsidRDefault="009136AD">
      <w:pPr>
        <w:tabs>
          <w:tab w:val="left" w:pos="0"/>
        </w:tabs>
        <w:spacing w:line="360" w:lineRule="auto"/>
        <w:ind w:firstLineChars="196" w:firstLine="612"/>
        <w:rPr>
          <w:rFonts w:ascii="仿宋" w:eastAsia="仿宋" w:hAnsi="仿宋" w:cs="仿宋"/>
          <w:spacing w:val="-4"/>
          <w:sz w:val="32"/>
          <w:szCs w:val="32"/>
        </w:rPr>
      </w:pPr>
      <w:r>
        <w:rPr>
          <w:rFonts w:ascii="仿宋" w:eastAsia="仿宋" w:hAnsi="仿宋" w:cs="仿宋" w:hint="eastAsia"/>
          <w:spacing w:val="-4"/>
          <w:sz w:val="32"/>
          <w:szCs w:val="32"/>
        </w:rPr>
        <w:t>青浦区住房保障和房屋管理局委托评估机构对内出让的16幅商品住房地块内5%配建保障房实施货币化配建价值进行评估。评估机构应当按照与委托方约定的时间、方式开展以下工作：</w:t>
      </w:r>
    </w:p>
    <w:p w14:paraId="5348F9A7" w14:textId="77777777" w:rsidR="007F62A3" w:rsidRDefault="009136AD">
      <w:pPr>
        <w:pStyle w:val="a9"/>
        <w:numPr>
          <w:ilvl w:val="0"/>
          <w:numId w:val="1"/>
        </w:numPr>
        <w:tabs>
          <w:tab w:val="left" w:pos="851"/>
        </w:tabs>
        <w:spacing w:before="160" w:line="436" w:lineRule="auto"/>
        <w:ind w:left="143" w:right="521" w:firstLine="419"/>
        <w:jc w:val="both"/>
        <w:rPr>
          <w:rFonts w:ascii="仿宋" w:eastAsia="仿宋" w:hAnsi="仿宋" w:cs="仿宋"/>
          <w:spacing w:val="-4"/>
          <w:sz w:val="32"/>
          <w:szCs w:val="32"/>
        </w:rPr>
      </w:pPr>
      <w:r>
        <w:rPr>
          <w:rFonts w:ascii="仿宋" w:eastAsia="仿宋" w:hAnsi="仿宋" w:cs="仿宋" w:hint="eastAsia"/>
          <w:spacing w:val="-4"/>
          <w:sz w:val="32"/>
          <w:szCs w:val="32"/>
        </w:rPr>
        <w:t xml:space="preserve"> 对涉及评估的商品住房项目地块的区域状况（位置、</w:t>
      </w:r>
      <w:r>
        <w:rPr>
          <w:rFonts w:ascii="仿宋" w:eastAsia="仿宋" w:hAnsi="仿宋" w:cs="仿宋" w:hint="eastAsia"/>
          <w:spacing w:val="-4"/>
          <w:sz w:val="32"/>
          <w:szCs w:val="32"/>
        </w:rPr>
        <w:lastRenderedPageBreak/>
        <w:t>交通、外部配套、周围环境）、实物状况（土地、建筑物）、权益状况、市场背景（经济社会发展、房地产市场总体状况、住宅用途房地产市场）进行客观描述及分析。选取科学的估价方式确定5%配建保障房（含车位）货币化配建价值，评估同地段同品质住房的房地产价值。</w:t>
      </w:r>
    </w:p>
    <w:p w14:paraId="7EF6B3B3" w14:textId="77777777" w:rsidR="007F62A3" w:rsidRDefault="009136AD">
      <w:pPr>
        <w:pStyle w:val="a9"/>
        <w:numPr>
          <w:ilvl w:val="0"/>
          <w:numId w:val="1"/>
        </w:numPr>
        <w:tabs>
          <w:tab w:val="left" w:pos="851"/>
        </w:tabs>
        <w:spacing w:before="160" w:line="436" w:lineRule="auto"/>
        <w:ind w:left="143" w:right="521" w:firstLine="419"/>
        <w:jc w:val="both"/>
        <w:rPr>
          <w:rFonts w:ascii="仿宋" w:eastAsia="仿宋" w:hAnsi="仿宋" w:cs="仿宋"/>
          <w:spacing w:val="-4"/>
          <w:sz w:val="32"/>
          <w:szCs w:val="32"/>
        </w:rPr>
      </w:pPr>
      <w:r>
        <w:rPr>
          <w:rFonts w:ascii="仿宋" w:eastAsia="仿宋" w:hAnsi="仿宋" w:cs="仿宋" w:hint="eastAsia"/>
          <w:spacing w:val="-4"/>
          <w:sz w:val="32"/>
          <w:szCs w:val="32"/>
        </w:rPr>
        <w:t>出具速算表：要求根据地块控规情况及计划楼板价，提供每幅地块出让前速算表，速算表应列明出让地块基本信息、价格水平、配建价值和占比。</w:t>
      </w:r>
    </w:p>
    <w:p w14:paraId="7DBEED3A" w14:textId="77777777" w:rsidR="007F62A3" w:rsidRDefault="009136AD">
      <w:pPr>
        <w:pStyle w:val="a9"/>
        <w:numPr>
          <w:ilvl w:val="0"/>
          <w:numId w:val="1"/>
        </w:numPr>
        <w:tabs>
          <w:tab w:val="left" w:pos="851"/>
        </w:tabs>
        <w:spacing w:before="160" w:line="436" w:lineRule="auto"/>
        <w:ind w:left="143" w:right="521" w:firstLine="419"/>
        <w:jc w:val="both"/>
        <w:rPr>
          <w:rFonts w:ascii="仿宋" w:eastAsia="仿宋" w:hAnsi="仿宋" w:cs="仿宋"/>
          <w:spacing w:val="-4"/>
          <w:sz w:val="32"/>
          <w:szCs w:val="32"/>
        </w:rPr>
      </w:pPr>
      <w:r>
        <w:rPr>
          <w:rFonts w:ascii="仿宋" w:eastAsia="仿宋" w:hAnsi="仿宋" w:cs="仿宋" w:hint="eastAsia"/>
          <w:spacing w:val="-4"/>
          <w:sz w:val="32"/>
          <w:szCs w:val="32"/>
        </w:rPr>
        <w:t>出具预评估说明函：要求依据一地一卡资料出具预评估说明函，说明函包括保障房及相应产权车位货币化配建总价和保障房及相应产权车位货币化配建单价。</w:t>
      </w:r>
    </w:p>
    <w:p w14:paraId="5573A21B" w14:textId="77777777" w:rsidR="007F62A3" w:rsidRDefault="009136AD">
      <w:pPr>
        <w:pStyle w:val="a9"/>
        <w:numPr>
          <w:ilvl w:val="255"/>
          <w:numId w:val="0"/>
        </w:numPr>
        <w:tabs>
          <w:tab w:val="left" w:pos="878"/>
        </w:tabs>
        <w:spacing w:before="161"/>
        <w:ind w:firstLineChars="200" w:firstLine="624"/>
        <w:jc w:val="both"/>
        <w:rPr>
          <w:rFonts w:ascii="仿宋" w:eastAsia="仿宋" w:hAnsi="仿宋" w:cs="仿宋"/>
          <w:sz w:val="32"/>
          <w:szCs w:val="32"/>
        </w:rPr>
      </w:pPr>
      <w:r>
        <w:rPr>
          <w:rFonts w:ascii="仿宋" w:eastAsia="仿宋" w:hAnsi="仿宋" w:cs="仿宋" w:hint="eastAsia"/>
          <w:spacing w:val="-4"/>
          <w:sz w:val="32"/>
          <w:szCs w:val="32"/>
        </w:rPr>
        <w:t>4.出具正式报告：土地完成出让后，依据地块成交资料，调整货币化配建最终价值，出具正式报告，提供纸质报告 2 份。</w:t>
      </w:r>
    </w:p>
    <w:p w14:paraId="3B973001" w14:textId="77777777" w:rsidR="007F62A3" w:rsidRDefault="009136AD">
      <w:pPr>
        <w:pStyle w:val="a3"/>
        <w:spacing w:before="124"/>
        <w:ind w:left="565"/>
        <w:rPr>
          <w:rFonts w:ascii="仿宋" w:eastAsia="仿宋" w:hAnsi="仿宋" w:cs="仿宋"/>
          <w:bCs/>
          <w:color w:val="000000"/>
          <w:sz w:val="32"/>
          <w:szCs w:val="32"/>
        </w:rPr>
      </w:pPr>
      <w:r>
        <w:rPr>
          <w:rFonts w:ascii="仿宋" w:eastAsia="仿宋" w:hAnsi="仿宋" w:cs="仿宋" w:hint="eastAsia"/>
          <w:spacing w:val="-2"/>
          <w:sz w:val="32"/>
          <w:szCs w:val="32"/>
        </w:rPr>
        <w:t>四、服务要求</w:t>
      </w:r>
    </w:p>
    <w:p w14:paraId="6625CDFB" w14:textId="77777777" w:rsidR="007F62A3" w:rsidRDefault="009136AD">
      <w:pPr>
        <w:spacing w:line="360" w:lineRule="auto"/>
        <w:ind w:firstLine="420"/>
        <w:rPr>
          <w:rFonts w:ascii="仿宋" w:eastAsia="仿宋" w:hAnsi="仿宋" w:cs="仿宋"/>
          <w:spacing w:val="-2"/>
          <w:sz w:val="32"/>
          <w:szCs w:val="32"/>
        </w:rPr>
      </w:pPr>
      <w:r>
        <w:rPr>
          <w:rFonts w:ascii="仿宋" w:eastAsia="仿宋" w:hAnsi="仿宋" w:cs="仿宋" w:hint="eastAsia"/>
          <w:spacing w:val="-2"/>
          <w:sz w:val="32"/>
          <w:szCs w:val="32"/>
        </w:rPr>
        <w:t>1、在履行合同的过程中，评估机构提供、接触、知悉的委托方的相关数据和有关文件应做到保密，不得外泄。需保密的内容包括但不限于书面、电子数据等各种形式。</w:t>
      </w:r>
    </w:p>
    <w:p w14:paraId="0895EF0F" w14:textId="77777777" w:rsidR="007F62A3" w:rsidRDefault="009136AD">
      <w:pPr>
        <w:spacing w:line="360" w:lineRule="auto"/>
        <w:ind w:firstLine="420"/>
        <w:rPr>
          <w:rFonts w:ascii="仿宋" w:eastAsia="仿宋" w:hAnsi="仿宋" w:cs="仿宋"/>
          <w:spacing w:val="-2"/>
          <w:sz w:val="32"/>
          <w:szCs w:val="32"/>
        </w:rPr>
      </w:pPr>
      <w:r>
        <w:rPr>
          <w:rFonts w:ascii="仿宋" w:eastAsia="仿宋" w:hAnsi="仿宋" w:cs="仿宋" w:hint="eastAsia"/>
          <w:spacing w:val="-2"/>
          <w:sz w:val="32"/>
          <w:szCs w:val="32"/>
        </w:rPr>
        <w:t>2、评估机构所提供的服务标准按照国家标准或行业标准或企业标准确定，均有标准的以高者（严格者）为准。没有国家标准、行业标准和企业标准的，按照通常标准或者符合合同目的的特定标准确定。</w:t>
      </w:r>
    </w:p>
    <w:p w14:paraId="3E2FA15B" w14:textId="0F85D658" w:rsidR="007F62A3" w:rsidRDefault="009136AD">
      <w:pPr>
        <w:spacing w:line="360" w:lineRule="auto"/>
        <w:ind w:firstLine="420"/>
        <w:rPr>
          <w:rFonts w:ascii="仿宋" w:eastAsia="仿宋" w:hAnsi="仿宋" w:cs="仿宋"/>
          <w:spacing w:val="-2"/>
          <w:sz w:val="32"/>
          <w:szCs w:val="32"/>
        </w:rPr>
      </w:pPr>
      <w:r>
        <w:rPr>
          <w:rFonts w:ascii="仿宋" w:eastAsia="仿宋" w:hAnsi="仿宋" w:cs="仿宋" w:hint="eastAsia"/>
          <w:spacing w:val="-2"/>
          <w:sz w:val="32"/>
          <w:szCs w:val="32"/>
        </w:rPr>
        <w:lastRenderedPageBreak/>
        <w:t>3、评估机构所提供的服务还应符合国家和上海市有关规定。</w:t>
      </w:r>
    </w:p>
    <w:p w14:paraId="15FE210E" w14:textId="77777777" w:rsidR="007F62A3" w:rsidRDefault="009136AD">
      <w:pPr>
        <w:spacing w:before="113" w:line="360" w:lineRule="auto"/>
        <w:ind w:firstLine="420"/>
        <w:rPr>
          <w:rFonts w:ascii="仿宋" w:eastAsia="仿宋" w:hAnsi="仿宋" w:cs="仿宋"/>
          <w:spacing w:val="-2"/>
          <w:sz w:val="32"/>
          <w:szCs w:val="32"/>
        </w:rPr>
      </w:pPr>
      <w:r>
        <w:rPr>
          <w:rFonts w:ascii="仿宋" w:eastAsia="仿宋" w:hAnsi="仿宋" w:cs="仿宋" w:hint="eastAsia"/>
          <w:spacing w:val="-2"/>
          <w:sz w:val="32"/>
          <w:szCs w:val="32"/>
        </w:rPr>
        <w:t>4、服务过程中如因招商情况影响土地出让时间而无法年内出具正式评估报告的地块，可结转次年履行。</w:t>
      </w:r>
    </w:p>
    <w:p w14:paraId="1718B28E" w14:textId="77777777" w:rsidR="007F62A3" w:rsidRDefault="009136AD">
      <w:pPr>
        <w:pStyle w:val="a9"/>
        <w:tabs>
          <w:tab w:val="left" w:pos="565"/>
          <w:tab w:val="left" w:pos="1087"/>
        </w:tabs>
        <w:spacing w:before="161" w:line="580" w:lineRule="auto"/>
        <w:ind w:left="565" w:right="1678" w:firstLine="0"/>
        <w:rPr>
          <w:rFonts w:ascii="仿宋" w:eastAsia="仿宋" w:hAnsi="仿宋" w:cs="仿宋"/>
          <w:sz w:val="32"/>
          <w:szCs w:val="32"/>
        </w:rPr>
      </w:pPr>
      <w:r>
        <w:rPr>
          <w:rFonts w:ascii="仿宋" w:eastAsia="仿宋" w:hAnsi="仿宋" w:cs="仿宋" w:hint="eastAsia"/>
          <w:spacing w:val="-2"/>
          <w:sz w:val="32"/>
          <w:szCs w:val="32"/>
        </w:rPr>
        <w:t>五、服务期限</w:t>
      </w:r>
    </w:p>
    <w:p w14:paraId="1E68785A" w14:textId="1DDD5E6F" w:rsidR="000B7D6F" w:rsidRDefault="000B7D6F" w:rsidP="000B7D6F">
      <w:pPr>
        <w:spacing w:before="113" w:line="360" w:lineRule="auto"/>
        <w:ind w:firstLine="420"/>
        <w:rPr>
          <w:rFonts w:ascii="仿宋" w:eastAsia="仿宋" w:hAnsi="仿宋" w:cs="仿宋"/>
          <w:spacing w:val="-2"/>
          <w:sz w:val="32"/>
          <w:szCs w:val="32"/>
        </w:rPr>
      </w:pPr>
      <w:r w:rsidRPr="00D05CAC">
        <w:rPr>
          <w:rFonts w:ascii="仿宋" w:eastAsia="仿宋" w:hAnsi="仿宋" w:cs="仿宋" w:hint="eastAsia"/>
          <w:spacing w:val="-2"/>
          <w:sz w:val="32"/>
          <w:szCs w:val="32"/>
        </w:rPr>
        <w:t>本项目服务期限自合同签订之日起至</w:t>
      </w:r>
      <w:r w:rsidRPr="00D05CAC">
        <w:rPr>
          <w:rFonts w:ascii="仿宋" w:eastAsia="仿宋" w:hAnsi="仿宋" w:cs="仿宋"/>
          <w:spacing w:val="-2"/>
          <w:sz w:val="32"/>
          <w:szCs w:val="32"/>
        </w:rPr>
        <w:t>16幅地块正式报告全部验收通过为止。</w:t>
      </w:r>
    </w:p>
    <w:p w14:paraId="13120D87" w14:textId="2C8C5368" w:rsidR="007F62A3" w:rsidRDefault="009136AD">
      <w:pPr>
        <w:pStyle w:val="a3"/>
        <w:spacing w:before="1" w:line="508" w:lineRule="auto"/>
        <w:ind w:left="565" w:right="3769" w:hanging="3"/>
      </w:pPr>
      <w:r>
        <w:rPr>
          <w:rFonts w:ascii="仿宋" w:eastAsia="仿宋" w:hAnsi="仿宋" w:cs="仿宋" w:hint="eastAsia"/>
          <w:spacing w:val="-2"/>
          <w:sz w:val="32"/>
          <w:szCs w:val="32"/>
        </w:rPr>
        <w:t>六、付款方式</w:t>
      </w:r>
    </w:p>
    <w:p w14:paraId="5A4B8AC2" w14:textId="1B115786" w:rsidR="007F62A3" w:rsidRDefault="009136AD">
      <w:pPr>
        <w:adjustRightInd w:val="0"/>
        <w:snapToGrid w:val="0"/>
        <w:spacing w:before="218" w:line="360" w:lineRule="auto"/>
        <w:ind w:left="143" w:firstLine="420"/>
        <w:rPr>
          <w:rFonts w:ascii="仿宋" w:eastAsia="仿宋" w:hAnsi="仿宋" w:cs="仿宋"/>
          <w:spacing w:val="-2"/>
          <w:sz w:val="32"/>
          <w:szCs w:val="32"/>
        </w:rPr>
      </w:pPr>
      <w:r>
        <w:rPr>
          <w:rFonts w:ascii="仿宋" w:eastAsia="仿宋" w:hAnsi="仿宋" w:cs="仿宋" w:hint="eastAsia"/>
          <w:spacing w:val="-2"/>
          <w:sz w:val="32"/>
          <w:szCs w:val="32"/>
        </w:rPr>
        <w:t>合同签订，评估方完成全部地块的速算表且采购人收到收款凭证后15个工作日内支付合同价款的40%；评估方完成全部地块的预评估说明函且采购人收到收款凭证后15个工作日内支付合同价款的20%；评估方完成相应地块正式报告并验收通过后30个工作日内按每完成一本正式报告就支付合同25%价款的1/16；16</w:t>
      </w:r>
      <w:r w:rsidRPr="009136AD">
        <w:rPr>
          <w:rFonts w:ascii="仿宋" w:eastAsia="仿宋" w:hAnsi="仿宋" w:cs="仿宋" w:hint="eastAsia"/>
          <w:spacing w:val="-2"/>
          <w:sz w:val="32"/>
          <w:szCs w:val="32"/>
        </w:rPr>
        <w:t>幅</w:t>
      </w:r>
      <w:r>
        <w:rPr>
          <w:rFonts w:ascii="仿宋" w:eastAsia="仿宋" w:hAnsi="仿宋" w:cs="仿宋" w:hint="eastAsia"/>
          <w:spacing w:val="-2"/>
          <w:sz w:val="32"/>
          <w:szCs w:val="32"/>
        </w:rPr>
        <w:t>地块全部出让评估方完成全部评估报告并验收通过后支付剩余15%合同价款。</w:t>
      </w:r>
    </w:p>
    <w:p w14:paraId="38EA7510" w14:textId="77777777" w:rsidR="007F62A3" w:rsidRDefault="009136AD">
      <w:pPr>
        <w:adjustRightInd w:val="0"/>
        <w:snapToGrid w:val="0"/>
        <w:spacing w:before="218" w:line="360" w:lineRule="auto"/>
        <w:ind w:left="143" w:firstLine="420"/>
        <w:rPr>
          <w:rFonts w:ascii="仿宋" w:eastAsia="仿宋" w:hAnsi="仿宋" w:cs="仿宋"/>
          <w:spacing w:val="-2"/>
          <w:sz w:val="32"/>
          <w:szCs w:val="32"/>
        </w:rPr>
      </w:pPr>
      <w:r>
        <w:rPr>
          <w:rFonts w:ascii="仿宋" w:eastAsia="仿宋" w:hAnsi="仿宋" w:cs="仿宋" w:hint="eastAsia"/>
          <w:spacing w:val="-2"/>
          <w:sz w:val="32"/>
          <w:szCs w:val="32"/>
        </w:rPr>
        <w:t>备注：在合同签订的当年度财政预算关账前, 甲方按项目完成情况向乙方支付已完成部分的款项；如项目中部分分项未能在当年度完成的，待次年度剩余分项全部完成后支付剩余款项。</w:t>
      </w:r>
    </w:p>
    <w:p w14:paraId="0E40EF8F" w14:textId="77777777" w:rsidR="007F62A3" w:rsidRDefault="009136AD">
      <w:pPr>
        <w:pStyle w:val="a3"/>
        <w:spacing w:before="1" w:line="508" w:lineRule="auto"/>
        <w:ind w:left="565" w:right="3769" w:hanging="3"/>
        <w:rPr>
          <w:rFonts w:ascii="仿宋" w:eastAsia="仿宋" w:hAnsi="仿宋" w:cs="仿宋"/>
          <w:spacing w:val="-2"/>
          <w:sz w:val="32"/>
          <w:szCs w:val="32"/>
        </w:rPr>
      </w:pPr>
      <w:r>
        <w:rPr>
          <w:rFonts w:ascii="仿宋" w:eastAsia="仿宋" w:hAnsi="仿宋" w:cs="仿宋" w:hint="eastAsia"/>
          <w:spacing w:val="-2"/>
          <w:sz w:val="32"/>
          <w:szCs w:val="32"/>
        </w:rPr>
        <w:t>六、企业要求</w:t>
      </w:r>
    </w:p>
    <w:p w14:paraId="0D1F8497" w14:textId="77777777" w:rsidR="007F62A3" w:rsidRDefault="009136AD">
      <w:pPr>
        <w:adjustRightInd w:val="0"/>
        <w:snapToGrid w:val="0"/>
        <w:spacing w:line="360" w:lineRule="auto"/>
        <w:ind w:firstLineChars="196" w:firstLine="619"/>
        <w:rPr>
          <w:rFonts w:ascii="仿宋" w:eastAsia="仿宋" w:hAnsi="仿宋" w:cs="仿宋"/>
          <w:spacing w:val="-2"/>
          <w:sz w:val="32"/>
          <w:szCs w:val="32"/>
        </w:rPr>
      </w:pPr>
      <w:r>
        <w:rPr>
          <w:rFonts w:ascii="仿宋" w:eastAsia="仿宋" w:hAnsi="仿宋" w:cs="仿宋" w:hint="eastAsia"/>
          <w:spacing w:val="-2"/>
          <w:sz w:val="32"/>
          <w:szCs w:val="32"/>
        </w:rPr>
        <w:t>1、具有商品住宅项目5%配建保障房货币化配建价值评</w:t>
      </w:r>
      <w:r>
        <w:rPr>
          <w:rFonts w:ascii="仿宋" w:eastAsia="仿宋" w:hAnsi="仿宋" w:cs="仿宋" w:hint="eastAsia"/>
          <w:spacing w:val="-2"/>
          <w:sz w:val="32"/>
          <w:szCs w:val="32"/>
        </w:rPr>
        <w:lastRenderedPageBreak/>
        <w:t>估工作经验优先。</w:t>
      </w:r>
    </w:p>
    <w:p w14:paraId="2649B36B" w14:textId="4384F968" w:rsidR="007F62A3" w:rsidRDefault="00804EAE">
      <w:pPr>
        <w:adjustRightInd w:val="0"/>
        <w:snapToGrid w:val="0"/>
        <w:spacing w:line="360" w:lineRule="auto"/>
        <w:ind w:firstLineChars="196" w:firstLine="619"/>
        <w:rPr>
          <w:rFonts w:ascii="仿宋" w:eastAsia="仿宋" w:hAnsi="仿宋" w:cs="仿宋"/>
          <w:spacing w:val="-2"/>
          <w:sz w:val="32"/>
          <w:szCs w:val="32"/>
        </w:rPr>
      </w:pPr>
      <w:r>
        <w:rPr>
          <w:rFonts w:ascii="仿宋" w:eastAsia="仿宋" w:hAnsi="仿宋" w:cs="仿宋"/>
          <w:spacing w:val="-2"/>
          <w:sz w:val="32"/>
          <w:szCs w:val="32"/>
        </w:rPr>
        <w:t>2</w:t>
      </w:r>
      <w:r w:rsidR="009136AD">
        <w:rPr>
          <w:rFonts w:ascii="仿宋" w:eastAsia="仿宋" w:hAnsi="仿宋" w:cs="仿宋" w:hint="eastAsia"/>
          <w:spacing w:val="-2"/>
          <w:sz w:val="32"/>
          <w:szCs w:val="32"/>
        </w:rPr>
        <w:t>、具有ISO9001质量管理体系认证证书。</w:t>
      </w:r>
    </w:p>
    <w:p w14:paraId="1D4FED43" w14:textId="77777777" w:rsidR="00804EAE" w:rsidRDefault="00804EAE" w:rsidP="00804EAE">
      <w:pPr>
        <w:pStyle w:val="a3"/>
        <w:spacing w:before="1" w:line="508" w:lineRule="auto"/>
        <w:ind w:left="565" w:right="3769" w:hanging="3"/>
        <w:rPr>
          <w:rFonts w:ascii="仿宋" w:eastAsia="仿宋" w:hAnsi="仿宋" w:cs="仿宋"/>
          <w:spacing w:val="-2"/>
          <w:sz w:val="32"/>
          <w:szCs w:val="32"/>
        </w:rPr>
      </w:pPr>
      <w:r>
        <w:rPr>
          <w:rFonts w:ascii="仿宋" w:eastAsia="仿宋" w:hAnsi="仿宋" w:cs="仿宋" w:hint="eastAsia"/>
          <w:spacing w:val="-2"/>
          <w:sz w:val="32"/>
          <w:szCs w:val="32"/>
        </w:rPr>
        <w:t>七</w:t>
      </w:r>
      <w:r>
        <w:rPr>
          <w:rFonts w:ascii="仿宋" w:eastAsia="仿宋" w:hAnsi="仿宋" w:cs="仿宋"/>
          <w:spacing w:val="-2"/>
          <w:sz w:val="32"/>
          <w:szCs w:val="32"/>
        </w:rPr>
        <w:t>、资格条件</w:t>
      </w:r>
    </w:p>
    <w:p w14:paraId="26486C1D" w14:textId="04D4E607" w:rsidR="007F62A3" w:rsidRPr="00804EAE" w:rsidRDefault="00804EAE" w:rsidP="00804EAE">
      <w:pPr>
        <w:adjustRightInd w:val="0"/>
        <w:snapToGrid w:val="0"/>
        <w:spacing w:line="360" w:lineRule="auto"/>
        <w:ind w:firstLineChars="196" w:firstLine="619"/>
        <w:rPr>
          <w:rFonts w:ascii="仿宋" w:eastAsia="仿宋" w:hAnsi="仿宋" w:cs="仿宋"/>
          <w:spacing w:val="-2"/>
          <w:sz w:val="32"/>
          <w:szCs w:val="32"/>
        </w:rPr>
      </w:pPr>
      <w:r w:rsidRPr="00D05CAC">
        <w:rPr>
          <w:rFonts w:ascii="仿宋" w:eastAsia="仿宋" w:hAnsi="仿宋" w:cs="仿宋" w:hint="eastAsia"/>
          <w:spacing w:val="-2"/>
          <w:sz w:val="32"/>
          <w:szCs w:val="32"/>
        </w:rPr>
        <w:t>供应商应具有《房地产估价机构备案证书》。</w:t>
      </w:r>
      <w:bookmarkStart w:id="2" w:name="_GoBack"/>
      <w:bookmarkEnd w:id="2"/>
    </w:p>
    <w:p w14:paraId="10B6AF2C" w14:textId="146E46C9" w:rsidR="007F62A3" w:rsidRDefault="00804EAE">
      <w:pPr>
        <w:pStyle w:val="a3"/>
        <w:spacing w:before="1" w:line="508" w:lineRule="auto"/>
        <w:ind w:left="565" w:right="3769" w:hanging="3"/>
        <w:rPr>
          <w:rFonts w:ascii="仿宋" w:eastAsia="仿宋" w:hAnsi="仿宋" w:cs="仿宋"/>
          <w:spacing w:val="-2"/>
          <w:sz w:val="32"/>
          <w:szCs w:val="32"/>
        </w:rPr>
      </w:pPr>
      <w:r>
        <w:rPr>
          <w:rFonts w:ascii="仿宋" w:eastAsia="仿宋" w:hAnsi="仿宋" w:cs="仿宋" w:hint="eastAsia"/>
          <w:spacing w:val="-2"/>
          <w:sz w:val="32"/>
          <w:szCs w:val="32"/>
        </w:rPr>
        <w:t>八</w:t>
      </w:r>
      <w:r w:rsidR="009136AD">
        <w:rPr>
          <w:rFonts w:ascii="仿宋" w:eastAsia="仿宋" w:hAnsi="仿宋" w:cs="仿宋" w:hint="eastAsia"/>
          <w:spacing w:val="-2"/>
          <w:sz w:val="32"/>
          <w:szCs w:val="32"/>
        </w:rPr>
        <w:t>、人员要求</w:t>
      </w:r>
    </w:p>
    <w:p w14:paraId="1C371C18" w14:textId="77777777" w:rsidR="007F62A3" w:rsidRDefault="009136AD">
      <w:pPr>
        <w:adjustRightInd w:val="0"/>
        <w:snapToGrid w:val="0"/>
        <w:spacing w:line="360" w:lineRule="auto"/>
        <w:ind w:firstLineChars="196" w:firstLine="619"/>
        <w:rPr>
          <w:rFonts w:ascii="仿宋" w:eastAsia="仿宋" w:hAnsi="仿宋" w:cs="仿宋"/>
          <w:spacing w:val="-2"/>
          <w:sz w:val="32"/>
          <w:szCs w:val="32"/>
        </w:rPr>
      </w:pPr>
      <w:r>
        <w:rPr>
          <w:rFonts w:ascii="仿宋" w:eastAsia="仿宋" w:hAnsi="仿宋" w:cs="仿宋" w:hint="eastAsia"/>
          <w:spacing w:val="-2"/>
          <w:sz w:val="32"/>
          <w:szCs w:val="32"/>
        </w:rPr>
        <w:t>1、服务团队不少于10人，其中至少一半以上成员具有注册房地产估价师、注册土地估价师资格。</w:t>
      </w:r>
    </w:p>
    <w:p w14:paraId="3BFA601D" w14:textId="77777777" w:rsidR="007F62A3" w:rsidRDefault="009136AD">
      <w:pPr>
        <w:adjustRightInd w:val="0"/>
        <w:snapToGrid w:val="0"/>
        <w:spacing w:line="360" w:lineRule="auto"/>
        <w:ind w:firstLineChars="196" w:firstLine="619"/>
        <w:rPr>
          <w:rFonts w:ascii="仿宋" w:eastAsia="仿宋" w:hAnsi="仿宋" w:cs="仿宋"/>
          <w:spacing w:val="-2"/>
          <w:sz w:val="32"/>
          <w:szCs w:val="32"/>
        </w:rPr>
      </w:pPr>
      <w:r>
        <w:rPr>
          <w:rFonts w:ascii="仿宋" w:eastAsia="仿宋" w:hAnsi="仿宋" w:cs="仿宋" w:hint="eastAsia"/>
          <w:spacing w:val="-2"/>
          <w:sz w:val="32"/>
          <w:szCs w:val="32"/>
        </w:rPr>
        <w:t>2、项目负责人需具有注册房地产估价师资格、高级职称，且有10年以上房地产估价类工作经验，对上海市商品住宅项目5%配建保障房货币化配建价值评估相关政策及业务情况有较为详细的了解。</w:t>
      </w:r>
    </w:p>
    <w:p w14:paraId="3A729D02" w14:textId="77777777" w:rsidR="007F62A3" w:rsidRDefault="007F62A3">
      <w:pPr>
        <w:rPr>
          <w:rFonts w:ascii="仿宋" w:eastAsia="仿宋" w:hAnsi="仿宋" w:cs="仿宋"/>
          <w:sz w:val="32"/>
          <w:szCs w:val="32"/>
        </w:rPr>
      </w:pPr>
    </w:p>
    <w:p w14:paraId="64C43D8B" w14:textId="77777777" w:rsidR="007F62A3" w:rsidRDefault="007F62A3">
      <w:pPr>
        <w:rPr>
          <w:rFonts w:ascii="仿宋" w:eastAsia="仿宋" w:hAnsi="仿宋" w:cs="仿宋"/>
          <w:sz w:val="32"/>
          <w:szCs w:val="32"/>
        </w:rPr>
      </w:pPr>
    </w:p>
    <w:sectPr w:rsidR="007F6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B6E6D" w14:textId="77777777" w:rsidR="00D57EED" w:rsidRDefault="00D57EED" w:rsidP="000B7D6F">
      <w:r>
        <w:separator/>
      </w:r>
    </w:p>
  </w:endnote>
  <w:endnote w:type="continuationSeparator" w:id="0">
    <w:p w14:paraId="2A4BCE26" w14:textId="77777777" w:rsidR="00D57EED" w:rsidRDefault="00D57EED" w:rsidP="000B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4066" w14:textId="77777777" w:rsidR="00D57EED" w:rsidRDefault="00D57EED" w:rsidP="000B7D6F">
      <w:r>
        <w:separator/>
      </w:r>
    </w:p>
  </w:footnote>
  <w:footnote w:type="continuationSeparator" w:id="0">
    <w:p w14:paraId="6D21A80E" w14:textId="77777777" w:rsidR="00D57EED" w:rsidRDefault="00D57EED" w:rsidP="000B7D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1ACD9"/>
    <w:multiLevelType w:val="multilevel"/>
    <w:tmpl w:val="B0F1ACD9"/>
    <w:lvl w:ilvl="0">
      <w:start w:val="1"/>
      <w:numFmt w:val="decimal"/>
      <w:lvlText w:val="%1."/>
      <w:lvlJc w:val="left"/>
      <w:pPr>
        <w:ind w:left="775" w:hanging="213"/>
      </w:pPr>
      <w:rPr>
        <w:rFonts w:hint="default"/>
        <w:spacing w:val="0"/>
        <w:w w:val="85"/>
        <w:lang w:val="en-US" w:eastAsia="zh-CN" w:bidi="ar-SA"/>
      </w:rPr>
    </w:lvl>
    <w:lvl w:ilvl="1">
      <w:numFmt w:val="bullet"/>
      <w:lvlText w:val="•"/>
      <w:lvlJc w:val="left"/>
      <w:pPr>
        <w:ind w:left="1609" w:hanging="213"/>
      </w:pPr>
      <w:rPr>
        <w:rFonts w:hint="default"/>
        <w:lang w:val="en-US" w:eastAsia="zh-CN" w:bidi="ar-SA"/>
      </w:rPr>
    </w:lvl>
    <w:lvl w:ilvl="2">
      <w:numFmt w:val="bullet"/>
      <w:lvlText w:val="•"/>
      <w:lvlJc w:val="left"/>
      <w:pPr>
        <w:ind w:left="2438" w:hanging="213"/>
      </w:pPr>
      <w:rPr>
        <w:rFonts w:hint="default"/>
        <w:lang w:val="en-US" w:eastAsia="zh-CN" w:bidi="ar-SA"/>
      </w:rPr>
    </w:lvl>
    <w:lvl w:ilvl="3">
      <w:numFmt w:val="bullet"/>
      <w:lvlText w:val="•"/>
      <w:lvlJc w:val="left"/>
      <w:pPr>
        <w:ind w:left="3267" w:hanging="213"/>
      </w:pPr>
      <w:rPr>
        <w:rFonts w:hint="default"/>
        <w:lang w:val="en-US" w:eastAsia="zh-CN" w:bidi="ar-SA"/>
      </w:rPr>
    </w:lvl>
    <w:lvl w:ilvl="4">
      <w:numFmt w:val="bullet"/>
      <w:lvlText w:val="•"/>
      <w:lvlJc w:val="left"/>
      <w:pPr>
        <w:ind w:left="4096" w:hanging="213"/>
      </w:pPr>
      <w:rPr>
        <w:rFonts w:hint="default"/>
        <w:lang w:val="en-US" w:eastAsia="zh-CN" w:bidi="ar-SA"/>
      </w:rPr>
    </w:lvl>
    <w:lvl w:ilvl="5">
      <w:numFmt w:val="bullet"/>
      <w:lvlText w:val="•"/>
      <w:lvlJc w:val="left"/>
      <w:pPr>
        <w:ind w:left="4926" w:hanging="213"/>
      </w:pPr>
      <w:rPr>
        <w:rFonts w:hint="default"/>
        <w:lang w:val="en-US" w:eastAsia="zh-CN" w:bidi="ar-SA"/>
      </w:rPr>
    </w:lvl>
    <w:lvl w:ilvl="6">
      <w:numFmt w:val="bullet"/>
      <w:lvlText w:val="•"/>
      <w:lvlJc w:val="left"/>
      <w:pPr>
        <w:ind w:left="5755" w:hanging="213"/>
      </w:pPr>
      <w:rPr>
        <w:rFonts w:hint="default"/>
        <w:lang w:val="en-US" w:eastAsia="zh-CN" w:bidi="ar-SA"/>
      </w:rPr>
    </w:lvl>
    <w:lvl w:ilvl="7">
      <w:numFmt w:val="bullet"/>
      <w:lvlText w:val="•"/>
      <w:lvlJc w:val="left"/>
      <w:pPr>
        <w:ind w:left="6584" w:hanging="213"/>
      </w:pPr>
      <w:rPr>
        <w:rFonts w:hint="default"/>
        <w:lang w:val="en-US" w:eastAsia="zh-CN" w:bidi="ar-SA"/>
      </w:rPr>
    </w:lvl>
    <w:lvl w:ilvl="8">
      <w:numFmt w:val="bullet"/>
      <w:lvlText w:val="•"/>
      <w:lvlJc w:val="left"/>
      <w:pPr>
        <w:ind w:left="7413" w:hanging="21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1F"/>
    <w:rsid w:val="000B7D6F"/>
    <w:rsid w:val="00194FE5"/>
    <w:rsid w:val="00314251"/>
    <w:rsid w:val="00450FE9"/>
    <w:rsid w:val="006304C1"/>
    <w:rsid w:val="007F62A3"/>
    <w:rsid w:val="00804EAE"/>
    <w:rsid w:val="009136AD"/>
    <w:rsid w:val="00986931"/>
    <w:rsid w:val="00D05CAC"/>
    <w:rsid w:val="00D57EED"/>
    <w:rsid w:val="00E62E1F"/>
    <w:rsid w:val="05A7755B"/>
    <w:rsid w:val="0A64051E"/>
    <w:rsid w:val="111A0646"/>
    <w:rsid w:val="16580C0B"/>
    <w:rsid w:val="1DF83E91"/>
    <w:rsid w:val="25C9512C"/>
    <w:rsid w:val="468771DD"/>
    <w:rsid w:val="5C036F81"/>
    <w:rsid w:val="609B45BE"/>
    <w:rsid w:val="6F6D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9986A"/>
  <w15:docId w15:val="{655B386D-8CA3-49B8-9C9F-15DD4B46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paragraph" w:styleId="1">
    <w:name w:val="heading 1"/>
    <w:basedOn w:val="a"/>
    <w:link w:val="10"/>
    <w:uiPriority w:val="1"/>
    <w:qFormat/>
    <w:pPr>
      <w:spacing w:before="64"/>
      <w:ind w:left="1349" w:right="162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1"/>
    <w:qFormat/>
    <w:rPr>
      <w:rFonts w:ascii="宋体" w:eastAsia="宋体" w:hAnsi="宋体" w:cs="宋体"/>
      <w:kern w:val="0"/>
      <w:sz w:val="36"/>
      <w:szCs w:val="36"/>
    </w:rPr>
  </w:style>
  <w:style w:type="character" w:customStyle="1" w:styleId="a4">
    <w:name w:val="正文文本 字符"/>
    <w:basedOn w:val="a0"/>
    <w:link w:val="a3"/>
    <w:uiPriority w:val="1"/>
    <w:qFormat/>
    <w:rPr>
      <w:rFonts w:ascii="宋体" w:eastAsia="宋体" w:hAnsi="宋体" w:cs="宋体"/>
      <w:kern w:val="0"/>
      <w:szCs w:val="21"/>
    </w:rPr>
  </w:style>
  <w:style w:type="paragraph" w:styleId="a9">
    <w:name w:val="List Paragraph"/>
    <w:basedOn w:val="a"/>
    <w:uiPriority w:val="1"/>
    <w:qFormat/>
    <w:pPr>
      <w:ind w:left="143" w:firstLine="4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300</Words>
  <Characters>1712</Characters>
  <Application>Microsoft Office Word</Application>
  <DocSecurity>0</DocSecurity>
  <Lines>14</Lines>
  <Paragraphs>4</Paragraphs>
  <ScaleCrop>false</ScaleCrop>
  <Company>MS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邵明浩</dc:creator>
  <cp:lastModifiedBy>USER-</cp:lastModifiedBy>
  <cp:revision>4</cp:revision>
  <dcterms:created xsi:type="dcterms:W3CDTF">2025-10-22T06:38:00Z</dcterms:created>
  <dcterms:modified xsi:type="dcterms:W3CDTF">2025-10-22T08:45:00Z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eyJoZGlkIjoiY2RmOGE1NzU3MGMzNGExMDI0MGRkMjJiNGYyOTEwNjEiLCJ1c2VySWQiOiI1NjUzNjA2NzQifQ==</vt:lpwstr>
  </property>
  <property fmtid="{D5CDD505-2E9C-101B-9397-08002B2CF9AE}" pid="3" name="KSOProductBuildVer">
    <vt:lpwstr>2052-12.1.0.22529</vt:lpwstr>
  </property>
  <property fmtid="{D5CDD505-2E9C-101B-9397-08002B2CF9AE}" pid="4" name="ICV">
    <vt:lpwstr>AD418484D65B4AB5B5E04866DEA0D06D_13</vt:lpwstr>
  </property>
</Properties>
</file>