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特定</w:t>
      </w:r>
      <w:bookmarkStart w:id="2" w:name="_GoBack"/>
      <w:bookmarkEnd w:id="2"/>
      <w:r>
        <w:rPr>
          <w:rFonts w:hint="eastAsia" w:ascii="宋体" w:hAnsi="宋体" w:eastAsia="宋体"/>
          <w:sz w:val="24"/>
          <w:szCs w:val="24"/>
          <w:highlight w:val="none"/>
        </w:rPr>
        <w:t>资格要求：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bookmarkStart w:id="0" w:name="_Hlk97193910"/>
      <w:bookmarkStart w:id="1" w:name="OLE_LINK5"/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1</w:t>
      </w:r>
      <w:r>
        <w:rPr>
          <w:rFonts w:hint="eastAsia" w:ascii="宋体" w:hAnsi="宋体" w:eastAsia="宋体"/>
          <w:sz w:val="24"/>
          <w:highlight w:val="none"/>
        </w:rPr>
        <w:t>）投标人应提供所投产品《中华人民共和国医疗器械注册证》（适用于第二类、第三类医疗器械）或《第一类医疗器械备案凭证》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,</w:t>
      </w:r>
      <w:r>
        <w:rPr>
          <w:rFonts w:hint="eastAsia" w:ascii="宋体" w:hAnsi="宋体" w:eastAsia="宋体"/>
          <w:sz w:val="24"/>
          <w:highlight w:val="none"/>
          <w:lang w:eastAsia="zh-CN"/>
        </w:rPr>
        <w:t>（仅针对物理诊疗设备中序（一）至（十九）所列设备）</w:t>
      </w:r>
      <w:r>
        <w:rPr>
          <w:rFonts w:hint="eastAsia" w:ascii="宋体" w:hAnsi="宋体" w:eastAsia="宋体"/>
          <w:sz w:val="24"/>
          <w:highlight w:val="none"/>
        </w:rPr>
        <w:t>。投标产品应当与上述两证中的规格型号保持一致；</w:t>
      </w:r>
    </w:p>
    <w:bookmarkEnd w:id="0"/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2</w:t>
      </w:r>
      <w:r>
        <w:rPr>
          <w:rFonts w:hint="eastAsia" w:ascii="宋体" w:hAnsi="宋体" w:eastAsia="宋体"/>
          <w:sz w:val="24"/>
          <w:highlight w:val="none"/>
        </w:rPr>
        <w:t>）如果投标人是投标产品制造厂家，应同时提供《医疗器械生产许可证》（适用于第二类、第三类医疗器械）或《第一类医疗器械生产备案凭证》，</w:t>
      </w:r>
      <w:r>
        <w:rPr>
          <w:rFonts w:hint="eastAsia" w:ascii="宋体" w:hAnsi="宋体" w:eastAsia="宋体"/>
          <w:sz w:val="24"/>
          <w:highlight w:val="none"/>
          <w:lang w:eastAsia="zh-CN"/>
        </w:rPr>
        <w:t>（仅针对物理诊疗设备中序（一）至（十九）所列设备）</w:t>
      </w:r>
      <w:r>
        <w:rPr>
          <w:rFonts w:hint="eastAsia" w:ascii="宋体" w:hAnsi="宋体" w:eastAsia="宋体"/>
          <w:sz w:val="24"/>
          <w:highlight w:val="none"/>
        </w:rPr>
        <w:t xml:space="preserve">。上述两证不可相互替代、覆盖；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（3）如果投标人是经营企业，应同时提供《医疗器械经营企业许可证》（适用于第三类医疗器械）或《第二类医疗器械经营备案凭证》，若两证合一，仅需提供经营许可证，</w:t>
      </w:r>
      <w:r>
        <w:rPr>
          <w:rFonts w:hint="eastAsia" w:ascii="宋体" w:hAnsi="宋体" w:eastAsia="宋体"/>
          <w:sz w:val="24"/>
          <w:highlight w:val="none"/>
          <w:lang w:eastAsia="zh-CN"/>
        </w:rPr>
        <w:t>（仅针对物理诊疗设备中序（一）至（十九）所列设备）</w:t>
      </w:r>
      <w:r>
        <w:rPr>
          <w:rFonts w:hint="eastAsia" w:ascii="宋体" w:hAnsi="宋体" w:eastAsia="宋体"/>
          <w:sz w:val="24"/>
          <w:highlight w:val="none"/>
        </w:rPr>
        <w:t>。投标产品应当与上述两证核准的经营范围保持一致，并且两证不可相互替代、覆盖；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  <w:highlight w:val="none"/>
        </w:rPr>
        <w:t>）参加投标的供应商应具有健全的财务会计制度、有依法缴纳税收和社</w:t>
      </w:r>
      <w:r>
        <w:rPr>
          <w:rFonts w:hint="eastAsia" w:ascii="宋体" w:hAnsi="宋体" w:eastAsia="宋体"/>
          <w:sz w:val="24"/>
          <w:szCs w:val="24"/>
        </w:rPr>
        <w:t>会保障资金的良好记录，须提供《财务状况及税收、社会保障资金缴纳情况声明函》；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本项目专门面向</w:t>
      </w:r>
      <w:r>
        <w:rPr>
          <w:rFonts w:hint="eastAsia" w:ascii="宋体" w:hAnsi="宋体" w:eastAsia="宋体" w:cs="宋体"/>
          <w:sz w:val="24"/>
          <w:lang w:eastAsia="zh-CN"/>
        </w:rPr>
        <w:t>中小</w:t>
      </w:r>
      <w:r>
        <w:rPr>
          <w:rFonts w:hint="eastAsia" w:ascii="宋体" w:hAnsi="宋体" w:eastAsia="宋体" w:cs="宋体"/>
          <w:sz w:val="24"/>
        </w:rPr>
        <w:t>企业采购，</w:t>
      </w:r>
      <w:r>
        <w:rPr>
          <w:rFonts w:hint="eastAsia" w:ascii="宋体" w:hAnsi="宋体" w:eastAsia="宋体" w:cs="宋体"/>
          <w:sz w:val="24"/>
          <w:lang w:eastAsia="zh-CN"/>
        </w:rPr>
        <w:t>中小</w:t>
      </w:r>
      <w:r>
        <w:rPr>
          <w:rFonts w:hint="eastAsia" w:ascii="宋体" w:hAnsi="宋体" w:eastAsia="宋体" w:cs="宋体"/>
          <w:sz w:val="24"/>
        </w:rPr>
        <w:t>企业应当按照规定提供《中小企业声明函》；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本项目不允许进口产品投标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本项目不允许联合体投标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）单位负责人为同一人或者存在直接控股、管理关系的不同投标人，不得参加同一合同项下的政府采购活动，提供股东组成基本情况表。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366DB"/>
    <w:rsid w:val="20F3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57" w:right="57"/>
      <w:jc w:val="center"/>
    </w:pPr>
    <w:rPr>
      <w:rFonts w:eastAsia="宋体"/>
      <w:kern w:val="0"/>
      <w:sz w:val="21"/>
    </w:rPr>
  </w:style>
  <w:style w:type="paragraph" w:styleId="3">
    <w:name w:val="caption"/>
    <w:basedOn w:val="1"/>
    <w:next w:val="1"/>
    <w:qFormat/>
    <w:uiPriority w:val="35"/>
    <w:rPr>
      <w:rFonts w:ascii="Cambria" w:hAnsi="Cambria" w:eastAsia="黑体" w:cs="Times New Roman"/>
      <w:sz w:val="20"/>
    </w:rPr>
  </w:style>
  <w:style w:type="paragraph" w:styleId="4">
    <w:name w:val="Body Text Indent"/>
    <w:basedOn w:val="1"/>
    <w:next w:val="5"/>
    <w:qFormat/>
    <w:uiPriority w:val="0"/>
    <w:pPr>
      <w:ind w:left="525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2025-10-10T01:00:00Z</dcterms:created>
  <dc:creator>xj</dc:creator>
  <cp:lastModifiedBy>xj</cp:lastModifiedBy>
  <dcterms:modified xsi:type="dcterms:W3CDTF">2025-10-10T01:02:02Z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