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center"/>
        <w:rPr>
          <w:rFonts w:ascii="宋体" w:hAnsi="宋体" w:eastAsia="宋体" w:cs="宋体"/>
          <w:sz w:val="28"/>
          <w:szCs w:val="28"/>
        </w:rPr>
      </w:pPr>
      <w:r>
        <w:rPr>
          <w:rFonts w:hint="eastAsia" w:ascii="宋体" w:hAnsi="宋体" w:eastAsia="宋体" w:cs="宋体"/>
          <w:sz w:val="28"/>
          <w:szCs w:val="28"/>
        </w:rPr>
        <w:t>度假区监控补盲及视频接入建设项目</w:t>
      </w:r>
    </w:p>
    <w:p>
      <w:pPr>
        <w:pStyle w:val="8"/>
        <w:jc w:val="center"/>
        <w:rPr>
          <w:rFonts w:ascii="宋体" w:hAnsi="宋体" w:eastAsia="宋体" w:cs="宋体"/>
          <w:sz w:val="28"/>
          <w:szCs w:val="28"/>
        </w:rPr>
      </w:pPr>
      <w:r>
        <w:rPr>
          <w:rFonts w:hint="eastAsia" w:ascii="宋体" w:hAnsi="宋体" w:eastAsia="宋体" w:cs="宋体"/>
          <w:sz w:val="28"/>
          <w:szCs w:val="28"/>
        </w:rPr>
        <w:t>需求文件</w:t>
      </w:r>
    </w:p>
    <w:p/>
    <w:p>
      <w:pPr>
        <w:pStyle w:val="3"/>
        <w:numPr>
          <w:ilvl w:val="0"/>
          <w:numId w:val="1"/>
        </w:numPr>
        <w:spacing w:before="0" w:after="0" w:line="360" w:lineRule="auto"/>
        <w:ind w:firstLine="0"/>
        <w:rPr>
          <w:rFonts w:ascii="宋体" w:hAnsi="宋体" w:eastAsia="宋体" w:cs="宋体"/>
          <w:sz w:val="24"/>
        </w:rPr>
      </w:pPr>
      <w:bookmarkStart w:id="0" w:name="_Toc151025854"/>
      <w:bookmarkStart w:id="1" w:name="_Toc451762253"/>
      <w:bookmarkStart w:id="2" w:name="_Toc157093036"/>
      <w:bookmarkStart w:id="3" w:name="PO_PURCHASE_REQUIREMENT_FILE73025_2"/>
      <w:r>
        <w:rPr>
          <w:rFonts w:hint="eastAsia" w:ascii="宋体" w:hAnsi="宋体" w:eastAsia="宋体" w:cs="宋体"/>
          <w:sz w:val="24"/>
        </w:rPr>
        <w:t>建设</w:t>
      </w:r>
      <w:bookmarkEnd w:id="0"/>
      <w:r>
        <w:rPr>
          <w:rFonts w:hint="eastAsia" w:ascii="宋体" w:hAnsi="宋体" w:eastAsia="宋体" w:cs="宋体"/>
          <w:sz w:val="24"/>
        </w:rPr>
        <w:t>背景</w:t>
      </w:r>
    </w:p>
    <w:p>
      <w:pPr>
        <w:pStyle w:val="14"/>
        <w:rPr>
          <w:rFonts w:ascii="宋体" w:hAnsi="宋体"/>
          <w:sz w:val="24"/>
          <w:szCs w:val="24"/>
        </w:rPr>
      </w:pPr>
      <w:r>
        <w:rPr>
          <w:rFonts w:hint="eastAsia" w:ascii="宋体" w:hAnsi="宋体"/>
          <w:sz w:val="24"/>
          <w:szCs w:val="24"/>
        </w:rPr>
        <w:t>上海国际旅游度假区作为重要的旅游和休闲区域，人流密集，交通复杂，保障安全和秩序至关重要。为了提升区域的监控覆盖和安全管理能力，计划新增60个监控前端布点，涵盖人行步道、停车场、交通枢纽等多个重点区域。</w:t>
      </w:r>
    </w:p>
    <w:p>
      <w:pPr>
        <w:pStyle w:val="14"/>
        <w:rPr>
          <w:rFonts w:ascii="宋体" w:hAnsi="宋体"/>
          <w:sz w:val="24"/>
          <w:szCs w:val="24"/>
        </w:rPr>
      </w:pPr>
      <w:r>
        <w:rPr>
          <w:rFonts w:hint="eastAsia" w:ascii="宋体" w:hAnsi="宋体"/>
          <w:sz w:val="24"/>
          <w:szCs w:val="24"/>
        </w:rPr>
        <w:t>本项目旨在通过合理的监控设备布点、科学的安装方式以及先进的技术手段，实现对区域的全方位监控，提升安全管理水平。</w:t>
      </w:r>
    </w:p>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建设目标</w:t>
      </w:r>
    </w:p>
    <w:p>
      <w:pPr>
        <w:spacing w:line="360" w:lineRule="auto"/>
        <w:ind w:firstLine="480" w:firstLineChars="200"/>
        <w:rPr>
          <w:rFonts w:ascii="宋体" w:hAnsi="宋体" w:cs="宋体"/>
          <w:sz w:val="24"/>
        </w:rPr>
      </w:pPr>
      <w:r>
        <w:rPr>
          <w:rFonts w:hint="eastAsia" w:ascii="宋体" w:hAnsi="宋体" w:cs="宋体"/>
          <w:sz w:val="24"/>
        </w:rPr>
        <w:t>通过新增60个监控点，实现对内部人行步道、交通枢纽、停车场、建筑物屋顶等重点区域的全面覆盖，消除现有监控盲区，确保无死角监控。</w:t>
      </w:r>
    </w:p>
    <w:p>
      <w:pPr>
        <w:spacing w:line="360" w:lineRule="auto"/>
        <w:rPr>
          <w:rFonts w:ascii="宋体" w:hAnsi="宋体" w:cs="宋体"/>
          <w:sz w:val="24"/>
        </w:rPr>
      </w:pPr>
      <w:r>
        <w:rPr>
          <w:rFonts w:hint="eastAsia" w:ascii="宋体" w:hAnsi="宋体" w:cs="宋体"/>
          <w:sz w:val="24"/>
        </w:rPr>
        <w:t>(一)</w:t>
      </w:r>
      <w:r>
        <w:rPr>
          <w:rFonts w:hint="eastAsia" w:ascii="宋体" w:hAnsi="宋体" w:cs="宋体"/>
          <w:sz w:val="24"/>
        </w:rPr>
        <w:tab/>
      </w:r>
      <w:r>
        <w:rPr>
          <w:rFonts w:hint="eastAsia" w:ascii="宋体" w:hAnsi="宋体" w:cs="宋体"/>
          <w:sz w:val="24"/>
        </w:rPr>
        <w:t>全覆盖监控</w:t>
      </w:r>
    </w:p>
    <w:p>
      <w:pPr>
        <w:spacing w:line="360" w:lineRule="auto"/>
        <w:rPr>
          <w:rFonts w:ascii="宋体" w:hAnsi="宋体" w:cs="宋体"/>
          <w:sz w:val="24"/>
        </w:rPr>
      </w:pPr>
      <w:r>
        <w:rPr>
          <w:rFonts w:hint="eastAsia" w:ascii="宋体" w:hAnsi="宋体" w:cs="宋体"/>
          <w:sz w:val="24"/>
        </w:rPr>
        <w:t>通过新增监控点，实现对度假区内重点区域的全面覆盖。</w:t>
      </w:r>
    </w:p>
    <w:p>
      <w:pPr>
        <w:spacing w:line="360" w:lineRule="auto"/>
        <w:rPr>
          <w:rFonts w:ascii="宋体" w:hAnsi="宋体" w:cs="宋体"/>
          <w:sz w:val="24"/>
        </w:rPr>
      </w:pPr>
      <w:r>
        <w:rPr>
          <w:rFonts w:hint="eastAsia" w:ascii="宋体" w:hAnsi="宋体" w:cs="宋体"/>
          <w:sz w:val="24"/>
        </w:rPr>
        <w:t>(二)</w:t>
      </w:r>
      <w:r>
        <w:rPr>
          <w:rFonts w:hint="eastAsia" w:ascii="宋体" w:hAnsi="宋体" w:cs="宋体"/>
          <w:sz w:val="24"/>
        </w:rPr>
        <w:tab/>
      </w:r>
      <w:r>
        <w:rPr>
          <w:rFonts w:hint="eastAsia" w:ascii="宋体" w:hAnsi="宋体" w:cs="宋体"/>
          <w:sz w:val="24"/>
        </w:rPr>
        <w:t>补盲区监控</w:t>
      </w:r>
    </w:p>
    <w:p>
      <w:pPr>
        <w:spacing w:line="360" w:lineRule="auto"/>
        <w:rPr>
          <w:rFonts w:ascii="宋体" w:hAnsi="宋体" w:cs="宋体"/>
          <w:sz w:val="24"/>
        </w:rPr>
      </w:pPr>
      <w:r>
        <w:rPr>
          <w:rFonts w:hint="eastAsia" w:ascii="宋体" w:hAnsi="宋体" w:cs="宋体"/>
          <w:sz w:val="24"/>
        </w:rPr>
        <w:t>针对现有监控盲区进行补充，减少监控死角。</w:t>
      </w:r>
    </w:p>
    <w:p>
      <w:pPr>
        <w:spacing w:line="360" w:lineRule="auto"/>
        <w:rPr>
          <w:rFonts w:ascii="宋体" w:hAnsi="宋体" w:cs="宋体"/>
          <w:sz w:val="24"/>
        </w:rPr>
      </w:pPr>
      <w:r>
        <w:rPr>
          <w:rFonts w:hint="eastAsia" w:ascii="宋体" w:hAnsi="宋体" w:cs="宋体"/>
          <w:sz w:val="24"/>
        </w:rPr>
        <w:t>(三)</w:t>
      </w:r>
      <w:r>
        <w:rPr>
          <w:rFonts w:hint="eastAsia" w:ascii="宋体" w:hAnsi="宋体" w:cs="宋体"/>
          <w:sz w:val="24"/>
        </w:rPr>
        <w:tab/>
      </w:r>
      <w:r>
        <w:rPr>
          <w:rFonts w:hint="eastAsia" w:ascii="宋体" w:hAnsi="宋体" w:cs="宋体"/>
          <w:sz w:val="24"/>
        </w:rPr>
        <w:t>智能化管理</w:t>
      </w:r>
    </w:p>
    <w:p>
      <w:pPr>
        <w:spacing w:line="360" w:lineRule="auto"/>
        <w:rPr>
          <w:rFonts w:ascii="宋体" w:hAnsi="宋体" w:cs="宋体"/>
          <w:sz w:val="24"/>
        </w:rPr>
      </w:pPr>
      <w:r>
        <w:rPr>
          <w:rFonts w:hint="eastAsia" w:ascii="宋体" w:hAnsi="宋体" w:cs="宋体"/>
          <w:sz w:val="24"/>
        </w:rPr>
        <w:t>采用先进的摄像机技术（如云台、人脸识别摄像机），提升监控系统的智能化水平。</w:t>
      </w:r>
    </w:p>
    <w:p>
      <w:pPr>
        <w:spacing w:line="360" w:lineRule="auto"/>
        <w:rPr>
          <w:rFonts w:ascii="宋体" w:hAnsi="宋体" w:cs="宋体"/>
          <w:sz w:val="24"/>
        </w:rPr>
      </w:pPr>
      <w:r>
        <w:rPr>
          <w:rFonts w:hint="eastAsia" w:ascii="宋体" w:hAnsi="宋体" w:cs="宋体"/>
          <w:sz w:val="24"/>
        </w:rPr>
        <w:t>(四)</w:t>
      </w:r>
      <w:r>
        <w:rPr>
          <w:rFonts w:hint="eastAsia" w:ascii="宋体" w:hAnsi="宋体" w:cs="宋体"/>
          <w:sz w:val="24"/>
        </w:rPr>
        <w:tab/>
      </w:r>
      <w:r>
        <w:rPr>
          <w:rFonts w:hint="eastAsia" w:ascii="宋体" w:hAnsi="宋体" w:cs="宋体"/>
          <w:sz w:val="24"/>
        </w:rPr>
        <w:t>高效安装</w:t>
      </w:r>
    </w:p>
    <w:p>
      <w:pPr>
        <w:spacing w:line="360" w:lineRule="auto"/>
      </w:pPr>
      <w:r>
        <w:rPr>
          <w:rFonts w:hint="eastAsia" w:ascii="宋体" w:hAnsi="宋体" w:cs="宋体"/>
          <w:sz w:val="24"/>
        </w:rPr>
        <w:t>根据不同区域的特点，选择合适的安装方式（如立杆、壁挂、借杆等），确保监控设备的稳定性和安全性。</w:t>
      </w:r>
    </w:p>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建设内容</w:t>
      </w:r>
    </w:p>
    <w:p>
      <w:pPr>
        <w:spacing w:line="360" w:lineRule="auto"/>
        <w:ind w:firstLine="480" w:firstLineChars="200"/>
        <w:rPr>
          <w:rFonts w:ascii="宋体" w:hAnsi="宋体" w:cs="宋体"/>
          <w:sz w:val="24"/>
        </w:rPr>
      </w:pPr>
      <w:r>
        <w:rPr>
          <w:rFonts w:hint="eastAsia" w:ascii="宋体" w:hAnsi="宋体" w:cs="宋体"/>
          <w:sz w:val="24"/>
        </w:rPr>
        <w:t>建设采用全高清摄像头，提供高质量图像。前端监控点视频信号通过IP摄像机直接与网络设备连接，通过网络与监控中心连接，系统存储采用NVR模式，提高系统视频图像的管理性、预览实时性、控制灵敏性等功能。</w:t>
      </w:r>
    </w:p>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建设周期</w:t>
      </w:r>
    </w:p>
    <w:p>
      <w:pPr>
        <w:spacing w:line="360" w:lineRule="auto"/>
        <w:ind w:firstLine="480" w:firstLineChars="200"/>
        <w:rPr>
          <w:rFonts w:ascii="宋体" w:hAnsi="宋体" w:cs="宋体"/>
          <w:sz w:val="24"/>
        </w:rPr>
      </w:pPr>
      <w:bookmarkStart w:id="4" w:name="_Hlk187915900"/>
      <w:r>
        <w:rPr>
          <w:rFonts w:hint="eastAsia" w:ascii="宋体" w:hAnsi="宋体" w:cs="宋体"/>
          <w:sz w:val="24"/>
        </w:rPr>
        <w:t>项目建设周期为120日历天</w:t>
      </w:r>
    </w:p>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进度计划</w:t>
      </w:r>
    </w:p>
    <w:p>
      <w:pPr>
        <w:numPr>
          <w:ilvl w:val="0"/>
          <w:numId w:val="2"/>
        </w:numPr>
        <w:spacing w:line="360" w:lineRule="auto"/>
        <w:ind w:firstLine="480" w:firstLineChars="200"/>
        <w:rPr>
          <w:rFonts w:ascii="宋体" w:hAnsi="宋体" w:cs="宋体"/>
          <w:sz w:val="24"/>
          <w:highlight w:val="none"/>
        </w:rPr>
      </w:pPr>
      <w:r>
        <w:rPr>
          <w:rFonts w:hint="eastAsia" w:ascii="宋体" w:hAnsi="宋体" w:cs="宋体"/>
          <w:sz w:val="24"/>
          <w:highlight w:val="none"/>
        </w:rPr>
        <w:t>合同签订后在9月底前，设备进场并完成验货及签收；</w:t>
      </w:r>
    </w:p>
    <w:p>
      <w:pPr>
        <w:numPr>
          <w:ilvl w:val="0"/>
          <w:numId w:val="2"/>
        </w:numPr>
        <w:spacing w:line="360" w:lineRule="auto"/>
        <w:ind w:firstLine="480" w:firstLineChars="200"/>
        <w:rPr>
          <w:rFonts w:ascii="宋体" w:hAnsi="宋体" w:cs="宋体"/>
          <w:sz w:val="24"/>
          <w:highlight w:val="none"/>
        </w:rPr>
      </w:pPr>
      <w:r>
        <w:rPr>
          <w:rFonts w:hint="eastAsia" w:ascii="宋体" w:hAnsi="宋体" w:cs="宋体"/>
          <w:sz w:val="24"/>
          <w:highlight w:val="none"/>
        </w:rPr>
        <w:t>设备进场并完成验收及签收后在11月20日前，完成设备安装、调试；</w:t>
      </w:r>
    </w:p>
    <w:p>
      <w:pPr>
        <w:numPr>
          <w:ilvl w:val="0"/>
          <w:numId w:val="2"/>
        </w:numPr>
        <w:spacing w:line="360" w:lineRule="auto"/>
        <w:ind w:firstLine="480" w:firstLineChars="200"/>
        <w:rPr>
          <w:rFonts w:ascii="宋体" w:hAnsi="宋体" w:cs="宋体"/>
          <w:sz w:val="24"/>
          <w:highlight w:val="none"/>
        </w:rPr>
      </w:pPr>
      <w:r>
        <w:rPr>
          <w:rFonts w:hint="eastAsia" w:ascii="宋体" w:hAnsi="宋体" w:cs="宋体"/>
          <w:sz w:val="24"/>
          <w:highlight w:val="none"/>
        </w:rPr>
        <w:t>安装完成后在11月底前，完成验收工作。</w:t>
      </w:r>
    </w:p>
    <w:bookmarkEnd w:id="4"/>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建设地址</w:t>
      </w:r>
    </w:p>
    <w:p>
      <w:pPr>
        <w:spacing w:line="360" w:lineRule="auto"/>
        <w:ind w:firstLine="480" w:firstLineChars="200"/>
        <w:rPr>
          <w:rFonts w:ascii="宋体" w:hAnsi="宋体" w:cs="宋体"/>
          <w:sz w:val="24"/>
        </w:rPr>
      </w:pPr>
      <w:r>
        <w:rPr>
          <w:rFonts w:hint="eastAsia" w:ascii="宋体" w:hAnsi="宋体" w:cs="宋体"/>
          <w:sz w:val="24"/>
        </w:rPr>
        <w:t>采购人指定地点</w:t>
      </w:r>
    </w:p>
    <w:p>
      <w:pPr>
        <w:pStyle w:val="3"/>
        <w:numPr>
          <w:ilvl w:val="0"/>
          <w:numId w:val="1"/>
        </w:numPr>
        <w:spacing w:before="0" w:after="0" w:line="360" w:lineRule="auto"/>
        <w:ind w:firstLine="0"/>
        <w:rPr>
          <w:rFonts w:ascii="宋体" w:hAnsi="宋体" w:eastAsia="宋体" w:cs="宋体"/>
          <w:sz w:val="24"/>
        </w:rPr>
      </w:pPr>
      <w:bookmarkStart w:id="5" w:name="_Toc151025855"/>
      <w:r>
        <w:rPr>
          <w:rFonts w:hint="eastAsia" w:ascii="宋体" w:hAnsi="宋体" w:eastAsia="宋体" w:cs="宋体"/>
          <w:sz w:val="24"/>
        </w:rPr>
        <w:t>技术标准、规范依据、项目管理及施工要求</w:t>
      </w:r>
      <w:bookmarkEnd w:id="5"/>
    </w:p>
    <w:p>
      <w:pPr>
        <w:pStyle w:val="14"/>
        <w:rPr>
          <w:rFonts w:ascii="宋体" w:hAnsi="宋体"/>
          <w:b/>
          <w:bCs/>
          <w:sz w:val="24"/>
          <w:szCs w:val="24"/>
        </w:rPr>
      </w:pPr>
      <w:bookmarkStart w:id="6" w:name="_Hlk167396983"/>
      <w:r>
        <w:rPr>
          <w:rFonts w:hint="eastAsia" w:ascii="宋体" w:hAnsi="宋体"/>
          <w:b/>
          <w:bCs/>
          <w:sz w:val="24"/>
          <w:szCs w:val="24"/>
        </w:rPr>
        <w:t>1、本项目建设依据包含但不限于以下：</w:t>
      </w:r>
    </w:p>
    <w:p>
      <w:pPr>
        <w:pStyle w:val="14"/>
        <w:rPr>
          <w:rFonts w:ascii="宋体" w:hAnsi="宋体"/>
          <w:sz w:val="24"/>
          <w:szCs w:val="24"/>
        </w:rPr>
      </w:pPr>
      <w:r>
        <w:rPr>
          <w:rFonts w:hint="eastAsia" w:ascii="宋体" w:hAnsi="宋体"/>
          <w:sz w:val="24"/>
          <w:szCs w:val="24"/>
        </w:rPr>
        <w:t>深入分析实际项目中积累沉淀的具体设计思路、业务规范的基础上，结合多年行业解决方案和项目实施的丰厚经验，面向监控管理的具体特色需求。遵循以下国家相关的标准和规范：</w:t>
      </w:r>
    </w:p>
    <w:p>
      <w:pPr>
        <w:pStyle w:val="14"/>
        <w:rPr>
          <w:rFonts w:ascii="宋体" w:hAnsi="宋体"/>
          <w:sz w:val="24"/>
          <w:szCs w:val="24"/>
        </w:rPr>
      </w:pPr>
      <w:r>
        <w:rPr>
          <w:rFonts w:hint="eastAsia" w:ascii="宋体" w:hAnsi="宋体"/>
          <w:sz w:val="24"/>
          <w:szCs w:val="24"/>
        </w:rPr>
        <w:t>《公共安全视频监控联网系统信息传输、交换、控制技术要求》（GB/T28181-2016）</w:t>
      </w:r>
    </w:p>
    <w:p>
      <w:pPr>
        <w:pStyle w:val="14"/>
        <w:rPr>
          <w:rFonts w:ascii="宋体" w:hAnsi="宋体"/>
          <w:sz w:val="24"/>
          <w:szCs w:val="24"/>
        </w:rPr>
      </w:pPr>
      <w:r>
        <w:rPr>
          <w:rFonts w:hint="eastAsia" w:ascii="宋体" w:hAnsi="宋体"/>
          <w:sz w:val="24"/>
          <w:szCs w:val="24"/>
        </w:rPr>
        <w:t xml:space="preserve">《公安视频图像信息应用系统》（GA/T1400-2017） </w:t>
      </w:r>
    </w:p>
    <w:p>
      <w:pPr>
        <w:pStyle w:val="14"/>
        <w:rPr>
          <w:rFonts w:ascii="宋体" w:hAnsi="宋体"/>
          <w:sz w:val="24"/>
          <w:szCs w:val="24"/>
        </w:rPr>
      </w:pPr>
      <w:r>
        <w:rPr>
          <w:rFonts w:hint="eastAsia" w:ascii="宋体" w:hAnsi="宋体"/>
          <w:sz w:val="24"/>
          <w:szCs w:val="24"/>
        </w:rPr>
        <w:t xml:space="preserve">《通信线路工程施工规范》（YD5102-2010） </w:t>
      </w:r>
    </w:p>
    <w:p>
      <w:pPr>
        <w:pStyle w:val="14"/>
        <w:rPr>
          <w:rFonts w:ascii="宋体" w:hAnsi="宋体"/>
          <w:sz w:val="24"/>
          <w:szCs w:val="24"/>
        </w:rPr>
      </w:pPr>
      <w:r>
        <w:rPr>
          <w:rFonts w:hint="eastAsia" w:ascii="宋体" w:hAnsi="宋体"/>
          <w:sz w:val="24"/>
          <w:szCs w:val="24"/>
        </w:rPr>
        <w:t xml:space="preserve">《通用用电设备配电设计规范》（GB50055-2011） </w:t>
      </w:r>
    </w:p>
    <w:p>
      <w:pPr>
        <w:pStyle w:val="14"/>
        <w:rPr>
          <w:rFonts w:ascii="宋体" w:hAnsi="宋体"/>
          <w:sz w:val="24"/>
          <w:szCs w:val="24"/>
        </w:rPr>
      </w:pPr>
      <w:r>
        <w:rPr>
          <w:rFonts w:hint="eastAsia" w:ascii="宋体" w:hAnsi="宋体"/>
          <w:sz w:val="24"/>
          <w:szCs w:val="24"/>
        </w:rPr>
        <w:t xml:space="preserve">《电气装置安装工程接地装置施工及验收规范》（GB50169-2016） </w:t>
      </w:r>
    </w:p>
    <w:p>
      <w:pPr>
        <w:pStyle w:val="14"/>
        <w:rPr>
          <w:rFonts w:ascii="宋体" w:hAnsi="宋体"/>
          <w:sz w:val="24"/>
          <w:szCs w:val="24"/>
        </w:rPr>
      </w:pPr>
      <w:r>
        <w:rPr>
          <w:rFonts w:hint="eastAsia" w:ascii="宋体" w:hAnsi="宋体"/>
          <w:sz w:val="24"/>
          <w:szCs w:val="24"/>
        </w:rPr>
        <w:t xml:space="preserve">《上海公安数字高清图像监控系统建设技术规范V2.0》（沪公信息办通字〔2016〕6号） </w:t>
      </w:r>
    </w:p>
    <w:p>
      <w:pPr>
        <w:pStyle w:val="14"/>
        <w:rPr>
          <w:rFonts w:ascii="宋体" w:hAnsi="宋体"/>
          <w:sz w:val="24"/>
          <w:szCs w:val="24"/>
        </w:rPr>
      </w:pPr>
      <w:r>
        <w:rPr>
          <w:rFonts w:hint="eastAsia" w:ascii="宋体" w:hAnsi="宋体"/>
          <w:sz w:val="24"/>
          <w:szCs w:val="24"/>
        </w:rPr>
        <w:t>《上海公安图像监控系统与社会单位图像系统联网接入技术规范V2.0》</w:t>
      </w:r>
    </w:p>
    <w:p>
      <w:pPr>
        <w:pStyle w:val="14"/>
        <w:rPr>
          <w:rFonts w:ascii="宋体" w:hAnsi="宋体"/>
          <w:sz w:val="24"/>
          <w:szCs w:val="24"/>
        </w:rPr>
      </w:pPr>
      <w:r>
        <w:rPr>
          <w:rFonts w:hint="eastAsia" w:ascii="宋体" w:hAnsi="宋体"/>
          <w:sz w:val="24"/>
          <w:szCs w:val="24"/>
        </w:rPr>
        <w:t>《上海公安人脸识别系统联网应用技术规范》</w:t>
      </w:r>
    </w:p>
    <w:p>
      <w:pPr>
        <w:pStyle w:val="14"/>
        <w:rPr>
          <w:rFonts w:ascii="宋体" w:hAnsi="宋体"/>
          <w:sz w:val="24"/>
          <w:szCs w:val="24"/>
        </w:rPr>
      </w:pPr>
      <w:r>
        <w:rPr>
          <w:rFonts w:hint="eastAsia" w:ascii="宋体" w:hAnsi="宋体"/>
          <w:sz w:val="24"/>
          <w:szCs w:val="24"/>
        </w:rPr>
        <w:t>《电气装置安装工程 电缆线路施工及验收规范》（GB 50168-2006）</w:t>
      </w:r>
    </w:p>
    <w:p>
      <w:pPr>
        <w:pStyle w:val="14"/>
        <w:rPr>
          <w:rFonts w:ascii="宋体" w:hAnsi="宋体"/>
          <w:sz w:val="24"/>
          <w:szCs w:val="24"/>
        </w:rPr>
      </w:pPr>
      <w:r>
        <w:rPr>
          <w:rFonts w:hint="eastAsia" w:ascii="宋体" w:hAnsi="宋体"/>
          <w:sz w:val="24"/>
          <w:szCs w:val="24"/>
        </w:rPr>
        <w:t>其他国家、行业及上海地方标准。</w:t>
      </w:r>
    </w:p>
    <w:p>
      <w:pPr>
        <w:pStyle w:val="14"/>
        <w:rPr>
          <w:rFonts w:ascii="宋体" w:hAnsi="宋体"/>
          <w:b/>
          <w:bCs/>
          <w:sz w:val="24"/>
          <w:szCs w:val="24"/>
        </w:rPr>
      </w:pPr>
      <w:r>
        <w:rPr>
          <w:rFonts w:hint="eastAsia" w:ascii="宋体" w:hAnsi="宋体"/>
          <w:b/>
          <w:bCs/>
          <w:sz w:val="24"/>
          <w:szCs w:val="24"/>
        </w:rPr>
        <w:t>如上述标准版本更新的，以最新版本的规定为准。</w:t>
      </w:r>
    </w:p>
    <w:p>
      <w:pPr>
        <w:pStyle w:val="14"/>
        <w:rPr>
          <w:rFonts w:ascii="宋体" w:hAnsi="宋体"/>
          <w:b/>
          <w:bCs/>
          <w:sz w:val="24"/>
          <w:szCs w:val="24"/>
        </w:rPr>
      </w:pPr>
      <w:r>
        <w:rPr>
          <w:rFonts w:hint="eastAsia" w:ascii="宋体" w:hAnsi="宋体"/>
          <w:b/>
          <w:bCs/>
          <w:sz w:val="24"/>
          <w:szCs w:val="24"/>
        </w:rPr>
        <w:t>2、项目管理及施工要求如下：</w:t>
      </w:r>
    </w:p>
    <w:p>
      <w:pPr>
        <w:spacing w:line="360" w:lineRule="auto"/>
        <w:ind w:firstLine="480" w:firstLineChars="200"/>
        <w:rPr>
          <w:rFonts w:ascii="宋体" w:hAnsi="宋体" w:cs="宋体"/>
          <w:sz w:val="24"/>
        </w:rPr>
      </w:pPr>
      <w:r>
        <w:rPr>
          <w:rFonts w:hint="eastAsia" w:ascii="宋体" w:hAnsi="宋体" w:cs="宋体"/>
          <w:sz w:val="24"/>
        </w:rPr>
        <w:t>2.1、临时设施和办公场所、机械设施、人员配备要求</w:t>
      </w:r>
    </w:p>
    <w:p>
      <w:pPr>
        <w:spacing w:line="360" w:lineRule="auto"/>
        <w:ind w:firstLine="480" w:firstLineChars="200"/>
        <w:rPr>
          <w:rFonts w:ascii="宋体" w:hAnsi="宋体" w:cs="宋体"/>
          <w:sz w:val="24"/>
        </w:rPr>
      </w:pPr>
      <w:r>
        <w:rPr>
          <w:rFonts w:hint="eastAsia" w:ascii="宋体" w:hAnsi="宋体" w:cs="宋体"/>
          <w:sz w:val="24"/>
        </w:rPr>
        <w:t>1）临时设施和办公场所配备要求</w:t>
      </w:r>
    </w:p>
    <w:p>
      <w:pPr>
        <w:spacing w:line="360" w:lineRule="auto"/>
        <w:ind w:firstLine="480" w:firstLineChars="200"/>
        <w:rPr>
          <w:rFonts w:ascii="宋体" w:hAnsi="宋体" w:cs="宋体"/>
          <w:sz w:val="24"/>
        </w:rPr>
      </w:pPr>
      <w:r>
        <w:rPr>
          <w:rFonts w:hint="eastAsia" w:ascii="宋体" w:hAnsi="宋体" w:cs="宋体"/>
          <w:sz w:val="24"/>
        </w:rPr>
        <w:t>采购人不提供临时设施的场地，供应商自行考虑临时设施的场地，费用包括在措施费中，闭口包干。</w:t>
      </w:r>
    </w:p>
    <w:p>
      <w:pPr>
        <w:spacing w:line="360" w:lineRule="auto"/>
        <w:ind w:firstLine="480" w:firstLineChars="200"/>
        <w:rPr>
          <w:rFonts w:ascii="宋体" w:hAnsi="宋体" w:cs="宋体"/>
          <w:sz w:val="24"/>
        </w:rPr>
      </w:pPr>
      <w:r>
        <w:rPr>
          <w:rFonts w:hint="eastAsia" w:ascii="宋体" w:hAnsi="宋体" w:cs="宋体"/>
          <w:sz w:val="24"/>
        </w:rPr>
        <w:t>2.2、材料及设备要求</w:t>
      </w:r>
    </w:p>
    <w:p>
      <w:pPr>
        <w:spacing w:line="360" w:lineRule="auto"/>
        <w:ind w:firstLine="480" w:firstLineChars="200"/>
        <w:rPr>
          <w:rFonts w:ascii="宋体" w:hAnsi="宋体" w:cs="宋体"/>
          <w:sz w:val="24"/>
        </w:rPr>
      </w:pPr>
      <w:r>
        <w:rPr>
          <w:rFonts w:hint="eastAsia" w:ascii="宋体" w:hAnsi="宋体" w:cs="宋体"/>
          <w:sz w:val="24"/>
        </w:rPr>
        <w:t>（1）本项目所有材料由供应商自行解决，但本项目所用材料、制品、设备均需符合相关的施工技术规程、规范要求。</w:t>
      </w:r>
    </w:p>
    <w:p>
      <w:pPr>
        <w:spacing w:line="360" w:lineRule="auto"/>
        <w:ind w:firstLine="480" w:firstLineChars="200"/>
        <w:rPr>
          <w:rFonts w:ascii="宋体" w:hAnsi="宋体" w:cs="宋体"/>
          <w:sz w:val="24"/>
        </w:rPr>
      </w:pPr>
      <w:r>
        <w:rPr>
          <w:rFonts w:hint="eastAsia" w:ascii="宋体" w:hAnsi="宋体" w:cs="宋体"/>
          <w:sz w:val="24"/>
        </w:rPr>
        <w:t>（2）本项目所用的材料、制品、设备等，供货单位送达施工现场后，由供应商负责办理验收交割手续，并负责日常保管工作。</w:t>
      </w:r>
    </w:p>
    <w:p>
      <w:pPr>
        <w:spacing w:line="360" w:lineRule="auto"/>
        <w:ind w:firstLine="480" w:firstLineChars="200"/>
        <w:rPr>
          <w:rFonts w:ascii="宋体" w:hAnsi="宋体" w:cs="宋体"/>
          <w:sz w:val="24"/>
        </w:rPr>
      </w:pPr>
      <w:r>
        <w:rPr>
          <w:rFonts w:hint="eastAsia" w:ascii="宋体" w:hAnsi="宋体" w:cs="宋体"/>
          <w:sz w:val="24"/>
        </w:rPr>
        <w:t>（3）供应商在磋商时应同时提供涉及本项目施工的主要设备与材料的规格、型号、品种及价格情况等一览表。</w:t>
      </w:r>
    </w:p>
    <w:p>
      <w:pPr>
        <w:spacing w:line="360" w:lineRule="auto"/>
        <w:ind w:firstLine="480" w:firstLineChars="200"/>
        <w:rPr>
          <w:rFonts w:ascii="宋体" w:hAnsi="宋体" w:cs="宋体"/>
          <w:sz w:val="24"/>
        </w:rPr>
      </w:pPr>
      <w:r>
        <w:rPr>
          <w:rFonts w:hint="eastAsia" w:ascii="宋体" w:hAnsi="宋体" w:cs="宋体"/>
          <w:sz w:val="24"/>
        </w:rPr>
        <w:t>2.3、安全生产、文明施工与环境保护要求</w:t>
      </w:r>
    </w:p>
    <w:p>
      <w:pPr>
        <w:spacing w:line="360" w:lineRule="auto"/>
        <w:ind w:firstLine="480" w:firstLineChars="200"/>
        <w:rPr>
          <w:rFonts w:ascii="宋体" w:hAnsi="宋体" w:cs="宋体"/>
          <w:sz w:val="24"/>
        </w:rPr>
      </w:pPr>
      <w:r>
        <w:rPr>
          <w:rFonts w:hint="eastAsia" w:ascii="宋体" w:hAnsi="宋体" w:cs="宋体"/>
          <w:sz w:val="24"/>
        </w:rPr>
        <w:t>（1）为在施工期间确保作业区域周围环境的整洁和交通正常进行。供应商在施工过程中必须严格执行国家与地方政府的环境保护政策、法规和法律，严格遵守上海市有关建设工程文明施工管理的规定，积极主动落实安全文明及环境保护施工的管理和考核等有关工作，严格履行采购人关于现场临时设施及施工区域企业标识要求，承担文明施工措施的费用。</w:t>
      </w:r>
    </w:p>
    <w:p>
      <w:pPr>
        <w:spacing w:line="360" w:lineRule="auto"/>
        <w:ind w:firstLine="480" w:firstLineChars="200"/>
        <w:rPr>
          <w:rFonts w:ascii="宋体" w:hAnsi="宋体" w:cs="宋体"/>
          <w:sz w:val="24"/>
        </w:rPr>
      </w:pPr>
      <w:r>
        <w:rPr>
          <w:rFonts w:hint="eastAsia" w:ascii="宋体" w:hAnsi="宋体" w:cs="宋体"/>
          <w:sz w:val="24"/>
        </w:rPr>
        <w:t xml:space="preserve">（2）供应商应遵循安全生产和安全文明施工的要求，加强和做好安全文明养护、维修施工管理工作，并按规定承担相应的费用。 </w:t>
      </w:r>
    </w:p>
    <w:p>
      <w:pPr>
        <w:spacing w:line="360" w:lineRule="auto"/>
        <w:ind w:firstLine="480" w:firstLineChars="200"/>
        <w:rPr>
          <w:rFonts w:ascii="宋体" w:hAnsi="宋体" w:cs="宋体"/>
          <w:sz w:val="24"/>
        </w:rPr>
      </w:pPr>
      <w:r>
        <w:rPr>
          <w:rFonts w:hint="eastAsia" w:ascii="宋体" w:hAnsi="宋体" w:cs="宋体"/>
          <w:sz w:val="24"/>
        </w:rPr>
        <w:t>（3）供应商应根据有关规范标准，严密组织，精心施工，做到：</w:t>
      </w:r>
    </w:p>
    <w:p>
      <w:pPr>
        <w:spacing w:line="360" w:lineRule="auto"/>
        <w:ind w:firstLine="480" w:firstLineChars="200"/>
        <w:rPr>
          <w:rFonts w:ascii="宋体" w:hAnsi="宋体" w:cs="宋体"/>
          <w:sz w:val="24"/>
        </w:rPr>
      </w:pPr>
      <w:r>
        <w:rPr>
          <w:rFonts w:hint="eastAsia" w:ascii="宋体" w:hAnsi="宋体" w:cs="宋体"/>
          <w:sz w:val="24"/>
        </w:rPr>
        <w:t>①满足自身和周边交通组织的需要；</w:t>
      </w:r>
    </w:p>
    <w:p>
      <w:pPr>
        <w:spacing w:line="360" w:lineRule="auto"/>
        <w:ind w:firstLine="480" w:firstLineChars="200"/>
        <w:rPr>
          <w:rFonts w:ascii="宋体" w:hAnsi="宋体" w:cs="宋体"/>
          <w:sz w:val="24"/>
        </w:rPr>
      </w:pPr>
      <w:r>
        <w:rPr>
          <w:rFonts w:hint="eastAsia" w:ascii="宋体" w:hAnsi="宋体" w:cs="宋体"/>
          <w:sz w:val="24"/>
        </w:rPr>
        <w:t>②无管线事故、无重大伤亡事故，施工现场道路平整无积水；</w:t>
      </w:r>
    </w:p>
    <w:p>
      <w:pPr>
        <w:spacing w:line="360" w:lineRule="auto"/>
        <w:ind w:firstLine="480" w:firstLineChars="200"/>
        <w:rPr>
          <w:rFonts w:ascii="宋体" w:hAnsi="宋体" w:cs="宋体"/>
          <w:sz w:val="24"/>
        </w:rPr>
      </w:pPr>
      <w:r>
        <w:rPr>
          <w:rFonts w:hint="eastAsia" w:ascii="宋体" w:hAnsi="宋体" w:cs="宋体"/>
          <w:sz w:val="24"/>
        </w:rPr>
        <w:t>③环境影响要最小化；</w:t>
      </w:r>
    </w:p>
    <w:p>
      <w:pPr>
        <w:spacing w:line="360" w:lineRule="auto"/>
        <w:ind w:firstLine="480" w:firstLineChars="200"/>
        <w:rPr>
          <w:rFonts w:ascii="宋体" w:hAnsi="宋体" w:cs="宋体"/>
          <w:sz w:val="24"/>
        </w:rPr>
      </w:pPr>
      <w:r>
        <w:rPr>
          <w:rFonts w:hint="eastAsia" w:ascii="宋体" w:hAnsi="宋体" w:cs="宋体"/>
          <w:sz w:val="24"/>
        </w:rPr>
        <w:t>④现场材料堆放整齐，生活设施清洁，周边环境文明；</w:t>
      </w:r>
    </w:p>
    <w:p>
      <w:pPr>
        <w:spacing w:line="360" w:lineRule="auto"/>
        <w:ind w:firstLine="480" w:firstLineChars="200"/>
        <w:rPr>
          <w:rFonts w:ascii="宋体" w:hAnsi="宋体" w:cs="宋体"/>
          <w:sz w:val="24"/>
        </w:rPr>
      </w:pPr>
      <w:r>
        <w:rPr>
          <w:rFonts w:hint="eastAsia" w:ascii="宋体" w:hAnsi="宋体" w:cs="宋体"/>
          <w:sz w:val="24"/>
        </w:rPr>
        <w:t>⑤清洁运输；</w:t>
      </w:r>
    </w:p>
    <w:p>
      <w:pPr>
        <w:spacing w:line="360" w:lineRule="auto"/>
        <w:ind w:firstLine="480" w:firstLineChars="200"/>
        <w:rPr>
          <w:rFonts w:ascii="宋体" w:hAnsi="宋体" w:cs="宋体"/>
          <w:sz w:val="24"/>
        </w:rPr>
      </w:pPr>
      <w:r>
        <w:rPr>
          <w:rFonts w:hint="eastAsia" w:ascii="宋体" w:hAnsi="宋体" w:cs="宋体"/>
          <w:sz w:val="24"/>
        </w:rPr>
        <w:t>⑥减少对建设单位、市民的工作、生活和出行的影响。同时满足市政文明工地要求，服从采购人的统一协调，做到文明施工、安全管理。</w:t>
      </w:r>
    </w:p>
    <w:p>
      <w:pPr>
        <w:spacing w:line="360" w:lineRule="auto"/>
        <w:ind w:firstLine="480" w:firstLineChars="200"/>
        <w:rPr>
          <w:rFonts w:ascii="宋体" w:hAnsi="宋体" w:cs="宋体"/>
          <w:sz w:val="24"/>
        </w:rPr>
      </w:pPr>
      <w:r>
        <w:rPr>
          <w:rFonts w:hint="eastAsia" w:ascii="宋体" w:hAnsi="宋体" w:cs="宋体"/>
          <w:sz w:val="24"/>
        </w:rPr>
        <w:t>（4）供应商在项目实施期间，必须建立安全用电制度，确保施工用电设备的完好，并设置好漏电保护装置等，杜绝施工用电事故的发生。</w:t>
      </w:r>
    </w:p>
    <w:p>
      <w:pPr>
        <w:spacing w:line="360" w:lineRule="auto"/>
        <w:ind w:firstLine="480" w:firstLineChars="200"/>
        <w:rPr>
          <w:rFonts w:ascii="宋体" w:hAnsi="宋体" w:cs="宋体"/>
          <w:sz w:val="24"/>
        </w:rPr>
      </w:pPr>
      <w:r>
        <w:rPr>
          <w:rFonts w:hint="eastAsia" w:ascii="宋体" w:hAnsi="宋体" w:cs="宋体"/>
          <w:sz w:val="24"/>
        </w:rPr>
        <w:t>2.4、应急处置要求</w:t>
      </w:r>
    </w:p>
    <w:p>
      <w:pPr>
        <w:spacing w:line="360" w:lineRule="auto"/>
        <w:ind w:firstLine="480" w:firstLineChars="200"/>
        <w:rPr>
          <w:rFonts w:ascii="宋体" w:hAnsi="宋体" w:cs="宋体"/>
          <w:sz w:val="24"/>
        </w:rPr>
      </w:pPr>
      <w:r>
        <w:rPr>
          <w:rFonts w:hint="eastAsia" w:ascii="宋体" w:hAnsi="宋体" w:cs="宋体"/>
          <w:sz w:val="24"/>
        </w:rPr>
        <w:t>（1）按照其性质、严重程度、可控性等因素，灾害性天气、突发事件的等级划分为Ⅰ级（特别重大）、Ⅱ级（重大）、Ⅲ级（较大）、Ⅳ级（一般）四级。</w:t>
      </w:r>
    </w:p>
    <w:p>
      <w:pPr>
        <w:spacing w:line="360" w:lineRule="auto"/>
        <w:ind w:firstLine="480" w:firstLineChars="200"/>
        <w:rPr>
          <w:rFonts w:ascii="宋体" w:hAnsi="宋体" w:cs="宋体"/>
          <w:sz w:val="24"/>
        </w:rPr>
      </w:pPr>
      <w:r>
        <w:rPr>
          <w:rFonts w:hint="eastAsia" w:ascii="宋体" w:hAnsi="宋体" w:cs="宋体"/>
          <w:sz w:val="24"/>
        </w:rPr>
        <w:t>（2）供应商须针对各级各类可能发生的灾害天气和突发事件，建立应急处置预案，应急预案应包括组织领导体系、预警和预防机制、应急响应工程措施、保障措施（包括应急人员、物资、机械设备）等内容。</w:t>
      </w:r>
    </w:p>
    <w:p>
      <w:pPr>
        <w:spacing w:line="360" w:lineRule="auto"/>
        <w:ind w:firstLine="480" w:firstLineChars="200"/>
        <w:rPr>
          <w:rFonts w:ascii="宋体" w:hAnsi="宋体" w:cs="宋体"/>
          <w:sz w:val="24"/>
        </w:rPr>
      </w:pPr>
      <w:r>
        <w:rPr>
          <w:rFonts w:hint="eastAsia" w:ascii="宋体" w:hAnsi="宋体" w:cs="宋体"/>
          <w:sz w:val="24"/>
        </w:rPr>
        <w:t>（3）建立应急指挥领导小组，负责应急救援总体指挥，并落实各部门职责和相关措施。</w:t>
      </w:r>
    </w:p>
    <w:p>
      <w:pPr>
        <w:spacing w:line="360" w:lineRule="auto"/>
        <w:ind w:firstLine="480" w:firstLineChars="200"/>
        <w:rPr>
          <w:rFonts w:ascii="宋体" w:hAnsi="宋体" w:cs="宋体"/>
          <w:sz w:val="24"/>
        </w:rPr>
      </w:pPr>
      <w:r>
        <w:rPr>
          <w:rFonts w:hint="eastAsia" w:ascii="宋体" w:hAnsi="宋体" w:cs="宋体"/>
          <w:sz w:val="24"/>
        </w:rPr>
        <w:t>（4）维持道路的正常运行和良好秩序，并将实施情况及时上报采购人。</w:t>
      </w:r>
    </w:p>
    <w:p>
      <w:pPr>
        <w:spacing w:line="360" w:lineRule="auto"/>
        <w:ind w:firstLine="480" w:firstLineChars="200"/>
        <w:rPr>
          <w:rFonts w:ascii="宋体" w:hAnsi="宋体"/>
          <w:sz w:val="24"/>
        </w:rPr>
      </w:pPr>
      <w:r>
        <w:rPr>
          <w:rFonts w:hint="eastAsia" w:ascii="宋体" w:hAnsi="宋体" w:cs="宋体"/>
          <w:sz w:val="24"/>
        </w:rPr>
        <w:t>（5）建立应急值守制度，安排专职人员，监测、收集各类信息；一旦发现突发性的紧急事件，在启动应急响应的同时，必须及时将情况上报采购人，上报的应急信息必须实事求是，不得瞒报、谎报和拖延不报，上报形式可用电话口头初报，随后再书面报告。</w:t>
      </w:r>
    </w:p>
    <w:bookmarkEnd w:id="6"/>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设备安装、调试及验收</w:t>
      </w:r>
    </w:p>
    <w:p>
      <w:pPr>
        <w:numPr>
          <w:ilvl w:val="0"/>
          <w:numId w:val="3"/>
        </w:numPr>
        <w:adjustRightInd w:val="0"/>
        <w:snapToGrid w:val="0"/>
        <w:spacing w:line="360" w:lineRule="auto"/>
        <w:ind w:left="5" w:hanging="5"/>
        <w:rPr>
          <w:rFonts w:ascii="宋体" w:hAnsi="宋体"/>
          <w:kern w:val="0"/>
          <w:sz w:val="24"/>
        </w:rPr>
      </w:pPr>
      <w:bookmarkStart w:id="7" w:name="_Toc523413193"/>
      <w:bookmarkStart w:id="8" w:name="_Toc432521665"/>
      <w:bookmarkStart w:id="9" w:name="_Toc409439836"/>
      <w:bookmarkStart w:id="10" w:name="_Toc151025858"/>
      <w:bookmarkStart w:id="11" w:name="_Toc119585737"/>
      <w:r>
        <w:rPr>
          <w:rFonts w:hint="eastAsia" w:ascii="宋体" w:hAnsi="宋体"/>
          <w:kern w:val="0"/>
          <w:sz w:val="24"/>
        </w:rPr>
        <w:t>设备的安装、调试及验收必须符合国家现行的质量标准、验收规范。本招标项目的设备安装、调试及验收由投标人负责，其费用应包括在投标总价之内。</w:t>
      </w:r>
    </w:p>
    <w:p>
      <w:pPr>
        <w:numPr>
          <w:ilvl w:val="0"/>
          <w:numId w:val="3"/>
        </w:numPr>
        <w:adjustRightInd w:val="0"/>
        <w:snapToGrid w:val="0"/>
        <w:spacing w:line="360" w:lineRule="auto"/>
        <w:ind w:left="5" w:hanging="5"/>
        <w:rPr>
          <w:rFonts w:ascii="宋体" w:hAnsi="宋体"/>
          <w:kern w:val="0"/>
          <w:sz w:val="24"/>
        </w:rPr>
      </w:pPr>
      <w:r>
        <w:rPr>
          <w:rFonts w:hint="eastAsia" w:ascii="宋体" w:hAnsi="宋体"/>
          <w:kern w:val="0"/>
          <w:sz w:val="24"/>
        </w:rPr>
        <w:t>投标人应在响应文件中提供摄像头，交换机，线缆等主要材料的厂家检测报告及合格证明。</w:t>
      </w:r>
    </w:p>
    <w:p>
      <w:pPr>
        <w:numPr>
          <w:ilvl w:val="0"/>
          <w:numId w:val="3"/>
        </w:numPr>
        <w:adjustRightInd w:val="0"/>
        <w:snapToGrid w:val="0"/>
        <w:spacing w:line="360" w:lineRule="auto"/>
        <w:ind w:left="5" w:hanging="5"/>
        <w:rPr>
          <w:rFonts w:ascii="宋体" w:hAnsi="宋体"/>
          <w:kern w:val="0"/>
          <w:sz w:val="24"/>
        </w:rPr>
      </w:pPr>
      <w:r>
        <w:rPr>
          <w:rFonts w:hint="eastAsia" w:ascii="宋体" w:hAnsi="宋体"/>
          <w:kern w:val="0"/>
          <w:sz w:val="24"/>
        </w:rPr>
        <w:t>设备督导安装、调试时使用的工具、设备由投标人提供。</w:t>
      </w:r>
    </w:p>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服务要求</w:t>
      </w:r>
    </w:p>
    <w:bookmarkEnd w:id="7"/>
    <w:bookmarkEnd w:id="8"/>
    <w:bookmarkEnd w:id="9"/>
    <w:bookmarkEnd w:id="10"/>
    <w:bookmarkEnd w:id="11"/>
    <w:p>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投标人所提供的硬件设备质保期3年，质保期内，供应商需免费提供保修。</w:t>
      </w:r>
    </w:p>
    <w:p>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售后服务要求：包括（但不仅限于）提供7×24小时电话技术支持、一年免费运维等。</w:t>
      </w:r>
    </w:p>
    <w:p>
      <w:pPr>
        <w:adjustRightInd w:val="0"/>
        <w:snapToGrid w:val="0"/>
        <w:spacing w:line="360" w:lineRule="auto"/>
        <w:ind w:firstLine="480" w:firstLineChars="200"/>
        <w:rPr>
          <w:rFonts w:ascii="宋体" w:hAnsi="宋体"/>
          <w:kern w:val="0"/>
          <w:sz w:val="24"/>
          <w:highlight w:val="none"/>
        </w:rPr>
      </w:pPr>
      <w:r>
        <w:rPr>
          <w:rFonts w:hint="eastAsia" w:ascii="宋体" w:hAnsi="宋体"/>
          <w:kern w:val="0"/>
          <w:sz w:val="24"/>
          <w:highlight w:val="none"/>
        </w:rPr>
        <w:t>团队需要至少配备以下成员：</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66"/>
        <w:gridCol w:w="1284"/>
        <w:gridCol w:w="36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5" w:type="dxa"/>
            <w:vAlign w:val="center"/>
          </w:tcPr>
          <w:p>
            <w:pPr>
              <w:adjustRightInd w:val="0"/>
              <w:snapToGrid w:val="0"/>
              <w:spacing w:line="300" w:lineRule="auto"/>
              <w:jc w:val="center"/>
              <w:rPr>
                <w:rFonts w:ascii="宋体" w:hAnsi="宋体"/>
                <w:kern w:val="0"/>
                <w:sz w:val="24"/>
              </w:rPr>
            </w:pPr>
            <w:r>
              <w:rPr>
                <w:rFonts w:hint="eastAsia" w:ascii="宋体" w:hAnsi="宋体"/>
                <w:kern w:val="0"/>
                <w:sz w:val="24"/>
              </w:rPr>
              <w:t>职务</w:t>
            </w:r>
          </w:p>
        </w:tc>
        <w:tc>
          <w:tcPr>
            <w:tcW w:w="1350" w:type="dxa"/>
            <w:vAlign w:val="center"/>
          </w:tcPr>
          <w:p>
            <w:pPr>
              <w:adjustRightInd w:val="0"/>
              <w:snapToGrid w:val="0"/>
              <w:spacing w:line="300" w:lineRule="auto"/>
              <w:jc w:val="center"/>
              <w:rPr>
                <w:rFonts w:ascii="宋体" w:hAnsi="宋体"/>
                <w:kern w:val="0"/>
                <w:sz w:val="24"/>
              </w:rPr>
            </w:pPr>
            <w:r>
              <w:rPr>
                <w:rFonts w:hint="eastAsia" w:ascii="宋体" w:hAnsi="宋体"/>
                <w:kern w:val="0"/>
                <w:sz w:val="24"/>
              </w:rPr>
              <w:t>人数</w:t>
            </w:r>
          </w:p>
        </w:tc>
        <w:tc>
          <w:tcPr>
            <w:tcW w:w="3915" w:type="dxa"/>
            <w:vAlign w:val="center"/>
          </w:tcPr>
          <w:p>
            <w:pPr>
              <w:adjustRightInd w:val="0"/>
              <w:snapToGrid w:val="0"/>
              <w:spacing w:line="300" w:lineRule="auto"/>
              <w:jc w:val="center"/>
              <w:rPr>
                <w:rFonts w:ascii="宋体" w:hAnsi="宋体"/>
                <w:kern w:val="0"/>
                <w:sz w:val="24"/>
              </w:rPr>
            </w:pPr>
            <w:r>
              <w:rPr>
                <w:rFonts w:hint="eastAsia" w:ascii="宋体" w:hAnsi="宋体"/>
                <w:kern w:val="0"/>
                <w:sz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trPr>
        <w:tc>
          <w:tcPr>
            <w:tcW w:w="3795" w:type="dxa"/>
            <w:vAlign w:val="center"/>
          </w:tcPr>
          <w:p>
            <w:pPr>
              <w:adjustRightInd w:val="0"/>
              <w:snapToGrid w:val="0"/>
              <w:spacing w:line="300" w:lineRule="auto"/>
              <w:jc w:val="center"/>
              <w:rPr>
                <w:rFonts w:ascii="宋体" w:hAnsi="宋体"/>
                <w:kern w:val="0"/>
                <w:sz w:val="24"/>
              </w:rPr>
            </w:pPr>
            <w:r>
              <w:rPr>
                <w:rFonts w:hint="eastAsia" w:ascii="宋体" w:hAnsi="宋体" w:cs="宋体"/>
                <w:szCs w:val="21"/>
              </w:rPr>
              <w:t>项目经理</w:t>
            </w:r>
          </w:p>
        </w:tc>
        <w:tc>
          <w:tcPr>
            <w:tcW w:w="1350" w:type="dxa"/>
            <w:vAlign w:val="center"/>
          </w:tcPr>
          <w:p>
            <w:pPr>
              <w:adjustRightInd w:val="0"/>
              <w:snapToGrid w:val="0"/>
              <w:spacing w:line="300" w:lineRule="auto"/>
              <w:jc w:val="center"/>
              <w:rPr>
                <w:rFonts w:ascii="宋体" w:hAnsi="宋体"/>
                <w:kern w:val="0"/>
                <w:sz w:val="24"/>
              </w:rPr>
            </w:pPr>
            <w:r>
              <w:rPr>
                <w:rFonts w:hint="eastAsia" w:ascii="宋体" w:hAnsi="宋体"/>
                <w:kern w:val="0"/>
                <w:sz w:val="24"/>
              </w:rPr>
              <w:t>1</w:t>
            </w:r>
          </w:p>
        </w:tc>
        <w:tc>
          <w:tcPr>
            <w:tcW w:w="3915" w:type="dxa"/>
            <w:vAlign w:val="center"/>
          </w:tcPr>
          <w:p>
            <w:pPr>
              <w:adjustRightInd w:val="0"/>
              <w:snapToGrid w:val="0"/>
              <w:spacing w:line="300" w:lineRule="auto"/>
              <w:jc w:val="center"/>
              <w:rPr>
                <w:rFonts w:ascii="宋体" w:hAnsi="宋体"/>
                <w:color w:val="auto"/>
                <w:kern w:val="0"/>
                <w:sz w:val="24"/>
              </w:rPr>
            </w:pPr>
            <w:r>
              <w:rPr>
                <w:rFonts w:hint="eastAsia" w:ascii="宋体" w:hAnsi="宋体" w:cs="宋体"/>
                <w:color w:val="auto"/>
                <w:szCs w:val="21"/>
              </w:rPr>
              <w:t>具备中级工程师及以上职称、住建部注册建造师执业资格且有智能化和系统集成项目经验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5" w:type="dxa"/>
            <w:vAlign w:val="center"/>
          </w:tcPr>
          <w:p>
            <w:pPr>
              <w:adjustRightInd w:val="0"/>
              <w:snapToGrid w:val="0"/>
              <w:spacing w:line="300" w:lineRule="auto"/>
              <w:jc w:val="center"/>
              <w:rPr>
                <w:rFonts w:ascii="宋体" w:hAnsi="宋体"/>
                <w:kern w:val="0"/>
                <w:sz w:val="24"/>
              </w:rPr>
            </w:pPr>
            <w:r>
              <w:rPr>
                <w:rFonts w:hint="eastAsia" w:ascii="宋体" w:hAnsi="宋体" w:cs="宋体"/>
                <w:szCs w:val="21"/>
              </w:rPr>
              <w:t>技术负责人</w:t>
            </w:r>
          </w:p>
        </w:tc>
        <w:tc>
          <w:tcPr>
            <w:tcW w:w="1350" w:type="dxa"/>
            <w:vAlign w:val="center"/>
          </w:tcPr>
          <w:p>
            <w:pPr>
              <w:adjustRightInd w:val="0"/>
              <w:snapToGrid w:val="0"/>
              <w:spacing w:line="300" w:lineRule="auto"/>
              <w:jc w:val="center"/>
              <w:rPr>
                <w:rFonts w:ascii="宋体" w:hAnsi="宋体"/>
                <w:kern w:val="0"/>
                <w:sz w:val="24"/>
              </w:rPr>
            </w:pPr>
            <w:r>
              <w:rPr>
                <w:rFonts w:hint="eastAsia" w:ascii="宋体" w:hAnsi="宋体"/>
                <w:kern w:val="0"/>
                <w:sz w:val="24"/>
              </w:rPr>
              <w:t>1</w:t>
            </w:r>
          </w:p>
        </w:tc>
        <w:tc>
          <w:tcPr>
            <w:tcW w:w="3915" w:type="dxa"/>
            <w:vAlign w:val="center"/>
          </w:tcPr>
          <w:p>
            <w:pPr>
              <w:adjustRightInd w:val="0"/>
              <w:snapToGrid w:val="0"/>
              <w:spacing w:line="300" w:lineRule="auto"/>
              <w:jc w:val="center"/>
              <w:rPr>
                <w:rFonts w:ascii="宋体" w:hAnsi="宋体"/>
                <w:color w:val="auto"/>
                <w:kern w:val="0"/>
                <w:sz w:val="24"/>
              </w:rPr>
            </w:pPr>
            <w:r>
              <w:rPr>
                <w:rFonts w:hint="eastAsia" w:ascii="宋体" w:hAnsi="宋体" w:cs="宋体"/>
                <w:color w:val="auto"/>
                <w:szCs w:val="21"/>
              </w:rPr>
              <w:t>具备中级工程师及以上职称且有智能化和系统集成项目经验，技术负责人不可与项目经理为同一人。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95" w:type="dxa"/>
            <w:vAlign w:val="center"/>
          </w:tcPr>
          <w:p>
            <w:pPr>
              <w:adjustRightInd w:val="0"/>
              <w:snapToGrid w:val="0"/>
              <w:spacing w:line="300" w:lineRule="auto"/>
              <w:jc w:val="center"/>
              <w:rPr>
                <w:rFonts w:ascii="宋体" w:hAnsi="宋体"/>
                <w:kern w:val="0"/>
                <w:sz w:val="24"/>
                <w:highlight w:val="none"/>
              </w:rPr>
            </w:pPr>
            <w:r>
              <w:rPr>
                <w:rFonts w:hint="eastAsia" w:ascii="宋体" w:hAnsi="宋体"/>
                <w:kern w:val="0"/>
                <w:sz w:val="24"/>
                <w:highlight w:val="none"/>
              </w:rPr>
              <w:t>除项目经理、技术负责人外项目团队需配备具有相关专业技术的中高级工程师、中高级会计师、安全员等</w:t>
            </w:r>
          </w:p>
        </w:tc>
        <w:tc>
          <w:tcPr>
            <w:tcW w:w="1350" w:type="dxa"/>
            <w:vAlign w:val="center"/>
          </w:tcPr>
          <w:p>
            <w:pPr>
              <w:adjustRightInd w:val="0"/>
              <w:snapToGrid w:val="0"/>
              <w:spacing w:line="300" w:lineRule="auto"/>
              <w:jc w:val="center"/>
              <w:rPr>
                <w:rFonts w:ascii="宋体" w:hAnsi="宋体"/>
                <w:kern w:val="0"/>
                <w:sz w:val="24"/>
                <w:highlight w:val="none"/>
              </w:rPr>
            </w:pPr>
            <w:r>
              <w:rPr>
                <w:rFonts w:hint="eastAsia" w:ascii="宋体" w:hAnsi="宋体"/>
                <w:kern w:val="0"/>
                <w:sz w:val="24"/>
                <w:highlight w:val="none"/>
              </w:rPr>
              <w:t>若干</w:t>
            </w:r>
          </w:p>
        </w:tc>
        <w:tc>
          <w:tcPr>
            <w:tcW w:w="3915" w:type="dxa"/>
            <w:vAlign w:val="center"/>
          </w:tcPr>
          <w:p>
            <w:pPr>
              <w:adjustRightInd w:val="0"/>
              <w:snapToGrid w:val="0"/>
              <w:spacing w:line="300" w:lineRule="auto"/>
              <w:jc w:val="center"/>
              <w:rPr>
                <w:rFonts w:ascii="宋体" w:hAnsi="宋体" w:cs="宋体"/>
                <w:szCs w:val="21"/>
                <w:highlight w:val="none"/>
              </w:rPr>
            </w:pPr>
            <w:r>
              <w:rPr>
                <w:rFonts w:hint="eastAsia" w:ascii="宋体" w:hAnsi="宋体" w:cs="宋体"/>
                <w:szCs w:val="21"/>
                <w:highlight w:val="none"/>
              </w:rPr>
              <w:t>具有相关专业技术</w:t>
            </w:r>
          </w:p>
          <w:p>
            <w:pPr>
              <w:adjustRightInd w:val="0"/>
              <w:snapToGrid w:val="0"/>
              <w:spacing w:line="300" w:lineRule="auto"/>
              <w:jc w:val="center"/>
              <w:rPr>
                <w:rFonts w:ascii="宋体" w:hAnsi="宋体" w:cs="宋体"/>
                <w:szCs w:val="21"/>
                <w:highlight w:val="none"/>
              </w:rPr>
            </w:pPr>
            <w:r>
              <w:rPr>
                <w:rFonts w:hint="eastAsia" w:ascii="宋体" w:hAnsi="宋体" w:cs="宋体"/>
                <w:szCs w:val="21"/>
                <w:highlight w:val="none"/>
              </w:rPr>
              <w:t>团队成员不可兼任职务</w:t>
            </w:r>
          </w:p>
        </w:tc>
      </w:tr>
    </w:tbl>
    <w:p>
      <w:pPr>
        <w:pStyle w:val="3"/>
        <w:numPr>
          <w:ilvl w:val="0"/>
          <w:numId w:val="1"/>
        </w:numPr>
        <w:spacing w:before="0" w:after="0" w:line="360" w:lineRule="auto"/>
        <w:ind w:firstLine="0"/>
        <w:rPr>
          <w:rFonts w:ascii="宋体" w:hAnsi="宋体" w:eastAsia="宋体" w:cs="宋体"/>
          <w:sz w:val="24"/>
        </w:rPr>
      </w:pPr>
      <w:r>
        <w:rPr>
          <w:rFonts w:hint="eastAsia" w:ascii="宋体" w:hAnsi="宋体" w:eastAsia="宋体" w:cs="宋体"/>
          <w:sz w:val="24"/>
        </w:rPr>
        <w:t>付款方式</w:t>
      </w:r>
    </w:p>
    <w:bookmarkEnd w:id="1"/>
    <w:bookmarkEnd w:id="2"/>
    <w:bookmarkEnd w:id="3"/>
    <w:p>
      <w:pPr>
        <w:numPr>
          <w:ilvl w:val="0"/>
          <w:numId w:val="4"/>
        </w:numPr>
        <w:adjustRightInd w:val="0"/>
        <w:snapToGrid w:val="0"/>
        <w:spacing w:line="360" w:lineRule="auto"/>
        <w:ind w:left="5" w:hanging="5"/>
        <w:rPr>
          <w:rFonts w:ascii="宋体" w:hAnsi="宋体"/>
          <w:kern w:val="0"/>
          <w:sz w:val="24"/>
          <w:highlight w:val="none"/>
        </w:rPr>
      </w:pPr>
      <w:bookmarkStart w:id="12" w:name="_Toc465337350"/>
      <w:bookmarkStart w:id="13" w:name="_Toc338661801"/>
      <w:bookmarkStart w:id="14" w:name="_Toc151025851"/>
      <w:r>
        <w:rPr>
          <w:rFonts w:hint="eastAsia" w:ascii="宋体" w:hAnsi="宋体"/>
          <w:kern w:val="0"/>
          <w:sz w:val="24"/>
          <w:highlight w:val="none"/>
        </w:rPr>
        <w:t>合同签订后20日内，采购人支付合同金额30%预付款；</w:t>
      </w:r>
    </w:p>
    <w:p>
      <w:pPr>
        <w:numPr>
          <w:ilvl w:val="0"/>
          <w:numId w:val="4"/>
        </w:numPr>
        <w:adjustRightInd w:val="0"/>
        <w:snapToGrid w:val="0"/>
        <w:spacing w:line="360" w:lineRule="auto"/>
        <w:ind w:left="5" w:hanging="5"/>
        <w:rPr>
          <w:rFonts w:ascii="宋体" w:hAnsi="宋体"/>
          <w:kern w:val="0"/>
          <w:sz w:val="24"/>
          <w:highlight w:val="none"/>
        </w:rPr>
      </w:pPr>
      <w:r>
        <w:rPr>
          <w:rFonts w:hint="eastAsia" w:ascii="宋体" w:hAnsi="宋体"/>
          <w:kern w:val="0"/>
          <w:sz w:val="24"/>
          <w:highlight w:val="none"/>
        </w:rPr>
        <w:t>设备安装、调试完成后，采购人支付合同金额40%；</w:t>
      </w:r>
    </w:p>
    <w:p>
      <w:pPr>
        <w:numPr>
          <w:ilvl w:val="0"/>
          <w:numId w:val="4"/>
        </w:numPr>
        <w:adjustRightInd w:val="0"/>
        <w:snapToGrid w:val="0"/>
        <w:spacing w:line="360" w:lineRule="auto"/>
        <w:ind w:left="5" w:hanging="5"/>
        <w:rPr>
          <w:rFonts w:ascii="宋体" w:hAnsi="宋体"/>
          <w:kern w:val="0"/>
          <w:sz w:val="24"/>
          <w:highlight w:val="none"/>
        </w:rPr>
      </w:pPr>
      <w:r>
        <w:rPr>
          <w:rFonts w:hint="eastAsia" w:ascii="宋体" w:hAnsi="宋体"/>
          <w:kern w:val="0"/>
          <w:sz w:val="24"/>
          <w:highlight w:val="none"/>
        </w:rPr>
        <w:t>验收工作完成后，采购人支付合同金额14%。</w:t>
      </w:r>
    </w:p>
    <w:p>
      <w:pPr>
        <w:numPr>
          <w:ilvl w:val="0"/>
          <w:numId w:val="4"/>
        </w:numPr>
        <w:adjustRightInd w:val="0"/>
        <w:snapToGrid w:val="0"/>
        <w:spacing w:line="360" w:lineRule="auto"/>
        <w:ind w:left="5" w:hanging="5"/>
        <w:rPr>
          <w:rFonts w:ascii="宋体" w:hAnsi="宋体"/>
          <w:kern w:val="0"/>
          <w:sz w:val="24"/>
          <w:highlight w:val="none"/>
        </w:rPr>
      </w:pPr>
      <w:r>
        <w:rPr>
          <w:rFonts w:hint="eastAsia" w:ascii="宋体" w:hAnsi="宋体"/>
          <w:kern w:val="0"/>
          <w:sz w:val="24"/>
          <w:highlight w:val="none"/>
        </w:rPr>
        <w:t>项目完成审计后，采购人支付合同剩余尾款。</w:t>
      </w:r>
    </w:p>
    <w:p>
      <w:pPr>
        <w:rPr>
          <w:rFonts w:ascii="宋体" w:hAnsi="宋体" w:eastAsia="宋体" w:cs="宋体"/>
          <w:sz w:val="24"/>
        </w:rPr>
      </w:pPr>
      <w:r>
        <w:rPr>
          <w:rFonts w:hint="eastAsia" w:ascii="宋体" w:hAnsi="宋体" w:eastAsia="宋体" w:cs="宋体"/>
          <w:sz w:val="24"/>
        </w:rPr>
        <w:br w:type="page"/>
      </w:r>
    </w:p>
    <w:p>
      <w:pPr>
        <w:pStyle w:val="3"/>
        <w:numPr>
          <w:ilvl w:val="0"/>
          <w:numId w:val="1"/>
        </w:numPr>
        <w:wordWrap w:val="0"/>
        <w:spacing w:before="0" w:after="0" w:line="240" w:lineRule="auto"/>
        <w:ind w:firstLine="0"/>
        <w:rPr>
          <w:rFonts w:ascii="宋体" w:hAnsi="宋体" w:eastAsia="宋体" w:cs="宋体"/>
          <w:sz w:val="24"/>
        </w:rPr>
      </w:pPr>
      <w:r>
        <w:rPr>
          <w:rFonts w:hint="eastAsia" w:ascii="宋体" w:hAnsi="宋体" w:eastAsia="宋体" w:cs="宋体"/>
          <w:sz w:val="24"/>
        </w:rPr>
        <w:t>工程量清单</w:t>
      </w:r>
      <w:bookmarkEnd w:id="12"/>
      <w:bookmarkEnd w:id="13"/>
      <w:bookmarkEnd w:id="14"/>
    </w:p>
    <w:tbl>
      <w:tblPr>
        <w:tblStyle w:val="11"/>
        <w:tblW w:w="5435" w:type="pct"/>
        <w:tblInd w:w="0" w:type="dxa"/>
        <w:tblLayout w:type="fixed"/>
        <w:tblCellMar>
          <w:top w:w="0" w:type="dxa"/>
          <w:left w:w="108" w:type="dxa"/>
          <w:bottom w:w="0" w:type="dxa"/>
          <w:right w:w="108" w:type="dxa"/>
        </w:tblCellMar>
      </w:tblPr>
      <w:tblGrid>
        <w:gridCol w:w="598"/>
        <w:gridCol w:w="979"/>
        <w:gridCol w:w="5750"/>
        <w:gridCol w:w="597"/>
        <w:gridCol w:w="1339"/>
      </w:tblGrid>
      <w:tr>
        <w:tblPrEx>
          <w:tblCellMar>
            <w:top w:w="0" w:type="dxa"/>
            <w:left w:w="108" w:type="dxa"/>
            <w:bottom w:w="0" w:type="dxa"/>
            <w:right w:w="108" w:type="dxa"/>
          </w:tblCellMar>
        </w:tblPrEx>
        <w:trPr>
          <w:trHeight w:val="280" w:hRule="atLeast"/>
          <w:tblHeader/>
        </w:trPr>
        <w:tc>
          <w:tcPr>
            <w:tcW w:w="322" w:type="pct"/>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2"/>
              </w:rPr>
            </w:pPr>
            <w:bookmarkStart w:id="15" w:name="PO_TDCUS_ITEM_C_TEMPLATE_FILE_5e095f6d32"/>
            <w:bookmarkEnd w:id="15"/>
            <w:bookmarkStart w:id="16" w:name="RANGE!A1:E33"/>
            <w:r>
              <w:rPr>
                <w:rFonts w:hint="eastAsia" w:ascii="宋体" w:hAnsi="宋体" w:cs="宋体"/>
                <w:b/>
                <w:bCs/>
                <w:color w:val="000000"/>
                <w:kern w:val="0"/>
                <w:sz w:val="22"/>
              </w:rPr>
              <w:t>序号</w:t>
            </w:r>
            <w:bookmarkEnd w:id="16"/>
          </w:p>
        </w:tc>
        <w:tc>
          <w:tcPr>
            <w:tcW w:w="528"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设备名称</w:t>
            </w:r>
          </w:p>
        </w:tc>
        <w:tc>
          <w:tcPr>
            <w:tcW w:w="310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规格参数</w:t>
            </w:r>
          </w:p>
        </w:tc>
        <w:tc>
          <w:tcPr>
            <w:tcW w:w="322"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单位</w:t>
            </w:r>
          </w:p>
        </w:tc>
        <w:tc>
          <w:tcPr>
            <w:tcW w:w="723" w:type="pct"/>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宋体" w:hAnsi="宋体" w:cs="宋体"/>
                <w:b/>
                <w:bCs/>
                <w:color w:val="000000"/>
                <w:kern w:val="0"/>
                <w:sz w:val="22"/>
              </w:rPr>
            </w:pPr>
            <w:r>
              <w:rPr>
                <w:rFonts w:hint="eastAsia" w:ascii="宋体" w:hAnsi="宋体" w:cs="宋体"/>
                <w:b/>
                <w:bCs/>
                <w:color w:val="000000"/>
                <w:kern w:val="0"/>
                <w:sz w:val="22"/>
              </w:rPr>
              <w:t>数量</w:t>
            </w:r>
          </w:p>
        </w:tc>
      </w:tr>
      <w:tr>
        <w:tblPrEx>
          <w:tblCellMar>
            <w:top w:w="0" w:type="dxa"/>
            <w:left w:w="108" w:type="dxa"/>
            <w:bottom w:w="0" w:type="dxa"/>
            <w:right w:w="108" w:type="dxa"/>
          </w:tblCellMar>
        </w:tblPrEx>
        <w:trPr>
          <w:trHeight w:val="33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200万中型云台</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不低于传感器类型：1/1.8英寸CMOS；</w:t>
            </w:r>
            <w:r>
              <w:rPr>
                <w:rFonts w:hint="eastAsia" w:ascii="宋体" w:hAnsi="宋体" w:cs="宋体"/>
                <w:kern w:val="0"/>
                <w:sz w:val="20"/>
                <w:szCs w:val="20"/>
              </w:rPr>
              <w:br w:type="textWrapping"/>
            </w:r>
            <w:r>
              <w:rPr>
                <w:rFonts w:hint="eastAsia" w:ascii="宋体" w:hAnsi="宋体" w:cs="宋体"/>
                <w:kern w:val="0"/>
                <w:sz w:val="20"/>
                <w:szCs w:val="20"/>
              </w:rPr>
              <w:t>不低于像素：200万；</w:t>
            </w:r>
            <w:r>
              <w:rPr>
                <w:rFonts w:hint="eastAsia" w:ascii="宋体" w:hAnsi="宋体" w:cs="宋体"/>
                <w:kern w:val="0"/>
                <w:sz w:val="20"/>
                <w:szCs w:val="20"/>
              </w:rPr>
              <w:br w:type="textWrapping"/>
            </w:r>
            <w:r>
              <w:rPr>
                <w:rFonts w:hint="eastAsia" w:ascii="宋体" w:hAnsi="宋体" w:cs="宋体"/>
                <w:kern w:val="0"/>
                <w:sz w:val="20"/>
                <w:szCs w:val="20"/>
              </w:rPr>
              <w:t>不低于最大分辨率：1920×1080；</w:t>
            </w:r>
            <w:r>
              <w:rPr>
                <w:rFonts w:hint="eastAsia" w:ascii="宋体" w:hAnsi="宋体" w:cs="宋体"/>
                <w:kern w:val="0"/>
                <w:sz w:val="20"/>
                <w:szCs w:val="20"/>
              </w:rPr>
              <w:br w:type="textWrapping"/>
            </w:r>
            <w:r>
              <w:rPr>
                <w:rFonts w:hint="eastAsia" w:ascii="宋体" w:hAnsi="宋体" w:cs="宋体"/>
                <w:kern w:val="0"/>
                <w:sz w:val="20"/>
                <w:szCs w:val="20"/>
              </w:rPr>
              <w:t>不低于最低照度：彩色：0.001Lux@F1.6黑白：0.0001Lux@F1.60Lux（红外灯开启）；</w:t>
            </w:r>
            <w:r>
              <w:rPr>
                <w:rFonts w:hint="eastAsia" w:ascii="宋体" w:hAnsi="宋体" w:cs="宋体"/>
                <w:kern w:val="0"/>
                <w:sz w:val="20"/>
                <w:szCs w:val="20"/>
              </w:rPr>
              <w:br w:type="textWrapping"/>
            </w:r>
            <w:r>
              <w:rPr>
                <w:rFonts w:hint="eastAsia" w:ascii="宋体" w:hAnsi="宋体" w:cs="宋体"/>
                <w:kern w:val="0"/>
                <w:sz w:val="20"/>
                <w:szCs w:val="20"/>
              </w:rPr>
              <w:t>最大补光距离：250m（红外无红曝）；</w:t>
            </w:r>
            <w:r>
              <w:rPr>
                <w:rFonts w:hint="eastAsia" w:ascii="宋体" w:hAnsi="宋体" w:cs="宋体"/>
                <w:kern w:val="0"/>
                <w:sz w:val="20"/>
                <w:szCs w:val="20"/>
              </w:rPr>
              <w:br w:type="textWrapping"/>
            </w:r>
            <w:r>
              <w:rPr>
                <w:rFonts w:hint="eastAsia" w:ascii="宋体" w:hAnsi="宋体" w:cs="宋体"/>
                <w:kern w:val="0"/>
                <w:sz w:val="20"/>
                <w:szCs w:val="20"/>
              </w:rPr>
              <w:t>补光类型：红外；</w:t>
            </w:r>
            <w:r>
              <w:rPr>
                <w:rFonts w:hint="eastAsia" w:ascii="宋体" w:hAnsi="宋体" w:cs="宋体"/>
                <w:kern w:val="0"/>
                <w:sz w:val="20"/>
                <w:szCs w:val="20"/>
              </w:rPr>
              <w:br w:type="textWrapping"/>
            </w:r>
            <w:r>
              <w:rPr>
                <w:rFonts w:hint="eastAsia" w:ascii="宋体" w:hAnsi="宋体" w:cs="宋体"/>
                <w:kern w:val="0"/>
                <w:sz w:val="20"/>
                <w:szCs w:val="20"/>
              </w:rPr>
              <w:t>雨刷功能：雨刷；</w:t>
            </w:r>
            <w:r>
              <w:rPr>
                <w:rFonts w:hint="eastAsia" w:ascii="宋体" w:hAnsi="宋体" w:cs="宋体"/>
                <w:kern w:val="0"/>
                <w:sz w:val="20"/>
                <w:szCs w:val="20"/>
              </w:rPr>
              <w:br w:type="textWrapping"/>
            </w:r>
            <w:r>
              <w:rPr>
                <w:rFonts w:hint="eastAsia" w:ascii="宋体" w:hAnsi="宋体" w:cs="宋体"/>
                <w:kern w:val="0"/>
                <w:sz w:val="20"/>
                <w:szCs w:val="20"/>
              </w:rPr>
              <w:t>需满足镜头焦距：6mm～198mm；</w:t>
            </w:r>
            <w:r>
              <w:rPr>
                <w:rFonts w:hint="eastAsia" w:ascii="宋体" w:hAnsi="宋体" w:cs="宋体"/>
                <w:kern w:val="0"/>
                <w:sz w:val="20"/>
                <w:szCs w:val="20"/>
              </w:rPr>
              <w:br w:type="textWrapping"/>
            </w:r>
            <w:r>
              <w:rPr>
                <w:rFonts w:hint="eastAsia" w:ascii="宋体" w:hAnsi="宋体" w:cs="宋体"/>
                <w:kern w:val="0"/>
                <w:sz w:val="20"/>
                <w:szCs w:val="20"/>
              </w:rPr>
              <w:t>需满足镜头光圈：F1.5～F4.8；</w:t>
            </w:r>
            <w:r>
              <w:rPr>
                <w:rFonts w:hint="eastAsia" w:ascii="宋体" w:hAnsi="宋体" w:cs="宋体"/>
                <w:kern w:val="0"/>
                <w:sz w:val="20"/>
                <w:szCs w:val="20"/>
              </w:rPr>
              <w:br w:type="textWrapping"/>
            </w:r>
            <w:r>
              <w:rPr>
                <w:rFonts w:hint="eastAsia" w:ascii="宋体" w:hAnsi="宋体" w:cs="宋体"/>
                <w:kern w:val="0"/>
                <w:sz w:val="20"/>
                <w:szCs w:val="20"/>
              </w:rPr>
              <w:t>需满足视场角：水平：61.6°~3.6°垂直：35.2°~2°对角：66.6°~4°；</w:t>
            </w:r>
            <w:r>
              <w:rPr>
                <w:rFonts w:hint="eastAsia" w:ascii="宋体" w:hAnsi="宋体" w:cs="宋体"/>
                <w:kern w:val="0"/>
                <w:sz w:val="20"/>
                <w:szCs w:val="20"/>
              </w:rPr>
              <w:br w:type="textWrapping"/>
            </w:r>
            <w:r>
              <w:rPr>
                <w:rFonts w:hint="eastAsia" w:ascii="宋体" w:hAnsi="宋体" w:cs="宋体"/>
                <w:kern w:val="0"/>
                <w:sz w:val="20"/>
                <w:szCs w:val="20"/>
              </w:rPr>
              <w:t>需满足光学变倍：33倍</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55</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云台支架</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需满足安装方式：壁装</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55</w:t>
            </w:r>
          </w:p>
        </w:tc>
      </w:tr>
      <w:tr>
        <w:tblPrEx>
          <w:tblCellMar>
            <w:top w:w="0" w:type="dxa"/>
            <w:left w:w="108" w:type="dxa"/>
            <w:bottom w:w="0" w:type="dxa"/>
            <w:right w:w="108" w:type="dxa"/>
          </w:tblCellMar>
        </w:tblPrEx>
        <w:trPr>
          <w:trHeight w:val="572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双400万变焦枪型网络摄像机</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不低于传感器类型：通道1：1/1.8英寸CMOS；通道2：1/1.8英寸CMOS；；</w:t>
            </w:r>
            <w:r>
              <w:rPr>
                <w:rFonts w:hint="eastAsia" w:ascii="宋体" w:hAnsi="宋体" w:cs="宋体"/>
                <w:kern w:val="0"/>
                <w:sz w:val="20"/>
                <w:szCs w:val="20"/>
              </w:rPr>
              <w:br w:type="page"/>
            </w:r>
            <w:r>
              <w:rPr>
                <w:rFonts w:hint="eastAsia" w:ascii="宋体" w:hAnsi="宋体" w:cs="宋体"/>
                <w:kern w:val="0"/>
                <w:sz w:val="20"/>
                <w:szCs w:val="20"/>
              </w:rPr>
              <w:t>不低于像素：通道1：400万；通道2：400万；；</w:t>
            </w:r>
            <w:r>
              <w:rPr>
                <w:rFonts w:hint="eastAsia" w:ascii="宋体" w:hAnsi="宋体" w:cs="宋体"/>
                <w:kern w:val="0"/>
                <w:sz w:val="20"/>
                <w:szCs w:val="20"/>
              </w:rPr>
              <w:br w:type="page"/>
            </w:r>
            <w:r>
              <w:rPr>
                <w:rFonts w:hint="eastAsia" w:ascii="宋体" w:hAnsi="宋体" w:cs="宋体"/>
                <w:kern w:val="0"/>
                <w:sz w:val="20"/>
                <w:szCs w:val="20"/>
              </w:rPr>
              <w:t>不低于最大分辨率：通道1：2688×1520；通道2：2688×1520；；</w:t>
            </w:r>
            <w:r>
              <w:rPr>
                <w:rFonts w:hint="eastAsia" w:ascii="宋体" w:hAnsi="宋体" w:cs="宋体"/>
                <w:kern w:val="0"/>
                <w:sz w:val="20"/>
                <w:szCs w:val="20"/>
              </w:rPr>
              <w:br w:type="page"/>
            </w:r>
            <w:r>
              <w:rPr>
                <w:rFonts w:hint="eastAsia" w:ascii="宋体" w:hAnsi="宋体" w:cs="宋体"/>
                <w:kern w:val="0"/>
                <w:sz w:val="20"/>
                <w:szCs w:val="20"/>
              </w:rPr>
              <w:t>不低于最低照度：0.001lux（彩色模式）；0.0001lux（黑白模式）；0lux（补光灯开启）；</w:t>
            </w:r>
            <w:r>
              <w:rPr>
                <w:rFonts w:hint="eastAsia" w:ascii="宋体" w:hAnsi="宋体" w:cs="宋体"/>
                <w:kern w:val="0"/>
                <w:sz w:val="20"/>
                <w:szCs w:val="20"/>
              </w:rPr>
              <w:br w:type="page"/>
            </w:r>
            <w:r>
              <w:rPr>
                <w:rFonts w:hint="eastAsia" w:ascii="宋体" w:hAnsi="宋体" w:cs="宋体"/>
                <w:kern w:val="0"/>
                <w:sz w:val="20"/>
                <w:szCs w:val="20"/>
              </w:rPr>
              <w:t>最大补光距离：60m（红外）；40m（暖光）；6m（人脸检测距离）；</w:t>
            </w:r>
            <w:r>
              <w:rPr>
                <w:rFonts w:hint="eastAsia" w:ascii="宋体" w:hAnsi="宋体" w:cs="宋体"/>
                <w:kern w:val="0"/>
                <w:sz w:val="20"/>
                <w:szCs w:val="20"/>
              </w:rPr>
              <w:br w:type="page"/>
            </w:r>
            <w:r>
              <w:rPr>
                <w:rFonts w:hint="eastAsia" w:ascii="宋体" w:hAnsi="宋体" w:cs="宋体"/>
                <w:kern w:val="0"/>
                <w:sz w:val="20"/>
                <w:szCs w:val="20"/>
              </w:rPr>
              <w:t>需满足补光灯：8颗（多晶（红外+暖光）灯）；</w:t>
            </w:r>
            <w:r>
              <w:rPr>
                <w:rFonts w:hint="eastAsia" w:ascii="宋体" w:hAnsi="宋体" w:cs="宋体"/>
                <w:kern w:val="0"/>
                <w:sz w:val="20"/>
                <w:szCs w:val="20"/>
              </w:rPr>
              <w:br w:type="page"/>
            </w:r>
            <w:r>
              <w:rPr>
                <w:rFonts w:hint="eastAsia" w:ascii="宋体" w:hAnsi="宋体" w:cs="宋体"/>
                <w:kern w:val="0"/>
                <w:sz w:val="20"/>
                <w:szCs w:val="20"/>
              </w:rPr>
              <w:t>需满足镜头类型：通道1：电动变焦；通道2：电动变焦；</w:t>
            </w:r>
            <w:r>
              <w:rPr>
                <w:rFonts w:hint="eastAsia" w:ascii="宋体" w:hAnsi="宋体" w:cs="宋体"/>
                <w:kern w:val="0"/>
                <w:sz w:val="20"/>
                <w:szCs w:val="20"/>
              </w:rPr>
              <w:br w:type="page"/>
            </w:r>
            <w:r>
              <w:rPr>
                <w:rFonts w:hint="eastAsia" w:ascii="宋体" w:hAnsi="宋体" w:cs="宋体"/>
                <w:kern w:val="0"/>
                <w:sz w:val="20"/>
                <w:szCs w:val="20"/>
              </w:rPr>
              <w:t>需满足镜头焦距：通道1：2.7mm～12mm；通道2：2.7mm～12mm；</w:t>
            </w:r>
            <w:r>
              <w:rPr>
                <w:rFonts w:hint="eastAsia" w:ascii="宋体" w:hAnsi="宋体" w:cs="宋体"/>
                <w:kern w:val="0"/>
                <w:sz w:val="20"/>
                <w:szCs w:val="20"/>
              </w:rPr>
              <w:br w:type="page"/>
            </w:r>
            <w:r>
              <w:rPr>
                <w:rFonts w:hint="eastAsia" w:ascii="宋体" w:hAnsi="宋体" w:cs="宋体"/>
                <w:kern w:val="0"/>
                <w:sz w:val="20"/>
                <w:szCs w:val="20"/>
              </w:rPr>
              <w:t>需满足镜头光圈：通道1：F1.8；通道2：F1.8；</w:t>
            </w:r>
            <w:r>
              <w:rPr>
                <w:rFonts w:hint="eastAsia" w:ascii="宋体" w:hAnsi="宋体" w:cs="宋体"/>
                <w:kern w:val="0"/>
                <w:sz w:val="20"/>
                <w:szCs w:val="20"/>
              </w:rPr>
              <w:br w:type="page"/>
            </w:r>
            <w:r>
              <w:rPr>
                <w:rFonts w:hint="eastAsia" w:ascii="宋体" w:hAnsi="宋体" w:cs="宋体"/>
                <w:kern w:val="0"/>
                <w:sz w:val="20"/>
                <w:szCs w:val="20"/>
              </w:rPr>
              <w:t>需满足视场角：通道1：水平：110.7°～47°；垂直：59.8°～27°；对角：130.6°～54°；通道2：水平：110.7°～47°；垂直：59.8°～27°；对角：130.6°～54°；；</w:t>
            </w:r>
            <w:r>
              <w:rPr>
                <w:rFonts w:hint="eastAsia" w:ascii="宋体" w:hAnsi="宋体" w:cs="宋体"/>
                <w:kern w:val="0"/>
                <w:sz w:val="20"/>
                <w:szCs w:val="20"/>
              </w:rPr>
              <w:br w:type="page"/>
            </w:r>
            <w:r>
              <w:rPr>
                <w:rFonts w:hint="eastAsia" w:ascii="宋体" w:hAnsi="宋体" w:cs="宋体"/>
                <w:kern w:val="0"/>
                <w:sz w:val="20"/>
                <w:szCs w:val="20"/>
              </w:rPr>
              <w:t>需满足人脸检测：支持人脸检测；支持跟踪；支持优选；支持抓拍；支持上报最优的人脸抓图；支持人脸抓图增强，支持人脸曝光；支持人脸属性提取</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r>
      <w:tr>
        <w:tblPrEx>
          <w:tblCellMar>
            <w:top w:w="0" w:type="dxa"/>
            <w:left w:w="108" w:type="dxa"/>
            <w:bottom w:w="0" w:type="dxa"/>
            <w:right w:w="108" w:type="dxa"/>
          </w:tblCellMar>
        </w:tblPrEx>
        <w:trPr>
          <w:trHeight w:val="104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4</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支架</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需满足安装方式：壁装；</w:t>
            </w:r>
            <w:r>
              <w:rPr>
                <w:rFonts w:hint="eastAsia" w:ascii="宋体" w:hAnsi="宋体" w:cs="宋体"/>
                <w:kern w:val="0"/>
                <w:sz w:val="20"/>
                <w:szCs w:val="20"/>
              </w:rPr>
              <w:br w:type="textWrapping"/>
            </w:r>
            <w:r>
              <w:rPr>
                <w:rFonts w:hint="eastAsia" w:ascii="宋体" w:hAnsi="宋体" w:cs="宋体"/>
                <w:kern w:val="0"/>
                <w:sz w:val="20"/>
                <w:szCs w:val="20"/>
              </w:rPr>
              <w:t>需满足旋转角度：水平：0~360°；垂直：-56~56°（8°每档）；</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5</w:t>
            </w:r>
          </w:p>
        </w:tc>
      </w:tr>
      <w:tr>
        <w:tblPrEx>
          <w:tblCellMar>
            <w:top w:w="0" w:type="dxa"/>
            <w:left w:w="108" w:type="dxa"/>
            <w:bottom w:w="0" w:type="dxa"/>
            <w:right w:w="108" w:type="dxa"/>
          </w:tblCellMar>
        </w:tblPrEx>
        <w:trPr>
          <w:trHeight w:val="52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5</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室外落地箱</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需满足设备箱体IP67 ,工业级数据采集单元；数据传输单元；工业级电源模块</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17</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6</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室外箱基础</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需满足混凝土强度等级:C30</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17</w:t>
            </w:r>
          </w:p>
        </w:tc>
      </w:tr>
      <w:tr>
        <w:tblPrEx>
          <w:tblCellMar>
            <w:top w:w="0" w:type="dxa"/>
            <w:left w:w="108" w:type="dxa"/>
            <w:bottom w:w="0" w:type="dxa"/>
            <w:right w:w="108" w:type="dxa"/>
          </w:tblCellMar>
        </w:tblPrEx>
        <w:trPr>
          <w:trHeight w:val="52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7</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背包箱</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需满足设备箱体IP67 ,工业级数据采集单元；数据传输单元；工业级电源模块</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30</w:t>
            </w:r>
          </w:p>
        </w:tc>
      </w:tr>
      <w:tr>
        <w:tblPrEx>
          <w:tblCellMar>
            <w:top w:w="0" w:type="dxa"/>
            <w:left w:w="108" w:type="dxa"/>
            <w:bottom w:w="0" w:type="dxa"/>
            <w:right w:w="108" w:type="dxa"/>
          </w:tblCellMar>
        </w:tblPrEx>
        <w:trPr>
          <w:trHeight w:val="7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8</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室外箱接地</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需满足接地极采用热镀锌角钢，规格为50mm×50mm×5mm，长度2.5米，埋深不小于0.8米；接地线采用铜芯软导线，规格为BVR-25mm²</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47</w:t>
            </w:r>
          </w:p>
        </w:tc>
      </w:tr>
      <w:tr>
        <w:tblPrEx>
          <w:tblCellMar>
            <w:top w:w="0" w:type="dxa"/>
            <w:left w:w="108" w:type="dxa"/>
            <w:bottom w:w="0" w:type="dxa"/>
            <w:right w:w="108" w:type="dxa"/>
          </w:tblCellMar>
        </w:tblPrEx>
        <w:trPr>
          <w:trHeight w:val="4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9</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光纤收发器</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需满足一个双向光收发接口，4个RJ-45 10/100Mb/s以太网口</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对</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10</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光纤跳线</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1米</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对</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180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11</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网络跳线</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1米</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根</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140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highlight w:val="none"/>
              </w:rPr>
            </w:pPr>
            <w:bookmarkStart w:id="17" w:name="_GoBack"/>
            <w:r>
              <w:rPr>
                <w:rFonts w:hint="eastAsia" w:ascii="宋体" w:hAnsi="宋体" w:cs="宋体"/>
                <w:color w:val="000000"/>
                <w:kern w:val="0"/>
                <w:sz w:val="22"/>
                <w:highlight w:val="none"/>
              </w:rPr>
              <w:t>12</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摄像机喷漆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需满足迪士尼蓝色，环保漆</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台</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highlight w:val="none"/>
              </w:rPr>
            </w:pPr>
            <w:r>
              <w:rPr>
                <w:kern w:val="0"/>
                <w:sz w:val="20"/>
                <w:szCs w:val="20"/>
                <w:highlight w:val="none"/>
              </w:rPr>
              <w:t>60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highlight w:val="none"/>
              </w:rPr>
            </w:pPr>
            <w:r>
              <w:rPr>
                <w:rFonts w:hint="eastAsia" w:ascii="宋体" w:hAnsi="宋体" w:cs="宋体"/>
                <w:color w:val="000000"/>
                <w:kern w:val="0"/>
                <w:sz w:val="22"/>
                <w:highlight w:val="none"/>
              </w:rPr>
              <w:t>13</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室外落地箱喷漆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需满足迪士尼蓝色，环保漆</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台</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highlight w:val="none"/>
              </w:rPr>
            </w:pPr>
            <w:r>
              <w:rPr>
                <w:kern w:val="0"/>
                <w:sz w:val="20"/>
                <w:szCs w:val="20"/>
                <w:highlight w:val="none"/>
              </w:rPr>
              <w:t>17</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highlight w:val="none"/>
              </w:rPr>
            </w:pPr>
            <w:r>
              <w:rPr>
                <w:rFonts w:hint="eastAsia" w:ascii="宋体" w:hAnsi="宋体" w:cs="宋体"/>
                <w:color w:val="000000"/>
                <w:kern w:val="0"/>
                <w:sz w:val="22"/>
                <w:highlight w:val="none"/>
              </w:rPr>
              <w:t>14</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壁挂箱喷漆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需满足迪士尼蓝色，环保漆</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台</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highlight w:val="none"/>
              </w:rPr>
            </w:pPr>
            <w:r>
              <w:rPr>
                <w:kern w:val="0"/>
                <w:sz w:val="20"/>
                <w:szCs w:val="20"/>
                <w:highlight w:val="none"/>
              </w:rPr>
              <w:t>30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highlight w:val="none"/>
              </w:rPr>
            </w:pPr>
            <w:r>
              <w:rPr>
                <w:rFonts w:hint="eastAsia" w:ascii="宋体" w:hAnsi="宋体" w:cs="宋体"/>
                <w:color w:val="000000"/>
                <w:kern w:val="0"/>
                <w:sz w:val="22"/>
                <w:highlight w:val="none"/>
              </w:rPr>
              <w:t>15</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摄像机支架和管材喷漆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需满足迪士尼蓝色，环保漆</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highlight w:val="none"/>
              </w:rPr>
            </w:pPr>
            <w:r>
              <w:rPr>
                <w:rFonts w:hint="eastAsia" w:ascii="宋体" w:hAnsi="宋体" w:cs="宋体"/>
                <w:kern w:val="0"/>
                <w:sz w:val="20"/>
                <w:szCs w:val="20"/>
                <w:highlight w:val="none"/>
              </w:rPr>
              <w:t>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highlight w:val="none"/>
              </w:rPr>
            </w:pPr>
            <w:r>
              <w:rPr>
                <w:kern w:val="0"/>
                <w:sz w:val="20"/>
                <w:szCs w:val="20"/>
                <w:highlight w:val="none"/>
              </w:rPr>
              <w:t>60</w:t>
            </w:r>
          </w:p>
        </w:tc>
      </w:tr>
      <w:bookmarkEnd w:id="17"/>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16</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杆件</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定制</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根</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17</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17</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杆件基础</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需满足混凝土强度等级:C30</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个</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17</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18</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8芯光缆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需满足8芯</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KM</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15.4</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19</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8口光纤终端盒</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需满足8口</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台</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120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20</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熔接</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定制</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芯</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960</w:t>
            </w:r>
          </w:p>
        </w:tc>
      </w:tr>
      <w:tr>
        <w:tblPrEx>
          <w:tblCellMar>
            <w:top w:w="0" w:type="dxa"/>
            <w:left w:w="108" w:type="dxa"/>
            <w:bottom w:w="0" w:type="dxa"/>
            <w:right w:w="108" w:type="dxa"/>
          </w:tblCellMar>
        </w:tblPrEx>
        <w:trPr>
          <w:trHeight w:val="7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21</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度假区环路主干光缆跳接</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需满足接通前端监控点至申迪南路100号B1层机房的光纤物理链路，包含所有光纤跳接线和其他需要的材料</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条</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22</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电缆</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需满足RVV3*2.5</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M</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6600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23</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电源线</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需满足RVV2*1.5</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m</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800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24</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网线</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需满足防水六类</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m</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800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25</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PE管</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DN32</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米</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4300</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26</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镀锌钢管</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DN32</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米</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360</w:t>
            </w:r>
          </w:p>
        </w:tc>
      </w:tr>
      <w:tr>
        <w:tblPrEx>
          <w:tblCellMar>
            <w:top w:w="0" w:type="dxa"/>
            <w:left w:w="108" w:type="dxa"/>
            <w:bottom w:w="0" w:type="dxa"/>
            <w:right w:w="108" w:type="dxa"/>
          </w:tblCellMar>
        </w:tblPrEx>
        <w:trPr>
          <w:trHeight w:val="7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27</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人工挖土方</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需满足开挖、修复:泥土路面,挖沟,保护管敷设、排流线保护、回填、夯实、护沟护坎保护、埋标识挖深60CM宽90CM</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立方米</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1346</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28</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绿化修复</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color w:val="000000"/>
                <w:kern w:val="0"/>
                <w:sz w:val="20"/>
                <w:szCs w:val="20"/>
              </w:rPr>
            </w:pPr>
            <w:r>
              <w:rPr>
                <w:rFonts w:hint="eastAsia" w:ascii="宋体" w:hAnsi="宋体" w:cs="宋体"/>
                <w:color w:val="000000"/>
                <w:kern w:val="0"/>
                <w:sz w:val="20"/>
                <w:szCs w:val="20"/>
              </w:rPr>
              <w:t>定制</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平方米</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1900</w:t>
            </w:r>
          </w:p>
        </w:tc>
      </w:tr>
      <w:tr>
        <w:tblPrEx>
          <w:tblCellMar>
            <w:top w:w="0" w:type="dxa"/>
            <w:left w:w="108" w:type="dxa"/>
            <w:bottom w:w="0" w:type="dxa"/>
            <w:right w:w="108" w:type="dxa"/>
          </w:tblCellMar>
        </w:tblPrEx>
        <w:trPr>
          <w:trHeight w:val="2196"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29</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NVR</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需满足主处理器：工业级微控制器；</w:t>
            </w:r>
            <w:r>
              <w:rPr>
                <w:rFonts w:hint="eastAsia" w:ascii="宋体" w:hAnsi="宋体" w:cs="宋体"/>
                <w:kern w:val="0"/>
                <w:sz w:val="20"/>
                <w:szCs w:val="20"/>
              </w:rPr>
              <w:br w:type="page"/>
            </w:r>
            <w:r>
              <w:rPr>
                <w:rFonts w:hint="eastAsia" w:ascii="宋体" w:hAnsi="宋体" w:cs="宋体"/>
                <w:kern w:val="0"/>
                <w:sz w:val="20"/>
                <w:szCs w:val="20"/>
              </w:rPr>
              <w:t>需满足操作系统：嵌入式Linux操作系统；</w:t>
            </w:r>
            <w:r>
              <w:rPr>
                <w:rFonts w:hint="eastAsia" w:ascii="宋体" w:hAnsi="宋体" w:cs="宋体"/>
                <w:kern w:val="0"/>
                <w:sz w:val="20"/>
                <w:szCs w:val="20"/>
              </w:rPr>
              <w:br w:type="page"/>
            </w:r>
            <w:r>
              <w:rPr>
                <w:rFonts w:hint="eastAsia" w:ascii="宋体" w:hAnsi="宋体" w:cs="宋体"/>
                <w:kern w:val="0"/>
                <w:sz w:val="20"/>
                <w:szCs w:val="20"/>
              </w:rPr>
              <w:t>需满足后智能分析：支持后智能人脸检测、人脸识别、周界防范、智能动检；</w:t>
            </w:r>
            <w:r>
              <w:rPr>
                <w:rFonts w:hint="eastAsia" w:ascii="宋体" w:hAnsi="宋体" w:cs="宋体"/>
                <w:kern w:val="0"/>
                <w:sz w:val="20"/>
                <w:szCs w:val="20"/>
              </w:rPr>
              <w:br w:type="page"/>
            </w:r>
            <w:r>
              <w:rPr>
                <w:rFonts w:hint="eastAsia" w:ascii="宋体" w:hAnsi="宋体" w:cs="宋体"/>
                <w:kern w:val="0"/>
                <w:sz w:val="20"/>
                <w:szCs w:val="20"/>
              </w:rPr>
              <w:t>需满足前智能分析：支持前智能人脸检测、人脸识别、视频结构化、周界防范、智能动检、立体行为分析、人像检测、人群分布、人数统计、热度图、车牌识别、车辆密度；</w:t>
            </w:r>
            <w:r>
              <w:rPr>
                <w:rFonts w:hint="eastAsia" w:ascii="宋体" w:hAnsi="宋体" w:cs="宋体"/>
                <w:kern w:val="0"/>
                <w:sz w:val="20"/>
                <w:szCs w:val="20"/>
              </w:rPr>
              <w:br w:type="page"/>
            </w:r>
            <w:r>
              <w:rPr>
                <w:rFonts w:hint="eastAsia" w:ascii="宋体" w:hAnsi="宋体" w:cs="宋体"/>
                <w:kern w:val="0"/>
                <w:sz w:val="20"/>
                <w:szCs w:val="20"/>
              </w:rPr>
              <w:t>需满足接入路数：32路；</w:t>
            </w:r>
            <w:r>
              <w:rPr>
                <w:rFonts w:hint="eastAsia" w:ascii="宋体" w:hAnsi="宋体" w:cs="宋体"/>
                <w:kern w:val="0"/>
                <w:sz w:val="20"/>
                <w:szCs w:val="20"/>
              </w:rPr>
              <w:br w:type="page"/>
            </w:r>
            <w:r>
              <w:rPr>
                <w:rFonts w:hint="eastAsia" w:ascii="宋体" w:hAnsi="宋体" w:cs="宋体"/>
                <w:kern w:val="0"/>
                <w:sz w:val="20"/>
                <w:szCs w:val="20"/>
              </w:rPr>
              <w:t>需满足分辨率：32MP;24MP;16MP;12MP;8MP;6MP;5MP;4MP;3MP;1080p;720p;960p;D1;CIF；</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台 </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30</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硬盘</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需满足容量：8TB</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块</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32</w:t>
            </w:r>
          </w:p>
        </w:tc>
      </w:tr>
      <w:tr>
        <w:tblPrEx>
          <w:tblCellMar>
            <w:top w:w="0" w:type="dxa"/>
            <w:left w:w="108" w:type="dxa"/>
            <w:bottom w:w="0" w:type="dxa"/>
            <w:right w:w="108" w:type="dxa"/>
          </w:tblCellMar>
        </w:tblPrEx>
        <w:trPr>
          <w:trHeight w:val="52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31</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接入交换机</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需满足48个10/100/1OOOBASE-T电口,4个SFP+万兆光端口，满配LC-LC跳线</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 xml:space="preserve">台 </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2</w:t>
            </w:r>
          </w:p>
        </w:tc>
      </w:tr>
      <w:tr>
        <w:tblPrEx>
          <w:tblCellMar>
            <w:top w:w="0" w:type="dxa"/>
            <w:left w:w="108" w:type="dxa"/>
            <w:bottom w:w="0" w:type="dxa"/>
            <w:right w:w="108" w:type="dxa"/>
          </w:tblCellMar>
        </w:tblPrEx>
        <w:trPr>
          <w:trHeight w:val="280" w:hRule="atLeast"/>
        </w:trPr>
        <w:tc>
          <w:tcPr>
            <w:tcW w:w="322" w:type="pct"/>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cs="宋体"/>
                <w:color w:val="000000"/>
                <w:kern w:val="0"/>
                <w:sz w:val="22"/>
              </w:rPr>
            </w:pPr>
            <w:r>
              <w:rPr>
                <w:rFonts w:hint="eastAsia" w:ascii="宋体" w:hAnsi="宋体" w:cs="宋体"/>
                <w:color w:val="000000"/>
                <w:kern w:val="0"/>
                <w:sz w:val="22"/>
              </w:rPr>
              <w:t>32</w:t>
            </w:r>
          </w:p>
        </w:tc>
        <w:tc>
          <w:tcPr>
            <w:tcW w:w="528"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监控接入平台费用</w:t>
            </w:r>
          </w:p>
        </w:tc>
        <w:tc>
          <w:tcPr>
            <w:tcW w:w="310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需满足新增监控点接入度假区已建平台</w:t>
            </w:r>
          </w:p>
        </w:tc>
        <w:tc>
          <w:tcPr>
            <w:tcW w:w="322" w:type="pct"/>
            <w:tcBorders>
              <w:top w:val="nil"/>
              <w:left w:val="nil"/>
              <w:bottom w:val="single" w:color="auto" w:sz="4" w:space="0"/>
              <w:right w:val="single" w:color="auto" w:sz="4" w:space="0"/>
            </w:tcBorders>
            <w:shd w:val="clear" w:color="auto" w:fill="auto"/>
            <w:vAlign w:val="center"/>
          </w:tcPr>
          <w:p>
            <w:pPr>
              <w:widowControl/>
              <w:jc w:val="center"/>
              <w:rPr>
                <w:rFonts w:ascii="宋体" w:hAnsi="宋体" w:cs="宋体"/>
                <w:kern w:val="0"/>
                <w:sz w:val="20"/>
                <w:szCs w:val="20"/>
              </w:rPr>
            </w:pPr>
            <w:r>
              <w:rPr>
                <w:rFonts w:hint="eastAsia" w:ascii="宋体" w:hAnsi="宋体" w:cs="宋体"/>
                <w:kern w:val="0"/>
                <w:sz w:val="20"/>
                <w:szCs w:val="20"/>
              </w:rPr>
              <w:t>点</w:t>
            </w:r>
          </w:p>
        </w:tc>
        <w:tc>
          <w:tcPr>
            <w:tcW w:w="723" w:type="pct"/>
            <w:tcBorders>
              <w:top w:val="nil"/>
              <w:left w:val="nil"/>
              <w:bottom w:val="single" w:color="auto" w:sz="4" w:space="0"/>
              <w:right w:val="single" w:color="auto" w:sz="4" w:space="0"/>
            </w:tcBorders>
            <w:shd w:val="clear" w:color="auto" w:fill="auto"/>
            <w:vAlign w:val="center"/>
          </w:tcPr>
          <w:p>
            <w:pPr>
              <w:widowControl/>
              <w:jc w:val="center"/>
              <w:rPr>
                <w:kern w:val="0"/>
                <w:sz w:val="20"/>
                <w:szCs w:val="20"/>
              </w:rPr>
            </w:pPr>
            <w:r>
              <w:rPr>
                <w:kern w:val="0"/>
                <w:sz w:val="20"/>
                <w:szCs w:val="20"/>
              </w:rPr>
              <w:t>60</w:t>
            </w:r>
          </w:p>
        </w:tc>
      </w:tr>
    </w:tbl>
    <w:p/>
    <w:sectPr>
      <w:headerReference r:id="rId3" w:type="default"/>
      <w:footerReference r:id="rId4"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3</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rPr>
        <w:u w:val="single"/>
      </w:rPr>
    </w:pPr>
    <w:r>
      <w:rPr>
        <w:rFonts w:hint="eastAsia"/>
        <w:u w:val="single"/>
      </w:rPr>
      <w:t>需求文件                                                   度假区监控补盲及视频接入建设项目</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F8BBAE"/>
    <w:multiLevelType w:val="singleLevel"/>
    <w:tmpl w:val="92F8BBAE"/>
    <w:lvl w:ilvl="0" w:tentative="0">
      <w:start w:val="1"/>
      <w:numFmt w:val="decimal"/>
      <w:suff w:val="nothing"/>
      <w:lvlText w:val="%1、"/>
      <w:lvlJc w:val="left"/>
      <w:pPr>
        <w:ind w:left="425" w:hanging="425"/>
      </w:pPr>
      <w:rPr>
        <w:rFonts w:hint="default"/>
      </w:rPr>
    </w:lvl>
  </w:abstractNum>
  <w:abstractNum w:abstractNumId="1">
    <w:nsid w:val="2D3B018D"/>
    <w:multiLevelType w:val="singleLevel"/>
    <w:tmpl w:val="2D3B018D"/>
    <w:lvl w:ilvl="0" w:tentative="0">
      <w:start w:val="1"/>
      <w:numFmt w:val="decimal"/>
      <w:suff w:val="nothing"/>
      <w:lvlText w:val="%1、"/>
      <w:lvlJc w:val="left"/>
      <w:pPr>
        <w:ind w:left="425" w:hanging="425"/>
      </w:pPr>
      <w:rPr>
        <w:rFonts w:hint="default"/>
      </w:rPr>
    </w:lvl>
  </w:abstractNum>
  <w:abstractNum w:abstractNumId="2">
    <w:nsid w:val="31CDE252"/>
    <w:multiLevelType w:val="singleLevel"/>
    <w:tmpl w:val="31CDE252"/>
    <w:lvl w:ilvl="0" w:tentative="0">
      <w:start w:val="1"/>
      <w:numFmt w:val="decimal"/>
      <w:suff w:val="nothing"/>
      <w:lvlText w:val="%1、"/>
      <w:lvlJc w:val="left"/>
    </w:lvl>
  </w:abstractNum>
  <w:abstractNum w:abstractNumId="3">
    <w:nsid w:val="498BD983"/>
    <w:multiLevelType w:val="singleLevel"/>
    <w:tmpl w:val="498BD983"/>
    <w:lvl w:ilvl="0" w:tentative="0">
      <w:start w:val="1"/>
      <w:numFmt w:val="chineseCounting"/>
      <w:suff w:val="nothing"/>
      <w:lvlText w:val="%1、"/>
      <w:lvlJc w:val="left"/>
      <w:pPr>
        <w:ind w:left="0" w:firstLine="420"/>
      </w:pPr>
      <w:rPr>
        <w:rFonts w:hint="eastAsia"/>
      </w:r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E3B6C"/>
    <w:rsid w:val="00233B9D"/>
    <w:rsid w:val="003142E8"/>
    <w:rsid w:val="0032646D"/>
    <w:rsid w:val="00591822"/>
    <w:rsid w:val="006A08F1"/>
    <w:rsid w:val="009E3B6C"/>
    <w:rsid w:val="00A60DF9"/>
    <w:rsid w:val="00BD0D06"/>
    <w:rsid w:val="00C55739"/>
    <w:rsid w:val="00C700F7"/>
    <w:rsid w:val="00F96DEB"/>
    <w:rsid w:val="032C536B"/>
    <w:rsid w:val="0CEE1EC4"/>
    <w:rsid w:val="1601621C"/>
    <w:rsid w:val="38987C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4"/>
    <w:unhideWhenUsed/>
    <w:qFormat/>
    <w:uiPriority w:val="0"/>
    <w:pPr>
      <w:keepNext/>
      <w:keepLines/>
      <w:spacing w:before="260" w:after="26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paragraph" w:styleId="6">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paragraph" w:styleId="7">
    <w:name w:val="heading 5"/>
    <w:basedOn w:val="1"/>
    <w:next w:val="1"/>
    <w:unhideWhenUsed/>
    <w:qFormat/>
    <w:uiPriority w:val="0"/>
    <w:pPr>
      <w:keepNext/>
      <w:keepLines/>
      <w:spacing w:before="280" w:after="290" w:line="372" w:lineRule="auto"/>
      <w:outlineLvl w:val="4"/>
    </w:pPr>
    <w:rPr>
      <w:b/>
      <w:sz w:val="28"/>
    </w:rPr>
  </w:style>
  <w:style w:type="paragraph" w:styleId="8">
    <w:name w:val="heading 6"/>
    <w:basedOn w:val="1"/>
    <w:next w:val="1"/>
    <w:unhideWhenUsed/>
    <w:qFormat/>
    <w:uiPriority w:val="0"/>
    <w:pPr>
      <w:keepNext/>
      <w:keepLines/>
      <w:spacing w:before="240" w:after="64" w:line="317" w:lineRule="auto"/>
      <w:outlineLvl w:val="5"/>
    </w:pPr>
    <w:rPr>
      <w:rFonts w:ascii="Arial" w:hAnsi="Arial" w:eastAsia="黑体"/>
      <w:b/>
      <w:sz w:val="24"/>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2">
    <w:name w:val="Body Text 2"/>
    <w:basedOn w:val="1"/>
    <w:unhideWhenUsed/>
    <w:qFormat/>
    <w:uiPriority w:val="99"/>
    <w:pPr>
      <w:widowControl/>
      <w:snapToGrid w:val="0"/>
      <w:spacing w:before="50" w:afterLines="50" w:line="400" w:lineRule="exact"/>
      <w:jc w:val="left"/>
    </w:pPr>
    <w:rPr>
      <w:rFonts w:ascii="宋体" w:hAnsi="宋体"/>
      <w:color w:val="000000"/>
      <w:sz w:val="24"/>
    </w:rPr>
  </w:style>
  <w:style w:type="paragraph" w:styleId="4">
    <w:name w:val="Normal Indent"/>
    <w:basedOn w:val="1"/>
    <w:qFormat/>
    <w:uiPriority w:val="0"/>
    <w:pPr>
      <w:ind w:firstLine="420"/>
    </w:p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00.建设方案正文字体"/>
    <w:basedOn w:val="1"/>
    <w:qFormat/>
    <w:uiPriority w:val="0"/>
    <w:pPr>
      <w:spacing w:line="360" w:lineRule="auto"/>
      <w:ind w:firstLine="480"/>
    </w:pPr>
    <w:rPr>
      <w:rFonts w:ascii="仿宋" w:hAnsi="仿宋" w:cs="宋体"/>
      <w:szCs w:val="2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715</Words>
  <Characters>4079</Characters>
  <DocSecurity>0</DocSecurity>
  <Lines>33</Lines>
  <Paragraphs>9</Paragraphs>
  <ScaleCrop>false</ScaleCrop>
  <LinksUpToDate>false</LinksUpToDate>
  <CharactersWithSpaces>4785</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2025-07-11T08:57:00Z</dcterms:created>
  <dcterms:modified xsi:type="dcterms:W3CDTF">2025-07-14T03:58:40Z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46A294F662944190A9B02C53CEA8CB29_12</vt:lpwstr>
  </property>
</Properties>
</file>