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A4420">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一</w:t>
      </w:r>
      <w:r>
        <w:rPr>
          <w:rFonts w:hint="eastAsia" w:ascii="宋体" w:hAnsi="宋体" w:cs="宋体"/>
          <w:b/>
          <w:color w:val="000000" w:themeColor="text1"/>
          <w:szCs w:val="21"/>
          <w14:textFill>
            <w14:solidFill>
              <w14:schemeClr w14:val="tx1"/>
            </w14:solidFill>
          </w14:textFill>
        </w:rPr>
        <w:t>、样品及送样要求</w:t>
      </w:r>
    </w:p>
    <w:p w14:paraId="7B3297D2">
      <w:pPr>
        <w:pStyle w:val="4"/>
        <w:spacing w:before="0" w:beforeAutospacing="0" w:after="0" w:afterAutospacing="0" w:line="360" w:lineRule="auto"/>
        <w:ind w:firstLine="420"/>
        <w:rPr>
          <w:rFonts w:hint="eastAsia" w:cs="Calibri"/>
          <w:bCs/>
          <w:color w:val="000000" w:themeColor="text1"/>
          <w:kern w:val="2"/>
          <w:sz w:val="21"/>
          <w:szCs w:val="22"/>
          <w14:textFill>
            <w14:solidFill>
              <w14:schemeClr w14:val="tx1"/>
            </w14:solidFill>
          </w14:textFill>
        </w:rPr>
      </w:pPr>
      <w:r>
        <w:rPr>
          <w:rFonts w:hint="eastAsia" w:cs="Calibri"/>
          <w:bCs/>
          <w:color w:val="000000" w:themeColor="text1"/>
          <w:kern w:val="2"/>
          <w:sz w:val="21"/>
          <w:szCs w:val="22"/>
          <w14:textFill>
            <w14:solidFill>
              <w14:schemeClr w14:val="tx1"/>
            </w14:solidFill>
          </w14:textFill>
        </w:rPr>
        <w:t>1、样品清单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
        <w:gridCol w:w="990"/>
        <w:gridCol w:w="1089"/>
        <w:gridCol w:w="3467"/>
        <w:gridCol w:w="484"/>
        <w:gridCol w:w="1549"/>
        <w:gridCol w:w="513"/>
      </w:tblGrid>
      <w:tr w14:paraId="3630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248" w:type="pct"/>
            <w:shd w:val="clear" w:color="auto" w:fill="auto"/>
            <w:vAlign w:val="center"/>
          </w:tcPr>
          <w:p w14:paraId="4A6895D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编号</w:t>
            </w:r>
          </w:p>
        </w:tc>
        <w:tc>
          <w:tcPr>
            <w:tcW w:w="581" w:type="pct"/>
            <w:shd w:val="clear" w:color="auto" w:fill="auto"/>
            <w:vAlign w:val="center"/>
          </w:tcPr>
          <w:p w14:paraId="557A4BD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名称</w:t>
            </w:r>
          </w:p>
        </w:tc>
        <w:tc>
          <w:tcPr>
            <w:tcW w:w="639" w:type="pct"/>
            <w:shd w:val="clear" w:color="auto" w:fill="auto"/>
            <w:vAlign w:val="center"/>
          </w:tcPr>
          <w:p w14:paraId="5F37270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规格（cm）</w:t>
            </w:r>
          </w:p>
        </w:tc>
        <w:tc>
          <w:tcPr>
            <w:tcW w:w="2035" w:type="pct"/>
            <w:shd w:val="clear" w:color="auto" w:fill="auto"/>
            <w:vAlign w:val="center"/>
          </w:tcPr>
          <w:p w14:paraId="437AFFD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材质及技术参数（参考）</w:t>
            </w:r>
          </w:p>
        </w:tc>
        <w:tc>
          <w:tcPr>
            <w:tcW w:w="284" w:type="pct"/>
            <w:shd w:val="clear" w:color="auto" w:fill="auto"/>
            <w:vAlign w:val="center"/>
          </w:tcPr>
          <w:p w14:paraId="39D92E2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单位</w:t>
            </w:r>
          </w:p>
        </w:tc>
        <w:tc>
          <w:tcPr>
            <w:tcW w:w="909" w:type="pct"/>
            <w:shd w:val="clear" w:color="auto" w:fill="auto"/>
            <w:vAlign w:val="center"/>
          </w:tcPr>
          <w:p w14:paraId="5EBFA32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图片（参考）</w:t>
            </w:r>
          </w:p>
        </w:tc>
        <w:tc>
          <w:tcPr>
            <w:tcW w:w="301" w:type="pct"/>
            <w:shd w:val="clear" w:color="auto" w:fill="auto"/>
            <w:vAlign w:val="center"/>
          </w:tcPr>
          <w:p w14:paraId="22731AE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数量</w:t>
            </w:r>
          </w:p>
        </w:tc>
      </w:tr>
      <w:tr w14:paraId="5B9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248" w:type="pct"/>
            <w:shd w:val="clear" w:color="auto" w:fill="auto"/>
            <w:noWrap/>
            <w:vAlign w:val="center"/>
          </w:tcPr>
          <w:p w14:paraId="2546118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581" w:type="pct"/>
            <w:shd w:val="clear" w:color="auto" w:fill="auto"/>
            <w:vAlign w:val="center"/>
          </w:tcPr>
          <w:p w14:paraId="31D8056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左左玩积木-科学（物理小秘密）</w:t>
            </w:r>
          </w:p>
        </w:tc>
        <w:tc>
          <w:tcPr>
            <w:tcW w:w="639" w:type="pct"/>
            <w:shd w:val="clear" w:color="auto" w:fill="auto"/>
            <w:vAlign w:val="center"/>
          </w:tcPr>
          <w:p w14:paraId="48FCBBA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56*54*70cm</w:t>
            </w:r>
          </w:p>
        </w:tc>
        <w:tc>
          <w:tcPr>
            <w:tcW w:w="2035" w:type="pct"/>
            <w:shd w:val="clear" w:color="auto" w:fill="auto"/>
            <w:vAlign w:val="center"/>
          </w:tcPr>
          <w:p w14:paraId="4ABA8298">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榉木。产品把日常生活中的物理现象以积木的形式呈现，有门球，地震，影子，搭桥造楼，滑梯，圆轮滚滚，摇马，惯性，碰撞，轨道产品配合左左科教动画片，二者搭配，让生活中的物理现象变得更加生动易懂，激发小朋友的日常探索的兴趣。</w:t>
            </w:r>
          </w:p>
        </w:tc>
        <w:tc>
          <w:tcPr>
            <w:tcW w:w="284" w:type="pct"/>
            <w:shd w:val="clear" w:color="auto" w:fill="auto"/>
            <w:vAlign w:val="center"/>
          </w:tcPr>
          <w:p w14:paraId="708CB82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909" w:type="pct"/>
            <w:shd w:val="clear" w:color="auto" w:fill="auto"/>
            <w:noWrap/>
            <w:vAlign w:val="center"/>
          </w:tcPr>
          <w:p w14:paraId="47B118D2">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13970</wp:posOffset>
                  </wp:positionH>
                  <wp:positionV relativeFrom="paragraph">
                    <wp:posOffset>44450</wp:posOffset>
                  </wp:positionV>
                  <wp:extent cx="869315" cy="1161415"/>
                  <wp:effectExtent l="0" t="0" r="6985" b="698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4"/>
                          <a:stretch>
                            <a:fillRect/>
                          </a:stretch>
                        </pic:blipFill>
                        <pic:spPr>
                          <a:xfrm>
                            <a:off x="0" y="0"/>
                            <a:ext cx="869315" cy="1161415"/>
                          </a:xfrm>
                          <a:prstGeom prst="rect">
                            <a:avLst/>
                          </a:prstGeom>
                          <a:noFill/>
                          <a:ln>
                            <a:noFill/>
                          </a:ln>
                        </pic:spPr>
                      </pic:pic>
                    </a:graphicData>
                  </a:graphic>
                </wp:anchor>
              </w:drawing>
            </w:r>
          </w:p>
        </w:tc>
        <w:tc>
          <w:tcPr>
            <w:tcW w:w="301" w:type="pct"/>
            <w:shd w:val="clear" w:color="auto" w:fill="auto"/>
            <w:noWrap/>
            <w:vAlign w:val="center"/>
          </w:tcPr>
          <w:p w14:paraId="4C587A1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4AAB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0" w:hRule="atLeast"/>
        </w:trPr>
        <w:tc>
          <w:tcPr>
            <w:tcW w:w="248" w:type="pct"/>
            <w:shd w:val="clear" w:color="auto" w:fill="auto"/>
            <w:noWrap/>
            <w:vAlign w:val="center"/>
          </w:tcPr>
          <w:p w14:paraId="6B7345F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581" w:type="pct"/>
            <w:shd w:val="clear" w:color="auto" w:fill="auto"/>
            <w:vAlign w:val="center"/>
          </w:tcPr>
          <w:p w14:paraId="60D042A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玩转棋世界</w:t>
            </w:r>
          </w:p>
        </w:tc>
        <w:tc>
          <w:tcPr>
            <w:tcW w:w="639" w:type="pct"/>
            <w:shd w:val="clear" w:color="auto" w:fill="auto"/>
            <w:vAlign w:val="center"/>
          </w:tcPr>
          <w:p w14:paraId="541A5537">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26*26*7cm(包装尺寸）</w:t>
            </w:r>
          </w:p>
        </w:tc>
        <w:tc>
          <w:tcPr>
            <w:tcW w:w="2035" w:type="pct"/>
            <w:shd w:val="clear" w:color="auto" w:fill="auto"/>
            <w:vAlign w:val="center"/>
          </w:tcPr>
          <w:p w14:paraId="54788682">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我们围绕二期课改“以幼儿发展为本”的教育理念，遵循“为健康奠基，为智慧启蒙”的课程理念，将幼儿园基础课程和特色活动互相融合，充分联系幼儿获得的主题经验，在主题的背景下，注重幼儿的年龄、学习特点，设计并优化了一系列别具风格的游戏棋。编撰了《玩转棋世界》一书，书中的游戏棋内容涉及了小中大24个主题，还包含了这些棋的创作思路、相关经验和玩法规则等。其中精选了小、中、大班15副棋做成产品。让幼儿在丰富多彩的游戏棋互动中，享受游戏棋的乐趣，感受游戏棋的魅力，力求“以棋激趣”、“以棋载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游戏棋适合广大幼儿教育工作者，可以作为幼儿学习与活动的材料，它能转化成有效支持幼儿五大领域学习的载体。也可以推荐给家长们参考选用，作为亲子互动游戏的物质保障。</w:t>
            </w:r>
          </w:p>
        </w:tc>
        <w:tc>
          <w:tcPr>
            <w:tcW w:w="284" w:type="pct"/>
            <w:shd w:val="clear" w:color="auto" w:fill="auto"/>
            <w:vAlign w:val="center"/>
          </w:tcPr>
          <w:p w14:paraId="2BD278BD">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套</w:t>
            </w:r>
          </w:p>
        </w:tc>
        <w:tc>
          <w:tcPr>
            <w:tcW w:w="909" w:type="pct"/>
            <w:shd w:val="clear" w:color="auto" w:fill="auto"/>
            <w:vAlign w:val="center"/>
          </w:tcPr>
          <w:p w14:paraId="6888691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-13970</wp:posOffset>
                  </wp:positionH>
                  <wp:positionV relativeFrom="paragraph">
                    <wp:posOffset>74295</wp:posOffset>
                  </wp:positionV>
                  <wp:extent cx="955040" cy="1553845"/>
                  <wp:effectExtent l="0" t="0" r="10160" b="8255"/>
                  <wp:wrapNone/>
                  <wp:docPr id="7" name="图片_2_SpCnt_1"/>
                  <wp:cNvGraphicFramePr/>
                  <a:graphic xmlns:a="http://schemas.openxmlformats.org/drawingml/2006/main">
                    <a:graphicData uri="http://schemas.openxmlformats.org/drawingml/2006/picture">
                      <pic:pic xmlns:pic="http://schemas.openxmlformats.org/drawingml/2006/picture">
                        <pic:nvPicPr>
                          <pic:cNvPr id="7" name="图片_2_SpCnt_1"/>
                          <pic:cNvPicPr/>
                        </pic:nvPicPr>
                        <pic:blipFill>
                          <a:blip r:embed="rId5"/>
                          <a:stretch>
                            <a:fillRect/>
                          </a:stretch>
                        </pic:blipFill>
                        <pic:spPr>
                          <a:xfrm>
                            <a:off x="0" y="0"/>
                            <a:ext cx="955040" cy="1553845"/>
                          </a:xfrm>
                          <a:prstGeom prst="rect">
                            <a:avLst/>
                          </a:prstGeom>
                          <a:noFill/>
                          <a:ln>
                            <a:noFill/>
                          </a:ln>
                        </pic:spPr>
                      </pic:pic>
                    </a:graphicData>
                  </a:graphic>
                </wp:anchor>
              </w:drawing>
            </w:r>
          </w:p>
        </w:tc>
        <w:tc>
          <w:tcPr>
            <w:tcW w:w="301" w:type="pct"/>
            <w:shd w:val="clear" w:color="auto" w:fill="auto"/>
            <w:vAlign w:val="center"/>
          </w:tcPr>
          <w:p w14:paraId="3029BE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0AF7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0" w:hRule="atLeast"/>
        </w:trPr>
        <w:tc>
          <w:tcPr>
            <w:tcW w:w="248" w:type="pct"/>
            <w:shd w:val="clear" w:color="auto" w:fill="auto"/>
            <w:noWrap/>
            <w:vAlign w:val="center"/>
          </w:tcPr>
          <w:p w14:paraId="65E05FC5">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581" w:type="pct"/>
            <w:shd w:val="clear" w:color="auto" w:fill="auto"/>
            <w:vAlign w:val="center"/>
          </w:tcPr>
          <w:p w14:paraId="57BFCED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双层大号手推餐车</w:t>
            </w:r>
          </w:p>
        </w:tc>
        <w:tc>
          <w:tcPr>
            <w:tcW w:w="639" w:type="pct"/>
            <w:shd w:val="clear" w:color="auto" w:fill="auto"/>
            <w:vAlign w:val="center"/>
          </w:tcPr>
          <w:p w14:paraId="3E3755B3">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1200*1100*600</w:t>
            </w:r>
          </w:p>
        </w:tc>
        <w:tc>
          <w:tcPr>
            <w:tcW w:w="2035" w:type="pct"/>
            <w:shd w:val="clear" w:color="auto" w:fill="auto"/>
            <w:vAlign w:val="center"/>
          </w:tcPr>
          <w:p w14:paraId="54DB27AE">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 xml:space="preserve">材质：采用304不锈钢材料，4面封闭，上面及正面双开门，内斗深60cm，4轮静音 </w:t>
            </w:r>
          </w:p>
        </w:tc>
        <w:tc>
          <w:tcPr>
            <w:tcW w:w="284" w:type="pct"/>
            <w:shd w:val="clear" w:color="auto" w:fill="auto"/>
            <w:noWrap/>
            <w:vAlign w:val="center"/>
          </w:tcPr>
          <w:p w14:paraId="395729F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件</w:t>
            </w:r>
          </w:p>
        </w:tc>
        <w:tc>
          <w:tcPr>
            <w:tcW w:w="909" w:type="pct"/>
            <w:shd w:val="clear" w:color="auto" w:fill="auto"/>
            <w:vAlign w:val="center"/>
          </w:tcPr>
          <w:p w14:paraId="0AE8E15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57785</wp:posOffset>
                  </wp:positionH>
                  <wp:positionV relativeFrom="paragraph">
                    <wp:posOffset>37465</wp:posOffset>
                  </wp:positionV>
                  <wp:extent cx="832485" cy="1229995"/>
                  <wp:effectExtent l="0" t="0" r="5715" b="1905"/>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6"/>
                          <a:stretch>
                            <a:fillRect/>
                          </a:stretch>
                        </pic:blipFill>
                        <pic:spPr>
                          <a:xfrm>
                            <a:off x="0" y="0"/>
                            <a:ext cx="832485" cy="1229995"/>
                          </a:xfrm>
                          <a:prstGeom prst="rect">
                            <a:avLst/>
                          </a:prstGeom>
                          <a:noFill/>
                          <a:ln>
                            <a:noFill/>
                          </a:ln>
                        </pic:spPr>
                      </pic:pic>
                    </a:graphicData>
                  </a:graphic>
                </wp:anchor>
              </w:drawing>
            </w:r>
          </w:p>
        </w:tc>
        <w:tc>
          <w:tcPr>
            <w:tcW w:w="301" w:type="pct"/>
            <w:shd w:val="clear" w:color="auto" w:fill="auto"/>
            <w:vAlign w:val="center"/>
          </w:tcPr>
          <w:p w14:paraId="547EF2C9">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r w14:paraId="0B68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48" w:type="pct"/>
            <w:shd w:val="clear" w:color="auto" w:fill="auto"/>
            <w:noWrap/>
            <w:vAlign w:val="center"/>
          </w:tcPr>
          <w:p w14:paraId="1F731E9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581" w:type="pct"/>
            <w:shd w:val="clear" w:color="auto" w:fill="auto"/>
            <w:vAlign w:val="center"/>
          </w:tcPr>
          <w:p w14:paraId="1ACF197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花梨木合成立柱</w:t>
            </w:r>
          </w:p>
        </w:tc>
        <w:tc>
          <w:tcPr>
            <w:tcW w:w="639" w:type="pct"/>
            <w:shd w:val="clear" w:color="auto" w:fill="auto"/>
            <w:vAlign w:val="center"/>
          </w:tcPr>
          <w:p w14:paraId="4F2A7A7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直径13cmx100cm</w:t>
            </w:r>
          </w:p>
        </w:tc>
        <w:tc>
          <w:tcPr>
            <w:tcW w:w="2035" w:type="pct"/>
            <w:shd w:val="clear" w:color="auto" w:fill="auto"/>
            <w:vAlign w:val="center"/>
          </w:tcPr>
          <w:p w14:paraId="0C945927">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花梨木，直径13cm，经过防腐防虫处理，木油浸泡，表面PU封固，面层钢化处理。内置8*8CM壁厚0.12CM的镀锌钢管。底座采用一次性铸铝，外径230mm，内径130mm，高度91mm，壁厚4mm，静电喷塑，耐用防锈，与螺栓配套使用，坚固可靠结实。底座有A接口可以地面膨胀螺丝连接，B接口可与立柱固定成一体，确保玩具安全稳固</w:t>
            </w:r>
          </w:p>
        </w:tc>
        <w:tc>
          <w:tcPr>
            <w:tcW w:w="284" w:type="pct"/>
            <w:shd w:val="clear" w:color="auto" w:fill="auto"/>
            <w:noWrap/>
            <w:vAlign w:val="center"/>
          </w:tcPr>
          <w:p w14:paraId="22BC2B8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件</w:t>
            </w:r>
          </w:p>
        </w:tc>
        <w:tc>
          <w:tcPr>
            <w:tcW w:w="909" w:type="pct"/>
            <w:shd w:val="clear" w:color="auto" w:fill="auto"/>
            <w:vAlign w:val="center"/>
          </w:tcPr>
          <w:p w14:paraId="2ED6F21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95250</wp:posOffset>
                  </wp:positionH>
                  <wp:positionV relativeFrom="paragraph">
                    <wp:posOffset>76835</wp:posOffset>
                  </wp:positionV>
                  <wp:extent cx="718820" cy="960755"/>
                  <wp:effectExtent l="0" t="0" r="5080" b="4445"/>
                  <wp:wrapNone/>
                  <wp:docPr id="9" name="图片_13"/>
                  <wp:cNvGraphicFramePr/>
                  <a:graphic xmlns:a="http://schemas.openxmlformats.org/drawingml/2006/main">
                    <a:graphicData uri="http://schemas.openxmlformats.org/drawingml/2006/picture">
                      <pic:pic xmlns:pic="http://schemas.openxmlformats.org/drawingml/2006/picture">
                        <pic:nvPicPr>
                          <pic:cNvPr id="9" name="图片_13"/>
                          <pic:cNvPicPr/>
                        </pic:nvPicPr>
                        <pic:blipFill>
                          <a:blip r:embed="rId7"/>
                          <a:stretch>
                            <a:fillRect/>
                          </a:stretch>
                        </pic:blipFill>
                        <pic:spPr>
                          <a:xfrm>
                            <a:off x="0" y="0"/>
                            <a:ext cx="718820" cy="960755"/>
                          </a:xfrm>
                          <a:prstGeom prst="rect">
                            <a:avLst/>
                          </a:prstGeom>
                          <a:noFill/>
                          <a:ln>
                            <a:noFill/>
                          </a:ln>
                        </pic:spPr>
                      </pic:pic>
                    </a:graphicData>
                  </a:graphic>
                </wp:anchor>
              </w:drawing>
            </w:r>
          </w:p>
        </w:tc>
        <w:tc>
          <w:tcPr>
            <w:tcW w:w="301" w:type="pct"/>
            <w:shd w:val="clear" w:color="auto" w:fill="auto"/>
            <w:vAlign w:val="center"/>
          </w:tcPr>
          <w:p w14:paraId="2669BED1">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r>
    </w:tbl>
    <w:p w14:paraId="19EB88EF">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hint="eastAsia" w:cs="Calibri"/>
          <w:bCs/>
          <w:color w:val="000000" w:themeColor="text1"/>
          <w:kern w:val="2"/>
          <w:sz w:val="21"/>
          <w:szCs w:val="22"/>
          <w14:textFill>
            <w14:solidFill>
              <w14:schemeClr w14:val="tx1"/>
            </w14:solidFill>
          </w14:textFill>
        </w:rPr>
        <w:t>2、须提供样品得要求：</w:t>
      </w:r>
    </w:p>
    <w:p w14:paraId="31A58330">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cs="Calibri"/>
          <w:bCs/>
          <w:color w:val="000000" w:themeColor="text1"/>
          <w:kern w:val="2"/>
          <w:sz w:val="21"/>
          <w:szCs w:val="22"/>
          <w14:textFill>
            <w14:solidFill>
              <w14:schemeClr w14:val="tx1"/>
            </w14:solidFill>
          </w14:textFill>
        </w:rPr>
        <w:t>（</w:t>
      </w:r>
      <w:r>
        <w:rPr>
          <w:rFonts w:hint="eastAsia" w:cs="Calibri"/>
          <w:bCs/>
          <w:color w:val="000000" w:themeColor="text1"/>
          <w:kern w:val="2"/>
          <w:sz w:val="21"/>
          <w:szCs w:val="22"/>
          <w14:textFill>
            <w14:solidFill>
              <w14:schemeClr w14:val="tx1"/>
            </w14:solidFill>
          </w14:textFill>
        </w:rPr>
        <w:t>1</w:t>
      </w:r>
      <w:r>
        <w:rPr>
          <w:rFonts w:cs="Calibri"/>
          <w:bCs/>
          <w:color w:val="000000" w:themeColor="text1"/>
          <w:kern w:val="2"/>
          <w:sz w:val="21"/>
          <w:szCs w:val="22"/>
          <w14:textFill>
            <w14:solidFill>
              <w14:schemeClr w14:val="tx1"/>
            </w14:solidFill>
          </w14:textFill>
        </w:rPr>
        <w:t>）</w:t>
      </w:r>
      <w:r>
        <w:rPr>
          <w:rFonts w:hint="eastAsia" w:cs="Calibri"/>
          <w:bCs/>
          <w:color w:val="000000" w:themeColor="text1"/>
          <w:kern w:val="2"/>
          <w:sz w:val="21"/>
          <w:szCs w:val="22"/>
          <w14:textFill>
            <w14:solidFill>
              <w14:schemeClr w14:val="tx1"/>
            </w14:solidFill>
          </w14:textFill>
        </w:rPr>
        <w:t>投标单位应在指定时间内提供与投标规格参数一致的样品；</w:t>
      </w:r>
    </w:p>
    <w:p w14:paraId="2E88296F">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cs="Calibri"/>
          <w:bCs/>
          <w:color w:val="000000" w:themeColor="text1"/>
          <w:kern w:val="2"/>
          <w:sz w:val="21"/>
          <w:szCs w:val="22"/>
          <w14:textFill>
            <w14:solidFill>
              <w14:schemeClr w14:val="tx1"/>
            </w14:solidFill>
          </w14:textFill>
        </w:rPr>
        <w:t>（</w:t>
      </w:r>
      <w:r>
        <w:rPr>
          <w:rFonts w:hint="eastAsia" w:cs="Calibri"/>
          <w:bCs/>
          <w:color w:val="000000" w:themeColor="text1"/>
          <w:kern w:val="2"/>
          <w:sz w:val="21"/>
          <w:szCs w:val="22"/>
          <w14:textFill>
            <w14:solidFill>
              <w14:schemeClr w14:val="tx1"/>
            </w14:solidFill>
          </w14:textFill>
        </w:rPr>
        <w:t>2</w:t>
      </w:r>
      <w:r>
        <w:rPr>
          <w:rFonts w:cs="Calibri"/>
          <w:bCs/>
          <w:color w:val="000000" w:themeColor="text1"/>
          <w:kern w:val="2"/>
          <w:sz w:val="21"/>
          <w:szCs w:val="22"/>
          <w14:textFill>
            <w14:solidFill>
              <w14:schemeClr w14:val="tx1"/>
            </w14:solidFill>
          </w14:textFill>
        </w:rPr>
        <w:t>）样品需在明显位置标明设备的名称及投标单位，未对样品进行标识或标识不清的，样品将被拒收；</w:t>
      </w:r>
    </w:p>
    <w:p w14:paraId="5079EF70">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cs="Calibri"/>
          <w:bCs/>
          <w:color w:val="000000" w:themeColor="text1"/>
          <w:kern w:val="2"/>
          <w:sz w:val="21"/>
          <w:szCs w:val="22"/>
          <w14:textFill>
            <w14:solidFill>
              <w14:schemeClr w14:val="tx1"/>
            </w14:solidFill>
          </w14:textFill>
        </w:rPr>
        <w:t>（</w:t>
      </w:r>
      <w:r>
        <w:rPr>
          <w:rFonts w:hint="eastAsia" w:cs="Calibri"/>
          <w:bCs/>
          <w:color w:val="000000" w:themeColor="text1"/>
          <w:kern w:val="2"/>
          <w:sz w:val="21"/>
          <w:szCs w:val="22"/>
          <w14:textFill>
            <w14:solidFill>
              <w14:schemeClr w14:val="tx1"/>
            </w14:solidFill>
          </w14:textFill>
        </w:rPr>
        <w:t>3</w:t>
      </w:r>
      <w:r>
        <w:rPr>
          <w:rFonts w:cs="Calibri"/>
          <w:bCs/>
          <w:color w:val="000000" w:themeColor="text1"/>
          <w:kern w:val="2"/>
          <w:sz w:val="21"/>
          <w:szCs w:val="22"/>
          <w14:textFill>
            <w14:solidFill>
              <w14:schemeClr w14:val="tx1"/>
            </w14:solidFill>
          </w14:textFill>
        </w:rPr>
        <w:t>）最终中标单位的样品将被封存，以供批量验收时对比。</w:t>
      </w:r>
    </w:p>
    <w:p w14:paraId="12BD5604">
      <w:pPr>
        <w:pStyle w:val="4"/>
        <w:spacing w:before="0" w:beforeAutospacing="0" w:after="0" w:afterAutospacing="0" w:line="360" w:lineRule="auto"/>
        <w:ind w:firstLine="420"/>
        <w:rPr>
          <w:rFonts w:cs="Calibri"/>
          <w:bCs/>
          <w:color w:val="000000" w:themeColor="text1"/>
          <w:kern w:val="2"/>
          <w:sz w:val="21"/>
          <w:szCs w:val="22"/>
          <w:highlight w:val="yellow"/>
          <w14:textFill>
            <w14:solidFill>
              <w14:schemeClr w14:val="tx1"/>
            </w14:solidFill>
          </w14:textFill>
        </w:rPr>
      </w:pPr>
      <w:r>
        <w:rPr>
          <w:rFonts w:cs="Calibri"/>
          <w:bCs/>
          <w:color w:val="000000" w:themeColor="text1"/>
          <w:kern w:val="2"/>
          <w:sz w:val="21"/>
          <w:szCs w:val="22"/>
          <w:highlight w:val="none"/>
          <w14:textFill>
            <w14:solidFill>
              <w14:schemeClr w14:val="tx1"/>
            </w14:solidFill>
          </w14:textFill>
        </w:rPr>
        <w:t>3</w:t>
      </w:r>
      <w:r>
        <w:rPr>
          <w:rFonts w:hint="eastAsia" w:cs="Calibri"/>
          <w:bCs/>
          <w:color w:val="000000" w:themeColor="text1"/>
          <w:kern w:val="2"/>
          <w:sz w:val="21"/>
          <w:szCs w:val="22"/>
          <w:highlight w:val="none"/>
          <w14:textFill>
            <w14:solidFill>
              <w14:schemeClr w14:val="tx1"/>
            </w14:solidFill>
          </w14:textFill>
        </w:rPr>
        <w:t>、考虑开标当天的搬运情况，样品请于</w:t>
      </w:r>
      <w:r>
        <w:rPr>
          <w:rFonts w:hint="eastAsia" w:cs="Calibri"/>
          <w:b/>
          <w:bCs/>
          <w:color w:val="000000" w:themeColor="text1"/>
          <w:kern w:val="2"/>
          <w:sz w:val="21"/>
          <w:szCs w:val="22"/>
          <w:highlight w:val="none"/>
          <w14:textFill>
            <w14:solidFill>
              <w14:schemeClr w14:val="tx1"/>
            </w14:solidFill>
          </w14:textFill>
        </w:rPr>
        <w:t>2</w:t>
      </w:r>
      <w:r>
        <w:rPr>
          <w:rFonts w:cs="Calibri"/>
          <w:b/>
          <w:bCs/>
          <w:color w:val="000000" w:themeColor="text1"/>
          <w:kern w:val="2"/>
          <w:sz w:val="21"/>
          <w:szCs w:val="22"/>
          <w:highlight w:val="none"/>
          <w14:textFill>
            <w14:solidFill>
              <w14:schemeClr w14:val="tx1"/>
            </w14:solidFill>
          </w14:textFill>
        </w:rPr>
        <w:t>02</w:t>
      </w:r>
      <w:r>
        <w:rPr>
          <w:rFonts w:hint="eastAsia" w:cs="Calibri"/>
          <w:b/>
          <w:bCs/>
          <w:color w:val="000000" w:themeColor="text1"/>
          <w:kern w:val="2"/>
          <w:sz w:val="21"/>
          <w:szCs w:val="22"/>
          <w:highlight w:val="none"/>
          <w:lang w:val="en-US" w:eastAsia="zh-CN"/>
          <w14:textFill>
            <w14:solidFill>
              <w14:schemeClr w14:val="tx1"/>
            </w14:solidFill>
          </w14:textFill>
        </w:rPr>
        <w:t>5</w:t>
      </w:r>
      <w:r>
        <w:rPr>
          <w:rFonts w:cs="Calibri"/>
          <w:b/>
          <w:bCs/>
          <w:color w:val="000000" w:themeColor="text1"/>
          <w:kern w:val="2"/>
          <w:sz w:val="21"/>
          <w:szCs w:val="22"/>
          <w:highlight w:val="none"/>
          <w14:textFill>
            <w14:solidFill>
              <w14:schemeClr w14:val="tx1"/>
            </w14:solidFill>
          </w14:textFill>
        </w:rPr>
        <w:t>年</w:t>
      </w:r>
      <w:bookmarkStart w:id="0" w:name="_GoBack"/>
      <w:bookmarkEnd w:id="0"/>
      <w:r>
        <w:rPr>
          <w:rFonts w:hint="eastAsia" w:cs="Calibri"/>
          <w:b/>
          <w:bCs/>
          <w:color w:val="000000" w:themeColor="text1"/>
          <w:kern w:val="2"/>
          <w:sz w:val="21"/>
          <w:szCs w:val="22"/>
          <w:highlight w:val="none"/>
          <w:lang w:val="en-US" w:eastAsia="zh-CN"/>
          <w14:textFill>
            <w14:solidFill>
              <w14:schemeClr w14:val="tx1"/>
            </w14:solidFill>
          </w14:textFill>
        </w:rPr>
        <w:t>8</w:t>
      </w:r>
      <w:r>
        <w:rPr>
          <w:rFonts w:cs="Calibri"/>
          <w:b/>
          <w:bCs/>
          <w:color w:val="000000" w:themeColor="text1"/>
          <w:kern w:val="2"/>
          <w:sz w:val="21"/>
          <w:szCs w:val="22"/>
          <w:highlight w:val="none"/>
          <w14:textFill>
            <w14:solidFill>
              <w14:schemeClr w14:val="tx1"/>
            </w14:solidFill>
          </w14:textFill>
        </w:rPr>
        <w:t>月</w:t>
      </w:r>
      <w:r>
        <w:rPr>
          <w:rFonts w:hint="eastAsia" w:cs="Calibri"/>
          <w:b/>
          <w:bCs/>
          <w:color w:val="000000" w:themeColor="text1"/>
          <w:kern w:val="2"/>
          <w:sz w:val="21"/>
          <w:szCs w:val="22"/>
          <w:highlight w:val="none"/>
          <w:lang w:val="en-US" w:eastAsia="zh-CN"/>
          <w14:textFill>
            <w14:solidFill>
              <w14:schemeClr w14:val="tx1"/>
            </w14:solidFill>
          </w14:textFill>
        </w:rPr>
        <w:t>4</w:t>
      </w:r>
      <w:r>
        <w:rPr>
          <w:rFonts w:cs="Calibri"/>
          <w:b/>
          <w:bCs/>
          <w:color w:val="000000" w:themeColor="text1"/>
          <w:kern w:val="2"/>
          <w:sz w:val="21"/>
          <w:szCs w:val="22"/>
          <w:highlight w:val="none"/>
          <w14:textFill>
            <w14:solidFill>
              <w14:schemeClr w14:val="tx1"/>
            </w14:solidFill>
          </w14:textFill>
        </w:rPr>
        <w:t>日</w:t>
      </w:r>
      <w:r>
        <w:rPr>
          <w:rFonts w:hint="eastAsia" w:cs="Calibri"/>
          <w:b/>
          <w:bCs/>
          <w:color w:val="000000" w:themeColor="text1"/>
          <w:kern w:val="2"/>
          <w:sz w:val="21"/>
          <w:szCs w:val="22"/>
          <w:highlight w:val="none"/>
          <w:lang w:val="en-US" w:eastAsia="zh-CN"/>
          <w14:textFill>
            <w14:solidFill>
              <w14:schemeClr w14:val="tx1"/>
            </w14:solidFill>
          </w14:textFill>
        </w:rPr>
        <w:t xml:space="preserve"> 下</w:t>
      </w:r>
      <w:r>
        <w:rPr>
          <w:rFonts w:cs="Calibri"/>
          <w:b/>
          <w:bCs/>
          <w:color w:val="000000" w:themeColor="text1"/>
          <w:kern w:val="2"/>
          <w:sz w:val="21"/>
          <w:szCs w:val="22"/>
          <w:highlight w:val="none"/>
          <w14:textFill>
            <w14:solidFill>
              <w14:schemeClr w14:val="tx1"/>
            </w14:solidFill>
          </w14:textFill>
        </w:rPr>
        <w:t>午</w:t>
      </w:r>
      <w:r>
        <w:rPr>
          <w:rFonts w:hint="eastAsia" w:cs="Calibri"/>
          <w:b/>
          <w:bCs/>
          <w:color w:val="000000" w:themeColor="text1"/>
          <w:kern w:val="2"/>
          <w:sz w:val="21"/>
          <w:szCs w:val="22"/>
          <w:highlight w:val="none"/>
          <w:lang w:val="en-US" w:eastAsia="zh-CN"/>
          <w14:textFill>
            <w14:solidFill>
              <w14:schemeClr w14:val="tx1"/>
            </w14:solidFill>
          </w14:textFill>
        </w:rPr>
        <w:t>13：00-15:00 或</w:t>
      </w:r>
      <w:r>
        <w:rPr>
          <w:rFonts w:hint="eastAsia" w:cs="Calibri"/>
          <w:b/>
          <w:bCs/>
          <w:color w:val="000000" w:themeColor="text1"/>
          <w:kern w:val="2"/>
          <w:sz w:val="21"/>
          <w:szCs w:val="22"/>
          <w:highlight w:val="none"/>
          <w14:textFill>
            <w14:solidFill>
              <w14:schemeClr w14:val="tx1"/>
            </w14:solidFill>
          </w14:textFill>
        </w:rPr>
        <w:t>2</w:t>
      </w:r>
      <w:r>
        <w:rPr>
          <w:rFonts w:cs="Calibri"/>
          <w:b/>
          <w:bCs/>
          <w:color w:val="000000" w:themeColor="text1"/>
          <w:kern w:val="2"/>
          <w:sz w:val="21"/>
          <w:szCs w:val="22"/>
          <w:highlight w:val="none"/>
          <w14:textFill>
            <w14:solidFill>
              <w14:schemeClr w14:val="tx1"/>
            </w14:solidFill>
          </w14:textFill>
        </w:rPr>
        <w:t>02</w:t>
      </w:r>
      <w:r>
        <w:rPr>
          <w:rFonts w:hint="eastAsia" w:cs="Calibri"/>
          <w:b/>
          <w:bCs/>
          <w:color w:val="000000" w:themeColor="text1"/>
          <w:kern w:val="2"/>
          <w:sz w:val="21"/>
          <w:szCs w:val="22"/>
          <w:highlight w:val="none"/>
          <w:lang w:val="en-US" w:eastAsia="zh-CN"/>
          <w14:textFill>
            <w14:solidFill>
              <w14:schemeClr w14:val="tx1"/>
            </w14:solidFill>
          </w14:textFill>
        </w:rPr>
        <w:t>5</w:t>
      </w:r>
      <w:r>
        <w:rPr>
          <w:rFonts w:cs="Calibri"/>
          <w:b/>
          <w:bCs/>
          <w:color w:val="000000" w:themeColor="text1"/>
          <w:kern w:val="2"/>
          <w:sz w:val="21"/>
          <w:szCs w:val="22"/>
          <w:highlight w:val="none"/>
          <w14:textFill>
            <w14:solidFill>
              <w14:schemeClr w14:val="tx1"/>
            </w14:solidFill>
          </w14:textFill>
        </w:rPr>
        <w:t>年</w:t>
      </w:r>
      <w:r>
        <w:rPr>
          <w:rFonts w:hint="eastAsia" w:cs="Calibri"/>
          <w:b/>
          <w:bCs/>
          <w:color w:val="000000" w:themeColor="text1"/>
          <w:kern w:val="2"/>
          <w:sz w:val="21"/>
          <w:szCs w:val="22"/>
          <w:highlight w:val="none"/>
          <w:lang w:val="en-US" w:eastAsia="zh-CN"/>
          <w14:textFill>
            <w14:solidFill>
              <w14:schemeClr w14:val="tx1"/>
            </w14:solidFill>
          </w14:textFill>
        </w:rPr>
        <w:t>8</w:t>
      </w:r>
      <w:r>
        <w:rPr>
          <w:rFonts w:cs="Calibri"/>
          <w:b/>
          <w:bCs/>
          <w:color w:val="000000" w:themeColor="text1"/>
          <w:kern w:val="2"/>
          <w:sz w:val="21"/>
          <w:szCs w:val="22"/>
          <w:highlight w:val="none"/>
          <w14:textFill>
            <w14:solidFill>
              <w14:schemeClr w14:val="tx1"/>
            </w14:solidFill>
          </w14:textFill>
        </w:rPr>
        <w:t>月</w:t>
      </w:r>
      <w:r>
        <w:rPr>
          <w:rFonts w:hint="eastAsia" w:cs="Calibri"/>
          <w:b/>
          <w:bCs/>
          <w:color w:val="000000" w:themeColor="text1"/>
          <w:kern w:val="2"/>
          <w:sz w:val="21"/>
          <w:szCs w:val="22"/>
          <w:highlight w:val="none"/>
          <w:lang w:val="en-US" w:eastAsia="zh-CN"/>
          <w14:textFill>
            <w14:solidFill>
              <w14:schemeClr w14:val="tx1"/>
            </w14:solidFill>
          </w14:textFill>
        </w:rPr>
        <w:t>5</w:t>
      </w:r>
      <w:r>
        <w:rPr>
          <w:rFonts w:cs="Calibri"/>
          <w:b/>
          <w:bCs/>
          <w:color w:val="000000" w:themeColor="text1"/>
          <w:kern w:val="2"/>
          <w:sz w:val="21"/>
          <w:szCs w:val="22"/>
          <w:highlight w:val="none"/>
          <w14:textFill>
            <w14:solidFill>
              <w14:schemeClr w14:val="tx1"/>
            </w14:solidFill>
          </w14:textFill>
        </w:rPr>
        <w:t>日</w:t>
      </w:r>
      <w:r>
        <w:rPr>
          <w:rFonts w:hint="eastAsia" w:cs="Calibri"/>
          <w:b/>
          <w:bCs/>
          <w:color w:val="000000" w:themeColor="text1"/>
          <w:kern w:val="2"/>
          <w:sz w:val="21"/>
          <w:szCs w:val="22"/>
          <w:highlight w:val="none"/>
          <w:lang w:val="en-US" w:eastAsia="zh-CN"/>
          <w14:textFill>
            <w14:solidFill>
              <w14:schemeClr w14:val="tx1"/>
            </w14:solidFill>
          </w14:textFill>
        </w:rPr>
        <w:t>上午09:00-11:00</w:t>
      </w:r>
      <w:r>
        <w:rPr>
          <w:rFonts w:hint="eastAsia" w:cs="Calibri"/>
          <w:bCs/>
          <w:color w:val="000000" w:themeColor="text1"/>
          <w:kern w:val="2"/>
          <w:sz w:val="21"/>
          <w:szCs w:val="22"/>
          <w:highlight w:val="none"/>
          <w14:textFill>
            <w14:solidFill>
              <w14:schemeClr w14:val="tx1"/>
            </w14:solidFill>
          </w14:textFill>
        </w:rPr>
        <w:t>，送至</w:t>
      </w:r>
      <w:r>
        <w:rPr>
          <w:rFonts w:hint="eastAsia" w:cs="Calibri"/>
          <w:b/>
          <w:bCs w:val="0"/>
          <w:color w:val="000000" w:themeColor="text1"/>
          <w:kern w:val="2"/>
          <w:sz w:val="21"/>
          <w:szCs w:val="22"/>
          <w:highlight w:val="none"/>
          <w14:textFill>
            <w14:solidFill>
              <w14:schemeClr w14:val="tx1"/>
            </w14:solidFill>
          </w14:textFill>
        </w:rPr>
        <w:t>长宁区天山支路201号长宁科技大楼315室</w:t>
      </w:r>
      <w:r>
        <w:rPr>
          <w:rFonts w:hint="eastAsia" w:cs="Calibri"/>
          <w:bCs/>
          <w:color w:val="000000" w:themeColor="text1"/>
          <w:kern w:val="2"/>
          <w:sz w:val="21"/>
          <w:szCs w:val="22"/>
          <w:highlight w:val="none"/>
          <w14:textFill>
            <w14:solidFill>
              <w14:schemeClr w14:val="tx1"/>
            </w14:solidFill>
          </w14:textFill>
        </w:rPr>
        <w:t>，迟于该时间送达的，样品将被拒收，其在评分办法中样品得0分。送样联系人：尹老师 54253318*870</w:t>
      </w:r>
      <w:r>
        <w:rPr>
          <w:rFonts w:cs="Calibri"/>
          <w:bCs/>
          <w:color w:val="000000" w:themeColor="text1"/>
          <w:kern w:val="2"/>
          <w:sz w:val="21"/>
          <w:szCs w:val="22"/>
          <w:highlight w:val="none"/>
          <w14:textFill>
            <w14:solidFill>
              <w14:schemeClr w14:val="tx1"/>
            </w14:solidFill>
          </w14:textFill>
        </w:rPr>
        <w:t>。</w:t>
      </w:r>
    </w:p>
    <w:p w14:paraId="5C3EDE82">
      <w:pPr>
        <w:pStyle w:val="4"/>
        <w:numPr>
          <w:ilvl w:val="0"/>
          <w:numId w:val="0"/>
        </w:numPr>
        <w:spacing w:before="0" w:beforeAutospacing="0" w:after="0" w:afterAutospacing="0" w:line="360" w:lineRule="auto"/>
        <w:ind w:leftChars="0" w:firstLine="420" w:firstLineChars="0"/>
        <w:rPr>
          <w:rFonts w:hint="default" w:cs="Calibri"/>
          <w:b/>
          <w:bCs/>
          <w:color w:val="000000" w:themeColor="text1"/>
          <w:kern w:val="2"/>
          <w:sz w:val="21"/>
          <w:szCs w:val="22"/>
          <w:highlight w:val="none"/>
          <w:lang w:val="en-US" w:eastAsia="zh-CN"/>
          <w14:textFill>
            <w14:solidFill>
              <w14:schemeClr w14:val="tx1"/>
            </w14:solidFill>
          </w14:textFill>
        </w:rPr>
      </w:pPr>
    </w:p>
    <w:p w14:paraId="54A23064">
      <w:pPr>
        <w:pStyle w:val="4"/>
        <w:numPr>
          <w:ilvl w:val="0"/>
          <w:numId w:val="0"/>
        </w:numPr>
        <w:spacing w:before="0" w:beforeAutospacing="0" w:after="0" w:afterAutospacing="0" w:line="360" w:lineRule="auto"/>
        <w:ind w:leftChars="0"/>
        <w:rPr>
          <w:rFonts w:hint="eastAsia" w:cs="Calibri"/>
          <w:b/>
          <w:bCs/>
          <w:color w:val="000000" w:themeColor="text1"/>
          <w:kern w:val="2"/>
          <w:sz w:val="21"/>
          <w:szCs w:val="22"/>
          <w:highlight w:val="none"/>
          <w:lang w:val="en-US" w:eastAsia="zh-CN"/>
          <w14:textFill>
            <w14:solidFill>
              <w14:schemeClr w14:val="tx1"/>
            </w14:solidFill>
          </w14:textFill>
        </w:rPr>
      </w:pPr>
      <w:r>
        <w:rPr>
          <w:rFonts w:hint="eastAsia" w:cs="Calibri"/>
          <w:b/>
          <w:bCs/>
          <w:color w:val="000000" w:themeColor="text1"/>
          <w:kern w:val="2"/>
          <w:sz w:val="21"/>
          <w:szCs w:val="22"/>
          <w:highlight w:val="none"/>
          <w:lang w:val="en-US" w:eastAsia="zh-CN"/>
          <w14:textFill>
            <w14:solidFill>
              <w14:schemeClr w14:val="tx1"/>
            </w14:solidFill>
          </w14:textFill>
        </w:rPr>
        <w:t xml:space="preserve">二、报价要求   </w:t>
      </w:r>
    </w:p>
    <w:p w14:paraId="48822AC1">
      <w:pPr>
        <w:pStyle w:val="4"/>
        <w:spacing w:before="0" w:beforeAutospacing="0" w:after="0" w:afterAutospacing="0" w:line="360" w:lineRule="auto"/>
        <w:ind w:firstLine="420"/>
        <w:rPr>
          <w:rFonts w:cs="Calibri"/>
          <w:bCs/>
          <w:color w:val="000000" w:themeColor="text1"/>
          <w:kern w:val="2"/>
          <w:sz w:val="21"/>
          <w:szCs w:val="22"/>
          <w:highlight w:val="none"/>
          <w14:textFill>
            <w14:solidFill>
              <w14:schemeClr w14:val="tx1"/>
            </w14:solidFill>
          </w14:textFill>
        </w:rPr>
      </w:pPr>
      <w:r>
        <w:rPr>
          <w:rFonts w:hint="eastAsia" w:cs="Calibri"/>
          <w:bCs/>
          <w:color w:val="000000" w:themeColor="text1"/>
          <w:kern w:val="2"/>
          <w:sz w:val="21"/>
          <w:szCs w:val="22"/>
          <w:highlight w:val="none"/>
          <w14:textFill>
            <w14:solidFill>
              <w14:schemeClr w14:val="tx1"/>
            </w14:solidFill>
          </w14:textFill>
        </w:rPr>
        <w:t>报价的组成：总价为货物送达采购人指定地点、经采购人验收合格并交付使用的所有可能发生的费用，包括：货物（含设备、配件、辅助材料）生产供应、保管、运输、保险费、产品检验检测、拆卸、搬运、安装、调试、人员培训、税收、售后服务。</w:t>
      </w:r>
    </w:p>
    <w:p w14:paraId="12E5A740">
      <w:pPr>
        <w:pStyle w:val="4"/>
        <w:spacing w:before="0" w:beforeAutospacing="0" w:after="0" w:afterAutospacing="0" w:line="360" w:lineRule="auto"/>
        <w:rPr>
          <w:rFonts w:hint="eastAsia" w:cs="Calibri"/>
          <w:b/>
          <w:bCs/>
          <w:color w:val="000000" w:themeColor="text1"/>
          <w:kern w:val="2"/>
          <w:sz w:val="21"/>
          <w:szCs w:val="22"/>
          <w:highlight w:val="none"/>
          <w:lang w:val="en-US" w:eastAsia="zh-CN"/>
          <w14:textFill>
            <w14:solidFill>
              <w14:schemeClr w14:val="tx1"/>
            </w14:solidFill>
          </w14:textFill>
        </w:rPr>
      </w:pPr>
    </w:p>
    <w:p w14:paraId="4252BB05">
      <w:pPr>
        <w:pStyle w:val="4"/>
        <w:spacing w:before="0" w:beforeAutospacing="0" w:after="0" w:afterAutospacing="0" w:line="360" w:lineRule="auto"/>
        <w:rPr>
          <w:rFonts w:cs="Calibri"/>
          <w:b/>
          <w:bCs/>
          <w:color w:val="000000" w:themeColor="text1"/>
          <w:kern w:val="2"/>
          <w:sz w:val="21"/>
          <w:szCs w:val="22"/>
          <w:highlight w:val="none"/>
          <w14:textFill>
            <w14:solidFill>
              <w14:schemeClr w14:val="tx1"/>
            </w14:solidFill>
          </w14:textFill>
        </w:rPr>
      </w:pPr>
      <w:r>
        <w:rPr>
          <w:rFonts w:hint="eastAsia" w:cs="Calibri"/>
          <w:b/>
          <w:bCs/>
          <w:color w:val="000000" w:themeColor="text1"/>
          <w:kern w:val="2"/>
          <w:sz w:val="21"/>
          <w:szCs w:val="22"/>
          <w:highlight w:val="none"/>
          <w:lang w:val="en-US" w:eastAsia="zh-CN"/>
          <w14:textFill>
            <w14:solidFill>
              <w14:schemeClr w14:val="tx1"/>
            </w14:solidFill>
          </w14:textFill>
        </w:rPr>
        <w:t>三、</w:t>
      </w:r>
      <w:r>
        <w:rPr>
          <w:rFonts w:hint="eastAsia" w:cs="Calibri"/>
          <w:b/>
          <w:bCs/>
          <w:color w:val="000000" w:themeColor="text1"/>
          <w:kern w:val="2"/>
          <w:sz w:val="21"/>
          <w:szCs w:val="22"/>
          <w:highlight w:val="none"/>
          <w14:textFill>
            <w14:solidFill>
              <w14:schemeClr w14:val="tx1"/>
            </w14:solidFill>
          </w14:textFill>
        </w:rPr>
        <w:t>检测报告</w:t>
      </w:r>
      <w:r>
        <w:rPr>
          <w:rFonts w:cs="Calibri"/>
          <w:b/>
          <w:bCs/>
          <w:color w:val="000000" w:themeColor="text1"/>
          <w:kern w:val="2"/>
          <w:sz w:val="21"/>
          <w:szCs w:val="22"/>
          <w:highlight w:val="none"/>
          <w14:textFill>
            <w14:solidFill>
              <w14:schemeClr w14:val="tx1"/>
            </w14:solidFill>
          </w14:textFill>
        </w:rPr>
        <w:t>要求</w:t>
      </w:r>
      <w:r>
        <w:rPr>
          <w:rFonts w:hint="eastAsia" w:cs="Calibri"/>
          <w:b/>
          <w:bCs/>
          <w:color w:val="000000" w:themeColor="text1"/>
          <w:kern w:val="2"/>
          <w:sz w:val="21"/>
          <w:szCs w:val="22"/>
          <w:highlight w:val="none"/>
          <w14:textFill>
            <w14:solidFill>
              <w14:schemeClr w14:val="tx1"/>
            </w14:solidFill>
          </w14:textFill>
        </w:rPr>
        <w:t xml:space="preserve">  </w:t>
      </w:r>
    </w:p>
    <w:p w14:paraId="35C77992">
      <w:pPr>
        <w:pStyle w:val="4"/>
        <w:spacing w:before="0" w:beforeAutospacing="0" w:after="0" w:afterAutospacing="0" w:line="360" w:lineRule="auto"/>
        <w:ind w:firstLine="420"/>
        <w:rPr>
          <w:rFonts w:cs="Calibri"/>
          <w:b/>
          <w:bCs/>
          <w:color w:val="000000" w:themeColor="text1"/>
          <w:kern w:val="2"/>
          <w:sz w:val="21"/>
          <w:szCs w:val="22"/>
          <w:highlight w:val="none"/>
          <w14:textFill>
            <w14:solidFill>
              <w14:schemeClr w14:val="tx1"/>
            </w14:solidFill>
          </w14:textFill>
        </w:rPr>
      </w:pPr>
      <w:r>
        <w:rPr>
          <w:rFonts w:cs="Calibri"/>
          <w:b/>
          <w:bCs/>
          <w:color w:val="000000" w:themeColor="text1"/>
          <w:kern w:val="2"/>
          <w:sz w:val="21"/>
          <w:szCs w:val="22"/>
          <w:highlight w:val="none"/>
          <w14:textFill>
            <w14:solidFill>
              <w14:schemeClr w14:val="tx1"/>
            </w14:solidFill>
          </w14:textFill>
        </w:rPr>
        <w:t>投标单位须提供以下原材料及成品检测报告（检测报告由省市级或以上检测机构出具）</w:t>
      </w:r>
    </w:p>
    <w:p w14:paraId="7F9775E1">
      <w:pPr>
        <w:pStyle w:val="4"/>
        <w:spacing w:before="0" w:beforeAutospacing="0" w:after="0" w:afterAutospacing="0" w:line="360" w:lineRule="auto"/>
        <w:ind w:firstLine="420"/>
        <w:rPr>
          <w:rFonts w:cs="Calibri"/>
          <w:b w:val="0"/>
          <w:bCs w:val="0"/>
          <w:color w:val="000000" w:themeColor="text1"/>
          <w:kern w:val="2"/>
          <w:sz w:val="21"/>
          <w:szCs w:val="22"/>
          <w:highlight w:val="none"/>
          <w14:textFill>
            <w14:solidFill>
              <w14:schemeClr w14:val="tx1"/>
            </w14:solidFill>
          </w14:textFill>
        </w:rPr>
      </w:pPr>
      <w:r>
        <w:rPr>
          <w:rFonts w:hint="eastAsia" w:cs="Calibri"/>
          <w:b w:val="0"/>
          <w:bCs w:val="0"/>
          <w:color w:val="000000" w:themeColor="text1"/>
          <w:kern w:val="2"/>
          <w:sz w:val="21"/>
          <w:szCs w:val="22"/>
          <w:highlight w:val="none"/>
          <w14:textFill>
            <w14:solidFill>
              <w14:schemeClr w14:val="tx1"/>
            </w14:solidFill>
          </w14:textFill>
        </w:rPr>
        <w:t>所有原材料及成品须符合GB6675-2014《玩具安全》对于特定元素迁移的最大限量，其可迁移元素锑≤60mg/kg、砷≤25mg/kg、钡≤1000mg/kg、镉≤75mg/kg、铬≤60mg/kg、铅≤90mg/kg、汞≤60mg/kg、硒≤500mg/kg。</w:t>
      </w:r>
      <w:r>
        <w:rPr>
          <w:rFonts w:cs="Calibri"/>
          <w:b w:val="0"/>
          <w:bCs w:val="0"/>
          <w:color w:val="000000" w:themeColor="text1"/>
          <w:kern w:val="2"/>
          <w:sz w:val="21"/>
          <w:szCs w:val="22"/>
          <w:highlight w:val="none"/>
          <w14:textFill>
            <w14:solidFill>
              <w14:schemeClr w14:val="tx1"/>
            </w14:solidFill>
          </w14:textFill>
        </w:rPr>
        <w:t xml:space="preserve"> </w:t>
      </w:r>
    </w:p>
    <w:p w14:paraId="1329C214">
      <w:pPr>
        <w:pStyle w:val="4"/>
        <w:numPr>
          <w:ilvl w:val="0"/>
          <w:numId w:val="1"/>
        </w:numPr>
        <w:spacing w:before="0" w:beforeAutospacing="0" w:after="0" w:afterAutospacing="0" w:line="360" w:lineRule="auto"/>
        <w:rPr>
          <w:b w:val="0"/>
          <w:bCs w:val="0"/>
          <w:color w:val="000000" w:themeColor="text1"/>
          <w:highlight w:val="none"/>
          <w14:textFill>
            <w14:solidFill>
              <w14:schemeClr w14:val="tx1"/>
            </w14:solidFill>
          </w14:textFill>
        </w:rPr>
      </w:pPr>
      <w:r>
        <w:rPr>
          <w:rFonts w:cs="Calibri"/>
          <w:b w:val="0"/>
          <w:bCs w:val="0"/>
          <w:color w:val="000000" w:themeColor="text1"/>
          <w:kern w:val="2"/>
          <w:sz w:val="21"/>
          <w:szCs w:val="22"/>
          <w:highlight w:val="none"/>
          <w14:textFill>
            <w14:solidFill>
              <w14:schemeClr w14:val="tx1"/>
            </w14:solidFill>
          </w14:textFill>
        </w:rPr>
        <w:t>原材料包括：</w:t>
      </w:r>
      <w:r>
        <w:rPr>
          <w:b w:val="0"/>
          <w:bCs w:val="0"/>
          <w:color w:val="000000" w:themeColor="text1"/>
          <w:highlight w:val="none"/>
          <w14:textFill>
            <w14:solidFill>
              <w14:schemeClr w14:val="tx1"/>
            </w14:solidFill>
          </w14:textFill>
        </w:rPr>
        <w:t xml:space="preserve"> </w:t>
      </w:r>
    </w:p>
    <w:p w14:paraId="216765DB">
      <w:pPr>
        <w:pStyle w:val="4"/>
        <w:spacing w:before="0" w:beforeAutospacing="0" w:after="0" w:afterAutospacing="0" w:line="360" w:lineRule="auto"/>
        <w:ind w:firstLine="420"/>
        <w:rPr>
          <w:rFonts w:cs="Calibri"/>
          <w:b/>
          <w:bCs/>
          <w:color w:val="000000" w:themeColor="text1"/>
          <w:kern w:val="2"/>
          <w:sz w:val="21"/>
          <w:szCs w:val="22"/>
          <w:highlight w:val="none"/>
          <w14:textFill>
            <w14:solidFill>
              <w14:schemeClr w14:val="tx1"/>
            </w14:solidFill>
          </w14:textFill>
        </w:rPr>
      </w:pPr>
      <w:r>
        <w:rPr>
          <w:rFonts w:hint="eastAsia" w:cs="Calibri"/>
          <w:b/>
          <w:bCs/>
          <w:color w:val="000000" w:themeColor="text1"/>
          <w:kern w:val="2"/>
          <w:sz w:val="21"/>
          <w:szCs w:val="22"/>
          <w:highlight w:val="none"/>
          <w14:textFill>
            <w14:solidFill>
              <w14:schemeClr w14:val="tx1"/>
            </w14:solidFill>
          </w14:textFill>
        </w:rPr>
        <w:t>水性漆、缆绳、环保塑料粒子、木蜡油、橡胶实木板，人造革、不锈钢管、不锈钢板材、软木板</w:t>
      </w:r>
    </w:p>
    <w:p w14:paraId="09B58E26">
      <w:pPr>
        <w:pStyle w:val="4"/>
        <w:numPr>
          <w:ilvl w:val="0"/>
          <w:numId w:val="2"/>
        </w:numPr>
        <w:spacing w:before="0" w:beforeAutospacing="0" w:after="0" w:afterAutospacing="0" w:line="360" w:lineRule="auto"/>
        <w:ind w:firstLine="420"/>
        <w:rPr>
          <w:rFonts w:cs="Calibri"/>
          <w:b w:val="0"/>
          <w:bCs w:val="0"/>
          <w:color w:val="000000" w:themeColor="text1"/>
          <w:kern w:val="2"/>
          <w:sz w:val="21"/>
          <w:szCs w:val="22"/>
          <w14:textFill>
            <w14:solidFill>
              <w14:schemeClr w14:val="tx1"/>
            </w14:solidFill>
          </w14:textFill>
        </w:rPr>
      </w:pPr>
      <w:r>
        <w:rPr>
          <w:rFonts w:cs="Calibri"/>
          <w:b w:val="0"/>
          <w:bCs w:val="0"/>
          <w:color w:val="000000" w:themeColor="text1"/>
          <w:kern w:val="2"/>
          <w:sz w:val="21"/>
          <w:szCs w:val="22"/>
          <w14:textFill>
            <w14:solidFill>
              <w14:schemeClr w14:val="tx1"/>
            </w14:solidFill>
          </w14:textFill>
        </w:rPr>
        <w:t>成品包括：</w:t>
      </w:r>
      <w:r>
        <w:rPr>
          <w:rFonts w:hint="eastAsia" w:cs="Calibri"/>
          <w:b w:val="0"/>
          <w:bCs w:val="0"/>
          <w:color w:val="000000" w:themeColor="text1"/>
          <w:kern w:val="2"/>
          <w:sz w:val="21"/>
          <w:szCs w:val="22"/>
          <w14:textFill>
            <w14:solidFill>
              <w14:schemeClr w14:val="tx1"/>
            </w14:solidFill>
          </w14:textFill>
        </w:rPr>
        <w:t xml:space="preserve">  </w:t>
      </w:r>
    </w:p>
    <w:p w14:paraId="0326C417">
      <w:pPr>
        <w:pStyle w:val="4"/>
        <w:spacing w:before="0" w:beforeAutospacing="0" w:after="0" w:afterAutospacing="0" w:line="360" w:lineRule="auto"/>
        <w:ind w:firstLine="435"/>
        <w:rPr>
          <w:rFonts w:hint="eastAsia" w:cs="Calibri"/>
          <w:b/>
          <w:bCs w:val="0"/>
          <w:color w:val="000000" w:themeColor="text1"/>
          <w:kern w:val="2"/>
          <w:sz w:val="21"/>
          <w:szCs w:val="22"/>
          <w:highlight w:val="none"/>
          <w14:textFill>
            <w14:solidFill>
              <w14:schemeClr w14:val="tx1"/>
            </w14:solidFill>
          </w14:textFill>
        </w:rPr>
      </w:pPr>
      <w:r>
        <w:rPr>
          <w:rFonts w:hint="eastAsia" w:cs="Calibri"/>
          <w:b/>
          <w:bCs w:val="0"/>
          <w:color w:val="000000" w:themeColor="text1"/>
          <w:kern w:val="2"/>
          <w:sz w:val="21"/>
          <w:szCs w:val="22"/>
          <w:highlight w:val="none"/>
          <w14:textFill>
            <w14:solidFill>
              <w14:schemeClr w14:val="tx1"/>
            </w14:solidFill>
          </w14:textFill>
        </w:rPr>
        <w:t>乒乓球台、单杠、巧巧大积木、思维魔方、阻燃窗帘、实木多格柜、杂物电梯</w:t>
      </w:r>
    </w:p>
    <w:p w14:paraId="4BEB5E43">
      <w:pPr>
        <w:pStyle w:val="4"/>
        <w:spacing w:before="0" w:beforeAutospacing="0" w:after="0" w:afterAutospacing="0" w:line="360" w:lineRule="auto"/>
        <w:ind w:firstLine="435"/>
        <w:rPr>
          <w:rFonts w:hint="eastAsia" w:cs="Calibri"/>
          <w:bCs/>
          <w:color w:val="000000" w:themeColor="text1"/>
          <w:kern w:val="2"/>
          <w:sz w:val="21"/>
          <w:szCs w:val="22"/>
          <w:highlight w:val="yellow"/>
          <w14:textFill>
            <w14:solidFill>
              <w14:schemeClr w14:val="tx1"/>
            </w14:solidFill>
          </w14:textFill>
        </w:rPr>
      </w:pPr>
    </w:p>
    <w:p w14:paraId="6ED1CB9F">
      <w:pPr>
        <w:pStyle w:val="4"/>
        <w:spacing w:before="0" w:beforeAutospacing="0" w:after="0" w:afterAutospacing="0" w:line="360" w:lineRule="auto"/>
        <w:rPr>
          <w:rFonts w:cs="Calibri"/>
          <w:b/>
          <w:bCs/>
          <w:color w:val="000000" w:themeColor="text1"/>
          <w:kern w:val="2"/>
          <w:sz w:val="21"/>
          <w:szCs w:val="22"/>
          <w14:textFill>
            <w14:solidFill>
              <w14:schemeClr w14:val="tx1"/>
            </w14:solidFill>
          </w14:textFill>
        </w:rPr>
      </w:pPr>
      <w:r>
        <w:rPr>
          <w:rFonts w:hint="eastAsia" w:cs="Calibri"/>
          <w:b/>
          <w:bCs/>
          <w:color w:val="000000" w:themeColor="text1"/>
          <w:kern w:val="2"/>
          <w:sz w:val="21"/>
          <w:szCs w:val="22"/>
          <w:lang w:val="en-US" w:eastAsia="zh-CN"/>
          <w14:textFill>
            <w14:solidFill>
              <w14:schemeClr w14:val="tx1"/>
            </w14:solidFill>
          </w14:textFill>
        </w:rPr>
        <w:t>四</w:t>
      </w:r>
      <w:r>
        <w:rPr>
          <w:rFonts w:cs="Calibri"/>
          <w:b/>
          <w:bCs/>
          <w:color w:val="000000" w:themeColor="text1"/>
          <w:kern w:val="2"/>
          <w:sz w:val="21"/>
          <w:szCs w:val="22"/>
          <w14:textFill>
            <w14:solidFill>
              <w14:schemeClr w14:val="tx1"/>
            </w14:solidFill>
          </w14:textFill>
        </w:rPr>
        <w:t>、其他要求</w:t>
      </w:r>
      <w:r>
        <w:rPr>
          <w:rFonts w:hint="eastAsia" w:cs="Calibri"/>
          <w:b/>
          <w:bCs/>
          <w:color w:val="000000" w:themeColor="text1"/>
          <w:kern w:val="2"/>
          <w:sz w:val="21"/>
          <w:szCs w:val="22"/>
          <w14:textFill>
            <w14:solidFill>
              <w14:schemeClr w14:val="tx1"/>
            </w14:solidFill>
          </w14:textFill>
        </w:rPr>
        <w:t xml:space="preserve">   </w:t>
      </w:r>
    </w:p>
    <w:p w14:paraId="4C6977CE">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hint="eastAsia" w:cs="Calibri"/>
          <w:bCs/>
          <w:color w:val="000000" w:themeColor="text1"/>
          <w:kern w:val="2"/>
          <w:sz w:val="21"/>
          <w:szCs w:val="22"/>
          <w14:textFill>
            <w14:solidFill>
              <w14:schemeClr w14:val="tx1"/>
            </w14:solidFill>
          </w14:textFill>
        </w:rPr>
        <w:t>1、所有产品均需符合最新技术条件标准，符合GB 18584室内装饰装修材料 木家具中有害物质限量、GB 28007儿童家具通用技术条件。</w:t>
      </w:r>
    </w:p>
    <w:p w14:paraId="50BD05F1">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hint="eastAsia" w:cs="Calibri"/>
          <w:bCs/>
          <w:color w:val="000000" w:themeColor="text1"/>
          <w:kern w:val="2"/>
          <w:sz w:val="21"/>
          <w:szCs w:val="22"/>
          <w14:textFill>
            <w14:solidFill>
              <w14:schemeClr w14:val="tx1"/>
            </w14:solidFill>
          </w14:textFill>
        </w:rPr>
        <w:t>2、投所有产品均需符合国家及相关标准的规定，达到E0级环保标准，且人造板及其家具成品的甲醛释放量≤0.05mg/ m³。</w:t>
      </w:r>
    </w:p>
    <w:p w14:paraId="28196964">
      <w:pPr>
        <w:pStyle w:val="4"/>
        <w:spacing w:before="0" w:beforeAutospacing="0" w:after="0" w:afterAutospacing="0" w:line="360" w:lineRule="auto"/>
        <w:ind w:firstLine="420"/>
        <w:rPr>
          <w:rFonts w:cs="Calibri"/>
          <w:bCs/>
          <w:color w:val="000000" w:themeColor="text1"/>
          <w:kern w:val="2"/>
          <w:sz w:val="21"/>
          <w:szCs w:val="22"/>
          <w14:textFill>
            <w14:solidFill>
              <w14:schemeClr w14:val="tx1"/>
            </w14:solidFill>
          </w14:textFill>
        </w:rPr>
      </w:pPr>
      <w:r>
        <w:rPr>
          <w:rFonts w:hint="eastAsia" w:cs="Calibri"/>
          <w:bCs/>
          <w:color w:val="000000" w:themeColor="text1"/>
          <w:kern w:val="2"/>
          <w:sz w:val="21"/>
          <w:szCs w:val="22"/>
          <w14:textFill>
            <w14:solidFill>
              <w14:schemeClr w14:val="tx1"/>
            </w14:solidFill>
          </w14:textFill>
        </w:rPr>
        <w:t>3、报价的组成：总价为货物送达采购人指定地点、经采购人验收合格并交付使用的所有可能发生的费用，包括：货物（含设备、配件、辅助材料）生产供应、保管、运输、保险费、产品检验检测、拆卸、搬运、安装、调试、人员培训、税收、售后服务。</w:t>
      </w:r>
    </w:p>
    <w:p w14:paraId="2DFD49E5">
      <w:pPr>
        <w:pStyle w:val="4"/>
        <w:spacing w:before="0" w:beforeAutospacing="0" w:after="0" w:afterAutospacing="0" w:line="360" w:lineRule="auto"/>
        <w:ind w:firstLine="420"/>
        <w:rPr>
          <w:rFonts w:hint="eastAsia" w:cs="Calibri"/>
          <w:bCs/>
          <w:color w:val="000000" w:themeColor="text1"/>
          <w:kern w:val="2"/>
          <w:sz w:val="21"/>
          <w:szCs w:val="22"/>
          <w14:textFill>
            <w14:solidFill>
              <w14:schemeClr w14:val="tx1"/>
            </w14:solidFill>
          </w14:textFill>
        </w:rPr>
      </w:pPr>
      <w:r>
        <w:rPr>
          <w:rFonts w:hint="eastAsia" w:cs="Calibri"/>
          <w:bCs/>
          <w:color w:val="000000" w:themeColor="text1"/>
          <w:kern w:val="2"/>
          <w:sz w:val="21"/>
          <w:szCs w:val="22"/>
          <w14:textFill>
            <w14:solidFill>
              <w14:schemeClr w14:val="tx1"/>
            </w14:solidFill>
          </w14:textFill>
        </w:rPr>
        <w:t>4、项目完成，货物交付、送至现场安装完毕后，由采购人任意抽取货物3件，送到国家级检测中心进行破环性检测，检测费用由中标供应商承担（须承诺）。检测合格，供货商需免费补齐送检三件产品给使用方，如检测结果不合格，使用方有权退回所有货物。</w:t>
      </w:r>
    </w:p>
    <w:p w14:paraId="6E7E30C1">
      <w:pPr>
        <w:pStyle w:val="4"/>
        <w:spacing w:before="0" w:beforeAutospacing="0" w:after="0" w:afterAutospacing="0" w:line="360" w:lineRule="auto"/>
        <w:ind w:firstLine="420"/>
        <w:rPr>
          <w:rFonts w:hint="eastAsia" w:eastAsia="宋体" w:cs="Calibri"/>
          <w:b/>
          <w:bCs w:val="0"/>
          <w:color w:val="000000" w:themeColor="text1"/>
          <w:kern w:val="2"/>
          <w:sz w:val="21"/>
          <w:szCs w:val="22"/>
          <w:lang w:val="en-US" w:eastAsia="zh-CN"/>
          <w14:textFill>
            <w14:solidFill>
              <w14:schemeClr w14:val="tx1"/>
            </w14:solidFill>
          </w14:textFill>
        </w:rPr>
      </w:pPr>
      <w:r>
        <w:rPr>
          <w:rFonts w:hint="eastAsia" w:cs="Calibri"/>
          <w:b/>
          <w:bCs w:val="0"/>
          <w:color w:val="000000" w:themeColor="text1"/>
          <w:kern w:val="2"/>
          <w:sz w:val="21"/>
          <w:szCs w:val="22"/>
          <w:lang w:val="en-US" w:eastAsia="zh-CN"/>
          <w14:textFill>
            <w14:solidFill>
              <w14:schemeClr w14:val="tx1"/>
            </w14:solidFill>
          </w14:textFill>
        </w:rPr>
        <w:t>5、杂物电梯：★产品制造商负责安装维修、制造厂家必须具备市场监督部门颁发的有效的《中华人民共和国特种设备制造许可证》或《中华人民共和国特种设备生产许可证（含安装维修）》，许可子项目包含本项目所采购电梯对应的类别。（本★号指标须投标人提供厂商资质证明文件或投标人以承诺函形式承诺厂商符合要求，承诺函格式自拟）</w:t>
      </w:r>
    </w:p>
    <w:p w14:paraId="0F2B1863">
      <w:pPr>
        <w:pStyle w:val="4"/>
        <w:spacing w:before="0" w:beforeAutospacing="0" w:after="0" w:afterAutospacing="0" w:line="360" w:lineRule="auto"/>
        <w:rPr>
          <w:rFonts w:hint="default" w:cs="Calibri"/>
          <w:b/>
          <w:bCs/>
          <w:color w:val="000000" w:themeColor="text1"/>
          <w:kern w:val="2"/>
          <w:sz w:val="21"/>
          <w:szCs w:val="22"/>
          <w:lang w:val="en-US" w:eastAsia="zh-CN"/>
          <w14:textFill>
            <w14:solidFill>
              <w14:schemeClr w14:val="tx1"/>
            </w14:solidFill>
          </w14:textFill>
        </w:rPr>
      </w:pPr>
    </w:p>
    <w:p w14:paraId="467C68B5">
      <w:pPr>
        <w:pStyle w:val="4"/>
        <w:numPr>
          <w:ilvl w:val="0"/>
          <w:numId w:val="0"/>
        </w:numPr>
        <w:spacing w:before="0" w:beforeAutospacing="0" w:after="0" w:afterAutospacing="0" w:line="360" w:lineRule="auto"/>
        <w:ind w:leftChars="0"/>
        <w:rPr>
          <w:rFonts w:hint="eastAsia" w:cs="Calibri"/>
          <w:b/>
          <w:bCs/>
          <w:color w:val="000000" w:themeColor="text1"/>
          <w:kern w:val="2"/>
          <w:sz w:val="21"/>
          <w:szCs w:val="22"/>
          <w:lang w:val="en-US" w:eastAsia="zh-CN"/>
          <w14:textFill>
            <w14:solidFill>
              <w14:schemeClr w14:val="tx1"/>
            </w14:solidFill>
          </w14:textFill>
        </w:rPr>
      </w:pPr>
      <w:r>
        <w:rPr>
          <w:rFonts w:hint="eastAsia" w:cs="Calibri"/>
          <w:b/>
          <w:bCs/>
          <w:color w:val="000000" w:themeColor="text1"/>
          <w:kern w:val="2"/>
          <w:sz w:val="21"/>
          <w:szCs w:val="22"/>
          <w:lang w:val="en-US" w:eastAsia="zh-CN"/>
          <w14:textFill>
            <w14:solidFill>
              <w14:schemeClr w14:val="tx1"/>
            </w14:solidFill>
          </w14:textFill>
        </w:rPr>
        <w:t>五、售后要求</w:t>
      </w:r>
    </w:p>
    <w:p w14:paraId="5F39B552">
      <w:pPr>
        <w:pStyle w:val="2"/>
        <w:widowControl/>
        <w:spacing w:after="0" w:line="360" w:lineRule="exact"/>
        <w:ind w:firstLine="420" w:firstLineChars="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w:t>
      </w:r>
      <w:r>
        <w:rPr>
          <w:rFonts w:hint="eastAsia" w:ascii="宋体" w:hAnsi="宋体"/>
          <w:color w:val="000000" w:themeColor="text1"/>
          <w:szCs w:val="21"/>
          <w:highlight w:val="none"/>
          <w14:textFill>
            <w14:solidFill>
              <w14:schemeClr w14:val="tx1"/>
            </w14:solidFill>
          </w14:textFill>
        </w:rPr>
        <w:t>接到报修后3小时内做出响应，6小时内到场，24小时内无法修复的提供备用品</w:t>
      </w:r>
      <w:r>
        <w:rPr>
          <w:rFonts w:hint="eastAsia" w:ascii="宋体" w:hAnsi="宋体"/>
          <w:color w:val="000000" w:themeColor="text1"/>
          <w:szCs w:val="21"/>
          <w:highlight w:val="none"/>
          <w:lang w:eastAsia="zh-CN"/>
          <w14:textFill>
            <w14:solidFill>
              <w14:schemeClr w14:val="tx1"/>
            </w14:solidFill>
          </w14:textFill>
        </w:rPr>
        <w:t>。</w:t>
      </w:r>
    </w:p>
    <w:p w14:paraId="4B2562F9">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C1193"/>
    <w:multiLevelType w:val="singleLevel"/>
    <w:tmpl w:val="057C1193"/>
    <w:lvl w:ilvl="0" w:tentative="0">
      <w:start w:val="2"/>
      <w:numFmt w:val="decimal"/>
      <w:suff w:val="nothing"/>
      <w:lvlText w:val="%1、"/>
      <w:lvlJc w:val="left"/>
    </w:lvl>
  </w:abstractNum>
  <w:abstractNum w:abstractNumId="1">
    <w:nsid w:val="5AD5605E"/>
    <w:multiLevelType w:val="multilevel"/>
    <w:tmpl w:val="5AD5605E"/>
    <w:lvl w:ilvl="0" w:tentative="0">
      <w:start w:val="1"/>
      <w:numFmt w:val="decimal"/>
      <w:lvlText w:val="%1、"/>
      <w:lvlJc w:val="left"/>
      <w:pPr>
        <w:ind w:left="780" w:hanging="360"/>
      </w:pPr>
      <w:rPr>
        <w:rFonts w:hint="default" w:cs="Calibri"/>
        <w:b w:val="0"/>
        <w:bCs/>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F7213"/>
    <w:rsid w:val="06DF7213"/>
    <w:rsid w:val="481E1E96"/>
    <w:rsid w:val="5C22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style>
  <w:style w:type="paragraph" w:styleId="4">
    <w:name w:val="Normal (Web)"/>
    <w:basedOn w:val="1"/>
    <w:qFormat/>
    <w:uiPriority w:val="99"/>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2025-07-14T08:07:00Z</dcterms:created>
  <dc:creator>，〽️</dc:creator>
  <cp:lastModifiedBy>，〽️</cp:lastModifiedBy>
  <dcterms:modified xsi:type="dcterms:W3CDTF">2025-07-14T08:09:18Z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08CC4BD10586433891B3968691217018_11</vt:lpwstr>
  </property>
  <property fmtid="{D5CDD505-2E9C-101B-9397-08002B2CF9AE}" pid="4" name="KSOTemplateDocerSaveRecord">
    <vt:lpwstr>eyJoZGlkIjoiNzQ1ZjMzZDQzMWQ4YzJmYmI1NDU3NWVkN2FjODNkNjEiLCJ1c2VySWQiOiIzNTkwMTE0OTMifQ==</vt:lpwstr>
  </property>
</Properties>
</file>