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E681A">
      <w:pPr>
        <w:spacing w:line="360" w:lineRule="auto"/>
        <w:jc w:val="center"/>
        <w:rPr>
          <w:rFonts w:hint="eastAsia" w:ascii="宋体" w:hAnsi="宋体" w:cs="宋体"/>
          <w:b/>
          <w:bCs/>
          <w:sz w:val="24"/>
          <w:szCs w:val="24"/>
        </w:rPr>
      </w:pPr>
      <w:r>
        <w:rPr>
          <w:rFonts w:hint="eastAsia" w:ascii="宋体" w:hAnsi="宋体" w:cs="宋体"/>
          <w:b/>
          <w:bCs/>
          <w:sz w:val="24"/>
          <w:szCs w:val="24"/>
        </w:rPr>
        <w:t>采购要求</w:t>
      </w:r>
    </w:p>
    <w:p w14:paraId="1A2935B9">
      <w:pPr>
        <w:spacing w:line="360" w:lineRule="auto"/>
        <w:rPr>
          <w:rFonts w:hint="eastAsia" w:ascii="宋体" w:hAnsi="宋体" w:cs="宋体"/>
          <w:b/>
          <w:szCs w:val="21"/>
        </w:rPr>
      </w:pPr>
      <w:r>
        <w:rPr>
          <w:rFonts w:hint="eastAsia" w:ascii="宋体" w:hAnsi="宋体" w:cs="宋体"/>
          <w:b/>
          <w:szCs w:val="21"/>
        </w:rPr>
        <w:t>一、项目背景</w:t>
      </w:r>
    </w:p>
    <w:p w14:paraId="1BC06C72">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在当今数字化、智能化飞速发展的时代，人工智能已成为推动全球科技变革和社会进步的核心力量。在数字化浪潮中，徐汇教育积极争当排头兵、敢为先行者，探索数字赋能教育教学的有效路径，先后成为国家级信息化教学实验区（2020年）、上海市教育数字化转型试验区（2021年）、上海市基础教育数字化转型整体试验区（2022年）、上海市人工智能教育试验区（2024年）。我们深知培养学生适应未来社会的能力至关重要，而人工智能教育正是其中的关键环节。在2025正式运营的本区新建校，是落实人工智能教育创新的前沿阵地，因此本次项目致力于打造一个前沿、创新、融合的人工智能创新实践学习环境，激发学生的创造力和探索精神。</w:t>
      </w:r>
    </w:p>
    <w:p w14:paraId="1111B6D0">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在跨学科教学方面，教育部发布的《义务教育课程方案(2022年版)》中重点提到：各门课程原则上至少要用10%的课时设计跨学科主题学习，倡导打破学科界限，培养学生的综合素养。2022年8月，上海市教育委员会等七部门印发《关于进一步促进本市义务教育学校建设的实施意见》（简称“新五项标准”）的“推进举措”中，明确提出“推进跨学科综合学习空间建设。因校制宜推进学校创设布局灵活、高效互动、资源丰富的数字化学习环境，满足学生跨学科学习和综合实践活动需求”。</w:t>
      </w:r>
    </w:p>
    <w:p w14:paraId="4795D82F">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海市徐汇区教育局新建滨江小学跨学科综合学习空间设备采购项目，积极响应国家和政府的政策要求，旨在建设一个集人工智能学习与跨学科综合实践于一体的创新型教学空间，为学生提供接触和学习人工智能的创作实验平台，通过跨学科项目化学习的方式，激发学生的创新思维和实践能力。本次项目计划在校区教学楼四楼打造一个约490㎡的人工智能实验室，该实验室旨在为学生提供一个集学习、实践、创新于一体的综合性空间。该空间通过引入先进的智能硬件设备、虚拟现实CAVE融合投影空间与人工智能创作工具、学生人工智能作品数字展出平台等，让学生在沉浸式的情境教学环境中亲身体验人工智能的魅力，激发他们对科技的兴趣和热情。</w:t>
      </w:r>
    </w:p>
    <w:p w14:paraId="6F686295">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此外，实验室将打破学科界限，将人工智能与各学科知识进行有机融合。例如，在唱游课上，学生可以利用人工智能模型将多个音乐元素融合创作出独一无二的可视化曲目；在科学课上，教师可以通过人工智能课件创作工具，制作高品质的AIGC互动跨学科课件；在艺术课上，学生在教师的带领下，借助人工智能辅助创作工具激发创意灵感，创作属于自己AIGC人机共创海报或其它作品，学生作品图像扫描录入系统通过智能传感器进行学生创作作品数据数据采集与多模态评价。这种常态化融入人工智能辅助教学的跨学科教学模式将帮助学生建立起系统化的知识体系，培养他们从小利用各类人工智能技术来解决复杂问题的能力。</w:t>
      </w:r>
    </w:p>
    <w:p w14:paraId="34F1A1F4">
      <w:pPr>
        <w:spacing w:line="360" w:lineRule="auto"/>
        <w:ind w:firstLine="420" w:firstLineChars="200"/>
        <w:jc w:val="left"/>
        <w:rPr>
          <w:rFonts w:hint="eastAsia" w:ascii="宋体" w:hAnsi="宋体" w:cs="宋体"/>
          <w:i w:val="0"/>
          <w:iCs w:val="0"/>
          <w:color w:val="auto"/>
          <w:szCs w:val="21"/>
          <w:highlight w:val="none"/>
        </w:rPr>
      </w:pPr>
      <w:r>
        <w:rPr>
          <w:rFonts w:hint="eastAsia" w:ascii="宋体" w:hAnsi="宋体" w:cs="宋体"/>
          <w:i w:val="0"/>
          <w:iCs w:val="0"/>
          <w:color w:val="auto"/>
          <w:szCs w:val="21"/>
          <w:highlight w:val="none"/>
        </w:rPr>
        <w:t>跨学科综合学习空间的建设，将成为本校教育创新的重要里程碑。本项目不仅能够为学生提供前沿的学习资源，更能为教师提供创新教学的平台，推动学校整体教育水平的提升。在这个充满无限可能的实验室中，我们期待每一位学生都能成为人工智能时代的探索者和创新者，为他们的未来开启一扇通往智慧世界的大门。</w:t>
      </w:r>
    </w:p>
    <w:p w14:paraId="639C8375">
      <w:pPr>
        <w:spacing w:line="360" w:lineRule="auto"/>
        <w:ind w:firstLine="420" w:firstLineChars="200"/>
        <w:jc w:val="left"/>
        <w:rPr>
          <w:rFonts w:hint="eastAsia" w:ascii="宋体" w:hAnsi="宋体" w:cs="宋体"/>
          <w:szCs w:val="21"/>
        </w:rPr>
      </w:pPr>
    </w:p>
    <w:p w14:paraId="5AEC81CC">
      <w:pPr>
        <w:spacing w:line="360" w:lineRule="auto"/>
        <w:rPr>
          <w:rFonts w:ascii="宋体" w:hAnsi="宋体" w:cs="宋体"/>
          <w:b/>
          <w:szCs w:val="21"/>
        </w:rPr>
      </w:pPr>
      <w:r>
        <w:rPr>
          <w:rFonts w:hint="eastAsia" w:ascii="宋体" w:hAnsi="宋体" w:cs="宋体"/>
          <w:b/>
          <w:szCs w:val="21"/>
        </w:rPr>
        <w:t xml:space="preserve">二、建设范围 </w:t>
      </w:r>
    </w:p>
    <w:p w14:paraId="31EE0AFD">
      <w:pPr>
        <w:spacing w:line="360" w:lineRule="auto"/>
        <w:ind w:firstLine="420" w:firstLineChars="200"/>
        <w:rPr>
          <w:rFonts w:ascii="宋体" w:hAnsi="宋体"/>
          <w:i w:val="0"/>
          <w:iCs w:val="0"/>
          <w:color w:val="auto"/>
          <w:szCs w:val="21"/>
          <w:highlight w:val="none"/>
        </w:rPr>
      </w:pPr>
      <w:r>
        <w:rPr>
          <w:rFonts w:hint="eastAsia" w:ascii="宋体" w:hAnsi="宋体"/>
          <w:i w:val="0"/>
          <w:iCs w:val="0"/>
          <w:color w:val="auto"/>
          <w:szCs w:val="21"/>
          <w:highlight w:val="none"/>
        </w:rPr>
        <w:t>新建滨江小学校区详细地址东至南洋中学,南至龙华中路,西至小木桥路，包含1栋教学楼、1栋综合楼、地下车库和室外活动场地，教学楼和综合楼通过连廊贯通。本次项目的详细位置在教学楼四层，详见下图：</w:t>
      </w:r>
    </w:p>
    <w:p w14:paraId="737CEAC5">
      <w:pPr>
        <w:spacing w:line="360" w:lineRule="auto"/>
        <w:ind w:firstLine="560" w:firstLineChars="200"/>
        <w:rPr>
          <w:rFonts w:hint="eastAsia" w:ascii="宋体" w:hAnsi="宋体"/>
          <w:color w:val="FF0000"/>
          <w:sz w:val="28"/>
          <w:szCs w:val="28"/>
        </w:rPr>
      </w:pPr>
      <w:r>
        <w:rPr>
          <w:rFonts w:hint="eastAsia" w:ascii="宋体" w:hAnsi="宋体"/>
          <w:color w:val="FF0000"/>
          <w:sz w:val="28"/>
          <w:szCs w:val="28"/>
        </w:rPr>
        <w:drawing>
          <wp:inline distT="0" distB="0" distL="114300" distR="114300">
            <wp:extent cx="5271770" cy="5549265"/>
            <wp:effectExtent l="0" t="0" r="5080" b="13335"/>
            <wp:docPr id="1" name="图片 1" descr="微信图片_2025011010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110100154"/>
                    <pic:cNvPicPr>
                      <a:picLocks noChangeAspect="1"/>
                    </pic:cNvPicPr>
                  </pic:nvPicPr>
                  <pic:blipFill>
                    <a:blip r:embed="rId4"/>
                    <a:stretch>
                      <a:fillRect/>
                    </a:stretch>
                  </pic:blipFill>
                  <pic:spPr>
                    <a:xfrm>
                      <a:off x="0" y="0"/>
                      <a:ext cx="5271770" cy="5549265"/>
                    </a:xfrm>
                    <a:prstGeom prst="rect">
                      <a:avLst/>
                    </a:prstGeom>
                    <a:noFill/>
                    <a:ln>
                      <a:noFill/>
                    </a:ln>
                  </pic:spPr>
                </pic:pic>
              </a:graphicData>
            </a:graphic>
          </wp:inline>
        </w:drawing>
      </w:r>
    </w:p>
    <w:p w14:paraId="02FCC66F">
      <w:pPr>
        <w:spacing w:line="360" w:lineRule="auto"/>
        <w:ind w:firstLine="840" w:firstLineChars="400"/>
        <w:rPr>
          <w:rFonts w:ascii="宋体" w:hAnsi="宋体"/>
          <w:b w:val="0"/>
          <w:bCs w:val="0"/>
          <w:i w:val="0"/>
          <w:iCs w:val="0"/>
          <w:color w:val="auto"/>
          <w:szCs w:val="21"/>
          <w:highlight w:val="none"/>
        </w:rPr>
      </w:pPr>
      <w:r>
        <w:rPr>
          <w:rFonts w:hint="eastAsia" w:ascii="宋体" w:hAnsi="宋体"/>
          <w:b w:val="0"/>
          <w:bCs w:val="0"/>
          <w:i w:val="0"/>
          <w:iCs w:val="0"/>
          <w:color w:val="auto"/>
          <w:szCs w:val="21"/>
          <w:highlight w:val="none"/>
        </w:rPr>
        <w:t>跨学科综合学习空间位于教学楼四层（含配套空间），总规划面积约490㎡，跨学科综合学习空间配套体验区面积为80㎡（详见上图红色标注区域内）。跨学科综合学习空间旨在将该空间打造成为基于生成式人工智能的多模态跨学科学习场景。该空间建设完成后，既可以满足教师利用生成式人工智能平台高效的创作各类沉浸式跨学科教学课件、又可以通过超大分辨率的沉浸式情境教学数字空间结合超大墙面与地面的多模态的人机交互技术，为全校学生们提供高品质的跨学科教学软件资源。在沉浸式跨学科人工智能实验室中，学生不仅仅可以利用AIGC生成式人工智能工具和同伴一起创作自己的沉浸式互动展览AI作品，还可以穿越时空与梵高、孔子和宋应星等AI数字人进行人机对话和话题讨论。学校重大活动时，教师还可以利用该空间进行学生优秀作品的数字化展陈。</w:t>
      </w:r>
    </w:p>
    <w:p w14:paraId="4D7BA247">
      <w:pPr>
        <w:spacing w:line="360" w:lineRule="auto"/>
        <w:rPr>
          <w:rFonts w:ascii="宋体" w:hAnsi="宋体" w:cs="宋体"/>
          <w:b/>
          <w:color w:val="FF0000"/>
          <w:szCs w:val="21"/>
        </w:rPr>
      </w:pPr>
    </w:p>
    <w:p w14:paraId="4D60D1D2">
      <w:pPr>
        <w:spacing w:line="360" w:lineRule="auto"/>
        <w:rPr>
          <w:rFonts w:ascii="宋体" w:hAnsi="宋体" w:cs="宋体"/>
          <w:b/>
          <w:szCs w:val="21"/>
        </w:rPr>
      </w:pPr>
      <w:r>
        <w:rPr>
          <w:rFonts w:hint="eastAsia" w:ascii="宋体" w:hAnsi="宋体" w:cs="宋体"/>
          <w:b/>
          <w:szCs w:val="21"/>
        </w:rPr>
        <w:t>三、建设目标</w:t>
      </w:r>
    </w:p>
    <w:p w14:paraId="7633A8F1">
      <w:pPr>
        <w:spacing w:line="360" w:lineRule="auto"/>
        <w:ind w:firstLine="420" w:firstLineChars="200"/>
        <w:rPr>
          <w:rFonts w:hint="eastAsia" w:ascii="宋体" w:hAnsi="宋体" w:cs="宋体"/>
          <w:szCs w:val="21"/>
        </w:rPr>
      </w:pPr>
      <w:r>
        <w:rPr>
          <w:rFonts w:hint="eastAsia" w:ascii="宋体" w:hAnsi="宋体" w:cs="宋体"/>
          <w:szCs w:val="21"/>
        </w:rPr>
        <w:t>1.打造数字化沉浸式学习环境，提升学生学习兴趣和效率。通过高分辨率实时动态立体影像、环绕立体声音响、超大墙面人机交互等技术，营造身临其境的学习环境，激发学生学习兴趣，提高学习效率。</w:t>
      </w:r>
    </w:p>
    <w:p w14:paraId="3F5C5366">
      <w:pPr>
        <w:spacing w:line="360" w:lineRule="auto"/>
        <w:ind w:firstLine="420" w:firstLineChars="200"/>
        <w:rPr>
          <w:rFonts w:hint="eastAsia" w:ascii="宋体" w:hAnsi="宋体" w:cs="宋体"/>
          <w:szCs w:val="21"/>
        </w:rPr>
      </w:pPr>
      <w:r>
        <w:rPr>
          <w:rFonts w:hint="eastAsia" w:ascii="宋体" w:hAnsi="宋体" w:cs="宋体"/>
          <w:szCs w:val="21"/>
        </w:rPr>
        <w:t>2.打破学科壁垒，促进跨学科融合学习。一线教师利用人工智能课件创作工具，将不同学科知识进行有机互动整合，创作开发出跨学科主题的优质课程（含AIGC工具创作课件）。</w:t>
      </w:r>
    </w:p>
    <w:p w14:paraId="3BEF4646">
      <w:pPr>
        <w:spacing w:line="360" w:lineRule="auto"/>
        <w:ind w:firstLine="420" w:firstLineChars="200"/>
        <w:rPr>
          <w:rFonts w:hint="eastAsia" w:ascii="宋体" w:hAnsi="宋体" w:cs="宋体"/>
          <w:szCs w:val="21"/>
        </w:rPr>
      </w:pPr>
      <w:r>
        <w:rPr>
          <w:rFonts w:hint="eastAsia" w:ascii="宋体" w:hAnsi="宋体" w:cs="宋体"/>
          <w:szCs w:val="21"/>
        </w:rPr>
        <w:t>3.创新教学模式，构建智能化教学体系。利用AIGC数字人对话、教师专用沉浸式AIGC课程编辑创作云平台等技术，实现个性化教学和课件AI人机共创，构建智能化教学体系，提升教学质量。</w:t>
      </w:r>
    </w:p>
    <w:p w14:paraId="6EB2C82F">
      <w:pPr>
        <w:spacing w:line="360" w:lineRule="auto"/>
        <w:ind w:firstLine="420" w:firstLineChars="200"/>
        <w:rPr>
          <w:rFonts w:hint="eastAsia" w:ascii="宋体" w:hAnsi="宋体" w:cs="宋体"/>
          <w:szCs w:val="21"/>
        </w:rPr>
      </w:pPr>
      <w:r>
        <w:rPr>
          <w:rFonts w:hint="eastAsia" w:ascii="宋体" w:hAnsi="宋体" w:cs="宋体"/>
          <w:szCs w:val="21"/>
        </w:rPr>
        <w:t>4.培养创新人才，助力未来教育发展。通过沉浸式跨学科人工智能实验室的建设，培养学生的创新思维、实践能力和团队合作精神，为未来教育发展培养创新型人才。</w:t>
      </w:r>
    </w:p>
    <w:p w14:paraId="08F9BF75">
      <w:pPr>
        <w:spacing w:line="360" w:lineRule="auto"/>
        <w:ind w:firstLine="420" w:firstLineChars="200"/>
        <w:rPr>
          <w:rFonts w:hint="eastAsia" w:ascii="宋体" w:hAnsi="宋体" w:cs="宋体"/>
          <w:szCs w:val="21"/>
        </w:rPr>
      </w:pPr>
    </w:p>
    <w:p w14:paraId="5500D2F5">
      <w:pPr>
        <w:spacing w:line="360" w:lineRule="auto"/>
        <w:rPr>
          <w:rFonts w:ascii="宋体" w:hAnsi="宋体" w:cs="宋体"/>
          <w:b/>
          <w:szCs w:val="21"/>
        </w:rPr>
      </w:pPr>
      <w:r>
        <w:rPr>
          <w:rFonts w:hint="eastAsia" w:ascii="宋体" w:hAnsi="宋体" w:cs="宋体"/>
          <w:b/>
          <w:szCs w:val="21"/>
        </w:rPr>
        <w:t>四、项目总体要求</w:t>
      </w:r>
    </w:p>
    <w:p w14:paraId="0E100C93">
      <w:pPr>
        <w:numPr>
          <w:ilvl w:val="0"/>
          <w:numId w:val="1"/>
        </w:numPr>
        <w:adjustRightInd w:val="0"/>
        <w:snapToGrid w:val="0"/>
        <w:spacing w:line="360" w:lineRule="auto"/>
        <w:ind w:firstLine="420" w:firstLineChars="200"/>
        <w:rPr>
          <w:rFonts w:hint="eastAsia" w:ascii="宋体" w:hAnsi="宋体"/>
          <w:i w:val="0"/>
          <w:iCs w:val="0"/>
          <w:szCs w:val="21"/>
          <w:highlight w:val="none"/>
        </w:rPr>
      </w:pPr>
      <w:r>
        <w:rPr>
          <w:rFonts w:hint="eastAsia" w:ascii="宋体" w:hAnsi="宋体"/>
          <w:i w:val="0"/>
          <w:iCs w:val="0"/>
          <w:szCs w:val="21"/>
          <w:highlight w:val="none"/>
        </w:rPr>
        <w:t>本次招标为上海市徐汇区教育局新建滨江小学跨学科综合学习空间设备采购项目</w:t>
      </w:r>
      <w:bookmarkStart w:id="0" w:name="OLE_LINK3"/>
      <w:bookmarkStart w:id="1" w:name="OLE_LINK1"/>
      <w:r>
        <w:rPr>
          <w:rFonts w:hint="eastAsia" w:ascii="宋体" w:hAnsi="宋体"/>
          <w:i w:val="0"/>
          <w:iCs w:val="0"/>
          <w:szCs w:val="21"/>
          <w:highlight w:val="none"/>
        </w:rPr>
        <w:t>提供空间规划、相关设备货物采购、物流运输、现场集成、机房部署、软硬件安装调试、教师培训及售后维护等配套服务。</w:t>
      </w:r>
      <w:bookmarkEnd w:id="0"/>
      <w:bookmarkEnd w:id="1"/>
    </w:p>
    <w:p w14:paraId="3B7FF597">
      <w:pPr>
        <w:adjustRightInd w:val="0"/>
        <w:snapToGrid w:val="0"/>
        <w:spacing w:line="360" w:lineRule="auto"/>
        <w:ind w:firstLine="420" w:firstLineChars="200"/>
        <w:rPr>
          <w:rFonts w:hint="eastAsia" w:ascii="宋体" w:hAnsi="宋体"/>
          <w:i w:val="0"/>
          <w:iCs w:val="0"/>
          <w:szCs w:val="21"/>
          <w:highlight w:val="none"/>
        </w:rPr>
      </w:pPr>
      <w:r>
        <w:rPr>
          <w:rFonts w:hint="eastAsia" w:ascii="宋体" w:hAnsi="宋体"/>
          <w:i w:val="0"/>
          <w:iCs w:val="0"/>
          <w:szCs w:val="21"/>
          <w:highlight w:val="none"/>
        </w:rPr>
        <w:t>2、</w:t>
      </w:r>
      <w:r>
        <w:rPr>
          <w:rFonts w:hint="eastAsia" w:ascii="宋体" w:hAnsi="宋体"/>
          <w:i w:val="0"/>
          <w:iCs w:val="0"/>
          <w:szCs w:val="21"/>
          <w:highlight w:val="none"/>
          <w:lang w:eastAsia="zh-CN"/>
        </w:rPr>
        <w:t>投标人</w:t>
      </w:r>
      <w:r>
        <w:rPr>
          <w:rFonts w:hint="eastAsia" w:ascii="宋体" w:hAnsi="宋体"/>
          <w:i w:val="0"/>
          <w:iCs w:val="0"/>
          <w:szCs w:val="21"/>
          <w:highlight w:val="none"/>
        </w:rPr>
        <w:t>应为供货、设计及安装等提供一切所需的设备、劳务及材料，以及前述的安装、测试、调校、试运转、培训等服务，而且应提供设备安装得以正常操作所需的一切附带的专用工具、配件。</w:t>
      </w:r>
    </w:p>
    <w:p w14:paraId="7B9D73BA">
      <w:pPr>
        <w:adjustRightInd w:val="0"/>
        <w:snapToGrid w:val="0"/>
        <w:spacing w:line="360" w:lineRule="auto"/>
        <w:ind w:firstLine="420" w:firstLineChars="200"/>
        <w:rPr>
          <w:rFonts w:ascii="宋体" w:hAnsi="宋体"/>
          <w:i w:val="0"/>
          <w:iCs w:val="0"/>
          <w:szCs w:val="21"/>
          <w:highlight w:val="none"/>
        </w:rPr>
      </w:pPr>
      <w:r>
        <w:rPr>
          <w:rFonts w:hint="eastAsia" w:ascii="宋体" w:hAnsi="宋体"/>
          <w:i w:val="0"/>
          <w:iCs w:val="0"/>
          <w:szCs w:val="21"/>
          <w:highlight w:val="none"/>
        </w:rPr>
        <w:t>3、建设地点：</w:t>
      </w:r>
      <w:r>
        <w:rPr>
          <w:rFonts w:hint="eastAsia" w:ascii="宋体" w:hAnsi="宋体" w:cs="宋体"/>
          <w:i w:val="0"/>
          <w:iCs w:val="0"/>
          <w:szCs w:val="21"/>
          <w:highlight w:val="none"/>
          <w:lang w:val="zh-TW"/>
        </w:rPr>
        <w:t>徐汇区教育局指定地点。</w:t>
      </w:r>
    </w:p>
    <w:p w14:paraId="461AF8E8">
      <w:pPr>
        <w:adjustRightInd w:val="0"/>
        <w:snapToGrid w:val="0"/>
        <w:spacing w:line="360" w:lineRule="auto"/>
        <w:ind w:firstLine="422" w:firstLineChars="200"/>
        <w:rPr>
          <w:rFonts w:ascii="宋体" w:hAnsi="宋体"/>
          <w:b/>
          <w:szCs w:val="21"/>
        </w:rPr>
      </w:pPr>
      <w:r>
        <w:rPr>
          <w:rFonts w:hint="eastAsia" w:ascii="宋体" w:hAnsi="宋体"/>
          <w:b/>
          <w:szCs w:val="21"/>
        </w:rPr>
        <w:t>4、完工期：合同签</w:t>
      </w:r>
      <w:r>
        <w:rPr>
          <w:rFonts w:hint="eastAsia" w:ascii="宋体" w:hAnsi="宋体" w:eastAsia="宋体" w:cs="Times New Roman"/>
          <w:b/>
          <w:szCs w:val="21"/>
        </w:rPr>
        <w:t>订后45</w:t>
      </w:r>
      <w:r>
        <w:rPr>
          <w:rFonts w:hint="eastAsia" w:ascii="宋体" w:hAnsi="宋体" w:eastAsia="宋体" w:cs="Times New Roman"/>
          <w:b/>
          <w:szCs w:val="21"/>
          <w:lang w:val="en-US" w:eastAsia="zh-CN"/>
        </w:rPr>
        <w:t>天</w:t>
      </w:r>
      <w:r>
        <w:rPr>
          <w:rFonts w:hint="eastAsia" w:ascii="宋体" w:hAnsi="宋体" w:eastAsia="宋体" w:cs="Times New Roman"/>
          <w:b/>
          <w:szCs w:val="21"/>
        </w:rPr>
        <w:t>内硬件设备到达甲方指定地点，60</w:t>
      </w:r>
      <w:r>
        <w:rPr>
          <w:rFonts w:hint="eastAsia" w:ascii="宋体" w:hAnsi="宋体" w:eastAsia="宋体" w:cs="Times New Roman"/>
          <w:b/>
          <w:szCs w:val="21"/>
          <w:lang w:val="en-US" w:eastAsia="zh-CN"/>
        </w:rPr>
        <w:t>天</w:t>
      </w:r>
      <w:r>
        <w:rPr>
          <w:rFonts w:hint="eastAsia" w:ascii="宋体" w:hAnsi="宋体" w:eastAsia="宋体" w:cs="Times New Roman"/>
          <w:b/>
          <w:szCs w:val="21"/>
        </w:rPr>
        <w:t>内完成所有</w:t>
      </w:r>
      <w:r>
        <w:rPr>
          <w:rFonts w:hint="eastAsia" w:ascii="宋体" w:hAnsi="宋体"/>
          <w:b/>
          <w:szCs w:val="21"/>
        </w:rPr>
        <w:t>硬件设备、空间环创、软件系统的集成调试和使用培训事项。</w:t>
      </w:r>
    </w:p>
    <w:p w14:paraId="5DF3A1F8">
      <w:pPr>
        <w:adjustRightInd w:val="0"/>
        <w:snapToGrid w:val="0"/>
        <w:spacing w:line="360" w:lineRule="auto"/>
        <w:ind w:firstLine="422" w:firstLineChars="200"/>
        <w:rPr>
          <w:rFonts w:ascii="宋体" w:hAnsi="宋体"/>
          <w:b/>
          <w:szCs w:val="21"/>
        </w:rPr>
      </w:pPr>
      <w:r>
        <w:rPr>
          <w:rFonts w:hint="eastAsia" w:ascii="宋体" w:hAnsi="宋体"/>
          <w:b/>
          <w:szCs w:val="21"/>
        </w:rPr>
        <w:t>5、项目设备货物内容及组成</w:t>
      </w:r>
    </w:p>
    <w:p w14:paraId="0FDB0503">
      <w:pPr>
        <w:adjustRightInd w:val="0"/>
        <w:snapToGrid w:val="0"/>
        <w:spacing w:line="360" w:lineRule="auto"/>
        <w:ind w:firstLine="420" w:firstLineChars="200"/>
        <w:rPr>
          <w:rFonts w:ascii="宋体" w:hAnsi="宋体"/>
          <w:szCs w:val="21"/>
        </w:rPr>
      </w:pPr>
      <w:r>
        <w:rPr>
          <w:rFonts w:hint="eastAsia" w:ascii="宋体" w:hAnsi="宋体"/>
          <w:szCs w:val="21"/>
        </w:rPr>
        <w:t>（1）本项目内容与组成请详见下面具体采购需求。</w:t>
      </w:r>
    </w:p>
    <w:p w14:paraId="15D5C4B1">
      <w:pPr>
        <w:adjustRightInd w:val="0"/>
        <w:snapToGrid w:val="0"/>
        <w:spacing w:line="360" w:lineRule="auto"/>
        <w:ind w:firstLine="420" w:firstLineChars="200"/>
        <w:rPr>
          <w:rFonts w:ascii="宋体" w:hAnsi="宋体"/>
          <w:szCs w:val="21"/>
        </w:rPr>
      </w:pPr>
      <w:r>
        <w:rPr>
          <w:rFonts w:hint="eastAsia" w:ascii="宋体" w:hAnsi="宋体"/>
          <w:szCs w:val="21"/>
        </w:rPr>
        <w:t>（2）本招标文件列出详细需求，投标人可以对其中不合理处进行修改调整，并说明详细理由。</w:t>
      </w:r>
    </w:p>
    <w:p w14:paraId="7DA9B425">
      <w:pPr>
        <w:adjustRightInd w:val="0"/>
        <w:snapToGrid w:val="0"/>
        <w:spacing w:line="360" w:lineRule="auto"/>
        <w:ind w:firstLine="420" w:firstLineChars="200"/>
        <w:rPr>
          <w:rFonts w:ascii="宋体" w:hAnsi="宋体"/>
          <w:szCs w:val="21"/>
        </w:rPr>
      </w:pPr>
      <w:r>
        <w:rPr>
          <w:rFonts w:hint="eastAsia" w:ascii="宋体" w:hAnsi="宋体"/>
          <w:szCs w:val="21"/>
        </w:rPr>
        <w:t>（3）招标人在具体采购需求中指出的设备技术参数，以及参照的品牌、型号仅起说明作用，并没有任何限制性，投标人在投标中可以选用其他替代标准、品牌或型号，但这些替代要实质上优于或相当于招标人在《招标技术需求》中指出的设备技术参数以及参照的品牌、型号的要求，并且让招标人满意。</w:t>
      </w:r>
    </w:p>
    <w:p w14:paraId="1B0F4B7A">
      <w:pPr>
        <w:adjustRightInd w:val="0"/>
        <w:snapToGrid w:val="0"/>
        <w:spacing w:line="360" w:lineRule="auto"/>
        <w:ind w:firstLine="422" w:firstLineChars="200"/>
        <w:rPr>
          <w:rFonts w:ascii="宋体" w:hAnsi="宋体"/>
          <w:b/>
          <w:szCs w:val="21"/>
        </w:rPr>
      </w:pPr>
      <w:r>
        <w:rPr>
          <w:rFonts w:hint="eastAsia" w:ascii="宋体" w:hAnsi="宋体"/>
          <w:b/>
          <w:szCs w:val="21"/>
        </w:rPr>
        <w:t>6、项目实施主要内容</w:t>
      </w:r>
    </w:p>
    <w:p w14:paraId="2BB2BC82">
      <w:pPr>
        <w:adjustRightInd w:val="0"/>
        <w:snapToGrid w:val="0"/>
        <w:spacing w:line="360" w:lineRule="auto"/>
        <w:ind w:firstLine="420" w:firstLineChars="200"/>
        <w:rPr>
          <w:rFonts w:ascii="宋体" w:hAnsi="宋体"/>
          <w:szCs w:val="21"/>
        </w:rPr>
      </w:pPr>
      <w:r>
        <w:rPr>
          <w:rFonts w:hint="eastAsia" w:ascii="宋体" w:hAnsi="宋体"/>
          <w:szCs w:val="21"/>
        </w:rPr>
        <w:t>（1）负责完成项目深化设计以及出图工作。</w:t>
      </w:r>
    </w:p>
    <w:p w14:paraId="219E0910">
      <w:pPr>
        <w:adjustRightInd w:val="0"/>
        <w:snapToGrid w:val="0"/>
        <w:spacing w:line="360" w:lineRule="auto"/>
        <w:ind w:firstLine="420" w:firstLineChars="200"/>
        <w:rPr>
          <w:rFonts w:ascii="宋体" w:hAnsi="宋体"/>
          <w:szCs w:val="21"/>
        </w:rPr>
      </w:pPr>
      <w:r>
        <w:rPr>
          <w:rFonts w:hint="eastAsia" w:ascii="宋体" w:hAnsi="宋体"/>
          <w:szCs w:val="21"/>
        </w:rPr>
        <w:t>（2）负责项目实施方案向有关主管部门的报批工作，以及工程竣工后向有关部门申报测试与验收工作，并确保可以满足主管部门的要求。</w:t>
      </w:r>
    </w:p>
    <w:p w14:paraId="5D9BAA30">
      <w:pPr>
        <w:adjustRightInd w:val="0"/>
        <w:snapToGrid w:val="0"/>
        <w:spacing w:line="360" w:lineRule="auto"/>
        <w:ind w:firstLine="420" w:firstLineChars="200"/>
        <w:rPr>
          <w:rFonts w:ascii="宋体" w:hAnsi="宋体"/>
          <w:i w:val="0"/>
          <w:iCs w:val="0"/>
          <w:szCs w:val="21"/>
          <w:highlight w:val="none"/>
        </w:rPr>
      </w:pPr>
      <w:r>
        <w:rPr>
          <w:rFonts w:hint="eastAsia" w:ascii="宋体" w:hAnsi="宋体"/>
          <w:szCs w:val="21"/>
        </w:rPr>
        <w:t>（3）根</w:t>
      </w:r>
      <w:r>
        <w:rPr>
          <w:rFonts w:hint="eastAsia" w:ascii="宋体" w:hAnsi="宋体"/>
          <w:i w:val="0"/>
          <w:iCs w:val="0"/>
          <w:szCs w:val="21"/>
          <w:highlight w:val="none"/>
        </w:rPr>
        <w:t>据采购人的变更要求及施工现场的变更情况，负责完成项目方案与施工图的变更设计，并经买方审核后实施。</w:t>
      </w:r>
    </w:p>
    <w:p w14:paraId="72B6E028">
      <w:pPr>
        <w:adjustRightInd w:val="0"/>
        <w:snapToGrid w:val="0"/>
        <w:spacing w:line="360" w:lineRule="auto"/>
        <w:ind w:firstLine="420" w:firstLineChars="200"/>
        <w:rPr>
          <w:rFonts w:ascii="宋体" w:hAnsi="宋体"/>
          <w:i w:val="0"/>
          <w:iCs w:val="0"/>
          <w:szCs w:val="21"/>
          <w:highlight w:val="none"/>
        </w:rPr>
      </w:pPr>
      <w:r>
        <w:rPr>
          <w:rFonts w:hint="eastAsia" w:ascii="宋体" w:hAnsi="宋体"/>
          <w:i w:val="0"/>
          <w:iCs w:val="0"/>
          <w:szCs w:val="21"/>
          <w:highlight w:val="none"/>
        </w:rPr>
        <w:t>（4）负责项目全部的设备供应，并按合同与工期规定，保质保量按时将设备与配件运至工地，并协助做好验货工作。</w:t>
      </w:r>
    </w:p>
    <w:p w14:paraId="1167DAA0">
      <w:pPr>
        <w:adjustRightInd w:val="0"/>
        <w:snapToGrid w:val="0"/>
        <w:spacing w:line="360" w:lineRule="auto"/>
        <w:ind w:firstLine="420" w:firstLineChars="200"/>
        <w:rPr>
          <w:rFonts w:ascii="宋体" w:hAnsi="宋体"/>
          <w:i w:val="0"/>
          <w:iCs w:val="0"/>
          <w:szCs w:val="21"/>
          <w:highlight w:val="none"/>
        </w:rPr>
      </w:pPr>
      <w:r>
        <w:rPr>
          <w:rFonts w:hint="eastAsia" w:ascii="宋体" w:hAnsi="宋体"/>
          <w:i w:val="0"/>
          <w:iCs w:val="0"/>
          <w:szCs w:val="21"/>
          <w:highlight w:val="none"/>
        </w:rPr>
        <w:t>（5）负责提供各项目空间强弱电及网络的空间点位和使用要求。</w:t>
      </w:r>
    </w:p>
    <w:p w14:paraId="260FAF66">
      <w:pPr>
        <w:adjustRightInd w:val="0"/>
        <w:snapToGrid w:val="0"/>
        <w:spacing w:line="360" w:lineRule="auto"/>
        <w:ind w:firstLine="420" w:firstLineChars="200"/>
        <w:rPr>
          <w:rFonts w:ascii="宋体" w:hAnsi="宋体"/>
          <w:i w:val="0"/>
          <w:iCs w:val="0"/>
          <w:szCs w:val="21"/>
          <w:highlight w:val="none"/>
        </w:rPr>
      </w:pPr>
      <w:r>
        <w:rPr>
          <w:rFonts w:hint="eastAsia" w:ascii="宋体" w:hAnsi="宋体"/>
          <w:i w:val="0"/>
          <w:iCs w:val="0"/>
          <w:szCs w:val="21"/>
          <w:highlight w:val="none"/>
        </w:rPr>
        <w:t>（6）负责全部项目设备的安装与调（测）试、系统开通、试运行工作、人员培训。</w:t>
      </w:r>
    </w:p>
    <w:p w14:paraId="6B9B66D3">
      <w:pPr>
        <w:adjustRightInd w:val="0"/>
        <w:snapToGrid w:val="0"/>
        <w:spacing w:line="360" w:lineRule="auto"/>
        <w:ind w:firstLine="420" w:firstLineChars="200"/>
        <w:rPr>
          <w:rFonts w:ascii="宋体" w:hAnsi="宋体"/>
          <w:i w:val="0"/>
          <w:iCs w:val="0"/>
          <w:szCs w:val="21"/>
          <w:highlight w:val="none"/>
        </w:rPr>
      </w:pPr>
      <w:r>
        <w:rPr>
          <w:rFonts w:hint="eastAsia" w:ascii="宋体" w:hAnsi="宋体"/>
          <w:i w:val="0"/>
          <w:iCs w:val="0"/>
          <w:szCs w:val="21"/>
          <w:highlight w:val="none"/>
        </w:rPr>
        <w:t>（7）负责编制施工组织设计、施工排期方案、空间效果示意图、设备连接拓扑图、设备及强弱电点位图等技术文件，交采购人审核后执行。</w:t>
      </w:r>
    </w:p>
    <w:p w14:paraId="2C15F219">
      <w:pPr>
        <w:adjustRightInd w:val="0"/>
        <w:snapToGrid w:val="0"/>
        <w:spacing w:line="360" w:lineRule="auto"/>
        <w:ind w:firstLine="420" w:firstLineChars="200"/>
        <w:rPr>
          <w:rFonts w:ascii="宋体" w:hAnsi="宋体"/>
          <w:i w:val="0"/>
          <w:iCs w:val="0"/>
          <w:szCs w:val="21"/>
          <w:highlight w:val="none"/>
        </w:rPr>
      </w:pPr>
      <w:r>
        <w:rPr>
          <w:rFonts w:hint="eastAsia" w:ascii="宋体" w:hAnsi="宋体"/>
          <w:i w:val="0"/>
          <w:iCs w:val="0"/>
          <w:szCs w:val="21"/>
          <w:highlight w:val="none"/>
        </w:rPr>
        <w:t>（8）负责编制质量控制体系和措施，施工工序、设备安装和软件系统调（测）试均应在施工前先编制技术方案，施工后进行质量自验，保证项目质量符合国家和上海市有关技术标准与规范要求。</w:t>
      </w:r>
    </w:p>
    <w:p w14:paraId="04BFCC62">
      <w:pPr>
        <w:adjustRightInd w:val="0"/>
        <w:snapToGrid w:val="0"/>
        <w:spacing w:line="360" w:lineRule="auto"/>
        <w:ind w:firstLine="420" w:firstLineChars="200"/>
        <w:rPr>
          <w:rFonts w:ascii="宋体" w:hAnsi="宋体"/>
          <w:i w:val="0"/>
          <w:iCs w:val="0"/>
          <w:szCs w:val="21"/>
          <w:highlight w:val="none"/>
        </w:rPr>
      </w:pPr>
      <w:r>
        <w:rPr>
          <w:rFonts w:hint="eastAsia" w:ascii="宋体" w:hAnsi="宋体"/>
          <w:i w:val="0"/>
          <w:iCs w:val="0"/>
          <w:szCs w:val="21"/>
          <w:highlight w:val="none"/>
        </w:rPr>
        <w:t>（9）负责编制工程进度计划和措施，确保工期。若计划需变更，应及时调整进度计划。</w:t>
      </w:r>
    </w:p>
    <w:p w14:paraId="78EB3617">
      <w:pPr>
        <w:adjustRightInd w:val="0"/>
        <w:snapToGrid w:val="0"/>
        <w:spacing w:line="360" w:lineRule="auto"/>
        <w:ind w:firstLine="420" w:firstLineChars="200"/>
        <w:rPr>
          <w:rFonts w:ascii="宋体" w:hAnsi="宋体"/>
          <w:i w:val="0"/>
          <w:iCs w:val="0"/>
          <w:szCs w:val="21"/>
          <w:highlight w:val="none"/>
        </w:rPr>
      </w:pPr>
      <w:r>
        <w:rPr>
          <w:rFonts w:hint="eastAsia" w:ascii="宋体" w:hAnsi="宋体"/>
          <w:i w:val="0"/>
          <w:iCs w:val="0"/>
          <w:szCs w:val="21"/>
          <w:highlight w:val="none"/>
        </w:rPr>
        <w:t>（10）协助采购人和主管部门完成工程验收工作。验收按国家和上海市的有关技术标准与规范进行。</w:t>
      </w:r>
    </w:p>
    <w:p w14:paraId="4B23EB47">
      <w:pPr>
        <w:adjustRightInd w:val="0"/>
        <w:snapToGrid w:val="0"/>
        <w:spacing w:line="360" w:lineRule="auto"/>
        <w:ind w:firstLine="420" w:firstLineChars="200"/>
        <w:rPr>
          <w:rFonts w:ascii="宋体" w:hAnsi="宋体"/>
          <w:i w:val="0"/>
          <w:iCs w:val="0"/>
          <w:szCs w:val="21"/>
          <w:highlight w:val="none"/>
        </w:rPr>
      </w:pPr>
      <w:r>
        <w:rPr>
          <w:rFonts w:hint="eastAsia" w:ascii="宋体" w:hAnsi="宋体"/>
          <w:i w:val="0"/>
          <w:iCs w:val="0"/>
          <w:szCs w:val="21"/>
          <w:highlight w:val="none"/>
        </w:rPr>
        <w:t>（11）负责完成工程竣工图纸与资料的编制工作，并在完工交付使用前提交工程竣工资料。</w:t>
      </w:r>
    </w:p>
    <w:p w14:paraId="21E56FD1">
      <w:pPr>
        <w:adjustRightInd w:val="0"/>
        <w:snapToGrid w:val="0"/>
        <w:spacing w:line="360" w:lineRule="auto"/>
        <w:ind w:firstLine="420" w:firstLineChars="200"/>
        <w:rPr>
          <w:rFonts w:ascii="宋体" w:hAnsi="宋体"/>
          <w:szCs w:val="21"/>
        </w:rPr>
      </w:pPr>
      <w:r>
        <w:rPr>
          <w:rFonts w:hint="eastAsia" w:ascii="宋体" w:hAnsi="宋体"/>
          <w:i w:val="0"/>
          <w:iCs w:val="0"/>
          <w:szCs w:val="21"/>
          <w:highlight w:val="none"/>
        </w:rPr>
        <w:t>（12）负责采购人人员的技术培训，并提供使用手</w:t>
      </w:r>
      <w:r>
        <w:rPr>
          <w:rFonts w:hint="eastAsia" w:ascii="宋体" w:hAnsi="宋体"/>
          <w:szCs w:val="21"/>
        </w:rPr>
        <w:t>册，保证达到独立上岗操作与日常维护的水平。</w:t>
      </w:r>
    </w:p>
    <w:p w14:paraId="3A88EE37">
      <w:pPr>
        <w:adjustRightInd w:val="0"/>
        <w:snapToGrid w:val="0"/>
        <w:spacing w:line="360" w:lineRule="auto"/>
        <w:ind w:firstLine="420" w:firstLineChars="200"/>
        <w:rPr>
          <w:rFonts w:ascii="宋体" w:hAnsi="宋体"/>
          <w:szCs w:val="21"/>
        </w:rPr>
      </w:pPr>
      <w:r>
        <w:rPr>
          <w:rFonts w:hint="eastAsia" w:ascii="宋体" w:hAnsi="宋体"/>
          <w:szCs w:val="21"/>
        </w:rPr>
        <w:t>（13）指派专人负责施工现场的安全，防止隐患，文明施工。</w:t>
      </w:r>
    </w:p>
    <w:p w14:paraId="344AB0F4">
      <w:pPr>
        <w:adjustRightInd w:val="0"/>
        <w:snapToGrid w:val="0"/>
        <w:spacing w:line="360" w:lineRule="auto"/>
        <w:ind w:firstLine="420" w:firstLineChars="200"/>
        <w:rPr>
          <w:rFonts w:ascii="宋体" w:hAnsi="宋体"/>
          <w:szCs w:val="21"/>
        </w:rPr>
      </w:pPr>
      <w:r>
        <w:rPr>
          <w:rFonts w:hint="eastAsia" w:ascii="宋体" w:hAnsi="宋体"/>
          <w:szCs w:val="21"/>
        </w:rPr>
        <w:t>（14）委派本单位具有承接本项目能力与经验的人员组成分项目工程项目组，并确保项目经理及主要人员具备相应资质和常驻工地。未经</w:t>
      </w:r>
      <w:r>
        <w:rPr>
          <w:rFonts w:hint="eastAsia" w:ascii="宋体" w:hAnsi="宋体"/>
          <w:i w:val="0"/>
          <w:iCs w:val="0"/>
          <w:szCs w:val="21"/>
          <w:highlight w:val="none"/>
        </w:rPr>
        <w:t>采购人同意</w:t>
      </w:r>
      <w:r>
        <w:rPr>
          <w:rFonts w:hint="eastAsia" w:ascii="宋体" w:hAnsi="宋体"/>
          <w:szCs w:val="21"/>
        </w:rPr>
        <w:t>，不得更换项目经理组成员。</w:t>
      </w:r>
    </w:p>
    <w:p w14:paraId="639272AC">
      <w:pPr>
        <w:adjustRightInd w:val="0"/>
        <w:snapToGrid w:val="0"/>
        <w:spacing w:line="360" w:lineRule="auto"/>
        <w:ind w:firstLine="420" w:firstLineChars="200"/>
        <w:rPr>
          <w:rFonts w:ascii="宋体" w:hAnsi="宋体"/>
          <w:szCs w:val="21"/>
        </w:rPr>
      </w:pPr>
      <w:r>
        <w:rPr>
          <w:rFonts w:hint="eastAsia" w:ascii="宋体" w:hAnsi="宋体"/>
          <w:szCs w:val="21"/>
        </w:rPr>
        <w:t>（15）负责项目售后服务（项目产品及软件免费保修期</w:t>
      </w:r>
      <w:r>
        <w:rPr>
          <w:rFonts w:hint="eastAsia" w:ascii="宋体" w:hAnsi="宋体"/>
          <w:b/>
          <w:szCs w:val="21"/>
        </w:rPr>
        <w:t>不得低于3年</w:t>
      </w:r>
      <w:r>
        <w:rPr>
          <w:rFonts w:hint="eastAsia" w:ascii="宋体" w:hAnsi="宋体"/>
          <w:szCs w:val="21"/>
        </w:rPr>
        <w:t>）。</w:t>
      </w:r>
    </w:p>
    <w:p w14:paraId="39ECBFEC">
      <w:pPr>
        <w:adjustRightInd w:val="0"/>
        <w:snapToGrid w:val="0"/>
        <w:spacing w:line="360" w:lineRule="auto"/>
        <w:ind w:firstLine="420" w:firstLineChars="200"/>
        <w:rPr>
          <w:rFonts w:hint="eastAsia" w:ascii="宋体" w:hAnsi="宋体"/>
          <w:szCs w:val="21"/>
        </w:rPr>
      </w:pPr>
      <w:r>
        <w:rPr>
          <w:rFonts w:hint="eastAsia" w:ascii="宋体" w:hAnsi="宋体"/>
          <w:szCs w:val="21"/>
        </w:rPr>
        <w:t>（16）负责完成项目其他相关工作内容。</w:t>
      </w:r>
    </w:p>
    <w:p w14:paraId="3FA04A3F">
      <w:pPr>
        <w:adjustRightInd w:val="0"/>
        <w:snapToGrid w:val="0"/>
        <w:spacing w:line="360" w:lineRule="auto"/>
        <w:ind w:firstLine="420" w:firstLineChars="200"/>
        <w:rPr>
          <w:rFonts w:hint="eastAsia" w:ascii="宋体" w:hAnsi="宋体"/>
          <w:szCs w:val="21"/>
        </w:rPr>
      </w:pPr>
      <w:r>
        <w:rPr>
          <w:rFonts w:hint="eastAsia" w:ascii="宋体" w:hAnsi="宋体"/>
          <w:szCs w:val="21"/>
        </w:rPr>
        <w:t>（17）</w:t>
      </w:r>
      <w:r>
        <w:rPr>
          <w:rFonts w:hint="eastAsia" w:ascii="宋体" w:hAnsi="宋体"/>
          <w:szCs w:val="21"/>
          <w:lang w:eastAsia="zh-CN"/>
        </w:rPr>
        <w:t>投标人</w:t>
      </w:r>
      <w:r>
        <w:rPr>
          <w:rFonts w:hint="eastAsia" w:ascii="宋体" w:hAnsi="宋体"/>
          <w:szCs w:val="21"/>
        </w:rPr>
        <w:t>必须在深入了解项目建设背景及内容的基础上，进行细化设计，定义、明确各个项目空间的功能要求、教学需求等。</w:t>
      </w:r>
    </w:p>
    <w:p w14:paraId="15035749">
      <w:pPr>
        <w:adjustRightInd w:val="0"/>
        <w:snapToGrid w:val="0"/>
        <w:spacing w:line="360" w:lineRule="auto"/>
        <w:ind w:firstLine="420" w:firstLineChars="200"/>
        <w:rPr>
          <w:rFonts w:hint="eastAsia" w:ascii="宋体" w:hAnsi="宋体"/>
          <w:szCs w:val="21"/>
        </w:rPr>
      </w:pPr>
    </w:p>
    <w:p w14:paraId="7321DDE0">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五、项目总体要求</w:t>
      </w:r>
    </w:p>
    <w:p w14:paraId="081012FA">
      <w:pPr>
        <w:spacing w:line="360" w:lineRule="auto"/>
        <w:ind w:firstLine="420" w:firstLineChars="200"/>
        <w:rPr>
          <w:rFonts w:hint="eastAsia" w:ascii="宋体" w:hAnsi="宋体"/>
          <w:szCs w:val="21"/>
        </w:rPr>
      </w:pPr>
      <w:r>
        <w:rPr>
          <w:rFonts w:hint="eastAsia" w:ascii="宋体" w:hAnsi="宋体"/>
          <w:szCs w:val="21"/>
        </w:rPr>
        <w:t>本项目建设内容是为了扎实推进本区中小学人工智能课程建设与实施，进一步深化课程教学改革，提升本区中小学生人工智能素养。建设的初衷就是要从满足学生未来发展需要、服务国家战略需求的角度，将新建校提前布局人工智能教育基础设施和空间。本项目将积极引入人工智能应用软件资源、通过虚拟现实技术创设沉浸式超仿真应用场景，加强学生对于人工智能的了解和体验，帮助学生习得在真实情境中应用人工智能解决真实问题。除此之外，该项目还充分融入高品质跨学科学习数字资源，综合运用问题式学习、项目化学习、研究性学习、跨学科学习等方式，强化人工智能课程与跨学科活动课程的联系与融合，培养学生批判性思维、创造性思维和团队协作能力。学校在学生利用人工智能工具进行人机共创时，非常注重数据保存，也非常注重学生人工智能课程学习创作的过程性评价以及成果产出，本项目也充分利用沉浸式AIGC课程编辑创作云平台和学生作品成果互动展示平台构建了一整套多元主体、人机协同的教育评价模式，促进学生个性化发展。</w:t>
      </w:r>
    </w:p>
    <w:p w14:paraId="1BA1ECAB">
      <w:pPr>
        <w:spacing w:line="360" w:lineRule="auto"/>
        <w:ind w:firstLine="420" w:firstLineChars="200"/>
        <w:rPr>
          <w:rFonts w:hint="eastAsia" w:ascii="宋体" w:hAnsi="宋体" w:cs="宋体"/>
          <w:b/>
          <w:szCs w:val="21"/>
        </w:rPr>
      </w:pPr>
      <w:r>
        <w:rPr>
          <w:rFonts w:hint="eastAsia" w:ascii="宋体" w:hAnsi="宋体"/>
          <w:b w:val="0"/>
          <w:bCs w:val="0"/>
          <w:i w:val="0"/>
          <w:iCs w:val="0"/>
          <w:szCs w:val="21"/>
          <w:highlight w:val="none"/>
        </w:rPr>
        <w:t>跨学科综合学习空间中的重点区域（即上图红色标注区域内），该重点区域通过次世代的实时3D互动内容创作引擎，将高分辨率的实时动态立体影像显示技术、多通道画面同步融合技术、环绕立体声音响技术、超大墙面和地面的人工智能交互技术完美地融合在一起，再匹配8K分辨率的跨学科数字软件资源，打造一个被三维立体空间影像所包围的、超强沉浸感的数字化虚拟仿真环境。该空间打破虚拟与现实的界限、学科间知识壁垒，从教、学、评、练、测、展和数字人对话等多维度为师生提供创新型的AI人机交互学习方式，助力学校跨学科课研及项目化学习实践的有效实践和落地，从而推动学校教学数字化转型。此次项目打造的沉浸式学习环境，有助于提升学生的学习兴趣和效率。利用人工智能技术，将不同学科知识进行有机整合，帮助教师设计出高品质的跨学科课件资源，培养教师在人工智能时代下，与时俱进的综合信息化整合运用能力。创新教学模式，构建智能化教学体系。最后，我们利用数字人对话等技术，实现个性化AI教学，构建智能化教学体系，提升教学质量。本次项目将通过沉浸式跨学科人工智能实验室的建设，培养学生的创新思维、实践能力和团队合作精神，为未来教育发展培养创新型人才。</w:t>
      </w:r>
    </w:p>
    <w:p w14:paraId="4B3B2044">
      <w:pPr>
        <w:spacing w:line="360" w:lineRule="auto"/>
        <w:ind w:firstLine="422" w:firstLineChars="200"/>
        <w:rPr>
          <w:rFonts w:hint="eastAsia" w:ascii="宋体" w:hAnsi="宋体" w:cs="宋体"/>
          <w:b/>
          <w:szCs w:val="21"/>
        </w:rPr>
      </w:pPr>
    </w:p>
    <w:p w14:paraId="024A4AA9">
      <w:pPr>
        <w:adjustRightInd w:val="0"/>
        <w:snapToGrid w:val="0"/>
        <w:spacing w:line="360" w:lineRule="auto"/>
        <w:rPr>
          <w:rFonts w:hint="eastAsia" w:ascii="宋体" w:hAnsi="宋体" w:cs="宋体"/>
          <w:b/>
          <w:szCs w:val="21"/>
        </w:rPr>
      </w:pPr>
      <w:r>
        <w:rPr>
          <w:rFonts w:hint="eastAsia" w:ascii="宋体" w:hAnsi="宋体" w:cs="宋体"/>
          <w:b/>
          <w:szCs w:val="21"/>
        </w:rPr>
        <w:t>六、项目清单</w:t>
      </w:r>
    </w:p>
    <w:p w14:paraId="1A7D9C38">
      <w:pPr>
        <w:tabs>
          <w:tab w:val="left" w:pos="900"/>
        </w:tabs>
        <w:spacing w:before="156" w:beforeLines="50" w:after="120" w:line="360" w:lineRule="auto"/>
        <w:ind w:left="357"/>
        <w:outlineLvl w:val="0"/>
        <w:rPr>
          <w:rFonts w:hint="eastAsia" w:ascii="宋体" w:hAnsi="宋体" w:cs="宋体"/>
          <w:b/>
          <w:szCs w:val="21"/>
        </w:rPr>
      </w:pPr>
      <w:r>
        <w:rPr>
          <w:rFonts w:hint="eastAsia" w:ascii="宋体" w:hAnsi="宋体" w:cs="宋体"/>
          <w:b/>
          <w:szCs w:val="21"/>
        </w:rPr>
        <w:t>（一）采购具体要求</w:t>
      </w:r>
    </w:p>
    <w:p w14:paraId="1AAF7DE8">
      <w:pPr>
        <w:tabs>
          <w:tab w:val="left" w:pos="900"/>
        </w:tabs>
        <w:spacing w:before="156" w:beforeLines="50" w:after="120" w:line="360" w:lineRule="auto"/>
        <w:ind w:left="357" w:firstLine="422" w:firstLineChars="200"/>
        <w:jc w:val="left"/>
        <w:rPr>
          <w:rFonts w:hint="eastAsia" w:ascii="宋体" w:hAnsi="宋体"/>
          <w:b/>
          <w:bCs/>
          <w:szCs w:val="21"/>
        </w:rPr>
      </w:pPr>
      <w:r>
        <w:rPr>
          <w:rFonts w:hint="eastAsia" w:ascii="宋体" w:hAnsi="宋体"/>
          <w:b/>
          <w:bCs/>
          <w:szCs w:val="21"/>
        </w:rPr>
        <w:t>沉浸式跨学科人工智能实验室</w:t>
      </w:r>
    </w:p>
    <w:p w14:paraId="3900D2B2">
      <w:pPr>
        <w:tabs>
          <w:tab w:val="left" w:pos="900"/>
        </w:tabs>
        <w:spacing w:before="156" w:beforeLines="50" w:after="120" w:line="360" w:lineRule="auto"/>
        <w:ind w:left="357" w:firstLine="420" w:firstLineChars="200"/>
        <w:jc w:val="left"/>
        <w:rPr>
          <w:rFonts w:hint="eastAsia"/>
          <w:szCs w:val="21"/>
        </w:rPr>
      </w:pPr>
      <w:r>
        <w:rPr>
          <w:rFonts w:hint="eastAsia"/>
          <w:szCs w:val="21"/>
        </w:rPr>
        <w:t>1.学习场景智慧化：打造一个沉浸式、交互式、虚实结合的学习环境，让学生身临其境、多维感官体验式学习，激发学生的学习兴趣和探索欲望，因此需要采购沉浸式跨学科人工智能实验室配套多通道融合显示系统、学生作品图像扫描录入系统、精准触控传感器设备、多终端智能网络中控系统等；</w:t>
      </w:r>
    </w:p>
    <w:p w14:paraId="14231C50">
      <w:pPr>
        <w:tabs>
          <w:tab w:val="left" w:pos="900"/>
        </w:tabs>
        <w:spacing w:before="156" w:beforeLines="50" w:after="120" w:line="360" w:lineRule="auto"/>
        <w:ind w:left="357" w:firstLine="420" w:firstLineChars="200"/>
        <w:jc w:val="left"/>
        <w:rPr>
          <w:rFonts w:hint="eastAsia"/>
          <w:szCs w:val="21"/>
        </w:rPr>
      </w:pPr>
      <w:r>
        <w:rPr>
          <w:rFonts w:hint="eastAsia"/>
          <w:szCs w:val="21"/>
        </w:rPr>
        <w:t>2.教学模式创新：通过AIGC技术的应用，推动课堂教学模式的创新，实现教师组织学生进行虚拟仿真情境化学习、教师引导学生进行AI人机共创式学习，提高教育教学的质量和效率，这些需要配套对应的“传统文化类”、“科学探究类”、“艺术类”和“心理健康类”教学软件资源；</w:t>
      </w:r>
    </w:p>
    <w:p w14:paraId="37EB77A0">
      <w:pPr>
        <w:tabs>
          <w:tab w:val="left" w:pos="900"/>
        </w:tabs>
        <w:spacing w:before="156" w:beforeLines="50" w:after="120" w:line="360" w:lineRule="auto"/>
        <w:ind w:left="357" w:firstLine="420" w:firstLineChars="200"/>
        <w:jc w:val="left"/>
        <w:rPr>
          <w:rFonts w:hint="eastAsia"/>
          <w:szCs w:val="21"/>
        </w:rPr>
      </w:pPr>
      <w:r>
        <w:rPr>
          <w:rFonts w:hint="eastAsia"/>
          <w:szCs w:val="21"/>
        </w:rPr>
        <w:t>3.师资能力提升：为教师进行跨学科与人工智能相关的课程研发及综合实践活动课程研发提供AIGC平台工具，提升学校数字化校本课程研发的整体综合素养，因此需要采购教师专用沉浸式AIGC课程编辑创作云平台；</w:t>
      </w:r>
    </w:p>
    <w:p w14:paraId="7D38BEC6">
      <w:pPr>
        <w:tabs>
          <w:tab w:val="left" w:pos="900"/>
        </w:tabs>
        <w:spacing w:before="156" w:beforeLines="50" w:after="120" w:line="360" w:lineRule="auto"/>
        <w:ind w:left="357" w:firstLine="420" w:firstLineChars="200"/>
        <w:jc w:val="left"/>
        <w:rPr>
          <w:rFonts w:hint="eastAsia"/>
          <w:szCs w:val="21"/>
        </w:rPr>
      </w:pPr>
      <w:r>
        <w:rPr>
          <w:rFonts w:hint="eastAsia"/>
          <w:szCs w:val="21"/>
        </w:rPr>
        <w:t>4.学生创新思维与实践能力提升：将人工智能与其他学科知识相结合，打破学科间知识壁垒，开展创新性实验和项目，提升学生的创新能力和解决复杂问题的实践能力，因此需要采购3D打印机和相关软件资源。</w:t>
      </w:r>
    </w:p>
    <w:p w14:paraId="5F9BEE50">
      <w:pPr>
        <w:tabs>
          <w:tab w:val="left" w:pos="900"/>
        </w:tabs>
        <w:spacing w:before="156" w:beforeLines="50" w:after="120" w:line="360" w:lineRule="auto"/>
        <w:ind w:left="357" w:firstLine="420" w:firstLineChars="200"/>
        <w:jc w:val="left"/>
        <w:rPr>
          <w:rFonts w:hint="eastAsia"/>
          <w:szCs w:val="21"/>
        </w:rPr>
      </w:pPr>
      <w:r>
        <w:rPr>
          <w:rFonts w:hint="eastAsia"/>
          <w:szCs w:val="21"/>
        </w:rPr>
        <w:t>5.成果展示与交流：展示师生的创新成果，促进校内的交流与合作。因此需要采购学生作品成果互动展示平台系统。</w:t>
      </w:r>
    </w:p>
    <w:p w14:paraId="22478951">
      <w:pPr>
        <w:tabs>
          <w:tab w:val="left" w:pos="900"/>
        </w:tabs>
        <w:spacing w:before="156" w:beforeLines="50" w:after="120" w:line="360" w:lineRule="auto"/>
        <w:ind w:left="357" w:firstLine="422" w:firstLineChars="200"/>
        <w:jc w:val="left"/>
        <w:rPr>
          <w:rFonts w:hint="eastAsia"/>
          <w:b/>
          <w:bCs/>
          <w:szCs w:val="21"/>
        </w:rPr>
      </w:pPr>
      <w:r>
        <w:rPr>
          <w:rFonts w:hint="eastAsia"/>
          <w:b/>
          <w:bCs/>
          <w:szCs w:val="21"/>
        </w:rPr>
        <w:t>空间全息玻璃学生作品创意展示墙</w:t>
      </w:r>
    </w:p>
    <w:p w14:paraId="608069DB">
      <w:pPr>
        <w:tabs>
          <w:tab w:val="left" w:pos="900"/>
        </w:tabs>
        <w:spacing w:before="156" w:beforeLines="50" w:after="120" w:line="360" w:lineRule="auto"/>
        <w:ind w:left="357" w:right="105" w:rightChars="50" w:firstLine="420" w:firstLineChars="200"/>
        <w:jc w:val="left"/>
        <w:rPr>
          <w:rFonts w:hint="eastAsia"/>
          <w:szCs w:val="21"/>
        </w:rPr>
      </w:pPr>
      <w:r>
        <w:rPr>
          <w:rFonts w:hint="eastAsia"/>
          <w:szCs w:val="21"/>
        </w:rPr>
        <w:t>空间全息玻璃学生作品创意展示墙设备核心是通过3D MAPPING背投技术、超大墙面人机交互技术与电控雾化玻璃成像技术进行融合，最终将学生作品及教学成果数字化展出，通过一套学生作品成果互动展示平台系统，精准发布展示在教室走廊玻璃载体上，智能化展示师生的创新作品，促进校内的交流与合作。</w:t>
      </w:r>
    </w:p>
    <w:p w14:paraId="29FCB54B">
      <w:pPr>
        <w:tabs>
          <w:tab w:val="left" w:pos="900"/>
        </w:tabs>
        <w:spacing w:before="156" w:beforeLines="50" w:after="120" w:line="360" w:lineRule="auto"/>
        <w:ind w:left="357" w:right="105" w:rightChars="50" w:firstLine="420" w:firstLineChars="200"/>
        <w:jc w:val="left"/>
        <w:rPr>
          <w:szCs w:val="21"/>
        </w:rPr>
      </w:pPr>
      <w:r>
        <w:rPr>
          <w:szCs w:val="21"/>
        </w:rPr>
        <w:t>技术维护和综合服务</w:t>
      </w:r>
    </w:p>
    <w:p w14:paraId="59FE3FC6">
      <w:pPr>
        <w:tabs>
          <w:tab w:val="left" w:pos="900"/>
        </w:tabs>
        <w:spacing w:before="156" w:beforeLines="50" w:after="120" w:line="360" w:lineRule="auto"/>
        <w:ind w:left="357" w:right="105" w:rightChars="50" w:firstLine="420" w:firstLineChars="200"/>
        <w:jc w:val="left"/>
        <w:rPr>
          <w:szCs w:val="21"/>
        </w:rPr>
      </w:pPr>
      <w:r>
        <w:rPr>
          <w:rFonts w:hint="eastAsia"/>
          <w:szCs w:val="21"/>
        </w:rPr>
        <w:t>需要提供全部设备的集成安装、机房部署、软件系统调试、必要的环创服务、配套的培训服务和售后服务。</w:t>
      </w:r>
    </w:p>
    <w:p w14:paraId="1226D0AC">
      <w:pPr>
        <w:tabs>
          <w:tab w:val="left" w:pos="900"/>
        </w:tabs>
        <w:spacing w:before="156" w:beforeLines="50" w:after="120" w:line="360" w:lineRule="auto"/>
        <w:ind w:left="357"/>
        <w:outlineLvl w:val="0"/>
        <w:rPr>
          <w:rFonts w:hint="eastAsia" w:ascii="宋体" w:hAnsi="宋体" w:cs="宋体"/>
          <w:b/>
          <w:szCs w:val="21"/>
        </w:rPr>
      </w:pPr>
      <w:r>
        <w:rPr>
          <w:rFonts w:hint="eastAsia" w:ascii="宋体" w:hAnsi="宋体" w:cs="宋体"/>
          <w:b/>
          <w:szCs w:val="21"/>
        </w:rPr>
        <w:t>（二）设备清单及技术参数</w:t>
      </w:r>
    </w:p>
    <w:p w14:paraId="697DE66C">
      <w:pPr>
        <w:pStyle w:val="2"/>
        <w:spacing w:before="0" w:beforeAutospacing="0" w:after="0" w:afterAutospacing="0" w:line="360" w:lineRule="auto"/>
        <w:ind w:firstLine="422" w:firstLineChars="200"/>
        <w:rPr>
          <w:rFonts w:cs="宋体"/>
          <w:bCs/>
          <w:sz w:val="28"/>
          <w:szCs w:val="28"/>
        </w:rPr>
      </w:pPr>
      <w:r>
        <w:rPr>
          <w:rFonts w:hint="eastAsia"/>
          <w:b/>
          <w:bCs/>
          <w:sz w:val="21"/>
          <w:szCs w:val="21"/>
        </w:rPr>
        <w:t>注：“▲”为重要指标，不满足评分时做扣分处理，具体扣分办法详见第六章“评分办法”。</w:t>
      </w:r>
    </w:p>
    <w:tbl>
      <w:tblPr>
        <w:tblStyle w:val="3"/>
        <w:tblW w:w="9752" w:type="dxa"/>
        <w:tblInd w:w="-358" w:type="dxa"/>
        <w:tblLayout w:type="fixed"/>
        <w:tblCellMar>
          <w:top w:w="0" w:type="dxa"/>
          <w:left w:w="108" w:type="dxa"/>
          <w:bottom w:w="0" w:type="dxa"/>
          <w:right w:w="108" w:type="dxa"/>
        </w:tblCellMar>
      </w:tblPr>
      <w:tblGrid>
        <w:gridCol w:w="673"/>
        <w:gridCol w:w="1792"/>
        <w:gridCol w:w="745"/>
        <w:gridCol w:w="840"/>
        <w:gridCol w:w="5702"/>
      </w:tblGrid>
      <w:tr w14:paraId="14A8F467">
        <w:tblPrEx>
          <w:tblCellMar>
            <w:top w:w="0" w:type="dxa"/>
            <w:left w:w="108" w:type="dxa"/>
            <w:bottom w:w="0" w:type="dxa"/>
            <w:right w:w="108" w:type="dxa"/>
          </w:tblCellMar>
        </w:tblPrEx>
        <w:trPr>
          <w:trHeight w:val="657" w:hRule="atLeast"/>
        </w:trPr>
        <w:tc>
          <w:tcPr>
            <w:tcW w:w="9752" w:type="dxa"/>
            <w:gridSpan w:val="5"/>
            <w:tcBorders>
              <w:top w:val="single" w:color="000000" w:sz="4" w:space="0"/>
              <w:left w:val="single" w:color="000000" w:sz="4" w:space="0"/>
              <w:bottom w:val="single" w:color="000000" w:sz="4" w:space="0"/>
              <w:right w:val="single" w:color="000000" w:sz="4" w:space="0"/>
            </w:tcBorders>
            <w:noWrap w:val="0"/>
            <w:vAlign w:val="center"/>
          </w:tcPr>
          <w:p w14:paraId="71841309">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一、沉浸式跨学科人工智能实验室清单及技术参数</w:t>
            </w:r>
          </w:p>
        </w:tc>
      </w:tr>
      <w:tr w14:paraId="16106135">
        <w:tblPrEx>
          <w:tblCellMar>
            <w:top w:w="0" w:type="dxa"/>
            <w:left w:w="108" w:type="dxa"/>
            <w:bottom w:w="0" w:type="dxa"/>
            <w:right w:w="108" w:type="dxa"/>
          </w:tblCellMar>
        </w:tblPrEx>
        <w:trPr>
          <w:trHeight w:val="435"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F8F92A9">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6F79B528">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名称</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E089A71">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数量</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7B0041">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71E2BE06">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技术参数</w:t>
            </w:r>
          </w:p>
        </w:tc>
      </w:tr>
      <w:tr w14:paraId="023E960A">
        <w:tblPrEx>
          <w:tblCellMar>
            <w:top w:w="0" w:type="dxa"/>
            <w:left w:w="108" w:type="dxa"/>
            <w:bottom w:w="0" w:type="dxa"/>
            <w:right w:w="108" w:type="dxa"/>
          </w:tblCellMar>
        </w:tblPrEx>
        <w:trPr>
          <w:trHeight w:val="716"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798EA551">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70611EC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沉浸式跨学科人工智能实验室多通道融合显示系统</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0026BDF3">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FFD3A38">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通道</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5E1F2EB5">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多通道融合显示系统需要满足至少7台投影显示单元的融合带处理、异形画面裁切、多点校准、几何校正处理的融合显示功能，详细支持功能如下：</w:t>
            </w:r>
          </w:p>
          <w:p w14:paraId="5E7C73F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1.支持图像获取识别预处理模块：支持画面预制自适应处理，识别获取显示设备输出的图像参数；</w:t>
            </w:r>
          </w:p>
          <w:p w14:paraId="580CEF4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2.支持平面、曲面、异型面、各自定义曲面图像处理校正模块；</w:t>
            </w:r>
          </w:p>
          <w:p w14:paraId="41B6360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3.支持适应不同场景的图形校正；</w:t>
            </w:r>
          </w:p>
          <w:p w14:paraId="5FDAC28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4.支持线性、非线性、均匀、非均匀图像校正；</w:t>
            </w:r>
          </w:p>
          <w:p w14:paraId="4A92D6C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5.支持变形处理：支持对所处理的图像进行不同级别的校正变换；</w:t>
            </w:r>
          </w:p>
          <w:p w14:paraId="611A50E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6.支持多通道图像同步变形处理：支持根据现场建筑环境角度调试画面；</w:t>
            </w:r>
          </w:p>
          <w:p w14:paraId="1437756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7.支持多通道投影颜色校正、亮度、色彩、饱和度、均匀性调整处理；</w:t>
            </w:r>
          </w:p>
          <w:p w14:paraId="76D5B2E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8.支持多分辨率、多模式融合处理、多通道图像实时、无缝处理；</w:t>
            </w:r>
          </w:p>
          <w:p w14:paraId="1DA2029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9.支持N*N模式图像上下左右四面边缘羽化融合处理。</w:t>
            </w:r>
          </w:p>
          <w:p w14:paraId="29B2C22F">
            <w:pPr>
              <w:widowControl/>
              <w:spacing w:line="360" w:lineRule="auto"/>
              <w:jc w:val="left"/>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▲提供相关测试报告为佐证材料。</w:t>
            </w:r>
          </w:p>
        </w:tc>
      </w:tr>
      <w:tr w14:paraId="66B6AF62">
        <w:tblPrEx>
          <w:tblCellMar>
            <w:top w:w="0" w:type="dxa"/>
            <w:left w:w="108" w:type="dxa"/>
            <w:bottom w:w="0" w:type="dxa"/>
            <w:right w:w="108" w:type="dxa"/>
          </w:tblCellMar>
        </w:tblPrEx>
        <w:trPr>
          <w:trHeight w:val="716"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5D31E8B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015D15A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沉浸式投影显示单元吊杆配件</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8C59D71">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4BA8999">
            <w:pPr>
              <w:widowControl/>
              <w:spacing w:line="360" w:lineRule="auto"/>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6CCBADD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定制工程投影设备专用吊杆，支持1.5米可调伸缩长度，支持吊杆管内排线。</w:t>
            </w:r>
          </w:p>
        </w:tc>
      </w:tr>
      <w:tr w14:paraId="66A3EFEE">
        <w:tblPrEx>
          <w:tblCellMar>
            <w:top w:w="0" w:type="dxa"/>
            <w:left w:w="108" w:type="dxa"/>
            <w:bottom w:w="0" w:type="dxa"/>
            <w:right w:w="108" w:type="dxa"/>
          </w:tblCellMar>
        </w:tblPrEx>
        <w:trPr>
          <w:trHeight w:val="716"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52D55C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53B372C3">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沉浸式投影显示单元配套短焦镜头</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08C3EB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4868C8C">
            <w:pPr>
              <w:widowControl/>
              <w:spacing w:line="360" w:lineRule="auto"/>
              <w:jc w:val="center"/>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val="en-US" w:eastAsia="zh-CN" w:bidi="ar"/>
              </w:rPr>
              <w:t>支</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101C773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短焦镜头投射比：满足0.6：1的投射比要求；</w:t>
            </w:r>
          </w:p>
          <w:p w14:paraId="5D19968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镜头材质：金属镜筒+玻璃+非球面镜片；</w:t>
            </w:r>
          </w:p>
          <w:p w14:paraId="47442A85">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横向色差：支持≤0.8pix。</w:t>
            </w:r>
          </w:p>
        </w:tc>
      </w:tr>
      <w:tr w14:paraId="4298C143">
        <w:tblPrEx>
          <w:tblCellMar>
            <w:top w:w="0" w:type="dxa"/>
            <w:left w:w="108" w:type="dxa"/>
            <w:bottom w:w="0" w:type="dxa"/>
            <w:right w:w="108" w:type="dxa"/>
          </w:tblCellMar>
        </w:tblPrEx>
        <w:trPr>
          <w:trHeight w:val="37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1B498750">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1E262422">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学生作品图像扫描录入系统（含高速多媒介扫描设备）</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7021067">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 xml:space="preserve">1 </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CFE01F2">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1C0930A2">
            <w:pPr>
              <w:widowControl/>
              <w:spacing w:line="360" w:lineRule="auto"/>
              <w:jc w:val="left"/>
              <w:textAlignment w:val="center"/>
              <w:rPr>
                <w:rFonts w:hint="eastAsia" w:ascii="宋体" w:hAnsi="宋体" w:cs="宋体"/>
                <w:b/>
                <w:bCs/>
                <w:color w:val="000000"/>
                <w:kern w:val="0"/>
                <w:szCs w:val="21"/>
                <w:lang w:bidi="ar"/>
              </w:rPr>
            </w:pPr>
            <w:r>
              <w:rPr>
                <w:rFonts w:hint="eastAsia" w:ascii="宋体" w:hAnsi="宋体" w:cs="宋体"/>
                <w:color w:val="000000"/>
                <w:kern w:val="0"/>
                <w:szCs w:val="21"/>
                <w:lang w:bidi="ar"/>
              </w:rPr>
              <w:t>高速多媒介扫描设备的功能要求</w:t>
            </w:r>
            <w:r>
              <w:rPr>
                <w:rFonts w:hint="eastAsia" w:ascii="宋体" w:hAnsi="宋体" w:cs="宋体"/>
                <w:b/>
                <w:bCs/>
                <w:color w:val="000000"/>
                <w:kern w:val="0"/>
                <w:szCs w:val="21"/>
                <w:lang w:bidi="ar"/>
              </w:rPr>
              <w:t>：</w:t>
            </w:r>
          </w:p>
          <w:p w14:paraId="5045D73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1）扫描模式：需支持彩色、灰阶、黑白等扫描模式；</w:t>
            </w:r>
          </w:p>
          <w:p w14:paraId="147373C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2）光源图像传感器：支持减少光学透镜/彩色 CCDx1；</w:t>
            </w:r>
          </w:p>
          <w:p w14:paraId="766BB8F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3）光源：满足（白色LED+透明照明）x2；</w:t>
            </w:r>
          </w:p>
          <w:p w14:paraId="11430DB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4）光学分辨率：</w:t>
            </w:r>
          </w:p>
          <w:p w14:paraId="40EDA52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水平扫描：满足 285 至 218dpi 之间；</w:t>
            </w:r>
          </w:p>
          <w:p w14:paraId="611D141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垂直扫描：满足 283 至 152dpi 之间；</w:t>
            </w:r>
          </w:p>
          <w:p w14:paraId="5612CBB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5）速度：精细模式单张扫描速度要求 3 秒/张；</w:t>
            </w:r>
          </w:p>
          <w:p w14:paraId="19AEB68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6）扫描范围：支持自动识别文件大小，A3（横向），A4（横向），A5（横向），A6（横向），B4（横向），B5（横向），B6（横向），明信片、名片，Double Letter（横向），Letter,Legal(横向)和自定义最大（大：432*300mm；最小25.4*25.4mm；</w:t>
            </w:r>
          </w:p>
          <w:p w14:paraId="4D23006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7）纸张厚度：支持≤30mm(1.18in.)；</w:t>
            </w:r>
          </w:p>
          <w:p w14:paraId="261D488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学生作品图像扫描录入系统的功能要求：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1）系统需支持计算机视觉图形图像识别系统将纸质作品快速识别，一键快速裁切后显示，支持根据纸张上的定位码进行自定义图像精准识别和精准裁切；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2）系统需支持教师将学生作品一键扫描后，快速以数字虚拟画框形式呈现，当虚拟画框自动排列的作品超过显示最大显示界面时，系统会自动生成按钮，支持显示画面的切换和平移。</w:t>
            </w:r>
          </w:p>
          <w:p w14:paraId="162D9824">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系统需支持扫描采集后的每个学生作品以预览图的形式在数字虚拟画框中呈现，点击某一副学生作品后，该作品能以分辨率不低于152dpi的高精度显示，支持学生用双手或双指精细操作自己的数字作品，包括数字作品的放大、缩小、超大范围移动、180°旋转；</w:t>
            </w:r>
          </w:p>
          <w:p w14:paraId="0C416F1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 需提供与图形图像扫描相关的计算机软件著作证明作为佐证材料。</w:t>
            </w:r>
          </w:p>
        </w:tc>
      </w:tr>
      <w:tr w14:paraId="405B7816">
        <w:tblPrEx>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1794C20">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1F2A8A59">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沉浸式跨学科人工智能实验室墙面精准触控传感器设备</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36757826">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93E250E">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5C236490">
            <w:pPr>
              <w:widowControl/>
              <w:spacing w:line="360" w:lineRule="auto"/>
              <w:jc w:val="left"/>
              <w:textAlignment w:val="center"/>
              <w:rPr>
                <w:rFonts w:ascii="宋体" w:hAnsi="宋体" w:cs="宋体"/>
                <w:b/>
                <w:color w:val="000000"/>
                <w:kern w:val="0"/>
                <w:szCs w:val="21"/>
                <w:lang w:bidi="ar"/>
              </w:rPr>
            </w:pPr>
            <w:r>
              <w:rPr>
                <w:rFonts w:hint="eastAsia" w:ascii="宋体" w:hAnsi="宋体" w:cs="宋体"/>
                <w:b/>
                <w:bCs/>
                <w:color w:val="000000"/>
                <w:kern w:val="0"/>
                <w:szCs w:val="21"/>
                <w:lang w:bidi="ar"/>
              </w:rPr>
              <w:t>1.高精度触控识别设备：</w:t>
            </w:r>
            <w:r>
              <w:rPr>
                <w:rFonts w:hint="eastAsia" w:ascii="宋体" w:hAnsi="宋体" w:cs="宋体"/>
                <w:color w:val="000000"/>
                <w:kern w:val="0"/>
                <w:szCs w:val="21"/>
                <w:lang w:bidi="ar"/>
              </w:rPr>
              <w:br w:type="textWrapping"/>
            </w:r>
            <w:r>
              <w:rPr>
                <w:rFonts w:hint="eastAsia" w:ascii="宋体" w:hAnsi="宋体" w:cs="宋体"/>
                <w:b/>
                <w:color w:val="000000"/>
                <w:kern w:val="0"/>
                <w:szCs w:val="21"/>
                <w:lang w:bidi="ar"/>
              </w:rPr>
              <w:t>1）定位技术：支持激光影像定位技术（LICT）；</w:t>
            </w:r>
          </w:p>
          <w:p w14:paraId="06C9BC3F">
            <w:pPr>
              <w:widowControl/>
              <w:spacing w:line="360" w:lineRule="auto"/>
              <w:jc w:val="left"/>
              <w:textAlignment w:val="center"/>
              <w:rPr>
                <w:rFonts w:hint="eastAsia" w:ascii="宋体" w:hAnsi="宋体" w:cs="宋体"/>
                <w:b/>
                <w:color w:val="000000"/>
                <w:kern w:val="0"/>
                <w:szCs w:val="21"/>
                <w:lang w:bidi="ar"/>
              </w:rPr>
            </w:pPr>
            <w:r>
              <w:rPr>
                <w:rFonts w:hint="eastAsia" w:ascii="宋体" w:hAnsi="宋体" w:cs="宋体"/>
                <w:b/>
                <w:color w:val="000000"/>
                <w:kern w:val="0"/>
                <w:szCs w:val="21"/>
                <w:lang w:bidi="ar"/>
              </w:rPr>
              <w:t>2）感应面积：支持单套手掌互动最大面积≥4米X10米；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3）定位方式：支持自动校正、半自动校正、手动校正；</w:t>
            </w:r>
            <w:r>
              <w:rPr>
                <w:rFonts w:hint="eastAsia" w:ascii="宋体" w:hAnsi="宋体" w:cs="宋体"/>
                <w:color w:val="000000"/>
                <w:kern w:val="0"/>
                <w:szCs w:val="21"/>
                <w:lang w:bidi="ar"/>
              </w:rPr>
              <w:br w:type="textWrapping"/>
            </w:r>
            <w:r>
              <w:rPr>
                <w:rFonts w:hint="eastAsia" w:ascii="宋体" w:hAnsi="宋体" w:cs="宋体"/>
                <w:b/>
                <w:color w:val="000000"/>
                <w:kern w:val="0"/>
                <w:szCs w:val="21"/>
                <w:lang w:bidi="ar"/>
              </w:rPr>
              <w:t>4）触控点数：支持TUIO协议≥30个触控点；</w:t>
            </w:r>
            <w:r>
              <w:rPr>
                <w:rFonts w:hint="eastAsia" w:ascii="宋体" w:hAnsi="宋体" w:cs="宋体"/>
                <w:b/>
                <w:color w:val="000000"/>
                <w:kern w:val="0"/>
                <w:szCs w:val="21"/>
                <w:lang w:bidi="ar"/>
              </w:rPr>
              <w:br w:type="textWrapping"/>
            </w:r>
            <w:r>
              <w:rPr>
                <w:rFonts w:hint="eastAsia" w:ascii="宋体" w:hAnsi="宋体" w:cs="宋体"/>
                <w:b/>
                <w:bCs/>
                <w:color w:val="000000"/>
                <w:kern w:val="0"/>
                <w:szCs w:val="21"/>
                <w:lang w:bidi="ar"/>
              </w:rPr>
              <w:t>2.AI摄像头计算机视觉识别设备：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5）AI摄像头投射比：支持范围0.15-1.36；</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6）AI摄像头安装与墙面距离：支持范围0.35米-8米；</w:t>
            </w:r>
            <w:r>
              <w:rPr>
                <w:rFonts w:hint="eastAsia" w:ascii="宋体" w:hAnsi="宋体" w:cs="宋体"/>
                <w:color w:val="000000"/>
                <w:kern w:val="0"/>
                <w:szCs w:val="21"/>
                <w:lang w:bidi="ar"/>
              </w:rPr>
              <w:br w:type="textWrapping"/>
            </w:r>
            <w:r>
              <w:rPr>
                <w:rFonts w:hint="eastAsia" w:ascii="宋体" w:hAnsi="宋体" w:cs="宋体"/>
                <w:b/>
                <w:color w:val="000000"/>
                <w:kern w:val="0"/>
                <w:szCs w:val="21"/>
                <w:lang w:bidi="ar"/>
              </w:rPr>
              <w:t>7）AI摄像头采集画面的帧率：≥30帧每秒；</w:t>
            </w:r>
          </w:p>
          <w:p w14:paraId="4AC47FE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 上述关键参数 1）、2）、4）、7）需提供检测报告作为佐证材料。</w:t>
            </w:r>
          </w:p>
        </w:tc>
      </w:tr>
      <w:tr w14:paraId="61811C3E">
        <w:tblPrEx>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649D71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5CBC4048">
            <w:pPr>
              <w:widowControl/>
              <w:spacing w:line="360" w:lineRule="auto"/>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沉浸式跨学科人工智能实验室地面雷达眼精准交互传感器设备</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7D07D5B0">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0A625D">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lang w:val="en-US" w:eastAsia="zh-CN"/>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378C65B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地面雷达眼精准交互传感器设备：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1）雷达眼扫描测距实用半径：＞11M；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2）雷达眼地面脚步踩踏触控精度：典型值&lt;3CM(贴地面良好安装情况下)；</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3）检测帧率：≥10FPS；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4）扫描角度：≥200°；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5）多点触控：支持TUIO协议、windows多点协议、鼠标伪多点功能；</w:t>
            </w:r>
          </w:p>
          <w:p w14:paraId="6293A7C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6）基于雷达眼的人机交互驱动：支持地面60-235英寸的投影画面的精准踩踏触控互动，且支持多人同时多点踩踏触控；</w:t>
            </w:r>
          </w:p>
          <w:p w14:paraId="66DF719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7）多个雷达眼设备级联：单台主机可支持&gt;20台同一型号的雷达眼设备级联同时工作；</w:t>
            </w:r>
          </w:p>
          <w:p w14:paraId="5B1B958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8）传输距离：支持网口，POE 协议通过网线传输数据，传输距离最大支持100m；</w:t>
            </w:r>
          </w:p>
          <w:p w14:paraId="14670FD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9）运行温度环境：支持温度范围-20℃- 60℃；</w:t>
            </w:r>
          </w:p>
          <w:p w14:paraId="7DC3671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10）配套软件系统</w:t>
            </w:r>
            <w:r>
              <w:rPr>
                <w:rFonts w:hint="eastAsia" w:ascii="宋体" w:hAnsi="宋体" w:cs="宋体"/>
                <w:b/>
                <w:bCs/>
                <w:color w:val="000000"/>
                <w:kern w:val="0"/>
                <w:szCs w:val="21"/>
                <w:lang w:bidi="ar"/>
              </w:rPr>
              <w:t>：</w:t>
            </w:r>
            <w:r>
              <w:rPr>
                <w:rFonts w:hint="eastAsia" w:ascii="宋体" w:hAnsi="宋体" w:cs="宋体"/>
                <w:color w:val="000000"/>
                <w:kern w:val="0"/>
                <w:szCs w:val="21"/>
                <w:lang w:bidi="ar"/>
              </w:rPr>
              <w:t>支持多终端桥接通讯级联系统、支持触控范围精准可视化调试和实时检测手动校准。</w:t>
            </w:r>
          </w:p>
          <w:p w14:paraId="67EE4917">
            <w:pPr>
              <w:widowControl/>
              <w:spacing w:line="360" w:lineRule="auto"/>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 需提供人机交互相关的计算机软件著作证明或相关证书作为佐证材料。</w:t>
            </w:r>
          </w:p>
        </w:tc>
      </w:tr>
      <w:tr w14:paraId="1428BCC6">
        <w:tblPrEx>
          <w:tblCellMar>
            <w:top w:w="0" w:type="dxa"/>
            <w:left w:w="108" w:type="dxa"/>
            <w:bottom w:w="0" w:type="dxa"/>
            <w:right w:w="108" w:type="dxa"/>
          </w:tblCellMar>
        </w:tblPrEx>
        <w:trPr>
          <w:trHeight w:val="1744"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C4CC41C">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792" w:type="dxa"/>
            <w:tcBorders>
              <w:top w:val="single" w:color="000000" w:sz="4" w:space="0"/>
              <w:left w:val="single" w:color="000000" w:sz="4" w:space="0"/>
              <w:bottom w:val="single" w:color="000000" w:sz="4" w:space="0"/>
              <w:right w:val="single" w:color="000000" w:sz="4" w:space="0"/>
            </w:tcBorders>
            <w:noWrap/>
            <w:vAlign w:val="center"/>
          </w:tcPr>
          <w:p w14:paraId="6D8C1E2B">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音柱设备</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4B18BD10">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9DA122">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个</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12E7D0E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额定功率：≤20W；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灵敏度：≥91dB±3dB；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频率响应：130Hz-18KHz；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喇叭单元：4"×2,2.5"×1；</w:t>
            </w:r>
          </w:p>
        </w:tc>
      </w:tr>
      <w:tr w14:paraId="2BF7CEF3">
        <w:tblPrEx>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7F4EAF1">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8</w:t>
            </w:r>
          </w:p>
        </w:tc>
        <w:tc>
          <w:tcPr>
            <w:tcW w:w="1792" w:type="dxa"/>
            <w:tcBorders>
              <w:top w:val="single" w:color="000000" w:sz="4" w:space="0"/>
              <w:left w:val="single" w:color="000000" w:sz="4" w:space="0"/>
              <w:bottom w:val="single" w:color="000000" w:sz="4" w:space="0"/>
              <w:right w:val="single" w:color="000000" w:sz="4" w:space="0"/>
            </w:tcBorders>
            <w:noWrap/>
            <w:vAlign w:val="center"/>
          </w:tcPr>
          <w:p w14:paraId="627353A2">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功放设备</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1BAAD8D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871A62">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2680EB3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需具备节能开关电源与D类数字功率放大器相结合；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各路输入需具有独立音量调节，且总音量具有高音、低音调节及音量大小控制；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需具备≥1路EMC输入，≥2路AUX输入，≥4路MIC输入；</w:t>
            </w:r>
          </w:p>
          <w:p w14:paraId="6C73799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通道优先功能需支持：EMC&gt;MIC1&gt;MIC2, MIC3, AUX1, AUX2；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需支持2种输出方式：定压输出100V、4-16Ω；</w:t>
            </w:r>
          </w:p>
          <w:p w14:paraId="240BC9B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输出功率：≥120W；</w:t>
            </w:r>
          </w:p>
        </w:tc>
      </w:tr>
      <w:tr w14:paraId="3B54C771">
        <w:tblPrEx>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3CD618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1792" w:type="dxa"/>
            <w:tcBorders>
              <w:top w:val="single" w:color="000000" w:sz="4" w:space="0"/>
              <w:left w:val="single" w:color="000000" w:sz="4" w:space="0"/>
              <w:bottom w:val="single" w:color="000000" w:sz="4" w:space="0"/>
              <w:right w:val="single" w:color="000000" w:sz="4" w:space="0"/>
            </w:tcBorders>
            <w:noWrap/>
            <w:vAlign w:val="center"/>
          </w:tcPr>
          <w:p w14:paraId="2645B2E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中控操作终端</w:t>
            </w:r>
          </w:p>
        </w:tc>
        <w:tc>
          <w:tcPr>
            <w:tcW w:w="745" w:type="dxa"/>
            <w:tcBorders>
              <w:top w:val="single" w:color="000000" w:sz="4" w:space="0"/>
              <w:left w:val="single" w:color="000000" w:sz="4" w:space="0"/>
              <w:bottom w:val="single" w:color="000000" w:sz="4" w:space="0"/>
              <w:right w:val="single" w:color="000000" w:sz="4" w:space="0"/>
            </w:tcBorders>
            <w:noWrap/>
            <w:vAlign w:val="center"/>
          </w:tcPr>
          <w:p w14:paraId="6F67E26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41848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台</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31E63DC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屏幕尺寸：11英寸-13.3英寸</w:t>
            </w:r>
          </w:p>
          <w:p w14:paraId="51CECF9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屏幕类型：LCD/OLED</w:t>
            </w:r>
          </w:p>
          <w:p w14:paraId="50F5701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屏幕分辨率：不低于1920*1080</w:t>
            </w:r>
          </w:p>
          <w:p w14:paraId="11540A4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处理器线程数：4线程</w:t>
            </w:r>
          </w:p>
          <w:p w14:paraId="47C899C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处理器加速频率：3.3GHz</w:t>
            </w:r>
          </w:p>
          <w:p w14:paraId="344EC83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运行内存：8GB</w:t>
            </w:r>
          </w:p>
          <w:p w14:paraId="733567D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屏幕比例：16:10</w:t>
            </w:r>
          </w:p>
        </w:tc>
      </w:tr>
      <w:tr w14:paraId="553BABC0">
        <w:tblPrEx>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4BBC6ED">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10</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227EDAC1">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多终端智能网络中控系统</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1A9ABE2A">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B2AD80">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台</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6DCCD70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1、支持定制中控系统界面的学校logo和开机待机画面；</w:t>
            </w:r>
          </w:p>
          <w:p w14:paraId="7C0F645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2、支持多台主机，多台投影机，音响设备的一键开启，关闭；</w:t>
            </w:r>
          </w:p>
          <w:p w14:paraId="021844C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3、支持课程软件资源的模块化点播，包含支持exe格式客户端资源的点播，支持全部资源以瀑布流节目单形式查找浏览；</w:t>
            </w:r>
          </w:p>
          <w:p w14:paraId="67AA9D5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4、支持学校自定义视频资源和PDF资源导入中控系统后，进行视频、PDF资源文件的精细化播放；</w:t>
            </w:r>
          </w:p>
          <w:p w14:paraId="1BBE69E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 需提供与中控系统相关的计算机软件著作证明作为佐证材料。</w:t>
            </w:r>
          </w:p>
        </w:tc>
      </w:tr>
      <w:tr w14:paraId="404574CC">
        <w:tblPrEx>
          <w:tblCellMar>
            <w:top w:w="0" w:type="dxa"/>
            <w:left w:w="108" w:type="dxa"/>
            <w:bottom w:w="0" w:type="dxa"/>
            <w:right w:w="108" w:type="dxa"/>
          </w:tblCellMar>
        </w:tblPrEx>
        <w:trPr>
          <w:trHeight w:val="107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9EB529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11</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704C22EF">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沉浸式跨学科人工智能实验室配套数字加密保护系统</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F4A2E41">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407F4D7">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3CBA22A4">
            <w:pPr>
              <w:widowControl/>
              <w:spacing w:line="360" w:lineRule="auto"/>
              <w:jc w:val="left"/>
              <w:textAlignment w:val="center"/>
              <w:rPr>
                <w:rFonts w:hint="eastAsia" w:ascii="宋体" w:hAnsi="宋体" w:cs="宋体"/>
                <w:color w:val="000000"/>
                <w:szCs w:val="21"/>
              </w:rPr>
            </w:pPr>
            <w:r>
              <w:rPr>
                <w:rFonts w:hint="eastAsia" w:ascii="宋体" w:hAnsi="宋体" w:cs="宋体"/>
                <w:color w:val="000000"/>
                <w:kern w:val="0"/>
                <w:szCs w:val="21"/>
                <w:lang w:bidi="ar"/>
              </w:rPr>
              <w:t>配套数字加密保护盘及系统，支持安装在学校资源主机上，对学校购买的数字资源软件进行高强度加密保护、防止盗版和逆向工程、防止内容非法拷贝、拷屏或非法传播；</w:t>
            </w:r>
          </w:p>
        </w:tc>
      </w:tr>
      <w:tr w14:paraId="689810D4">
        <w:tblPrEx>
          <w:tblCellMar>
            <w:top w:w="0" w:type="dxa"/>
            <w:left w:w="108" w:type="dxa"/>
            <w:bottom w:w="0" w:type="dxa"/>
            <w:right w:w="108" w:type="dxa"/>
          </w:tblCellMar>
        </w:tblPrEx>
        <w:trPr>
          <w:trHeight w:val="194"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D743150">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77F4A70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3D打印设备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7C0D09F">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3D5A47B">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594AABF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成型原理：溶积成型（FDM）；</w:t>
            </w:r>
          </w:p>
          <w:p w14:paraId="42C9440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使用方式：桌面级；</w:t>
            </w:r>
          </w:p>
          <w:p w14:paraId="7C8DA1B1">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技术类型</w:t>
            </w:r>
            <w:r>
              <w:rPr>
                <w:rFonts w:hint="eastAsia" w:ascii="宋体" w:hAnsi="宋体" w:cs="宋体"/>
                <w:color w:val="000000"/>
                <w:kern w:val="0"/>
                <w:szCs w:val="21"/>
                <w:lang w:bidi="ar"/>
              </w:rPr>
              <w:t>：</w:t>
            </w:r>
            <w:r>
              <w:rPr>
                <w:rFonts w:ascii="宋体" w:hAnsi="宋体" w:cs="宋体"/>
                <w:color w:val="000000"/>
                <w:kern w:val="0"/>
                <w:szCs w:val="21"/>
                <w:lang w:bidi="ar"/>
              </w:rPr>
              <w:t>FDM熔融沉积</w:t>
            </w:r>
            <w:r>
              <w:rPr>
                <w:rFonts w:hint="eastAsia" w:ascii="宋体" w:hAnsi="宋体" w:cs="宋体"/>
                <w:color w:val="000000"/>
                <w:kern w:val="0"/>
                <w:szCs w:val="21"/>
                <w:lang w:bidi="ar"/>
              </w:rPr>
              <w:t>；</w:t>
            </w:r>
          </w:p>
          <w:p w14:paraId="09D70C7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耗材类型：支持PLA；ABS；PETG；</w:t>
            </w:r>
          </w:p>
          <w:p w14:paraId="49017B27">
            <w:pPr>
              <w:widowControl/>
              <w:spacing w:line="360" w:lineRule="auto"/>
              <w:jc w:val="left"/>
              <w:textAlignment w:val="center"/>
              <w:rPr>
                <w:rFonts w:ascii="宋体" w:hAnsi="宋体" w:cs="宋体"/>
                <w:color w:val="000000"/>
                <w:kern w:val="0"/>
                <w:szCs w:val="21"/>
                <w:highlight w:val="red"/>
                <w:lang w:bidi="ar"/>
              </w:rPr>
            </w:pPr>
            <w:r>
              <w:rPr>
                <w:rFonts w:hint="eastAsia" w:ascii="宋体" w:hAnsi="宋体" w:cs="宋体"/>
                <w:color w:val="000000"/>
                <w:kern w:val="0"/>
                <w:szCs w:val="21"/>
                <w:lang w:bidi="ar"/>
              </w:rPr>
              <w:t>可快速组装上手简便（含一年使用的耗材）；</w:t>
            </w:r>
          </w:p>
        </w:tc>
      </w:tr>
      <w:tr w14:paraId="3203B514">
        <w:tblPrEx>
          <w:tblCellMar>
            <w:top w:w="0" w:type="dxa"/>
            <w:left w:w="108" w:type="dxa"/>
            <w:bottom w:w="0" w:type="dxa"/>
            <w:right w:w="108" w:type="dxa"/>
          </w:tblCellMar>
        </w:tblPrEx>
        <w:trPr>
          <w:trHeight w:val="143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1F0704B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13</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7D1075A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网络远程开关机卡</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18A50A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0AC85D">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个</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5DE5EFA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安装方式：支持安装在主板PCIE卡槽上；</w:t>
            </w:r>
          </w:p>
          <w:p w14:paraId="57C001E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通讯方式：支持以TCP/UDP方式联网；</w:t>
            </w:r>
          </w:p>
          <w:p w14:paraId="3B43AD98">
            <w:pPr>
              <w:widowControl/>
              <w:spacing w:line="360" w:lineRule="auto"/>
              <w:jc w:val="left"/>
              <w:textAlignment w:val="center"/>
              <w:rPr>
                <w:rFonts w:cs="微软雅黑"/>
                <w:color w:val="000000"/>
                <w:kern w:val="0"/>
                <w:szCs w:val="21"/>
                <w:lang w:bidi="ar"/>
              </w:rPr>
            </w:pPr>
            <w:r>
              <w:rPr>
                <w:rFonts w:hint="eastAsia" w:ascii="宋体" w:hAnsi="宋体" w:cs="宋体"/>
                <w:color w:val="000000"/>
                <w:kern w:val="0"/>
                <w:szCs w:val="21"/>
                <w:lang w:bidi="ar"/>
              </w:rPr>
              <w:t>配置软件：支持工作模式、IP和端口号的自定义配置；</w:t>
            </w:r>
          </w:p>
        </w:tc>
      </w:tr>
      <w:tr w14:paraId="33B0A5C0">
        <w:tblPrEx>
          <w:tblCellMar>
            <w:top w:w="0" w:type="dxa"/>
            <w:left w:w="108" w:type="dxa"/>
            <w:bottom w:w="0" w:type="dxa"/>
            <w:right w:w="108" w:type="dxa"/>
          </w:tblCellMar>
        </w:tblPrEx>
        <w:trPr>
          <w:trHeight w:val="81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BC6D01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14</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444B10DE">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蓝牙键鼠套装</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9E513D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C2313D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6A5E766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类型：键鼠套装；</w:t>
            </w:r>
          </w:p>
          <w:p w14:paraId="3EF73CC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轴体类型：无轴体；</w:t>
            </w:r>
          </w:p>
          <w:p w14:paraId="165B381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连接方式：无线；</w:t>
            </w:r>
          </w:p>
          <w:p w14:paraId="47B5FA93">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电池功能：支持电池安装和更换；</w:t>
            </w:r>
          </w:p>
        </w:tc>
      </w:tr>
      <w:tr w14:paraId="678C88A0">
        <w:tblPrEx>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4C0AEA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15</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4A1FB40F">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网络交换机</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3298BAC">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05035DB">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497A453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支持POE供电，16口；</w:t>
            </w:r>
          </w:p>
        </w:tc>
      </w:tr>
      <w:tr w14:paraId="07561B21">
        <w:tblPrEx>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5595E7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16</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1939CD2C">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路由器</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1292339C">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A76678A">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0B47664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无线路由器，适用频段：2.4GHz+5GHz，无线协议：Wi-Fi5，WAN接入口：千兆网口；</w:t>
            </w:r>
          </w:p>
        </w:tc>
      </w:tr>
      <w:tr w14:paraId="20198499">
        <w:tblPrEx>
          <w:tblCellMar>
            <w:top w:w="0" w:type="dxa"/>
            <w:left w:w="108" w:type="dxa"/>
            <w:bottom w:w="0" w:type="dxa"/>
            <w:right w:w="108" w:type="dxa"/>
          </w:tblCellMar>
        </w:tblPrEx>
        <w:trPr>
          <w:trHeight w:val="90"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B78016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17</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61DD8EA1">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课堂手持红外远距离触控设备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255B7B3">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744A1F">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只</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1C604C6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支持交互距离不低于10米（支持充电功能）；</w:t>
            </w:r>
          </w:p>
        </w:tc>
      </w:tr>
      <w:tr w14:paraId="34B47DCB">
        <w:tblPrEx>
          <w:tblCellMar>
            <w:top w:w="0" w:type="dxa"/>
            <w:left w:w="108" w:type="dxa"/>
            <w:bottom w:w="0" w:type="dxa"/>
            <w:right w:w="108" w:type="dxa"/>
          </w:tblCellMar>
        </w:tblPrEx>
        <w:trPr>
          <w:trHeight w:val="72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F693D8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 xml:space="preserve">18 </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356143E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蓝牙音频输入设备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9F6D09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9A2FDF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68281EB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蓝牙手持麦克风（支持充电功能）；</w:t>
            </w:r>
          </w:p>
        </w:tc>
      </w:tr>
      <w:tr w14:paraId="52587B61">
        <w:tblPrEx>
          <w:tblCellMar>
            <w:top w:w="0" w:type="dxa"/>
            <w:left w:w="108" w:type="dxa"/>
            <w:bottom w:w="0" w:type="dxa"/>
            <w:right w:w="108" w:type="dxa"/>
          </w:tblCellMar>
        </w:tblPrEx>
        <w:trPr>
          <w:trHeight w:val="72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487DFD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19</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4DF971F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网络机柜</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AD1383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428F5E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台</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1DB7198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20U网络机柜、含透气网、静音脚轮；</w:t>
            </w:r>
          </w:p>
        </w:tc>
      </w:tr>
      <w:tr w14:paraId="1B9835D6">
        <w:tblPrEx>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7591AD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20</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42EA43A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六类网线</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0267AA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87656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箱</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2EC15D3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工程专用六类网线305米；</w:t>
            </w:r>
          </w:p>
        </w:tc>
      </w:tr>
      <w:tr w14:paraId="1E0AA4B0">
        <w:tblPrEx>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131D4FD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21</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013D4E9A">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 AI摄像头专用Type-C延长线材</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A2CDFE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8F81AB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根</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35D671A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Type-C延长线，长度≥15米/根；</w:t>
            </w:r>
          </w:p>
        </w:tc>
      </w:tr>
      <w:tr w14:paraId="65BA969A">
        <w:tblPrEx>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5A2DC47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22</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3F57D4F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音频转换线</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68BC81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0D29C2D">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根</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60D6911C">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3.5mm转双莲花音频线；</w:t>
            </w:r>
          </w:p>
        </w:tc>
      </w:tr>
      <w:tr w14:paraId="2342CBC9">
        <w:tblPrEx>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0D40CE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23</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44E6E78D">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专业音频金银线</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18E43F0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AAA661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卷</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5CA836C0">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100芯专用工程音响线材（50米）；</w:t>
            </w:r>
          </w:p>
        </w:tc>
      </w:tr>
      <w:tr w14:paraId="5AD77830">
        <w:tblPrEx>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7353713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24</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2B0629E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主动式DP转HDMI视频信号转换设备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40BAF0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892A3B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个</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38D3E7A4">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支持接口：支持DisplayPort接口转HDMI接口；</w:t>
            </w:r>
          </w:p>
        </w:tc>
      </w:tr>
      <w:tr w14:paraId="7D839E92">
        <w:tblPrEx>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7B93B10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25</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2059142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多屏宝设备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6AE7F6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5A6BC8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台</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34F531B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最高支持5760*1200@60Hz或者7680x1200@60Hz分辨率输入，支持3/4路1920x1200@60Hz输出。</w:t>
            </w:r>
          </w:p>
          <w:p w14:paraId="33FC7A8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支持DP1.4和HDMI2.0输入，支持USB控制。</w:t>
            </w:r>
          </w:p>
          <w:p w14:paraId="46FF207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支持1X2,1X3,1X4分割模式</w:t>
            </w:r>
          </w:p>
          <w:p w14:paraId="1F9D5DA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输入输出都是RGB 24bit，没有任何原始像素信息损失</w:t>
            </w:r>
          </w:p>
          <w:p w14:paraId="6303AC2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独立电源供电，防止电源脱落，三屏宝运行更稳定，不受USB主板供电不稳影响。</w:t>
            </w:r>
          </w:p>
          <w:p w14:paraId="6359527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采用传导散热，ESD保护，更适用于环境要求苛刻的工程环境，支持热插拔，系统运行温度更低，满足7X24小时工作。</w:t>
            </w:r>
          </w:p>
          <w:p w14:paraId="737E534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支持HDMI输出，HDMI OUT1 支持音频输出。</w:t>
            </w:r>
          </w:p>
          <w:p w14:paraId="732EF29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支持任意映射功能，输出口损坏时，可以通过备份口切换。</w:t>
            </w:r>
          </w:p>
          <w:p w14:paraId="22537DD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分辨率设置更简单，无需复杂的安装程序。</w:t>
            </w:r>
          </w:p>
        </w:tc>
      </w:tr>
      <w:tr w14:paraId="6ADAF61D">
        <w:tblPrEx>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4AAB6E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26</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5B4575FB">
            <w:pPr>
              <w:widowControl/>
              <w:spacing w:line="360" w:lineRule="auto"/>
              <w:jc w:val="center"/>
              <w:textAlignment w:val="center"/>
              <w:rPr>
                <w:rFonts w:ascii="宋体" w:hAnsi="宋体" w:cs="宋体"/>
                <w:color w:val="000000"/>
                <w:kern w:val="0"/>
                <w:szCs w:val="21"/>
                <w:lang w:bidi="ar"/>
              </w:rPr>
            </w:pPr>
            <w:r>
              <w:rPr>
                <w:rFonts w:ascii="宋体" w:hAnsi="宋体" w:cs="宋体"/>
                <w:color w:val="000000"/>
                <w:kern w:val="0"/>
                <w:szCs w:val="21"/>
                <w:lang w:bidi="ar"/>
              </w:rPr>
              <w:t>插线板</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8F511F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ACE1A3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14E92AC3">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5米和10米插线板各一盒；</w:t>
            </w:r>
          </w:p>
        </w:tc>
      </w:tr>
      <w:tr w14:paraId="7AB2BEC5">
        <w:tblPrEx>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567EDCE4">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27</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58405BE3">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USB供电延长线</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C1B2871">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7AD3E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1EA9BD6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连接线：15米USB延长线；</w:t>
            </w:r>
          </w:p>
          <w:p w14:paraId="07DC1A7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屏蔽类型：双屏蔽；</w:t>
            </w:r>
          </w:p>
        </w:tc>
      </w:tr>
      <w:tr w14:paraId="61974167">
        <w:tblPrEx>
          <w:tblCellMar>
            <w:top w:w="0" w:type="dxa"/>
            <w:left w:w="108" w:type="dxa"/>
            <w:bottom w:w="0" w:type="dxa"/>
            <w:right w:w="108" w:type="dxa"/>
          </w:tblCellMar>
        </w:tblPrEx>
        <w:trPr>
          <w:trHeight w:val="95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C792DAA">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28</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143A5DB5">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HDMI高清数据线</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37F29A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9</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5D7783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盒</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7F46BAAE">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工程级HDMI线，4K数字高清线，20米/盒；</w:t>
            </w:r>
          </w:p>
        </w:tc>
      </w:tr>
      <w:tr w14:paraId="58259BD3">
        <w:tblPrEx>
          <w:tblCellMar>
            <w:top w:w="0" w:type="dxa"/>
            <w:left w:w="108" w:type="dxa"/>
            <w:bottom w:w="0" w:type="dxa"/>
            <w:right w:w="108" w:type="dxa"/>
          </w:tblCellMar>
        </w:tblPrEx>
        <w:trPr>
          <w:trHeight w:val="519"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6516FE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28</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5D090943">
            <w:pPr>
              <w:widowControl/>
              <w:spacing w:line="360" w:lineRule="auto"/>
              <w:textAlignment w:val="center"/>
              <w:rPr>
                <w:rFonts w:hint="eastAsia" w:ascii="宋体" w:hAnsi="宋体" w:cs="宋体"/>
                <w:color w:val="000000"/>
                <w:szCs w:val="21"/>
              </w:rPr>
            </w:pPr>
            <w:r>
              <w:rPr>
                <w:rFonts w:hint="eastAsia" w:ascii="宋体" w:hAnsi="宋体" w:cs="宋体"/>
                <w:color w:val="000000"/>
                <w:kern w:val="0"/>
                <w:szCs w:val="21"/>
                <w:lang w:bidi="ar"/>
              </w:rPr>
              <w:t>教师专用沉浸式AIGC课程编辑创作云平台</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2C84799C">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1A46BC2">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年</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52833D4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需支持老师自主编辑沉浸式超大分辨率的跨学科课件资源，提供20个账号供教师使用，具体需支持以下功能：</w:t>
            </w:r>
          </w:p>
          <w:p w14:paraId="6D385A6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平台需要基于人工智能技术，为教师提供适配于沉浸式跨学科人工智能实验室的课件创作工具，利用先进的人工智能文生图、图生图等技术，为教师提供一款便捷、高效、智能的高分辨率沉浸式AIGC课件编辑器平台。</w:t>
            </w:r>
          </w:p>
          <w:p w14:paraId="55729D6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1.账号管理：</w:t>
            </w:r>
          </w:p>
          <w:p w14:paraId="21872AC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1)用户注册与登录: 支持用户使用个人邮箱注册和登录；</w:t>
            </w:r>
          </w:p>
          <w:p w14:paraId="02CBC4F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2)个人信息管理: 支持用户可以编辑个人资料、密码信息；</w:t>
            </w:r>
          </w:p>
          <w:p w14:paraId="359738A5">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3)账号安全: 支持密码找回等安全措施；</w:t>
            </w:r>
          </w:p>
          <w:p w14:paraId="1560927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2.权限管理：</w:t>
            </w:r>
          </w:p>
          <w:p w14:paraId="464F7D4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1)角色管理: 系统支持管理员、教师、学生等不同角色登录和使用工具；</w:t>
            </w:r>
          </w:p>
          <w:p w14:paraId="22D185B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2)权限分配: 支持根据不同角色分配不同的操作权限；</w:t>
            </w:r>
          </w:p>
          <w:p w14:paraId="5404FD1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3)权限控制: 支持不同用户的权限控制，确保数据安全；</w:t>
            </w:r>
          </w:p>
          <w:p w14:paraId="146D901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3.课件资源管理：</w:t>
            </w:r>
          </w:p>
          <w:p w14:paraId="110CC12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1)支持用户上传课件资源分类显示: 分享课件资源（可使用但不可编辑）、可下载课件资源（可使用可下载编辑）、个人课件资源，一共三种类型分类；</w:t>
            </w:r>
          </w:p>
          <w:p w14:paraId="0E1DCAB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2)用户课件资源上传: 支持将编辑完成的课件上传至云端存储，上传成功后有对应上传完成的提示界面；</w:t>
            </w:r>
          </w:p>
          <w:p w14:paraId="451724C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3)资源点播App工具：支持用户在app登录账号后，自动读取账号绑定的云服务器储存的课件资源并以瀑布流矩阵形式显示；</w:t>
            </w:r>
          </w:p>
          <w:p w14:paraId="02D2C78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4)瀑布流课件资源显示；支持一键点播课件资源，支持课件资源的开启、关闭、章节内容切换和特殊功能唤醒；</w:t>
            </w:r>
          </w:p>
          <w:p w14:paraId="7C6648B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5)用户课件资源保存：支持课件文件本地保存、云服务器端课件保存，同文件名保存较新版本会自动替换老版本；</w:t>
            </w:r>
          </w:p>
          <w:p w14:paraId="12A9887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6)课件发布: 支持用户将课件发布到指定三类课件库中并自定义勾选是否将上传课件公开分享或授权可下载编辑；</w:t>
            </w:r>
          </w:p>
          <w:p w14:paraId="122CF40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7)课件统计: 支持查看课件的使用量、下载量等数据统计；</w:t>
            </w:r>
          </w:p>
          <w:p w14:paraId="50BF448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4.人工智能辅助创作功能：</w:t>
            </w:r>
          </w:p>
          <w:p w14:paraId="488EF28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1)文生图: 支持根据文字描述自动生成相关图片素材；</w:t>
            </w:r>
          </w:p>
          <w:p w14:paraId="0D09611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2)图生图: 支持用户自定义参考图上传后，支持选择参考图基于内容或基于风格模式、支持自定义选择的风格后、支持自定义生成图片分辨率、支持反向描述词后的图生图功能；</w:t>
            </w:r>
          </w:p>
          <w:p w14:paraId="725DECB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5.高分辨率沉浸式课件创设工具平台：</w:t>
            </w:r>
          </w:p>
          <w:p w14:paraId="164001D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支持高分辨率互动课件场景的创设具备以下功能:</w:t>
            </w:r>
          </w:p>
          <w:p w14:paraId="113F308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场景支持4K及以上分辨率课件多模态场景的创设，支持添加新建场景、设置场景分辨率尺寸、支持删除场景、选定场景向上移动一层或向下移动一层、支持修改场景默认底图、支持设置场景底图的显示比例（包含原始长宽比、拉伸全屏或截取部分显示）、支持添加背景音乐、支持自定义设置背景音乐音量、支持设置背景音乐是否循环播放、支持一键应用到全面页面场景中；</w:t>
            </w:r>
          </w:p>
          <w:p w14:paraId="349A0FB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2)插入功能：支持自定义插入图片或文本框、支持插入图片的替换和插入文本的编辑。</w:t>
            </w:r>
          </w:p>
          <w:p w14:paraId="6DB86E5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3)转场设置：支持自定义添加转场按钮，并支持设置按钮跳转自定义场景；</w:t>
            </w:r>
          </w:p>
          <w:p w14:paraId="7D082BC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互动元素：支持添加互动元素触点，支持同一种类型的触点的修改、复制和粘贴，支持触点的自定义类型设置，包括类型有将触点设置为退出系统模式、设置为弹出自定义选择题模式、设置为弹出涂鸦画板模式、设置为弹出自定义PDF文档模式、设置为弹出超链接网页模式、设置为弹出连线匹配游戏模式、设置为弹出拼图游戏模式、设置为弹出播放视频模式、设置为弹出图片模式；</w:t>
            </w:r>
          </w:p>
          <w:p w14:paraId="4597048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辅助编辑工具：支持显示画布放大和缩小，操作步骤撤销和还原，课件交互演示功能，帮助文档功能。</w:t>
            </w:r>
          </w:p>
        </w:tc>
      </w:tr>
      <w:tr w14:paraId="6C8E9FD3">
        <w:tblPrEx>
          <w:tblCellMar>
            <w:top w:w="0" w:type="dxa"/>
            <w:left w:w="108" w:type="dxa"/>
            <w:bottom w:w="0" w:type="dxa"/>
            <w:right w:w="108" w:type="dxa"/>
          </w:tblCellMar>
        </w:tblPrEx>
        <w:trPr>
          <w:trHeight w:val="107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13703639">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29</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6A3DDCC6">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沉浸式跨学科人工智能实验室配套美术类教学软件系统资源</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36CCDD05">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32171A">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1B3EBE6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1.美术类教学软件系统资源支持将学生的绘画作品进行3D扫描识别，系统会根据纸张自动识别出学生的绘画内容，再进行基于学生涂鸦风格的3D再现；</w:t>
            </w:r>
          </w:p>
          <w:p w14:paraId="203F511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2.支持色彩扫描识别，系统会自动将学生绘制形象的颜色识别并实时风格化贴图处理；</w:t>
            </w:r>
          </w:p>
          <w:p w14:paraId="439B083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3.支持将学生绘制的平面角色还原为三维动态角色；</w:t>
            </w:r>
          </w:p>
          <w:p w14:paraId="55B622F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4.美术类教学软件系统资源要求至少包含：海洋、森林、太空、城市、蝴蝶此五套主题资源；</w:t>
            </w:r>
          </w:p>
          <w:p w14:paraId="224BBED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5.五个场景涂鸦内容需包含但不限于以下角色：</w:t>
            </w:r>
          </w:p>
          <w:p w14:paraId="0761471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海洋主题：不少于10种海洋生物；</w:t>
            </w:r>
          </w:p>
          <w:p w14:paraId="52681E8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森林主题：不少于8种动物；</w:t>
            </w:r>
          </w:p>
          <w:p w14:paraId="17680B6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太空主题：不少于8种</w:t>
            </w:r>
            <w:r>
              <w:rPr>
                <w:rFonts w:hint="eastAsia" w:ascii="宋体" w:hAnsi="宋体" w:cs="宋体"/>
                <w:color w:val="000000"/>
                <w:kern w:val="0"/>
                <w:szCs w:val="21"/>
                <w:lang w:val="en-US" w:eastAsia="zh-CN" w:bidi="ar"/>
              </w:rPr>
              <w:t>太空</w:t>
            </w:r>
            <w:r>
              <w:rPr>
                <w:rFonts w:hint="eastAsia" w:ascii="宋体" w:hAnsi="宋体" w:cs="宋体"/>
                <w:color w:val="000000"/>
                <w:kern w:val="0"/>
                <w:szCs w:val="21"/>
                <w:lang w:bidi="ar"/>
              </w:rPr>
              <w:t>装置；</w:t>
            </w:r>
          </w:p>
          <w:p w14:paraId="069DEB5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城市交通主题：不少于3种不同外形的小型车辆；</w:t>
            </w:r>
          </w:p>
          <w:p w14:paraId="4162A27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蝴蝶主题：不少于三种蝴蝶种类；</w:t>
            </w:r>
          </w:p>
          <w:p w14:paraId="4B58601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6.软件平台类型：要求软件系统资源基于次世代实时3D互动内容创作和运营平台开发，可以实时渲染，帧速率需达到40FPS以上，画面流畅，没有卡顿和延时现象；</w:t>
            </w:r>
          </w:p>
          <w:p w14:paraId="6E9DEA9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7.提供以上5套软件系统资源配套的绘画面单JPG文件，供学校自主打印使用；</w:t>
            </w:r>
          </w:p>
          <w:p w14:paraId="4186BCF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 需提供相关的产品测试报告或计算机软件著作权证明作为佐证材料。</w:t>
            </w:r>
          </w:p>
        </w:tc>
      </w:tr>
      <w:tr w14:paraId="781BE85C">
        <w:tblPrEx>
          <w:tblCellMar>
            <w:top w:w="0" w:type="dxa"/>
            <w:left w:w="108" w:type="dxa"/>
            <w:bottom w:w="0" w:type="dxa"/>
            <w:right w:w="108" w:type="dxa"/>
          </w:tblCellMar>
        </w:tblPrEx>
        <w:trPr>
          <w:trHeight w:val="107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20F8F90A">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30</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0E7DF1AC">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沉浸式跨学科人工智能实验室配套传统文化类教学软件系统资源</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BAC39B7">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CE7F75A">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3043753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（1）软件类型：支持以EXE客户端的形式点播运行，支持全屏交互式播放；</w:t>
            </w:r>
          </w:p>
          <w:p w14:paraId="1537C43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（2）操作系统兼容性：兼容主流操作系统；</w:t>
            </w:r>
          </w:p>
          <w:p w14:paraId="261C9CC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（3）分辨率：不低于7680X1200，支持超高分辨率实时动态渲染显示；</w:t>
            </w:r>
          </w:p>
          <w:p w14:paraId="488D006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（4）交互方式：支持TUIO协议，实现超大墙面和地面的精准交互；</w:t>
            </w:r>
          </w:p>
          <w:p w14:paraId="76273E35">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三套传统文化类教学软件系统资源的功能要求：</w:t>
            </w:r>
          </w:p>
          <w:p w14:paraId="1D69004C">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 《天工开物》主题：系统支持通过虚拟现实技术，带领学生领略明末科学家宋应星编写的工艺技术篇章，包括但不限于《乃粒》、《乃服》、《粹精》、《作咸》、《甘嗜》等篇章；</w:t>
            </w:r>
          </w:p>
          <w:p w14:paraId="390D90F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 《海错图》主题：系统支持通过虚拟现实技术，带领学生领略清代学者、画家聂璜绘制的这部图谱，</w:t>
            </w:r>
            <w:r>
              <w:rPr>
                <w:rFonts w:hint="eastAsia" w:ascii="宋体" w:hAnsi="宋体" w:cs="宋体"/>
                <w:color w:val="000000"/>
                <w:kern w:val="0"/>
                <w:szCs w:val="21"/>
                <w:lang w:val="en-US" w:eastAsia="zh-CN" w:bidi="ar"/>
              </w:rPr>
              <w:t>讲解</w:t>
            </w:r>
            <w:r>
              <w:rPr>
                <w:rFonts w:hint="eastAsia" w:ascii="宋体" w:hAnsi="宋体" w:cs="宋体"/>
                <w:color w:val="000000"/>
                <w:kern w:val="0"/>
                <w:szCs w:val="21"/>
                <w:lang w:bidi="ar"/>
              </w:rPr>
              <w:t>关于海洋生物的图谱，</w:t>
            </w:r>
            <w:r>
              <w:rPr>
                <w:rFonts w:hint="eastAsia" w:ascii="宋体" w:hAnsi="宋体" w:cs="宋体"/>
                <w:color w:val="000000"/>
                <w:kern w:val="0"/>
                <w:szCs w:val="21"/>
                <w:lang w:val="en-US" w:eastAsia="zh-CN" w:bidi="ar"/>
              </w:rPr>
              <w:t>以及</w:t>
            </w:r>
            <w:r>
              <w:rPr>
                <w:rFonts w:hint="eastAsia" w:ascii="宋体" w:hAnsi="宋体" w:cs="宋体"/>
                <w:color w:val="000000"/>
                <w:kern w:val="0"/>
                <w:szCs w:val="21"/>
                <w:lang w:bidi="ar"/>
              </w:rPr>
              <w:t>各种海洋生物的形态、生活习性和生态环境。包括但不限于鱼类、贝类、甲壳类、珊瑚、海藻等多种海洋生物；</w:t>
            </w:r>
          </w:p>
          <w:p w14:paraId="4538401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 《一个字一幅画》主题：系统支持通过虚拟现实技术，带领学生观看一部不少于2分钟的甲骨文影片，在教师的引导下找出影片中隐藏的甲骨文文字，再通过触摸将甲骨文的文字转变为各种天气和动物特效；</w:t>
            </w:r>
          </w:p>
          <w:p w14:paraId="7EF0158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以上三个主题需满足不少于12个课时的教学需求，并提供配套电子教案；</w:t>
            </w:r>
          </w:p>
          <w:p w14:paraId="2AE0390E">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④支持学生与数字人宋应星进行基于人工智能大语言模型的人机对话；</w:t>
            </w:r>
          </w:p>
          <w:p w14:paraId="12AF6EA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 需提供相关的计算机软件著作权证明作为佐证材料。</w:t>
            </w:r>
          </w:p>
        </w:tc>
      </w:tr>
      <w:tr w14:paraId="19FC507E">
        <w:tblPrEx>
          <w:tblCellMar>
            <w:top w:w="0" w:type="dxa"/>
            <w:left w:w="108" w:type="dxa"/>
            <w:bottom w:w="0" w:type="dxa"/>
            <w:right w:w="108" w:type="dxa"/>
          </w:tblCellMar>
        </w:tblPrEx>
        <w:trPr>
          <w:trHeight w:val="1342"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393A1C2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31</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13F5B22B">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沉浸式跨学科人工智能实验室配套科学类教学软件系统资源</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3B950B7">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AF46C9">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31DEC66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（1）软件类型：支持以EXE客户端的形式点播运行，支持全屏交互式播放；</w:t>
            </w:r>
          </w:p>
          <w:p w14:paraId="43A77B0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（2）操作系统兼容性：兼容主流操作系统；</w:t>
            </w:r>
          </w:p>
          <w:p w14:paraId="53B7C8F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（3）分辨率：不低于7680X1200，支持超高分辨率实时动态渲染显示；</w:t>
            </w:r>
          </w:p>
          <w:p w14:paraId="3A8FBAF9">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（4）交互方式：支持TUIO协议，实现超大墙面和地面的精准交互；</w:t>
            </w:r>
          </w:p>
          <w:p w14:paraId="260755D5">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五套科学类教学软件系统资源的功能要求：</w:t>
            </w:r>
          </w:p>
          <w:p w14:paraId="5A45707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 深海科考主题：支持通过虚拟现实技术，让学生置身于深潜器中，以第一人称视角带领学生体验认知不同深度的海底世界，抵达海底后可以与教师一起探究海底热液；</w:t>
            </w:r>
          </w:p>
          <w:p w14:paraId="6267942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 探索太阳系主题：支持模拟出整个太阳系的八大行星，学生可以通过虚拟现实技术进入太阳系的每一个行星，进行相关动画资源的学习和进行太空主题游戏；</w:t>
            </w:r>
          </w:p>
          <w:p w14:paraId="21E0E44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 探索夜行动物主题：支持模拟出夜晚森林的数字场景，在场景中，学生可以探究夜晚出没的动物，包括但不限于猫头鹰、蝙蝠、树蛙、小浣熊、萤火虫；</w:t>
            </w:r>
          </w:p>
          <w:p w14:paraId="3DA56C3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④ 探索恐龙世纪主题：模拟出侏罗纪和白垩纪生活在地球上的恐龙，学生可以通过虚拟现实技术进入一个生活着恐龙的森林，了解腕龙、剑龙、肿头龙、三角龙、窃蛋龙等各种恐龙生物，除了对恐龙的身体特点进行互动学习，还有提供相关恐龙动画资源进行学习，另外资源还配备了恐龙体重大比拼的主题游戏；</w:t>
            </w:r>
          </w:p>
          <w:p w14:paraId="49AFC29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⑤ 垃圾回收主题：通过虚拟现实技术，让学生仿佛置身于一间虚拟纸张回收工厂，通过学生分组参与，领略将旧纸张回收，制作新纸张的涉及的工序步骤包括：包括收集分类、压缩打碎、深度分拣、打浆制浆、清洗漂白、浓缩脱水、烘干压制；</w:t>
            </w:r>
          </w:p>
          <w:p w14:paraId="4981A9E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以上五个主题需满足不少于30个课时的教学需求，并提供配套电子教案；</w:t>
            </w:r>
          </w:p>
          <w:p w14:paraId="64CCE30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 需提供相关的计算机软件著作权证明作为佐证材料。</w:t>
            </w:r>
          </w:p>
        </w:tc>
      </w:tr>
      <w:tr w14:paraId="0BB56EEA">
        <w:tblPrEx>
          <w:tblCellMar>
            <w:top w:w="0" w:type="dxa"/>
            <w:left w:w="108" w:type="dxa"/>
            <w:bottom w:w="0" w:type="dxa"/>
            <w:right w:w="108" w:type="dxa"/>
          </w:tblCellMar>
        </w:tblPrEx>
        <w:trPr>
          <w:trHeight w:val="367"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123C91B">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32</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4DAA7522">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沉浸式跨学科人工智能实验室配套心理健康类教学软件系统资源</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7CA1CD03">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F75F444">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067709E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（1）软件类型：支持以EXE客户端的形式点播运行，支持全屏交互式播放；</w:t>
            </w:r>
          </w:p>
          <w:p w14:paraId="0616751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（2）操作系统兼容性：兼容主流操作系统；</w:t>
            </w:r>
          </w:p>
          <w:p w14:paraId="2ED262FE">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（3）分辨率：不低于7680X1200，支持超高分辨率实时动态渲染显示；</w:t>
            </w:r>
          </w:p>
          <w:p w14:paraId="6C9792C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（4）交互方式：支持TUIO协议，实现超大墙面和地面的精准交互；</w:t>
            </w:r>
          </w:p>
          <w:p w14:paraId="3258FC43">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（5）心理健康类教学软件系统资源点播后支持多个场景连续循环播放和单个场景的多人互动。</w:t>
            </w:r>
          </w:p>
          <w:p w14:paraId="7449023F">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三套心理健康类教学软件系统资源的功能要求：</w:t>
            </w:r>
          </w:p>
          <w:p w14:paraId="5F9B306B">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① 感受四季自然变化：通过虚拟现实技术，让学生置身于春夏秋冬的自然环境中，让学生感受体验四个季节变换带来的心理疗愈效果；</w:t>
            </w:r>
          </w:p>
          <w:p w14:paraId="01A781A8">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② 聆听夜间虫鸣：模拟真实夜晚的虫鸣声和鸟叫声，再通过虚拟现实技术模拟出森林、田间和大海多个夜间场景，结合自然环境音效，帮助用户放松心情，缓解焦虑。</w:t>
            </w:r>
          </w:p>
          <w:p w14:paraId="29D071E1">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③ 流动的艺术：提供瀑布、山顶云雾和雨天室内的动态场景，引导学生进行深呼吸、放松身心，达到心理疗愈的目的。</w:t>
            </w:r>
          </w:p>
          <w:p w14:paraId="39F94FA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 需提供相关的计算机软件著作权证明作为佐证材料。</w:t>
            </w:r>
          </w:p>
        </w:tc>
      </w:tr>
      <w:tr w14:paraId="2768C63B">
        <w:tblPrEx>
          <w:tblCellMar>
            <w:top w:w="0" w:type="dxa"/>
            <w:left w:w="108" w:type="dxa"/>
            <w:bottom w:w="0" w:type="dxa"/>
            <w:right w:w="108" w:type="dxa"/>
          </w:tblCellMar>
        </w:tblPrEx>
        <w:trPr>
          <w:trHeight w:val="462"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578B2918">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33</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64F0D797">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定制沉浸式跨学科人工智能实验室配套成像装置</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26A0B0D">
            <w:pPr>
              <w:widowControl/>
              <w:spacing w:line="360" w:lineRule="auto"/>
              <w:jc w:val="center"/>
              <w:textAlignment w:val="center"/>
              <w:rPr>
                <w:rFonts w:ascii="宋体" w:hAnsi="宋体" w:cs="宋体"/>
                <w:color w:val="000000"/>
                <w:szCs w:val="21"/>
              </w:rPr>
            </w:pPr>
            <w:r>
              <w:rPr>
                <w:rFonts w:hint="eastAsia" w:ascii="宋体" w:hAnsi="宋体" w:cs="宋体"/>
                <w:color w:val="000000"/>
                <w:kern w:val="0"/>
                <w:szCs w:val="21"/>
                <w:lang w:bidi="ar"/>
              </w:rPr>
              <w:t>12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375531E">
            <w:pPr>
              <w:widowControl/>
              <w:spacing w:line="360" w:lineRule="auto"/>
              <w:jc w:val="center"/>
              <w:textAlignment w:val="center"/>
              <w:rPr>
                <w:rFonts w:hint="eastAsia" w:ascii="宋体" w:hAnsi="宋体" w:cs="宋体"/>
                <w:color w:val="000000"/>
                <w:szCs w:val="21"/>
              </w:rPr>
            </w:pPr>
            <w:r>
              <w:rPr>
                <w:rFonts w:hint="eastAsia" w:ascii="宋体" w:hAnsi="宋体" w:cs="宋体"/>
                <w:color w:val="000000"/>
                <w:szCs w:val="21"/>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786F0A17">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定制12套可移动式投影成像格栅面板装置，该装置带脚轮方便移动和多个模块拼接组合（单个模块尺寸不低于1.2米宽X2.5米高）；</w:t>
            </w:r>
          </w:p>
          <w:p w14:paraId="0CD2D5F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该装置背后有防倾倒的绳索来固定，以确保该装置使用时的安全性和稳定性；</w:t>
            </w:r>
          </w:p>
          <w:p w14:paraId="174C72DF">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该装置的表面为哑光材质，整体为木质（白色）。</w:t>
            </w:r>
          </w:p>
        </w:tc>
      </w:tr>
      <w:tr w14:paraId="4F8FAC2E">
        <w:tblPrEx>
          <w:tblCellMar>
            <w:top w:w="0" w:type="dxa"/>
            <w:left w:w="108" w:type="dxa"/>
            <w:bottom w:w="0" w:type="dxa"/>
            <w:right w:w="108" w:type="dxa"/>
          </w:tblCellMar>
        </w:tblPrEx>
        <w:trPr>
          <w:trHeight w:val="445"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577C55E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34</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5921181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子母凳</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6EC9A3C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F89107">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2587FB4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子母凳，数量*10套，环保木制，可一拆为二或进行嵌套组合；</w:t>
            </w:r>
          </w:p>
        </w:tc>
      </w:tr>
      <w:tr w14:paraId="70071AE9">
        <w:tblPrEx>
          <w:tblCellMar>
            <w:top w:w="0" w:type="dxa"/>
            <w:left w:w="108" w:type="dxa"/>
            <w:bottom w:w="0" w:type="dxa"/>
            <w:right w:w="108" w:type="dxa"/>
          </w:tblCellMar>
        </w:tblPrEx>
        <w:trPr>
          <w:trHeight w:val="445" w:hRule="atLeast"/>
        </w:trPr>
        <w:tc>
          <w:tcPr>
            <w:tcW w:w="9752" w:type="dxa"/>
            <w:gridSpan w:val="5"/>
            <w:tcBorders>
              <w:top w:val="single" w:color="000000" w:sz="4" w:space="0"/>
              <w:left w:val="single" w:color="000000" w:sz="4" w:space="0"/>
              <w:bottom w:val="single" w:color="000000" w:sz="4" w:space="0"/>
              <w:right w:val="single" w:color="000000" w:sz="4" w:space="0"/>
            </w:tcBorders>
            <w:noWrap w:val="0"/>
            <w:vAlign w:val="center"/>
          </w:tcPr>
          <w:p w14:paraId="4528E1C0">
            <w:pPr>
              <w:widowControl/>
              <w:spacing w:line="360" w:lineRule="auto"/>
              <w:jc w:val="center"/>
              <w:textAlignment w:val="center"/>
              <w:rPr>
                <w:rFonts w:ascii="宋体" w:hAnsi="宋体" w:cs="宋体"/>
                <w:color w:val="000000"/>
                <w:kern w:val="0"/>
                <w:szCs w:val="21"/>
                <w:lang w:bidi="ar"/>
              </w:rPr>
            </w:pPr>
            <w:r>
              <w:rPr>
                <w:rFonts w:hint="eastAsia" w:ascii="宋体" w:hAnsi="宋体" w:cs="宋体"/>
                <w:b/>
                <w:bCs/>
                <w:color w:val="000000"/>
                <w:kern w:val="0"/>
                <w:szCs w:val="21"/>
                <w:lang w:bidi="ar"/>
              </w:rPr>
              <w:t>二、空间全息玻璃学生作品创意展示墙设备清单及技术参数</w:t>
            </w:r>
          </w:p>
        </w:tc>
      </w:tr>
      <w:tr w14:paraId="625803AD">
        <w:tblPrEx>
          <w:tblCellMar>
            <w:top w:w="0" w:type="dxa"/>
            <w:left w:w="108" w:type="dxa"/>
            <w:bottom w:w="0" w:type="dxa"/>
            <w:right w:w="108" w:type="dxa"/>
          </w:tblCellMar>
        </w:tblPrEx>
        <w:trPr>
          <w:trHeight w:val="713"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E831CF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204CA5F6">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雷达眼精准交互传感器设备</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451408D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BB1F1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2B01AD1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1）雷达眼扫描测距实用半径：＞11M；</w:t>
            </w:r>
          </w:p>
          <w:p w14:paraId="3BD7ED2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2）雷达眼地面脚步踩踏触控精度：典型值&lt;3CM(贴地面良好安装情况下)；</w:t>
            </w:r>
          </w:p>
          <w:p w14:paraId="4DC1F11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3）检测帧率：≥10FPS；</w:t>
            </w:r>
          </w:p>
          <w:p w14:paraId="6D887754">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4）扫描角度：≥200°；</w:t>
            </w:r>
          </w:p>
          <w:p w14:paraId="5C8DC142">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5）多点触控：支持TUIO协议、windows多点协议、鼠标伪多点功能；</w:t>
            </w:r>
          </w:p>
          <w:p w14:paraId="14CCC3FA">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6）基于雷达眼的人机交互驱动：支持地面60-235英寸的投影画面的精准踩踏触控互动，且支持多人同时多点踩踏触控；</w:t>
            </w:r>
          </w:p>
          <w:p w14:paraId="6E00EDE0">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7）多个雷达眼设备级联：单台主机可支持&gt;20台同一型号的雷达眼设备级联同时工作；</w:t>
            </w:r>
          </w:p>
          <w:p w14:paraId="1F8403ED">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8）传输距离：支持网口，POE 协议通过网线传输数据，传输距离最大支持100m；</w:t>
            </w:r>
          </w:p>
          <w:p w14:paraId="377C4533">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9）运行温度环境：支持温度范围-20℃- 60℃；</w:t>
            </w:r>
          </w:p>
          <w:p w14:paraId="617FB4C4">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10）配套软件系统：支持多终端桥接通讯级联系统、支持触控范围精准可视化调试和实时检测手动校准。</w:t>
            </w:r>
          </w:p>
        </w:tc>
      </w:tr>
      <w:tr w14:paraId="55FD24B3">
        <w:tblPrEx>
          <w:tblCellMar>
            <w:top w:w="0" w:type="dxa"/>
            <w:left w:w="108" w:type="dxa"/>
            <w:bottom w:w="0" w:type="dxa"/>
            <w:right w:w="108" w:type="dxa"/>
          </w:tblCellMar>
        </w:tblPrEx>
        <w:trPr>
          <w:trHeight w:val="713"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4EA1D270">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2AA76CAE">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全息背投膜</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0FD44637">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26B213">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6BD34026">
            <w:pPr>
              <w:widowControl/>
              <w:spacing w:line="360" w:lineRule="auto"/>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定制15㎡的全息背投膜（浅灰色/深灰色）；</w:t>
            </w:r>
          </w:p>
          <w:p w14:paraId="7A87F7A6">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幅宽</w:t>
            </w:r>
            <w:r>
              <w:rPr>
                <w:rFonts w:hint="eastAsia" w:ascii="宋体" w:hAnsi="宋体" w:cs="宋体"/>
                <w:color w:val="000000"/>
                <w:kern w:val="0"/>
                <w:szCs w:val="21"/>
                <w:lang w:bidi="ar"/>
              </w:rPr>
              <w:t>要求</w:t>
            </w:r>
            <w:r>
              <w:rPr>
                <w:rFonts w:ascii="宋体" w:hAnsi="宋体" w:cs="宋体"/>
                <w:color w:val="000000"/>
                <w:kern w:val="0"/>
                <w:szCs w:val="21"/>
                <w:lang w:bidi="ar"/>
              </w:rPr>
              <w:t>：</w:t>
            </w:r>
            <w:r>
              <w:rPr>
                <w:rFonts w:hint="eastAsia" w:ascii="宋体" w:hAnsi="宋体" w:cs="宋体"/>
                <w:color w:val="000000"/>
                <w:kern w:val="0"/>
                <w:szCs w:val="21"/>
                <w:lang w:bidi="ar"/>
              </w:rPr>
              <w:t>5000</w:t>
            </w:r>
            <w:r>
              <w:rPr>
                <w:rFonts w:ascii="宋体" w:hAnsi="宋体" w:cs="宋体"/>
                <w:color w:val="000000"/>
                <w:kern w:val="0"/>
                <w:szCs w:val="21"/>
                <w:lang w:bidi="ar"/>
              </w:rPr>
              <w:t>mm</w:t>
            </w:r>
          </w:p>
          <w:p w14:paraId="6EE99EBA">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高</w:t>
            </w:r>
            <w:r>
              <w:rPr>
                <w:rFonts w:ascii="宋体" w:hAnsi="宋体" w:cs="宋体"/>
                <w:color w:val="000000"/>
                <w:kern w:val="0"/>
                <w:szCs w:val="21"/>
                <w:lang w:bidi="ar"/>
              </w:rPr>
              <w:t>度</w:t>
            </w:r>
            <w:r>
              <w:rPr>
                <w:rFonts w:hint="eastAsia" w:ascii="宋体" w:hAnsi="宋体" w:cs="宋体"/>
                <w:color w:val="000000"/>
                <w:kern w:val="0"/>
                <w:szCs w:val="21"/>
                <w:lang w:bidi="ar"/>
              </w:rPr>
              <w:t>要求</w:t>
            </w:r>
            <w:r>
              <w:rPr>
                <w:rFonts w:ascii="宋体" w:hAnsi="宋体" w:cs="宋体"/>
                <w:color w:val="000000"/>
                <w:kern w:val="0"/>
                <w:szCs w:val="21"/>
                <w:lang w:bidi="ar"/>
              </w:rPr>
              <w:t>：</w:t>
            </w:r>
            <w:r>
              <w:rPr>
                <w:rFonts w:hint="eastAsia" w:ascii="宋体" w:hAnsi="宋体" w:cs="宋体"/>
                <w:color w:val="000000"/>
                <w:kern w:val="0"/>
                <w:szCs w:val="21"/>
                <w:lang w:bidi="ar"/>
              </w:rPr>
              <w:t>3000m</w:t>
            </w:r>
            <w:r>
              <w:rPr>
                <w:rFonts w:ascii="宋体" w:hAnsi="宋体" w:cs="宋体"/>
                <w:color w:val="000000"/>
                <w:kern w:val="0"/>
                <w:szCs w:val="21"/>
                <w:lang w:bidi="ar"/>
              </w:rPr>
              <w:t>m</w:t>
            </w:r>
          </w:p>
          <w:p w14:paraId="49170791">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厚度</w:t>
            </w:r>
            <w:r>
              <w:rPr>
                <w:rFonts w:hint="eastAsia" w:ascii="宋体" w:hAnsi="宋体" w:cs="宋体"/>
                <w:color w:val="000000"/>
                <w:kern w:val="0"/>
                <w:szCs w:val="21"/>
                <w:lang w:bidi="ar"/>
              </w:rPr>
              <w:t>要求</w:t>
            </w:r>
            <w:r>
              <w:rPr>
                <w:rFonts w:ascii="宋体" w:hAnsi="宋体" w:cs="宋体"/>
                <w:color w:val="000000"/>
                <w:kern w:val="0"/>
                <w:szCs w:val="21"/>
                <w:lang w:bidi="ar"/>
              </w:rPr>
              <w:t>：100um</w:t>
            </w:r>
          </w:p>
          <w:p w14:paraId="4246CE73">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透光率</w:t>
            </w:r>
            <w:r>
              <w:rPr>
                <w:rFonts w:hint="eastAsia" w:ascii="宋体" w:hAnsi="宋体" w:cs="宋体"/>
                <w:color w:val="000000"/>
                <w:kern w:val="0"/>
                <w:szCs w:val="21"/>
                <w:lang w:bidi="ar"/>
              </w:rPr>
              <w:t>要求</w:t>
            </w:r>
            <w:r>
              <w:rPr>
                <w:rFonts w:ascii="宋体" w:hAnsi="宋体" w:cs="宋体"/>
                <w:color w:val="000000"/>
                <w:kern w:val="0"/>
                <w:szCs w:val="21"/>
                <w:lang w:bidi="ar"/>
              </w:rPr>
              <w:t>：54%</w:t>
            </w:r>
          </w:p>
          <w:p w14:paraId="2A86B3F9">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雾度</w:t>
            </w:r>
            <w:r>
              <w:rPr>
                <w:rFonts w:hint="eastAsia" w:ascii="宋体" w:hAnsi="宋体" w:cs="宋体"/>
                <w:color w:val="000000"/>
                <w:kern w:val="0"/>
                <w:szCs w:val="21"/>
                <w:lang w:bidi="ar"/>
              </w:rPr>
              <w:t>要求</w:t>
            </w:r>
            <w:r>
              <w:rPr>
                <w:rFonts w:ascii="宋体" w:hAnsi="宋体" w:cs="宋体"/>
                <w:color w:val="000000"/>
                <w:kern w:val="0"/>
                <w:szCs w:val="21"/>
                <w:lang w:bidi="ar"/>
              </w:rPr>
              <w:t>：95%</w:t>
            </w:r>
          </w:p>
          <w:p w14:paraId="63E23F56">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最大视角</w:t>
            </w:r>
            <w:r>
              <w:rPr>
                <w:rFonts w:hint="eastAsia" w:ascii="宋体" w:hAnsi="宋体" w:cs="宋体"/>
                <w:color w:val="000000"/>
                <w:kern w:val="0"/>
                <w:szCs w:val="21"/>
                <w:lang w:bidi="ar"/>
              </w:rPr>
              <w:t>要求</w:t>
            </w:r>
            <w:r>
              <w:rPr>
                <w:rFonts w:ascii="宋体" w:hAnsi="宋体" w:cs="宋体"/>
                <w:color w:val="000000"/>
                <w:kern w:val="0"/>
                <w:szCs w:val="21"/>
                <w:lang w:bidi="ar"/>
              </w:rPr>
              <w:t>：120度</w:t>
            </w:r>
          </w:p>
          <w:p w14:paraId="161CD870">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增益</w:t>
            </w:r>
            <w:r>
              <w:rPr>
                <w:rFonts w:hint="eastAsia" w:ascii="宋体" w:hAnsi="宋体" w:cs="宋体"/>
                <w:color w:val="000000"/>
                <w:kern w:val="0"/>
                <w:szCs w:val="21"/>
                <w:lang w:bidi="ar"/>
              </w:rPr>
              <w:t>要求</w:t>
            </w:r>
            <w:r>
              <w:rPr>
                <w:rFonts w:ascii="宋体" w:hAnsi="宋体" w:cs="宋体"/>
                <w:color w:val="000000"/>
                <w:kern w:val="0"/>
                <w:szCs w:val="21"/>
                <w:lang w:bidi="ar"/>
              </w:rPr>
              <w:t>：3</w:t>
            </w:r>
          </w:p>
          <w:p w14:paraId="19B08317">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对比度</w:t>
            </w:r>
            <w:r>
              <w:rPr>
                <w:rFonts w:hint="eastAsia" w:ascii="宋体" w:hAnsi="宋体" w:cs="宋体"/>
                <w:color w:val="000000"/>
                <w:kern w:val="0"/>
                <w:szCs w:val="21"/>
                <w:lang w:bidi="ar"/>
              </w:rPr>
              <w:t>要求</w:t>
            </w:r>
            <w:r>
              <w:rPr>
                <w:rFonts w:ascii="宋体" w:hAnsi="宋体" w:cs="宋体"/>
                <w:color w:val="000000"/>
                <w:kern w:val="0"/>
                <w:szCs w:val="21"/>
                <w:lang w:bidi="ar"/>
              </w:rPr>
              <w:t>：400：1</w:t>
            </w:r>
          </w:p>
          <w:p w14:paraId="6731B46E">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隔紫外线</w:t>
            </w:r>
            <w:r>
              <w:rPr>
                <w:rFonts w:hint="eastAsia" w:ascii="宋体" w:hAnsi="宋体" w:cs="宋体"/>
                <w:color w:val="000000"/>
                <w:kern w:val="0"/>
                <w:szCs w:val="21"/>
                <w:lang w:bidi="ar"/>
              </w:rPr>
              <w:t>要求</w:t>
            </w:r>
            <w:r>
              <w:rPr>
                <w:rFonts w:ascii="宋体" w:hAnsi="宋体" w:cs="宋体"/>
                <w:color w:val="000000"/>
                <w:kern w:val="0"/>
                <w:szCs w:val="21"/>
                <w:lang w:bidi="ar"/>
              </w:rPr>
              <w:t>：99%</w:t>
            </w:r>
          </w:p>
          <w:p w14:paraId="609659E8">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防划度</w:t>
            </w:r>
            <w:r>
              <w:rPr>
                <w:rFonts w:hint="eastAsia" w:ascii="宋体" w:hAnsi="宋体" w:cs="宋体"/>
                <w:color w:val="000000"/>
                <w:kern w:val="0"/>
                <w:szCs w:val="21"/>
                <w:lang w:bidi="ar"/>
              </w:rPr>
              <w:t>要求</w:t>
            </w:r>
            <w:r>
              <w:rPr>
                <w:rFonts w:ascii="宋体" w:hAnsi="宋体" w:cs="宋体"/>
                <w:color w:val="000000"/>
                <w:kern w:val="0"/>
                <w:szCs w:val="21"/>
                <w:lang w:bidi="ar"/>
              </w:rPr>
              <w:t>：2</w:t>
            </w:r>
          </w:p>
        </w:tc>
      </w:tr>
      <w:tr w14:paraId="30A1DC77">
        <w:tblPrEx>
          <w:tblCellMar>
            <w:top w:w="0" w:type="dxa"/>
            <w:left w:w="108" w:type="dxa"/>
            <w:bottom w:w="0" w:type="dxa"/>
            <w:right w:w="108" w:type="dxa"/>
          </w:tblCellMar>
        </w:tblPrEx>
        <w:trPr>
          <w:trHeight w:val="713"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02AD047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3</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402B0E32">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学生作品成果</w:t>
            </w:r>
          </w:p>
          <w:p w14:paraId="1B7CCDA2">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互动展示平台系统</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163C0E68">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2219C9">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3727BD8F">
            <w:pPr>
              <w:widowControl/>
              <w:spacing w:line="360" w:lineRule="auto"/>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支持学生风采照片、作品数字图片进行数字化展出：</w:t>
            </w:r>
          </w:p>
          <w:p w14:paraId="436A3372">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1.用户权限管理系统：管理员权限；教师权限；学生管理；游客权限等多种用户的观看，查询，评论的权限管理系统；</w:t>
            </w:r>
          </w:p>
          <w:p w14:paraId="3B0E5697">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2.学生作品上传管理系统：支持管理员、教师、学生进行单副创作作品的上传和批量多个作品同时批量上传</w:t>
            </w:r>
            <w:r>
              <w:rPr>
                <w:rFonts w:hint="eastAsia" w:ascii="宋体" w:hAnsi="宋体" w:cs="宋体"/>
                <w:color w:val="000000"/>
                <w:kern w:val="0"/>
                <w:szCs w:val="21"/>
                <w:lang w:bidi="ar"/>
              </w:rPr>
              <w:t>校内</w:t>
            </w:r>
            <w:r>
              <w:rPr>
                <w:rFonts w:ascii="宋体" w:hAnsi="宋体" w:cs="宋体"/>
                <w:color w:val="000000"/>
                <w:kern w:val="0"/>
                <w:szCs w:val="21"/>
                <w:lang w:bidi="ar"/>
              </w:rPr>
              <w:t>服务器；上传成功后，有权限的用户可以对作品进行作品名修改、标签修改、作者名修改、评论的评价、删除或回复；</w:t>
            </w:r>
          </w:p>
          <w:p w14:paraId="410AB7CF">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3.作品标签管理系统：上传作品时，上传用户可以自由的给自己上传的作品进行自定义标签设置，标签分为默认库的学科标签，管理员用户也可以添加新增自定义标签。每个学生的作品</w:t>
            </w:r>
            <w:r>
              <w:rPr>
                <w:rFonts w:hint="eastAsia" w:ascii="宋体" w:hAnsi="宋体" w:cs="宋体"/>
                <w:color w:val="000000"/>
                <w:kern w:val="0"/>
                <w:szCs w:val="21"/>
                <w:lang w:bidi="ar"/>
              </w:rPr>
              <w:t>上传校内</w:t>
            </w:r>
            <w:r>
              <w:rPr>
                <w:rFonts w:ascii="宋体" w:hAnsi="宋体" w:cs="宋体"/>
                <w:color w:val="000000"/>
                <w:kern w:val="0"/>
                <w:szCs w:val="21"/>
                <w:lang w:bidi="ar"/>
              </w:rPr>
              <w:t>服务器后，作品档案会自动和设置标签关联，后续更多用户可以通过标签来检索作品或快速分类学生作品；</w:t>
            </w:r>
          </w:p>
          <w:p w14:paraId="2E632E8D">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4.数据管理系统：包含有校区数据管理、年纪数据管理、班级数据管理、学生数据管理。系统支持自定义添加同一个学校多个校区的实验室名称，支持一键导入每个校区的年纪信息、班级信息、学生信息（学生信息包含</w:t>
            </w:r>
            <w:r>
              <w:rPr>
                <w:rFonts w:hint="eastAsia" w:ascii="宋体" w:hAnsi="宋体" w:cs="宋体"/>
                <w:color w:val="000000"/>
                <w:kern w:val="0"/>
                <w:szCs w:val="21"/>
                <w:lang w:bidi="ar"/>
              </w:rPr>
              <w:t>学生编</w:t>
            </w:r>
            <w:r>
              <w:rPr>
                <w:rFonts w:ascii="宋体" w:hAnsi="宋体" w:cs="宋体"/>
                <w:color w:val="000000"/>
                <w:kern w:val="0"/>
                <w:szCs w:val="21"/>
                <w:lang w:bidi="ar"/>
              </w:rPr>
              <w:t>号，中英文名，性别，出生日期，所在校区，年纪班级信息，班级编号，创建时间，自定义登录密码等）、方便教师进行学生和学生作品的分类管理、数据分析和快速检索；</w:t>
            </w:r>
          </w:p>
          <w:p w14:paraId="605C4C63">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5.作品展示和评论系统：支持瀑布流矩阵显示所有学生作品，也支持筛选后部分显示学生作品，筛选类别有：时间段、我的收藏、我的喜欢、我个人的作品、所选校区作品集、所选校区某个年级作品集、所选校区某个年级下某个班级的作品集、按做选学科标签来展示作品集、按作者姓名展示作品集、按关键字或作品标题名来检索展示作品。另外用户还支持对任意一副作品进行收藏、点赞添加喜欢、添加评论、回复评论、为评论点赞、回复表情包、删除自己作品下的评论。管理员还特别支持设置作品标题名、设置作品所属学科标签、添加作品专业评论和描述。</w:t>
            </w:r>
          </w:p>
          <w:p w14:paraId="1DA9C28D">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6.</w:t>
            </w:r>
            <w:r>
              <w:rPr>
                <w:rFonts w:hint="eastAsia" w:ascii="宋体" w:hAnsi="宋体" w:cs="宋体"/>
                <w:color w:val="000000"/>
                <w:kern w:val="0"/>
                <w:szCs w:val="21"/>
                <w:lang w:bidi="ar"/>
              </w:rPr>
              <w:t>数字作品发布展出的</w:t>
            </w:r>
            <w:r>
              <w:rPr>
                <w:rFonts w:ascii="宋体" w:hAnsi="宋体" w:cs="宋体"/>
                <w:color w:val="000000"/>
                <w:kern w:val="0"/>
                <w:szCs w:val="21"/>
                <w:lang w:bidi="ar"/>
              </w:rPr>
              <w:t>在线预约和系统设置：</w:t>
            </w:r>
          </w:p>
          <w:p w14:paraId="32F43457">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支持日历表分时段进行</w:t>
            </w:r>
            <w:r>
              <w:rPr>
                <w:rFonts w:hint="eastAsia" w:ascii="宋体" w:hAnsi="宋体" w:cs="宋体"/>
                <w:color w:val="000000"/>
                <w:kern w:val="0"/>
                <w:szCs w:val="21"/>
                <w:lang w:bidi="ar"/>
              </w:rPr>
              <w:t>数字作品发布展出的</w:t>
            </w:r>
            <w:r>
              <w:rPr>
                <w:rFonts w:ascii="宋体" w:hAnsi="宋体" w:cs="宋体"/>
                <w:color w:val="000000"/>
                <w:kern w:val="0"/>
                <w:szCs w:val="21"/>
                <w:lang w:bidi="ar"/>
              </w:rPr>
              <w:t>预约，支持设置操作人，</w:t>
            </w:r>
            <w:r>
              <w:rPr>
                <w:rFonts w:hint="eastAsia" w:ascii="宋体" w:hAnsi="宋体" w:cs="宋体"/>
                <w:color w:val="000000"/>
                <w:kern w:val="0"/>
                <w:szCs w:val="21"/>
                <w:lang w:bidi="ar"/>
              </w:rPr>
              <w:t>展出</w:t>
            </w:r>
            <w:r>
              <w:rPr>
                <w:rFonts w:ascii="宋体" w:hAnsi="宋体" w:cs="宋体"/>
                <w:color w:val="000000"/>
                <w:kern w:val="0"/>
                <w:szCs w:val="21"/>
                <w:lang w:bidi="ar"/>
              </w:rPr>
              <w:t>项目名称设置，</w:t>
            </w:r>
            <w:r>
              <w:rPr>
                <w:rFonts w:hint="eastAsia" w:ascii="宋体" w:hAnsi="宋体" w:cs="宋体"/>
                <w:color w:val="000000"/>
                <w:kern w:val="0"/>
                <w:szCs w:val="21"/>
                <w:lang w:bidi="ar"/>
              </w:rPr>
              <w:t>展出所在区域填写</w:t>
            </w:r>
            <w:r>
              <w:rPr>
                <w:rFonts w:ascii="宋体" w:hAnsi="宋体" w:cs="宋体"/>
                <w:color w:val="000000"/>
                <w:kern w:val="0"/>
                <w:szCs w:val="21"/>
                <w:lang w:bidi="ar"/>
              </w:rPr>
              <w:t>，预约时间段设置。</w:t>
            </w:r>
          </w:p>
          <w:p w14:paraId="40267629">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支持操作人登录后，自定义设置</w:t>
            </w:r>
            <w:r>
              <w:rPr>
                <w:rFonts w:hint="eastAsia" w:ascii="宋体" w:hAnsi="宋体" w:cs="宋体"/>
                <w:color w:val="000000"/>
                <w:kern w:val="0"/>
                <w:szCs w:val="21"/>
                <w:lang w:bidi="ar"/>
              </w:rPr>
              <w:t>展出</w:t>
            </w:r>
            <w:r>
              <w:rPr>
                <w:rFonts w:ascii="宋体" w:hAnsi="宋体" w:cs="宋体"/>
                <w:color w:val="000000"/>
                <w:kern w:val="0"/>
                <w:szCs w:val="21"/>
                <w:lang w:bidi="ar"/>
              </w:rPr>
              <w:t>音乐库自定义音频选曲，自定义从</w:t>
            </w:r>
            <w:r>
              <w:rPr>
                <w:rFonts w:hint="eastAsia" w:ascii="宋体" w:hAnsi="宋体" w:cs="宋体"/>
                <w:color w:val="000000"/>
                <w:kern w:val="0"/>
                <w:szCs w:val="21"/>
                <w:lang w:bidi="ar"/>
              </w:rPr>
              <w:t>本地服务器中</w:t>
            </w:r>
            <w:r>
              <w:rPr>
                <w:rFonts w:ascii="宋体" w:hAnsi="宋体" w:cs="宋体"/>
                <w:color w:val="000000"/>
                <w:kern w:val="0"/>
                <w:szCs w:val="21"/>
                <w:lang w:bidi="ar"/>
              </w:rPr>
              <w:t>点选</w:t>
            </w:r>
            <w:r>
              <w:rPr>
                <w:rFonts w:hint="eastAsia" w:ascii="宋体" w:hAnsi="宋体" w:cs="宋体"/>
                <w:color w:val="000000"/>
                <w:kern w:val="0"/>
                <w:szCs w:val="21"/>
                <w:lang w:bidi="ar"/>
              </w:rPr>
              <w:t>要展出</w:t>
            </w:r>
            <w:r>
              <w:rPr>
                <w:rFonts w:ascii="宋体" w:hAnsi="宋体" w:cs="宋体"/>
                <w:color w:val="000000"/>
                <w:kern w:val="0"/>
                <w:szCs w:val="21"/>
                <w:lang w:bidi="ar"/>
              </w:rPr>
              <w:t>的作品，支持</w:t>
            </w:r>
            <w:r>
              <w:rPr>
                <w:rFonts w:hint="eastAsia" w:ascii="宋体" w:hAnsi="宋体" w:cs="宋体"/>
                <w:color w:val="000000"/>
                <w:kern w:val="0"/>
                <w:szCs w:val="21"/>
                <w:lang w:bidi="ar"/>
              </w:rPr>
              <w:t>自定义展出画框的</w:t>
            </w:r>
            <w:r>
              <w:rPr>
                <w:rFonts w:ascii="宋体" w:hAnsi="宋体" w:cs="宋体"/>
                <w:color w:val="000000"/>
                <w:kern w:val="0"/>
                <w:szCs w:val="21"/>
                <w:lang w:bidi="ar"/>
              </w:rPr>
              <w:t>风格选择，支持自定义添加各种分辨率的</w:t>
            </w:r>
            <w:r>
              <w:rPr>
                <w:rFonts w:hint="eastAsia" w:ascii="宋体" w:hAnsi="宋体" w:cs="宋体"/>
                <w:color w:val="000000"/>
                <w:kern w:val="0"/>
                <w:szCs w:val="21"/>
                <w:lang w:bidi="ar"/>
              </w:rPr>
              <w:t>展出</w:t>
            </w:r>
            <w:r>
              <w:rPr>
                <w:rFonts w:ascii="宋体" w:hAnsi="宋体" w:cs="宋体"/>
                <w:color w:val="000000"/>
                <w:kern w:val="0"/>
                <w:szCs w:val="21"/>
                <w:lang w:bidi="ar"/>
              </w:rPr>
              <w:t>背景图片。</w:t>
            </w:r>
          </w:p>
        </w:tc>
      </w:tr>
      <w:tr w14:paraId="3B682E87">
        <w:tblPrEx>
          <w:tblCellMar>
            <w:top w:w="0" w:type="dxa"/>
            <w:left w:w="108" w:type="dxa"/>
            <w:bottom w:w="0" w:type="dxa"/>
            <w:right w:w="108" w:type="dxa"/>
          </w:tblCellMar>
        </w:tblPrEx>
        <w:trPr>
          <w:trHeight w:val="713" w:hRule="atLeast"/>
        </w:trPr>
        <w:tc>
          <w:tcPr>
            <w:tcW w:w="673" w:type="dxa"/>
            <w:tcBorders>
              <w:top w:val="single" w:color="000000" w:sz="4" w:space="0"/>
              <w:left w:val="single" w:color="000000" w:sz="4" w:space="0"/>
              <w:bottom w:val="single" w:color="000000" w:sz="4" w:space="0"/>
              <w:right w:val="single" w:color="000000" w:sz="4" w:space="0"/>
            </w:tcBorders>
            <w:noWrap w:val="0"/>
            <w:vAlign w:val="center"/>
          </w:tcPr>
          <w:p w14:paraId="6879BE0B">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4</w:t>
            </w:r>
          </w:p>
        </w:tc>
        <w:tc>
          <w:tcPr>
            <w:tcW w:w="1792" w:type="dxa"/>
            <w:tcBorders>
              <w:top w:val="single" w:color="000000" w:sz="4" w:space="0"/>
              <w:left w:val="single" w:color="000000" w:sz="4" w:space="0"/>
              <w:bottom w:val="single" w:color="000000" w:sz="4" w:space="0"/>
              <w:right w:val="single" w:color="000000" w:sz="4" w:space="0"/>
            </w:tcBorders>
            <w:noWrap w:val="0"/>
            <w:vAlign w:val="center"/>
          </w:tcPr>
          <w:p w14:paraId="15A5CABD">
            <w:pPr>
              <w:widowControl/>
              <w:spacing w:line="360"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空间全息玻璃学生作品创意展示墙配套中控系统</w:t>
            </w:r>
          </w:p>
        </w:tc>
        <w:tc>
          <w:tcPr>
            <w:tcW w:w="745" w:type="dxa"/>
            <w:tcBorders>
              <w:top w:val="single" w:color="000000" w:sz="4" w:space="0"/>
              <w:left w:val="single" w:color="000000" w:sz="4" w:space="0"/>
              <w:bottom w:val="single" w:color="000000" w:sz="4" w:space="0"/>
              <w:right w:val="single" w:color="000000" w:sz="4" w:space="0"/>
            </w:tcBorders>
            <w:noWrap w:val="0"/>
            <w:vAlign w:val="center"/>
          </w:tcPr>
          <w:p w14:paraId="5643AE9C">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F279AF">
            <w:pPr>
              <w:widowControl/>
              <w:spacing w:line="360" w:lineRule="auto"/>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套</w:t>
            </w:r>
          </w:p>
        </w:tc>
        <w:tc>
          <w:tcPr>
            <w:tcW w:w="5702" w:type="dxa"/>
            <w:tcBorders>
              <w:top w:val="single" w:color="000000" w:sz="4" w:space="0"/>
              <w:left w:val="single" w:color="000000" w:sz="4" w:space="0"/>
              <w:bottom w:val="single" w:color="000000" w:sz="4" w:space="0"/>
              <w:right w:val="single" w:color="000000" w:sz="4" w:space="0"/>
            </w:tcBorders>
            <w:noWrap w:val="0"/>
            <w:vAlign w:val="center"/>
          </w:tcPr>
          <w:p w14:paraId="1BEECCB4">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1、支持定制中控系统界面的学校logo和开机待机画面；</w:t>
            </w:r>
          </w:p>
          <w:p w14:paraId="600F6031">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2、支持控制空间全息玻璃学生作品创意展示墙配套多台主机，多台投影机设备的一键开启，关闭；</w:t>
            </w:r>
          </w:p>
          <w:p w14:paraId="6D033181">
            <w:pPr>
              <w:widowControl/>
              <w:spacing w:line="360" w:lineRule="auto"/>
              <w:jc w:val="left"/>
              <w:textAlignment w:val="center"/>
              <w:rPr>
                <w:rFonts w:ascii="宋体" w:hAnsi="宋体" w:cs="宋体"/>
                <w:color w:val="000000"/>
                <w:kern w:val="0"/>
                <w:szCs w:val="21"/>
                <w:lang w:bidi="ar"/>
              </w:rPr>
            </w:pPr>
            <w:r>
              <w:rPr>
                <w:rFonts w:ascii="宋体" w:hAnsi="宋体" w:cs="宋体"/>
                <w:color w:val="000000"/>
                <w:kern w:val="0"/>
                <w:szCs w:val="21"/>
                <w:lang w:bidi="ar"/>
              </w:rPr>
              <w:t>3、支持学生</w:t>
            </w:r>
            <w:r>
              <w:rPr>
                <w:rFonts w:hint="eastAsia" w:ascii="宋体" w:hAnsi="宋体" w:cs="宋体"/>
                <w:color w:val="000000"/>
                <w:kern w:val="0"/>
                <w:szCs w:val="21"/>
                <w:lang w:bidi="ar"/>
              </w:rPr>
              <w:t>上传</w:t>
            </w:r>
            <w:r>
              <w:rPr>
                <w:rFonts w:ascii="宋体" w:hAnsi="宋体" w:cs="宋体"/>
                <w:color w:val="000000"/>
                <w:kern w:val="0"/>
                <w:szCs w:val="21"/>
                <w:lang w:bidi="ar"/>
              </w:rPr>
              <w:t>作品资源的模块化点播，包含支持exe格式客户端资源的点播，支持全部资源以瀑布流节目单形式查找浏览；</w:t>
            </w:r>
          </w:p>
        </w:tc>
      </w:tr>
    </w:tbl>
    <w:p w14:paraId="0F6A6DBA">
      <w:pPr>
        <w:adjustRightInd w:val="0"/>
        <w:snapToGrid w:val="0"/>
        <w:spacing w:line="360" w:lineRule="auto"/>
        <w:ind w:firstLine="422" w:firstLineChars="200"/>
        <w:rPr>
          <w:b/>
          <w:szCs w:val="21"/>
        </w:rPr>
      </w:pPr>
      <w:r>
        <w:rPr>
          <w:rFonts w:hint="eastAsia"/>
          <w:b/>
          <w:szCs w:val="21"/>
        </w:rPr>
        <w:t>注：</w:t>
      </w:r>
    </w:p>
    <w:p w14:paraId="76EFAB4B">
      <w:pPr>
        <w:adjustRightInd w:val="0"/>
        <w:snapToGrid w:val="0"/>
        <w:spacing w:line="360" w:lineRule="auto"/>
        <w:ind w:firstLine="422" w:firstLineChars="200"/>
        <w:rPr>
          <w:rFonts w:hint="eastAsia" w:ascii="宋体" w:hAnsi="宋体" w:cs="Calibri"/>
          <w:b/>
          <w:bCs/>
          <w:dstrike/>
          <w:szCs w:val="21"/>
          <w:highlight w:val="yellow"/>
        </w:rPr>
      </w:pPr>
      <w:r>
        <w:rPr>
          <w:rFonts w:hint="eastAsia"/>
          <w:b/>
          <w:szCs w:val="21"/>
        </w:rPr>
        <w:t>1、投标产品中计算机设备应提供国家确定的认证机构出具的、处于有效期之内的节能产品认证证书。</w:t>
      </w:r>
    </w:p>
    <w:p w14:paraId="36746095">
      <w:pPr>
        <w:adjustRightInd w:val="0"/>
        <w:snapToGrid w:val="0"/>
        <w:spacing w:line="360" w:lineRule="auto"/>
        <w:ind w:firstLine="420" w:firstLineChars="200"/>
        <w:rPr>
          <w:rFonts w:hint="eastAsia" w:ascii="宋体" w:hAnsi="宋体"/>
          <w:bCs/>
          <w:szCs w:val="21"/>
        </w:rPr>
      </w:pPr>
      <w:r>
        <w:rPr>
          <w:rFonts w:hint="eastAsia" w:ascii="宋体" w:hAnsi="宋体"/>
          <w:szCs w:val="21"/>
          <w:lang w:val="en-US" w:eastAsia="zh-CN"/>
        </w:rPr>
        <w:t>2</w:t>
      </w:r>
      <w:r>
        <w:rPr>
          <w:rFonts w:hint="eastAsia" w:ascii="宋体" w:hAnsi="宋体"/>
          <w:szCs w:val="21"/>
        </w:rPr>
        <w:t>、</w:t>
      </w:r>
      <w:r>
        <w:rPr>
          <w:rFonts w:hint="eastAsia" w:ascii="宋体" w:hAnsi="宋体"/>
          <w:bCs/>
          <w:szCs w:val="21"/>
        </w:rPr>
        <w:t>为完成本项目而配置的各类线缆、附件、配件的品牌、规格、数量、报价均应在附表中予以明确填报，计算务必完整，准确。投标人应提供本项目全部设备和软件系统的综合集成服务和机房部署调试服务</w:t>
      </w:r>
      <w:r>
        <w:rPr>
          <w:rFonts w:hint="eastAsia" w:ascii="宋体" w:hAnsi="宋体"/>
          <w:bCs/>
          <w:szCs w:val="21"/>
          <w:lang w:eastAsia="zh-CN"/>
        </w:rPr>
        <w:t>；</w:t>
      </w:r>
      <w:r>
        <w:rPr>
          <w:rFonts w:hint="eastAsia" w:ascii="宋体" w:hAnsi="宋体"/>
          <w:bCs/>
          <w:szCs w:val="21"/>
        </w:rPr>
        <w:t>全部设备的包装材料、施工地面墙面保护材料、各种辅材、工具配件和所有设备的物流配送</w:t>
      </w:r>
      <w:r>
        <w:rPr>
          <w:rFonts w:hint="eastAsia" w:ascii="宋体" w:hAnsi="宋体"/>
          <w:bCs/>
          <w:szCs w:val="21"/>
          <w:lang w:eastAsia="zh-CN"/>
        </w:rPr>
        <w:t>；</w:t>
      </w:r>
      <w:r>
        <w:rPr>
          <w:rFonts w:hint="eastAsia" w:ascii="宋体" w:hAnsi="宋体"/>
          <w:bCs/>
          <w:szCs w:val="21"/>
        </w:rPr>
        <w:t>全部设备配套的强弱电穿管布线的施工</w:t>
      </w:r>
      <w:r>
        <w:rPr>
          <w:rFonts w:hint="eastAsia" w:ascii="宋体" w:hAnsi="宋体"/>
          <w:bCs/>
          <w:szCs w:val="21"/>
          <w:lang w:eastAsia="zh-CN"/>
        </w:rPr>
        <w:t>；</w:t>
      </w:r>
      <w:r>
        <w:rPr>
          <w:rFonts w:hint="eastAsia" w:ascii="宋体" w:hAnsi="宋体"/>
          <w:bCs/>
          <w:szCs w:val="21"/>
        </w:rPr>
        <w:t>全部需要交付的系统软件、数字资源、AIGC数字人平台的部署调试服务</w:t>
      </w:r>
      <w:r>
        <w:rPr>
          <w:rFonts w:hint="eastAsia" w:ascii="宋体" w:hAnsi="宋体"/>
          <w:bCs/>
          <w:szCs w:val="21"/>
          <w:lang w:eastAsia="zh-CN"/>
        </w:rPr>
        <w:t>；</w:t>
      </w:r>
      <w:r>
        <w:rPr>
          <w:rFonts w:hint="eastAsia" w:ascii="宋体" w:hAnsi="宋体"/>
          <w:bCs/>
          <w:szCs w:val="21"/>
        </w:rPr>
        <w:t>进场施工人员的施工意外伤害责任险购买</w:t>
      </w:r>
      <w:r>
        <w:rPr>
          <w:rFonts w:hint="eastAsia" w:ascii="宋体" w:hAnsi="宋体"/>
          <w:bCs/>
          <w:szCs w:val="21"/>
          <w:lang w:eastAsia="zh-CN"/>
        </w:rPr>
        <w:t>；</w:t>
      </w:r>
      <w:r>
        <w:rPr>
          <w:rFonts w:hint="eastAsia" w:ascii="宋体" w:hAnsi="宋体"/>
          <w:bCs/>
          <w:szCs w:val="21"/>
        </w:rPr>
        <w:t>现场安全帽、防坠落绳等施工人员劳保用品</w:t>
      </w:r>
      <w:r>
        <w:rPr>
          <w:rFonts w:hint="eastAsia" w:ascii="宋体" w:hAnsi="宋体"/>
          <w:bCs/>
          <w:szCs w:val="21"/>
          <w:lang w:eastAsia="zh-CN"/>
        </w:rPr>
        <w:t>；</w:t>
      </w:r>
      <w:r>
        <w:rPr>
          <w:rFonts w:hint="eastAsia" w:ascii="宋体" w:hAnsi="宋体"/>
          <w:bCs/>
          <w:szCs w:val="21"/>
        </w:rPr>
        <w:t>现场垃圾清运和保洁人员的深度保洁服务。采购方不因</w:t>
      </w:r>
      <w:r>
        <w:rPr>
          <w:rFonts w:hint="eastAsia" w:ascii="宋体" w:hAnsi="宋体"/>
          <w:bCs/>
          <w:szCs w:val="21"/>
          <w:lang w:eastAsia="zh-CN"/>
        </w:rPr>
        <w:t>投标人</w:t>
      </w:r>
      <w:r>
        <w:rPr>
          <w:rFonts w:hint="eastAsia" w:ascii="宋体" w:hAnsi="宋体"/>
          <w:bCs/>
          <w:szCs w:val="21"/>
        </w:rPr>
        <w:t>对此项的计算遗漏或其他因素而支付任何额外费用。</w:t>
      </w:r>
    </w:p>
    <w:p w14:paraId="3474B396">
      <w:pPr>
        <w:adjustRightInd w:val="0"/>
        <w:snapToGrid w:val="0"/>
        <w:spacing w:line="360" w:lineRule="auto"/>
        <w:ind w:firstLine="420" w:firstLineChars="200"/>
        <w:rPr>
          <w:rFonts w:hint="eastAsia" w:ascii="宋体" w:hAnsi="宋体"/>
          <w:bCs/>
          <w:szCs w:val="21"/>
        </w:rPr>
      </w:pPr>
      <w:r>
        <w:rPr>
          <w:rFonts w:hint="eastAsia" w:ascii="宋体" w:hAnsi="宋体"/>
          <w:bCs/>
          <w:szCs w:val="21"/>
          <w:lang w:val="en-US" w:eastAsia="zh-CN"/>
        </w:rPr>
        <w:t>3</w:t>
      </w:r>
      <w:r>
        <w:rPr>
          <w:rFonts w:hint="eastAsia" w:ascii="宋体" w:hAnsi="宋体"/>
          <w:bCs/>
          <w:szCs w:val="21"/>
        </w:rPr>
        <w:t>、投标人必须对以上全部采购内容及相关服务进行报价。相关线缆等数量为暂定数，最终结算时以审价单位根据项目实际实施情况审定数进行调整，除此之外投标报价不作调整。</w:t>
      </w:r>
    </w:p>
    <w:p w14:paraId="54470B41">
      <w:pPr>
        <w:adjustRightInd w:val="0"/>
        <w:snapToGrid w:val="0"/>
        <w:spacing w:line="360" w:lineRule="auto"/>
        <w:ind w:firstLine="420" w:firstLineChars="200"/>
        <w:rPr>
          <w:rFonts w:hint="eastAsia" w:ascii="宋体" w:hAnsi="宋体"/>
          <w:bCs/>
          <w:szCs w:val="21"/>
        </w:rPr>
      </w:pPr>
      <w:r>
        <w:rPr>
          <w:rFonts w:hint="eastAsia" w:ascii="宋体" w:hAnsi="宋体"/>
          <w:bCs/>
          <w:szCs w:val="21"/>
          <w:lang w:val="en-US" w:eastAsia="zh-CN"/>
        </w:rPr>
        <w:t>4</w:t>
      </w:r>
      <w:r>
        <w:rPr>
          <w:rFonts w:hint="eastAsia" w:ascii="宋体" w:hAnsi="宋体"/>
          <w:bCs/>
          <w:szCs w:val="21"/>
        </w:rPr>
        <w:t>、以上技术规范要求作为本项目参考技术要求，</w:t>
      </w:r>
      <w:r>
        <w:rPr>
          <w:rFonts w:hint="eastAsia" w:ascii="宋体" w:hAnsi="宋体"/>
          <w:bCs/>
          <w:szCs w:val="21"/>
          <w:lang w:eastAsia="zh-CN"/>
        </w:rPr>
        <w:t>投标人</w:t>
      </w:r>
      <w:r>
        <w:rPr>
          <w:rFonts w:hint="eastAsia" w:ascii="宋体" w:hAnsi="宋体"/>
          <w:bCs/>
          <w:szCs w:val="21"/>
        </w:rPr>
        <w:t>在深化设计方案制作中应注意补充增加，技术方案解释力求完整，完善并进一步深化。以上技术参数的未列项并不表示采购方以及采购单位放弃对此项技术指标的要求。</w:t>
      </w:r>
    </w:p>
    <w:p w14:paraId="5569A26E">
      <w:pPr>
        <w:adjustRightInd w:val="0"/>
        <w:snapToGrid w:val="0"/>
        <w:spacing w:line="360" w:lineRule="auto"/>
        <w:ind w:firstLine="420" w:firstLineChars="200"/>
        <w:rPr>
          <w:rFonts w:hint="eastAsia" w:ascii="宋体" w:hAnsi="宋体"/>
          <w:bCs/>
          <w:szCs w:val="21"/>
        </w:rPr>
      </w:pPr>
    </w:p>
    <w:p w14:paraId="78EC7445">
      <w:pPr>
        <w:adjustRightInd w:val="0"/>
        <w:snapToGrid w:val="0"/>
        <w:spacing w:line="360" w:lineRule="auto"/>
        <w:rPr>
          <w:rFonts w:hint="eastAsia"/>
          <w:b/>
          <w:szCs w:val="21"/>
        </w:rPr>
      </w:pPr>
      <w:r>
        <w:rPr>
          <w:rFonts w:hint="eastAsia"/>
          <w:b/>
          <w:szCs w:val="21"/>
        </w:rPr>
        <w:t>七、人员服务要求</w:t>
      </w:r>
    </w:p>
    <w:p w14:paraId="7305B299">
      <w:pPr>
        <w:adjustRightInd w:val="0"/>
        <w:snapToGrid w:val="0"/>
        <w:spacing w:line="360" w:lineRule="auto"/>
        <w:ind w:firstLine="420" w:firstLineChars="200"/>
        <w:rPr>
          <w:rFonts w:ascii="宋体" w:hAnsi="宋体"/>
          <w:bCs/>
          <w:szCs w:val="21"/>
        </w:rPr>
      </w:pPr>
      <w:r>
        <w:rPr>
          <w:rFonts w:hint="eastAsia" w:ascii="宋体" w:hAnsi="宋体"/>
          <w:bCs/>
          <w:szCs w:val="21"/>
        </w:rPr>
        <w:t>项目组人员中至少有10名成员具备计算机、电子工程、软件工程、教育技术、艺术设计等相关学历专业背景人员，且项目经理具备相关职业资格管理证书，确保项目成功落地实施。</w:t>
      </w:r>
      <w:r>
        <w:rPr>
          <w:rFonts w:hint="eastAsia" w:ascii="宋体" w:hAnsi="宋体"/>
          <w:bCs/>
          <w:szCs w:val="21"/>
          <w:lang w:eastAsia="zh-CN"/>
        </w:rPr>
        <w:t>投标人</w:t>
      </w:r>
      <w:r>
        <w:rPr>
          <w:rFonts w:hint="eastAsia" w:ascii="宋体" w:hAnsi="宋体"/>
          <w:bCs/>
          <w:szCs w:val="21"/>
        </w:rPr>
        <w:t>需提供以上人员的社保缴纳证明（3个月以上），以及相关学历证书。</w:t>
      </w:r>
    </w:p>
    <w:p w14:paraId="08BB8624">
      <w:pPr>
        <w:snapToGrid w:val="0"/>
        <w:spacing w:line="360" w:lineRule="auto"/>
        <w:ind w:firstLine="420" w:firstLineChars="200"/>
        <w:rPr>
          <w:rFonts w:ascii="宋体" w:hAnsi="宋体"/>
          <w:szCs w:val="21"/>
        </w:rPr>
      </w:pPr>
      <w:r>
        <w:rPr>
          <w:rFonts w:hint="eastAsia" w:ascii="宋体" w:hAnsi="宋体"/>
          <w:szCs w:val="21"/>
        </w:rPr>
        <w:t>项目团队必须按照项目标准流程实施，设立规划、实施、控制、审核等阶段，并针对每个阶段成果进行集中管理和审核，项目管理中的过程文档（尤其是带日期的现场实施图片材料）必须齐全。</w:t>
      </w:r>
    </w:p>
    <w:p w14:paraId="4F20C821">
      <w:pPr>
        <w:adjustRightInd w:val="0"/>
        <w:snapToGrid w:val="0"/>
        <w:spacing w:line="360" w:lineRule="auto"/>
        <w:rPr>
          <w:rFonts w:hint="eastAsia"/>
          <w:b/>
          <w:szCs w:val="21"/>
        </w:rPr>
      </w:pPr>
    </w:p>
    <w:p w14:paraId="593E160C">
      <w:pPr>
        <w:adjustRightInd w:val="0"/>
        <w:snapToGrid w:val="0"/>
        <w:spacing w:line="360" w:lineRule="auto"/>
        <w:rPr>
          <w:b/>
          <w:szCs w:val="21"/>
        </w:rPr>
      </w:pPr>
      <w:r>
        <w:rPr>
          <w:rFonts w:hint="eastAsia"/>
          <w:b/>
          <w:szCs w:val="21"/>
        </w:rPr>
        <w:t>八、知识产权及版权归属要求</w:t>
      </w:r>
    </w:p>
    <w:p w14:paraId="1E98E114">
      <w:pPr>
        <w:adjustRightInd w:val="0"/>
        <w:snapToGrid w:val="0"/>
        <w:spacing w:line="360" w:lineRule="auto"/>
        <w:ind w:firstLine="420" w:firstLineChars="200"/>
        <w:rPr>
          <w:rFonts w:hint="eastAsia" w:ascii="宋体" w:hAnsi="宋体"/>
          <w:bCs/>
          <w:szCs w:val="21"/>
        </w:rPr>
      </w:pPr>
      <w:r>
        <w:rPr>
          <w:rFonts w:hint="eastAsia" w:ascii="宋体" w:hAnsi="宋体"/>
          <w:bCs/>
          <w:szCs w:val="21"/>
        </w:rPr>
        <w:t>本项目涉及的技术服务成果，采购人享有知识产权与版权。涉及产品购买的，最终产品完全使用权归采购人所有。</w:t>
      </w:r>
    </w:p>
    <w:p w14:paraId="01FF83E5">
      <w:pPr>
        <w:adjustRightInd w:val="0"/>
        <w:snapToGrid w:val="0"/>
        <w:spacing w:line="360" w:lineRule="auto"/>
        <w:ind w:firstLine="420" w:firstLineChars="200"/>
        <w:rPr>
          <w:rFonts w:hint="eastAsia" w:ascii="宋体" w:hAnsi="宋体"/>
          <w:bCs/>
          <w:szCs w:val="21"/>
        </w:rPr>
      </w:pPr>
      <w:r>
        <w:rPr>
          <w:rFonts w:hint="eastAsia" w:ascii="宋体" w:hAnsi="宋体"/>
          <w:bCs/>
          <w:szCs w:val="21"/>
        </w:rPr>
        <w:t>投标供应商必须保障项目中涉及的内容与技术，不受到任何第三方关于侵犯著作权、肖像权、专利权、商标权或工业设计权的指控。如任何第三方提出关于知识产权的异议，投标供应商必须与第三方交涉并承担由此引起的一切法律责任和费用，包括赔偿采购人的连带损失。</w:t>
      </w:r>
    </w:p>
    <w:p w14:paraId="37B9C75D">
      <w:pPr>
        <w:adjustRightInd w:val="0"/>
        <w:snapToGrid w:val="0"/>
        <w:spacing w:line="360" w:lineRule="auto"/>
        <w:rPr>
          <w:rFonts w:hint="eastAsia"/>
          <w:b/>
          <w:szCs w:val="21"/>
        </w:rPr>
      </w:pPr>
    </w:p>
    <w:p w14:paraId="7B10713B">
      <w:pPr>
        <w:adjustRightInd w:val="0"/>
        <w:snapToGrid w:val="0"/>
        <w:spacing w:line="360" w:lineRule="auto"/>
        <w:rPr>
          <w:rFonts w:hint="eastAsia"/>
          <w:b/>
          <w:szCs w:val="21"/>
        </w:rPr>
      </w:pPr>
      <w:r>
        <w:rPr>
          <w:rFonts w:hint="eastAsia"/>
          <w:b/>
          <w:szCs w:val="21"/>
        </w:rPr>
        <w:t>九、项目实施要求</w:t>
      </w:r>
    </w:p>
    <w:p w14:paraId="7953ED6A">
      <w:pPr>
        <w:tabs>
          <w:tab w:val="left" w:pos="502"/>
        </w:tabs>
        <w:adjustRightInd w:val="0"/>
        <w:snapToGrid w:val="0"/>
        <w:spacing w:line="360" w:lineRule="auto"/>
        <w:outlineLvl w:val="0"/>
        <w:rPr>
          <w:rFonts w:hint="eastAsia" w:ascii="宋体" w:hAnsi="宋体"/>
          <w:b/>
          <w:kern w:val="0"/>
          <w:szCs w:val="21"/>
        </w:rPr>
      </w:pPr>
      <w:r>
        <w:rPr>
          <w:rFonts w:hint="eastAsia" w:ascii="宋体" w:hAnsi="宋体"/>
          <w:b/>
          <w:kern w:val="0"/>
          <w:szCs w:val="21"/>
        </w:rPr>
        <w:t>（一）安装和调试</w:t>
      </w:r>
    </w:p>
    <w:p w14:paraId="356A1DE8">
      <w:pPr>
        <w:adjustRightInd w:val="0"/>
        <w:snapToGrid w:val="0"/>
        <w:spacing w:line="360" w:lineRule="auto"/>
        <w:ind w:firstLine="422" w:firstLineChars="200"/>
        <w:rPr>
          <w:rFonts w:hint="eastAsia"/>
          <w:szCs w:val="21"/>
        </w:rPr>
      </w:pPr>
      <w:r>
        <w:rPr>
          <w:rFonts w:hint="eastAsia"/>
          <w:b/>
          <w:szCs w:val="21"/>
        </w:rPr>
        <w:t>本项目完工期为合同签订后60日历天内完成</w:t>
      </w:r>
      <w:r>
        <w:rPr>
          <w:rFonts w:hint="eastAsia"/>
          <w:szCs w:val="21"/>
        </w:rPr>
        <w:t>，投标人所提供的设备及其集成安装全部由投标人负责。</w:t>
      </w:r>
    </w:p>
    <w:p w14:paraId="1A984F6F">
      <w:pPr>
        <w:adjustRightInd w:val="0"/>
        <w:snapToGrid w:val="0"/>
        <w:spacing w:line="360" w:lineRule="auto"/>
        <w:ind w:firstLine="420" w:firstLineChars="200"/>
        <w:rPr>
          <w:rFonts w:hint="eastAsia"/>
          <w:szCs w:val="21"/>
        </w:rPr>
      </w:pPr>
      <w:r>
        <w:rPr>
          <w:rFonts w:hint="eastAsia"/>
          <w:szCs w:val="21"/>
        </w:rPr>
        <w:t>投标人负责投标人设备之间线缆的布放以及投标人设备与买方已有相关设备之间的线缆布放。</w:t>
      </w:r>
    </w:p>
    <w:p w14:paraId="535F740C">
      <w:pPr>
        <w:adjustRightInd w:val="0"/>
        <w:snapToGrid w:val="0"/>
        <w:spacing w:line="360" w:lineRule="auto"/>
        <w:ind w:firstLine="420" w:firstLineChars="200"/>
        <w:rPr>
          <w:rFonts w:hint="eastAsia"/>
          <w:szCs w:val="21"/>
        </w:rPr>
      </w:pPr>
      <w:r>
        <w:rPr>
          <w:rFonts w:hint="eastAsia"/>
          <w:szCs w:val="21"/>
        </w:rPr>
        <w:t>投标人负责对施工地点进行现场勘察，保证施工进行。安装调测时使用的工具、设备由投标人提供, 通用工具由买方协助解决。</w:t>
      </w:r>
    </w:p>
    <w:p w14:paraId="61D18DD7">
      <w:pPr>
        <w:adjustRightInd w:val="0"/>
        <w:snapToGrid w:val="0"/>
        <w:spacing w:line="360" w:lineRule="auto"/>
        <w:ind w:firstLine="420" w:firstLineChars="200"/>
        <w:rPr>
          <w:rFonts w:hint="eastAsia"/>
          <w:szCs w:val="21"/>
        </w:rPr>
      </w:pPr>
      <w:r>
        <w:rPr>
          <w:rFonts w:hint="eastAsia"/>
          <w:szCs w:val="21"/>
        </w:rPr>
        <w:t>双方应协商制定工程进度表, 投标人负责按工程进度表进行施工。设备调试由投标人负责, 并提出设备调试的内容、项目、指标和方法, 并提供相应的仪器和工具, 投标人有责任对买方的技术人员提出的问题作出解答。</w:t>
      </w:r>
    </w:p>
    <w:p w14:paraId="0858FA1F">
      <w:pPr>
        <w:adjustRightInd w:val="0"/>
        <w:snapToGrid w:val="0"/>
        <w:spacing w:line="360" w:lineRule="auto"/>
        <w:ind w:firstLine="420" w:firstLineChars="200"/>
        <w:rPr>
          <w:rFonts w:hint="eastAsia"/>
          <w:szCs w:val="21"/>
        </w:rPr>
      </w:pPr>
      <w:r>
        <w:rPr>
          <w:rFonts w:hint="eastAsia"/>
          <w:szCs w:val="21"/>
        </w:rPr>
        <w:t>调试应进行详细记录, 设备调试结束后, 由投标人技术人员签字后交给买方验收。设备系统测试的条款应与技术规范一致。</w:t>
      </w:r>
    </w:p>
    <w:p w14:paraId="4B996D51">
      <w:pPr>
        <w:adjustRightInd w:val="0"/>
        <w:snapToGrid w:val="0"/>
        <w:spacing w:line="360" w:lineRule="auto"/>
        <w:ind w:firstLine="420" w:firstLineChars="200"/>
        <w:rPr>
          <w:szCs w:val="21"/>
        </w:rPr>
      </w:pPr>
      <w:r>
        <w:rPr>
          <w:rFonts w:hint="eastAsia"/>
          <w:szCs w:val="21"/>
        </w:rPr>
        <w:t>基于以上要求，投标人应提供测试条件、方法和过程的草案，招标以后，最终测试文件由双方共同拟定。</w:t>
      </w:r>
    </w:p>
    <w:p w14:paraId="6D0E482D">
      <w:pPr>
        <w:tabs>
          <w:tab w:val="left" w:pos="502"/>
        </w:tabs>
        <w:adjustRightInd w:val="0"/>
        <w:snapToGrid w:val="0"/>
        <w:spacing w:line="360" w:lineRule="auto"/>
        <w:outlineLvl w:val="0"/>
        <w:rPr>
          <w:rFonts w:hint="eastAsia" w:ascii="宋体" w:hAnsi="宋体"/>
          <w:b/>
          <w:kern w:val="0"/>
          <w:szCs w:val="21"/>
        </w:rPr>
      </w:pPr>
      <w:r>
        <w:rPr>
          <w:rFonts w:hint="eastAsia" w:ascii="宋体" w:hAnsi="宋体"/>
          <w:b/>
          <w:kern w:val="0"/>
          <w:szCs w:val="21"/>
        </w:rPr>
        <w:t>（二）验收</w:t>
      </w:r>
    </w:p>
    <w:p w14:paraId="3C9B9383">
      <w:pPr>
        <w:adjustRightInd w:val="0"/>
        <w:snapToGrid w:val="0"/>
        <w:spacing w:line="360" w:lineRule="auto"/>
        <w:rPr>
          <w:szCs w:val="21"/>
        </w:rPr>
      </w:pPr>
      <w:r>
        <w:rPr>
          <w:rFonts w:hint="eastAsia"/>
          <w:szCs w:val="21"/>
        </w:rPr>
        <w:t xml:space="preserve">    设备运抵安装现场后，买方将与中标人共同开箱验收。验收时发现短缺、破损, 买方有权要求中标人立即补发和负责更换。同时中标人应提供必备的技术资料：</w:t>
      </w:r>
    </w:p>
    <w:p w14:paraId="3807522D">
      <w:pPr>
        <w:adjustRightInd w:val="0"/>
        <w:snapToGrid w:val="0"/>
        <w:spacing w:line="360" w:lineRule="auto"/>
        <w:rPr>
          <w:szCs w:val="21"/>
        </w:rPr>
      </w:pPr>
      <w:r>
        <w:rPr>
          <w:rFonts w:hint="eastAsia"/>
          <w:szCs w:val="21"/>
        </w:rPr>
        <w:t>（1）相关的技术资料（测试报告、产品合格证书、保修卡、说明书等）；</w:t>
      </w:r>
    </w:p>
    <w:p w14:paraId="2DFCA765">
      <w:pPr>
        <w:adjustRightInd w:val="0"/>
        <w:snapToGrid w:val="0"/>
        <w:spacing w:line="360" w:lineRule="auto"/>
        <w:rPr>
          <w:szCs w:val="21"/>
        </w:rPr>
      </w:pPr>
      <w:r>
        <w:rPr>
          <w:rFonts w:hint="eastAsia"/>
          <w:szCs w:val="21"/>
        </w:rPr>
        <w:t>（2）提供设备连接图、主要技术参数（列出清单）；</w:t>
      </w:r>
    </w:p>
    <w:p w14:paraId="717A2EBB">
      <w:pPr>
        <w:adjustRightInd w:val="0"/>
        <w:snapToGrid w:val="0"/>
        <w:spacing w:line="360" w:lineRule="auto"/>
        <w:ind w:firstLine="420" w:firstLineChars="200"/>
        <w:rPr>
          <w:szCs w:val="21"/>
        </w:rPr>
      </w:pPr>
      <w:r>
        <w:rPr>
          <w:rFonts w:hint="eastAsia"/>
          <w:szCs w:val="21"/>
        </w:rPr>
        <w:t>设备安装、调试达到技术规范书规定的指标并正常运行5个工作日后，可进行验收测试。验收规范(包括项目、指标、方式等)应由中标人提交给买方。买方可根据合同及技术规范书进行修改和补充, 经双方确认后形成验收文件作为验收依据。验收测试合格后, 双方签署验收协议。</w:t>
      </w:r>
    </w:p>
    <w:p w14:paraId="2413DDDF">
      <w:pPr>
        <w:tabs>
          <w:tab w:val="left" w:pos="502"/>
        </w:tabs>
        <w:adjustRightInd w:val="0"/>
        <w:snapToGrid w:val="0"/>
        <w:spacing w:line="360" w:lineRule="auto"/>
        <w:outlineLvl w:val="0"/>
        <w:rPr>
          <w:rFonts w:hint="eastAsia" w:ascii="宋体" w:hAnsi="宋体"/>
          <w:b/>
          <w:kern w:val="0"/>
          <w:szCs w:val="21"/>
        </w:rPr>
      </w:pPr>
      <w:r>
        <w:rPr>
          <w:rFonts w:hint="eastAsia" w:ascii="宋体" w:hAnsi="宋体"/>
          <w:b/>
          <w:kern w:val="0"/>
          <w:szCs w:val="21"/>
        </w:rPr>
        <w:t>（三）保修期</w:t>
      </w:r>
    </w:p>
    <w:p w14:paraId="5ED160EF">
      <w:pPr>
        <w:adjustRightInd w:val="0"/>
        <w:snapToGrid w:val="0"/>
        <w:spacing w:line="360" w:lineRule="auto"/>
        <w:ind w:firstLine="420" w:firstLineChars="200"/>
        <w:rPr>
          <w:rFonts w:hint="eastAsia"/>
          <w:szCs w:val="21"/>
        </w:rPr>
      </w:pPr>
      <w:r>
        <w:rPr>
          <w:rFonts w:hint="eastAsia"/>
          <w:szCs w:val="21"/>
        </w:rPr>
        <w:t>保修期从初验完成之后开始计算，</w:t>
      </w:r>
      <w:r>
        <w:rPr>
          <w:rFonts w:hint="eastAsia"/>
          <w:b/>
          <w:szCs w:val="21"/>
        </w:rPr>
        <w:t>本项目产品质量保修期不得低于3年</w:t>
      </w:r>
      <w:r>
        <w:rPr>
          <w:rFonts w:hint="eastAsia"/>
          <w:szCs w:val="21"/>
        </w:rPr>
        <w:t>。在保修期内，如果系统发生故障，要求中标人在2小时内做出响应，并在8小时内赶到现场进行维修，24小时内修复，如在48小时内无法修复应提供相应的备件进行更换，由此发生的全部费用由中标人负责。</w:t>
      </w:r>
    </w:p>
    <w:p w14:paraId="0C10E67D">
      <w:pPr>
        <w:adjustRightInd w:val="0"/>
        <w:snapToGrid w:val="0"/>
        <w:spacing w:line="360" w:lineRule="auto"/>
        <w:ind w:firstLine="420" w:firstLineChars="200"/>
        <w:rPr>
          <w:rFonts w:hint="eastAsia" w:ascii="宋体" w:hAnsi="宋体" w:cs="Calibri"/>
          <w:b/>
          <w:bCs/>
          <w:dstrike/>
          <w:szCs w:val="21"/>
          <w:highlight w:val="yellow"/>
        </w:rPr>
      </w:pPr>
      <w:r>
        <w:rPr>
          <w:rFonts w:hint="eastAsia"/>
          <w:szCs w:val="21"/>
        </w:rPr>
        <w:t>设备开通后, 如发生软件升级及设备升级、 扩展等有关情况, 中标人应向买方提供必要的技术资料，并免费提供软件升级。保修期后，中标人应对其提供的设备提供终身技术支持。</w:t>
      </w:r>
    </w:p>
    <w:p w14:paraId="0B08AEE3">
      <w:pPr>
        <w:tabs>
          <w:tab w:val="left" w:pos="502"/>
        </w:tabs>
        <w:adjustRightInd w:val="0"/>
        <w:snapToGrid w:val="0"/>
        <w:spacing w:line="360" w:lineRule="auto"/>
        <w:outlineLvl w:val="0"/>
        <w:rPr>
          <w:rFonts w:hint="eastAsia" w:ascii="宋体" w:hAnsi="宋体"/>
          <w:b/>
          <w:kern w:val="0"/>
          <w:szCs w:val="21"/>
        </w:rPr>
      </w:pPr>
      <w:r>
        <w:rPr>
          <w:rFonts w:hint="eastAsia" w:ascii="宋体" w:hAnsi="宋体"/>
          <w:b/>
          <w:kern w:val="0"/>
          <w:szCs w:val="21"/>
        </w:rPr>
        <w:t>（四）设计服务</w:t>
      </w:r>
    </w:p>
    <w:p w14:paraId="370DF083">
      <w:pPr>
        <w:adjustRightInd w:val="0"/>
        <w:snapToGrid w:val="0"/>
        <w:spacing w:line="360" w:lineRule="auto"/>
        <w:ind w:firstLine="420" w:firstLineChars="200"/>
        <w:rPr>
          <w:rFonts w:hint="eastAsia" w:ascii="宋体" w:hAnsi="宋体"/>
          <w:bCs/>
          <w:szCs w:val="21"/>
        </w:rPr>
      </w:pPr>
      <w:r>
        <w:rPr>
          <w:rFonts w:hint="eastAsia" w:ascii="宋体" w:hAnsi="宋体"/>
          <w:bCs/>
          <w:szCs w:val="21"/>
        </w:rPr>
        <w:t>提供该空间的整体设计方案，需要提供不少于五种深化图纸（包括但不限于的强弱电布置图、空间三维效果图、网络中控系统架构图、设备连接图，成像设备光路设计图）；</w:t>
      </w:r>
    </w:p>
    <w:p w14:paraId="6F191079">
      <w:pPr>
        <w:adjustRightInd w:val="0"/>
        <w:snapToGrid w:val="0"/>
        <w:spacing w:line="360" w:lineRule="auto"/>
        <w:ind w:firstLine="420" w:firstLineChars="200"/>
        <w:rPr>
          <w:rFonts w:hint="eastAsia" w:ascii="宋体" w:hAnsi="宋体"/>
          <w:bCs/>
          <w:szCs w:val="21"/>
        </w:rPr>
      </w:pPr>
      <w:r>
        <w:rPr>
          <w:rFonts w:hint="eastAsia" w:ascii="宋体" w:hAnsi="宋体"/>
          <w:bCs/>
          <w:szCs w:val="21"/>
        </w:rPr>
        <w:t>对整个项目集成，保证相关设计符合要求，各设备之间使用时不能出现有遮蔽、阻挡、妨碍的情况，保证整个实验室空间各系统可正常稳定使用；</w:t>
      </w:r>
    </w:p>
    <w:p w14:paraId="2F7B753D">
      <w:pPr>
        <w:adjustRightInd w:val="0"/>
        <w:snapToGrid w:val="0"/>
        <w:spacing w:line="360" w:lineRule="auto"/>
        <w:ind w:firstLine="420" w:firstLineChars="200"/>
        <w:rPr>
          <w:szCs w:val="21"/>
        </w:rPr>
      </w:pPr>
      <w:r>
        <w:rPr>
          <w:rFonts w:hint="eastAsia" w:ascii="宋体" w:hAnsi="宋体"/>
          <w:bCs/>
          <w:szCs w:val="21"/>
        </w:rPr>
        <w:t>提供设备的备货送货、安装调试，系统集成，机房部署，软件调试，技术培训等服务。</w:t>
      </w:r>
    </w:p>
    <w:p w14:paraId="7DE90750">
      <w:pPr>
        <w:tabs>
          <w:tab w:val="left" w:pos="502"/>
        </w:tabs>
        <w:adjustRightInd w:val="0"/>
        <w:snapToGrid w:val="0"/>
        <w:spacing w:line="360" w:lineRule="auto"/>
        <w:outlineLvl w:val="0"/>
        <w:rPr>
          <w:rFonts w:hint="eastAsia" w:ascii="宋体" w:hAnsi="宋体"/>
          <w:b/>
          <w:kern w:val="0"/>
          <w:szCs w:val="21"/>
        </w:rPr>
      </w:pPr>
      <w:r>
        <w:rPr>
          <w:rFonts w:hint="eastAsia" w:ascii="宋体" w:hAnsi="宋体"/>
          <w:b/>
          <w:kern w:val="0"/>
          <w:szCs w:val="21"/>
        </w:rPr>
        <w:t>（五）师资培训</w:t>
      </w:r>
    </w:p>
    <w:p w14:paraId="6BB5282F">
      <w:pPr>
        <w:adjustRightInd w:val="0"/>
        <w:snapToGrid w:val="0"/>
        <w:spacing w:line="360" w:lineRule="auto"/>
        <w:ind w:firstLine="420" w:firstLineChars="200"/>
        <w:rPr>
          <w:szCs w:val="21"/>
        </w:rPr>
      </w:pPr>
      <w:r>
        <w:rPr>
          <w:rFonts w:hint="eastAsia"/>
          <w:szCs w:val="21"/>
        </w:rPr>
        <w:t>中标人应负责买方设备维护管理人员和应用人员的使用培训，培训内容包括如下方面：操作维护培训和高级培训应包括所提供设备的原理和技术性能、操作维护方法、安装调测、排除故障及软件使用等各个方面, 并提供全套培训教材和培训课程计划表。</w:t>
      </w:r>
    </w:p>
    <w:p w14:paraId="339F7F8A">
      <w:pPr>
        <w:adjustRightInd w:val="0"/>
        <w:snapToGrid w:val="0"/>
        <w:spacing w:line="360" w:lineRule="auto"/>
        <w:ind w:firstLine="420" w:firstLineChars="200"/>
        <w:rPr>
          <w:szCs w:val="21"/>
        </w:rPr>
      </w:pPr>
      <w:r>
        <w:rPr>
          <w:rFonts w:hint="eastAsia"/>
          <w:szCs w:val="21"/>
        </w:rPr>
        <w:t>投标人应详细开列培训内容及培训地点、时间等项目。</w:t>
      </w:r>
    </w:p>
    <w:p w14:paraId="27065225">
      <w:pPr>
        <w:tabs>
          <w:tab w:val="left" w:pos="502"/>
        </w:tabs>
        <w:adjustRightInd w:val="0"/>
        <w:snapToGrid w:val="0"/>
        <w:spacing w:line="360" w:lineRule="auto"/>
        <w:outlineLvl w:val="0"/>
        <w:rPr>
          <w:rFonts w:hint="eastAsia" w:ascii="宋体" w:hAnsi="宋体"/>
          <w:b/>
          <w:kern w:val="0"/>
          <w:szCs w:val="21"/>
        </w:rPr>
      </w:pPr>
      <w:r>
        <w:rPr>
          <w:rFonts w:hint="eastAsia" w:ascii="宋体" w:hAnsi="宋体"/>
          <w:b/>
          <w:kern w:val="0"/>
          <w:szCs w:val="21"/>
        </w:rPr>
        <w:t>（六）技术文件</w:t>
      </w:r>
    </w:p>
    <w:p w14:paraId="5E60FFEA">
      <w:pPr>
        <w:adjustRightInd w:val="0"/>
        <w:snapToGrid w:val="0"/>
        <w:spacing w:line="360" w:lineRule="auto"/>
        <w:ind w:firstLine="420" w:firstLineChars="200"/>
        <w:rPr>
          <w:szCs w:val="21"/>
        </w:rPr>
      </w:pPr>
      <w:r>
        <w:rPr>
          <w:rFonts w:hint="eastAsia"/>
          <w:szCs w:val="21"/>
        </w:rPr>
        <w:t>中标人提供的书面技术资料应能满足确保设备正常运行所需的管理、运营及维护有关的全套文件。中标人提供的技术文件至少应包括：</w:t>
      </w:r>
    </w:p>
    <w:p w14:paraId="77DB9E9F">
      <w:pPr>
        <w:adjustRightInd w:val="0"/>
        <w:snapToGrid w:val="0"/>
        <w:spacing w:line="360" w:lineRule="auto"/>
        <w:ind w:firstLine="420" w:firstLineChars="200"/>
        <w:rPr>
          <w:szCs w:val="21"/>
        </w:rPr>
      </w:pPr>
      <w:r>
        <w:rPr>
          <w:rFonts w:hint="eastAsia"/>
          <w:szCs w:val="21"/>
        </w:rPr>
        <w:t>（1）设备操作说明文件；</w:t>
      </w:r>
    </w:p>
    <w:p w14:paraId="4E064B72">
      <w:pPr>
        <w:adjustRightInd w:val="0"/>
        <w:snapToGrid w:val="0"/>
        <w:spacing w:line="360" w:lineRule="auto"/>
        <w:ind w:firstLine="420" w:firstLineChars="200"/>
        <w:rPr>
          <w:szCs w:val="21"/>
        </w:rPr>
      </w:pPr>
      <w:r>
        <w:rPr>
          <w:rFonts w:hint="eastAsia"/>
          <w:szCs w:val="21"/>
        </w:rPr>
        <w:t>（2）技术手册(安装、测试、操作、维护、故障排除等)；</w:t>
      </w:r>
    </w:p>
    <w:p w14:paraId="16D2124B">
      <w:pPr>
        <w:adjustRightInd w:val="0"/>
        <w:snapToGrid w:val="0"/>
        <w:spacing w:line="360" w:lineRule="auto"/>
        <w:ind w:firstLine="420" w:firstLineChars="200"/>
        <w:rPr>
          <w:szCs w:val="21"/>
        </w:rPr>
      </w:pPr>
      <w:r>
        <w:rPr>
          <w:rFonts w:hint="eastAsia"/>
          <w:szCs w:val="21"/>
        </w:rPr>
        <w:t>（3）用户使用手册；</w:t>
      </w:r>
    </w:p>
    <w:p w14:paraId="14ECED3F">
      <w:pPr>
        <w:adjustRightInd w:val="0"/>
        <w:snapToGrid w:val="0"/>
        <w:spacing w:line="360" w:lineRule="auto"/>
        <w:ind w:firstLine="420" w:firstLineChars="200"/>
        <w:rPr>
          <w:szCs w:val="21"/>
        </w:rPr>
      </w:pPr>
      <w:r>
        <w:rPr>
          <w:rFonts w:hint="eastAsia"/>
          <w:szCs w:val="21"/>
        </w:rPr>
        <w:t>（4）软件系统资源使用教程；</w:t>
      </w:r>
    </w:p>
    <w:p w14:paraId="536CA4F6">
      <w:pPr>
        <w:tabs>
          <w:tab w:val="left" w:pos="502"/>
        </w:tabs>
        <w:adjustRightInd w:val="0"/>
        <w:snapToGrid w:val="0"/>
        <w:spacing w:line="360" w:lineRule="auto"/>
        <w:outlineLvl w:val="0"/>
        <w:rPr>
          <w:rFonts w:ascii="宋体" w:hAnsi="宋体"/>
          <w:b/>
          <w:kern w:val="0"/>
          <w:szCs w:val="21"/>
        </w:rPr>
      </w:pPr>
      <w:r>
        <w:rPr>
          <w:rFonts w:hint="eastAsia" w:ascii="宋体" w:hAnsi="宋体"/>
          <w:b/>
          <w:kern w:val="0"/>
          <w:szCs w:val="21"/>
        </w:rPr>
        <w:t>（七）备品备件</w:t>
      </w:r>
    </w:p>
    <w:p w14:paraId="5C2CFE2D">
      <w:pPr>
        <w:tabs>
          <w:tab w:val="left" w:pos="426"/>
          <w:tab w:val="left" w:pos="709"/>
        </w:tabs>
        <w:adjustRightInd w:val="0"/>
        <w:snapToGrid w:val="0"/>
        <w:spacing w:line="360" w:lineRule="auto"/>
        <w:ind w:firstLine="420"/>
        <w:rPr>
          <w:rFonts w:ascii="宋体" w:hAnsi="宋体"/>
          <w:szCs w:val="21"/>
        </w:rPr>
      </w:pPr>
      <w:r>
        <w:rPr>
          <w:rFonts w:hint="eastAsia" w:ascii="宋体" w:hAnsi="Courier New" w:cs="Courier New"/>
          <w:szCs w:val="21"/>
        </w:rPr>
        <w:t>投标人应详细列出设备需要的备品备件，当设备出现故障时，能及时更换坏掉的设备，保证整个设备的可用性。</w:t>
      </w:r>
    </w:p>
    <w:p w14:paraId="1512AD87">
      <w:pPr>
        <w:adjustRightInd w:val="0"/>
        <w:snapToGrid w:val="0"/>
        <w:spacing w:line="360" w:lineRule="auto"/>
        <w:rPr>
          <w:rFonts w:hint="eastAsia"/>
          <w:b/>
          <w:szCs w:val="21"/>
        </w:rPr>
      </w:pPr>
    </w:p>
    <w:p w14:paraId="18A70475">
      <w:pPr>
        <w:adjustRightInd w:val="0"/>
        <w:snapToGrid w:val="0"/>
        <w:spacing w:line="360" w:lineRule="auto"/>
        <w:rPr>
          <w:rFonts w:hint="eastAsia"/>
          <w:b/>
          <w:szCs w:val="21"/>
        </w:rPr>
      </w:pPr>
      <w:r>
        <w:rPr>
          <w:rFonts w:hint="eastAsia"/>
          <w:b/>
          <w:szCs w:val="21"/>
        </w:rPr>
        <w:t>十、其他要求</w:t>
      </w:r>
    </w:p>
    <w:p w14:paraId="40F4B8F0">
      <w:pPr>
        <w:adjustRightInd w:val="0"/>
        <w:snapToGrid w:val="0"/>
        <w:spacing w:line="360" w:lineRule="auto"/>
        <w:ind w:firstLine="420" w:firstLineChars="200"/>
        <w:rPr>
          <w:rFonts w:ascii="宋体" w:hAnsi="宋体"/>
          <w:b/>
          <w:szCs w:val="21"/>
        </w:rPr>
      </w:pPr>
      <w:r>
        <w:rPr>
          <w:rFonts w:hint="eastAsia" w:ascii="宋体" w:hAnsi="宋体"/>
          <w:szCs w:val="21"/>
        </w:rPr>
        <w:t>（1）投标报价要求：</w:t>
      </w:r>
      <w:r>
        <w:rPr>
          <w:rFonts w:hint="eastAsia" w:ascii="宋体" w:hAnsi="宋体"/>
          <w:bCs/>
          <w:szCs w:val="21"/>
        </w:rPr>
        <w:t>本项目为交钥匙工程。投标人必须对以上全部采购内容及相关服务进行报价，</w:t>
      </w:r>
      <w:r>
        <w:rPr>
          <w:rFonts w:hint="eastAsia" w:ascii="宋体" w:hAnsi="宋体"/>
          <w:szCs w:val="21"/>
        </w:rPr>
        <w:t>报价中应包含设备（产品）采购、安装集成费用、验收合格、免费维护费用、相关培训等伴随服务等全部明细内容，</w:t>
      </w:r>
      <w:r>
        <w:rPr>
          <w:rFonts w:hint="eastAsia" w:ascii="宋体" w:hAnsi="宋体"/>
          <w:bCs/>
          <w:szCs w:val="21"/>
        </w:rPr>
        <w:t>并</w:t>
      </w:r>
      <w:r>
        <w:rPr>
          <w:rFonts w:hint="eastAsia" w:ascii="宋体" w:hAnsi="宋体"/>
          <w:szCs w:val="21"/>
        </w:rPr>
        <w:t>将与本项目有关的其他所有费用全部计入投标报价，采购人不再承担其他任何费用。</w:t>
      </w:r>
    </w:p>
    <w:p w14:paraId="17AAEAA0">
      <w:pPr>
        <w:adjustRightInd w:val="0"/>
        <w:snapToGrid w:val="0"/>
        <w:spacing w:line="360" w:lineRule="auto"/>
        <w:ind w:firstLine="422" w:firstLineChars="200"/>
        <w:rPr>
          <w:rFonts w:ascii="宋体" w:hAnsi="宋体"/>
          <w:szCs w:val="21"/>
        </w:rPr>
      </w:pPr>
      <w:r>
        <w:rPr>
          <w:rFonts w:hint="eastAsia" w:ascii="宋体" w:hAnsi="宋体"/>
          <w:b/>
          <w:szCs w:val="21"/>
        </w:rPr>
        <w:t>（2）本项目工期为合同签订后60天内完成，</w:t>
      </w:r>
      <w:r>
        <w:rPr>
          <w:rFonts w:hint="eastAsia" w:ascii="宋体" w:hAnsi="宋体"/>
          <w:szCs w:val="21"/>
        </w:rPr>
        <w:t>请</w:t>
      </w:r>
      <w:r>
        <w:rPr>
          <w:rFonts w:hint="eastAsia" w:ascii="宋体" w:hAnsi="宋体"/>
          <w:szCs w:val="21"/>
          <w:lang w:eastAsia="zh-CN"/>
        </w:rPr>
        <w:t>投标人</w:t>
      </w:r>
      <w:r>
        <w:rPr>
          <w:rFonts w:hint="eastAsia" w:ascii="宋体" w:hAnsi="宋体"/>
          <w:szCs w:val="21"/>
        </w:rPr>
        <w:t>根据用户方需求自报项目实施周期，并制作详细实施周期及施工组织方案、人员安排等质量、安全、工期保障措施，以确保项目按期完工。</w:t>
      </w:r>
    </w:p>
    <w:p w14:paraId="606D1185">
      <w:pPr>
        <w:adjustRightInd w:val="0"/>
        <w:snapToGrid w:val="0"/>
        <w:spacing w:line="360" w:lineRule="auto"/>
        <w:ind w:firstLine="420" w:firstLineChars="200"/>
        <w:rPr>
          <w:rFonts w:hint="eastAsia" w:ascii="宋体" w:hAnsi="宋体"/>
          <w:szCs w:val="21"/>
        </w:rPr>
      </w:pPr>
      <w:r>
        <w:rPr>
          <w:rFonts w:hint="eastAsia" w:ascii="宋体" w:hAnsi="宋体"/>
          <w:szCs w:val="21"/>
        </w:rPr>
        <w:t>（3）中标单位与采购人应当在中标通知书发出之日起三十日内，按照招标文件确定的事项签订政府采购合同，采购人应当按照《徐汇区政府采购货物、服务项目合同履约验收管理办法》相关规定进行验收管理和支付相应合同价款，中标单位有义务参加并协助采购人验收，提供相关技术资料、合格证明等文件或材料，并对自己生产或销售的货物质量或提供的服务负责。验收书要求见附件。</w:t>
      </w:r>
    </w:p>
    <w:p w14:paraId="0B74AC53">
      <w:pPr>
        <w:adjustRightInd w:val="0"/>
        <w:snapToGrid w:val="0"/>
        <w:spacing w:line="360" w:lineRule="auto"/>
        <w:ind w:firstLine="420" w:firstLineChars="200"/>
        <w:rPr>
          <w:rFonts w:hint="eastAsia" w:ascii="宋体" w:hAnsi="宋体"/>
          <w:sz w:val="28"/>
          <w:szCs w:val="28"/>
        </w:rPr>
      </w:pPr>
      <w:r>
        <w:rPr>
          <w:rFonts w:hint="eastAsia" w:ascii="宋体" w:hAnsi="宋体"/>
          <w:szCs w:val="21"/>
        </w:rPr>
        <w:t>（4）中标供应商实际供货产品与投标产品不一致，送货服务承诺无法完成，产品质量、服务被使用方有效投诉，经查实中标供应商要承担相应违约责任，并将按《徐汇区政府采购供应商诚信档案管理办法》规定进行相应记载和处理，同时保留向市、区政府采购管理机构通报的权利。</w:t>
      </w:r>
    </w:p>
    <w:p w14:paraId="0D153578">
      <w:pPr>
        <w:adjustRightInd w:val="0"/>
        <w:snapToGrid w:val="0"/>
        <w:spacing w:line="360" w:lineRule="auto"/>
        <w:ind w:firstLine="420" w:firstLineChars="200"/>
        <w:rPr>
          <w:rFonts w:hint="eastAsia" w:ascii="宋体" w:hAnsi="宋体"/>
          <w:bCs/>
          <w:szCs w:val="21"/>
        </w:rPr>
      </w:pPr>
    </w:p>
    <w:p w14:paraId="46BB29C1">
      <w:pPr>
        <w:adjustRightInd w:val="0"/>
        <w:snapToGrid w:val="0"/>
        <w:spacing w:line="360" w:lineRule="auto"/>
        <w:rPr>
          <w:rFonts w:hint="eastAsia"/>
          <w:b/>
          <w:szCs w:val="21"/>
        </w:rPr>
      </w:pPr>
      <w:r>
        <w:rPr>
          <w:rFonts w:hint="eastAsia"/>
          <w:b/>
          <w:szCs w:val="21"/>
        </w:rPr>
        <w:t>十一、演示要求</w:t>
      </w:r>
    </w:p>
    <w:p w14:paraId="7452BDBF">
      <w:pPr>
        <w:widowControl/>
        <w:spacing w:line="360" w:lineRule="auto"/>
        <w:ind w:firstLine="420"/>
        <w:rPr>
          <w:rFonts w:ascii="宋体" w:hAnsi="宋体" w:cs="宋体"/>
          <w:b/>
          <w:bCs/>
          <w:color w:val="auto"/>
          <w:kern w:val="0"/>
          <w:szCs w:val="21"/>
          <w:highlight w:val="none"/>
        </w:rPr>
      </w:pPr>
      <w:r>
        <w:rPr>
          <w:rFonts w:hint="eastAsia" w:ascii="宋体" w:hAnsi="宋体" w:cs="宋体"/>
          <w:b/>
          <w:bCs/>
          <w:color w:val="auto"/>
          <w:kern w:val="0"/>
          <w:szCs w:val="21"/>
          <w:highlight w:val="none"/>
        </w:rPr>
        <w:t>演示具体要求如下：</w:t>
      </w:r>
    </w:p>
    <w:p w14:paraId="53574F35">
      <w:pPr>
        <w:pStyle w:val="2"/>
        <w:spacing w:before="0" w:beforeAutospacing="0" w:after="0" w:afterAutospacing="0" w:line="360" w:lineRule="auto"/>
        <w:ind w:firstLine="420"/>
        <w:rPr>
          <w:rFonts w:hint="eastAsia" w:cs="Calibri"/>
          <w:bCs/>
          <w:color w:val="auto"/>
          <w:kern w:val="2"/>
          <w:sz w:val="21"/>
          <w:szCs w:val="22"/>
          <w:highlight w:val="none"/>
        </w:rPr>
      </w:pPr>
      <w:r>
        <w:rPr>
          <w:rFonts w:hint="eastAsia" w:cs="Calibri"/>
          <w:bCs/>
          <w:color w:val="auto"/>
          <w:kern w:val="2"/>
          <w:sz w:val="21"/>
          <w:szCs w:val="22"/>
          <w:highlight w:val="none"/>
        </w:rPr>
        <w:t>1、</w:t>
      </w:r>
      <w:r>
        <w:rPr>
          <w:rFonts w:hint="eastAsia" w:cs="Calibri"/>
          <w:bCs/>
          <w:color w:val="auto"/>
          <w:kern w:val="2"/>
          <w:sz w:val="21"/>
          <w:szCs w:val="22"/>
          <w:highlight w:val="none"/>
          <w:lang w:eastAsia="zh-CN"/>
        </w:rPr>
        <w:t>投标人</w:t>
      </w:r>
      <w:r>
        <w:rPr>
          <w:rFonts w:hint="eastAsia" w:cs="Calibri"/>
          <w:bCs/>
          <w:color w:val="auto"/>
          <w:kern w:val="2"/>
          <w:sz w:val="21"/>
          <w:szCs w:val="22"/>
          <w:highlight w:val="none"/>
        </w:rPr>
        <w:t>须提供下述产品的功能演示，演示方式为视频演示；</w:t>
      </w:r>
    </w:p>
    <w:p w14:paraId="6E0E8ED4">
      <w:pPr>
        <w:pStyle w:val="2"/>
        <w:spacing w:before="0" w:beforeAutospacing="0" w:after="0" w:afterAutospacing="0" w:line="360" w:lineRule="auto"/>
        <w:ind w:firstLine="420"/>
        <w:rPr>
          <w:rFonts w:hint="eastAsia" w:cs="Calibri"/>
          <w:bCs/>
          <w:color w:val="auto"/>
          <w:kern w:val="2"/>
          <w:sz w:val="21"/>
          <w:szCs w:val="22"/>
          <w:highlight w:val="none"/>
        </w:rPr>
      </w:pPr>
      <w:r>
        <w:rPr>
          <w:rFonts w:hint="eastAsia" w:cs="Calibri"/>
          <w:bCs/>
          <w:color w:val="auto"/>
          <w:kern w:val="2"/>
          <w:sz w:val="21"/>
          <w:szCs w:val="22"/>
          <w:highlight w:val="none"/>
        </w:rPr>
        <w:t>2、</w:t>
      </w:r>
      <w:r>
        <w:rPr>
          <w:rFonts w:hint="eastAsia" w:cs="Calibri"/>
          <w:b/>
          <w:bCs w:val="0"/>
          <w:color w:val="auto"/>
          <w:kern w:val="2"/>
          <w:sz w:val="21"/>
          <w:szCs w:val="22"/>
          <w:highlight w:val="none"/>
        </w:rPr>
        <w:t>演示以视频形式存储于U盘介质中</w:t>
      </w:r>
      <w:r>
        <w:rPr>
          <w:rFonts w:hint="eastAsia" w:cs="Calibri"/>
          <w:bCs/>
          <w:color w:val="auto"/>
          <w:kern w:val="2"/>
          <w:sz w:val="21"/>
          <w:szCs w:val="22"/>
          <w:highlight w:val="none"/>
        </w:rPr>
        <w:t>，</w:t>
      </w:r>
      <w:r>
        <w:rPr>
          <w:rFonts w:hint="eastAsia" w:cs="Calibri"/>
          <w:b/>
          <w:color w:val="auto"/>
          <w:kern w:val="2"/>
          <w:sz w:val="21"/>
          <w:szCs w:val="22"/>
          <w:highlight w:val="none"/>
        </w:rPr>
        <w:t>总时长不超过5分钟</w:t>
      </w:r>
      <w:r>
        <w:rPr>
          <w:rFonts w:hint="eastAsia" w:cs="Calibri"/>
          <w:bCs/>
          <w:color w:val="auto"/>
          <w:kern w:val="2"/>
          <w:sz w:val="21"/>
          <w:szCs w:val="22"/>
          <w:highlight w:val="none"/>
        </w:rPr>
        <w:t>。各</w:t>
      </w:r>
      <w:r>
        <w:rPr>
          <w:rFonts w:hint="eastAsia" w:cs="Calibri"/>
          <w:bCs/>
          <w:color w:val="auto"/>
          <w:kern w:val="2"/>
          <w:sz w:val="21"/>
          <w:szCs w:val="22"/>
          <w:highlight w:val="none"/>
          <w:lang w:eastAsia="zh-CN"/>
        </w:rPr>
        <w:t>投标人</w:t>
      </w:r>
      <w:r>
        <w:rPr>
          <w:rFonts w:hint="eastAsia" w:cs="Calibri"/>
          <w:bCs/>
          <w:color w:val="auto"/>
          <w:kern w:val="2"/>
          <w:sz w:val="21"/>
          <w:szCs w:val="22"/>
          <w:highlight w:val="none"/>
        </w:rPr>
        <w:t>须于开标当天携带演示视频至开标现场，介质须密封在一个封袋中并在封袋上清楚地标明</w:t>
      </w:r>
      <w:r>
        <w:rPr>
          <w:rFonts w:hint="eastAsia" w:cs="Calibri"/>
          <w:bCs/>
          <w:color w:val="auto"/>
          <w:kern w:val="2"/>
          <w:sz w:val="21"/>
          <w:szCs w:val="22"/>
          <w:highlight w:val="none"/>
          <w:lang w:eastAsia="zh-CN"/>
        </w:rPr>
        <w:t>投标人</w:t>
      </w:r>
      <w:r>
        <w:rPr>
          <w:rFonts w:hint="eastAsia" w:cs="Calibri"/>
          <w:bCs/>
          <w:color w:val="auto"/>
          <w:kern w:val="2"/>
          <w:sz w:val="21"/>
          <w:szCs w:val="22"/>
          <w:highlight w:val="none"/>
        </w:rPr>
        <w:t>名称、项目名称、</w:t>
      </w:r>
      <w:r>
        <w:rPr>
          <w:rFonts w:hint="eastAsia" w:cs="Calibri"/>
          <w:bCs/>
          <w:color w:val="auto"/>
          <w:kern w:val="2"/>
          <w:sz w:val="21"/>
          <w:szCs w:val="22"/>
          <w:highlight w:val="none"/>
          <w:lang w:eastAsia="zh-CN"/>
        </w:rPr>
        <w:t>投标人</w:t>
      </w:r>
      <w:r>
        <w:rPr>
          <w:rFonts w:hint="eastAsia" w:cs="Calibri"/>
          <w:bCs/>
          <w:color w:val="auto"/>
          <w:kern w:val="2"/>
          <w:sz w:val="21"/>
          <w:szCs w:val="22"/>
          <w:highlight w:val="none"/>
        </w:rPr>
        <w:t>法定代表人姓名或授权委托人姓名，并加盖单位公章。封袋的封口处应加盖</w:t>
      </w:r>
      <w:r>
        <w:rPr>
          <w:rFonts w:hint="eastAsia" w:cs="Calibri"/>
          <w:bCs/>
          <w:color w:val="auto"/>
          <w:kern w:val="2"/>
          <w:sz w:val="21"/>
          <w:szCs w:val="22"/>
          <w:highlight w:val="none"/>
          <w:lang w:eastAsia="zh-CN"/>
        </w:rPr>
        <w:t>投标人</w:t>
      </w:r>
      <w:r>
        <w:rPr>
          <w:rFonts w:hint="eastAsia" w:cs="Calibri"/>
          <w:bCs/>
          <w:color w:val="auto"/>
          <w:kern w:val="2"/>
          <w:sz w:val="21"/>
          <w:szCs w:val="22"/>
          <w:highlight w:val="none"/>
        </w:rPr>
        <w:t>印章。</w:t>
      </w:r>
    </w:p>
    <w:p w14:paraId="6273D22D">
      <w:pPr>
        <w:widowControl/>
        <w:spacing w:line="360" w:lineRule="auto"/>
        <w:ind w:firstLine="420"/>
        <w:rPr>
          <w:rFonts w:cs="Calibri"/>
          <w:bCs/>
          <w:color w:val="auto"/>
          <w:szCs w:val="22"/>
          <w:highlight w:val="none"/>
        </w:rPr>
      </w:pPr>
      <w:r>
        <w:rPr>
          <w:rFonts w:hint="eastAsia" w:ascii="宋体" w:hAnsi="宋体" w:cs="宋体"/>
          <w:color w:val="auto"/>
          <w:kern w:val="0"/>
          <w:szCs w:val="21"/>
          <w:highlight w:val="none"/>
        </w:rPr>
        <w:t>3、演示分共计6分，以下演示要求不满足或部分满足的，该项均不得分。</w:t>
      </w:r>
    </w:p>
    <w:p w14:paraId="66A88BE3">
      <w:pPr>
        <w:pStyle w:val="2"/>
        <w:spacing w:before="0" w:beforeAutospacing="0" w:after="0" w:afterAutospacing="0" w:line="360" w:lineRule="auto"/>
        <w:ind w:firstLine="420"/>
        <w:rPr>
          <w:rFonts w:cs="Calibri"/>
          <w:bCs/>
          <w:kern w:val="2"/>
          <w:sz w:val="21"/>
          <w:szCs w:val="21"/>
        </w:rPr>
      </w:pPr>
      <w:r>
        <w:rPr>
          <w:rFonts w:hint="eastAsia" w:cs="宋体"/>
          <w:b/>
          <w:bCs/>
          <w:sz w:val="21"/>
          <w:szCs w:val="21"/>
        </w:rPr>
        <w:t>演示细则如下：</w:t>
      </w:r>
    </w:p>
    <w:p w14:paraId="738422DB">
      <w:pPr>
        <w:pStyle w:val="2"/>
        <w:spacing w:before="0" w:beforeAutospacing="0" w:after="0" w:afterAutospacing="0" w:line="360" w:lineRule="auto"/>
        <w:ind w:firstLine="420"/>
        <w:rPr>
          <w:rFonts w:hint="eastAsia" w:cs="Calibri"/>
          <w:bCs/>
          <w:kern w:val="2"/>
          <w:sz w:val="21"/>
          <w:szCs w:val="22"/>
        </w:rPr>
      </w:pPr>
      <w:r>
        <w:rPr>
          <w:rFonts w:hint="eastAsia" w:cs="Calibri"/>
          <w:bCs/>
          <w:kern w:val="2"/>
          <w:sz w:val="21"/>
          <w:szCs w:val="22"/>
        </w:rPr>
        <w:t>学生作品图像扫描录入系统（含高速多媒介扫描设备）、</w:t>
      </w:r>
      <w:r>
        <w:rPr>
          <w:rFonts w:hint="eastAsia"/>
          <w:bCs/>
          <w:kern w:val="2"/>
          <w:sz w:val="21"/>
          <w:szCs w:val="21"/>
        </w:rPr>
        <w:t>沉浸式跨学科人工智能实验室精准触控传感器设备</w:t>
      </w:r>
      <w:r>
        <w:rPr>
          <w:rFonts w:hint="eastAsia" w:cs="Calibri"/>
          <w:bCs/>
          <w:kern w:val="2"/>
          <w:sz w:val="21"/>
          <w:szCs w:val="22"/>
        </w:rPr>
        <w:t>、教师专用沉浸式AIGC课程编辑创作云平台</w:t>
      </w:r>
    </w:p>
    <w:p w14:paraId="19ED8042">
      <w:pPr>
        <w:pStyle w:val="2"/>
        <w:spacing w:before="0" w:beforeAutospacing="0" w:after="0" w:afterAutospacing="0" w:line="360" w:lineRule="auto"/>
        <w:ind w:firstLine="420"/>
        <w:rPr>
          <w:rFonts w:hint="eastAsia"/>
          <w:bCs/>
          <w:sz w:val="21"/>
          <w:szCs w:val="21"/>
        </w:rPr>
      </w:pPr>
      <w:r>
        <w:rPr>
          <w:rFonts w:hint="eastAsia" w:cs="Calibri"/>
          <w:b/>
          <w:bCs/>
          <w:kern w:val="2"/>
          <w:sz w:val="21"/>
          <w:szCs w:val="22"/>
        </w:rPr>
        <w:t>演示要求：（产品功能演示</w:t>
      </w:r>
      <w:r>
        <w:rPr>
          <w:rFonts w:hint="eastAsia" w:cs="Calibri"/>
          <w:b/>
          <w:bCs/>
          <w:kern w:val="2"/>
          <w:sz w:val="21"/>
          <w:szCs w:val="22"/>
          <w:lang w:val="en-US" w:eastAsia="zh-CN"/>
        </w:rPr>
        <w:t>分</w:t>
      </w:r>
      <w:r>
        <w:rPr>
          <w:rFonts w:hint="eastAsia" w:cs="Calibri"/>
          <w:b/>
          <w:bCs/>
          <w:kern w:val="2"/>
          <w:sz w:val="21"/>
          <w:szCs w:val="22"/>
        </w:rPr>
        <w:t>：0-6分）</w:t>
      </w:r>
    </w:p>
    <w:p w14:paraId="0E1AA3BC">
      <w:pPr>
        <w:adjustRightInd w:val="0"/>
        <w:snapToGrid w:val="0"/>
        <w:spacing w:line="360" w:lineRule="auto"/>
        <w:ind w:firstLine="420" w:firstLineChars="200"/>
        <w:rPr>
          <w:rFonts w:hint="eastAsia" w:ascii="宋体" w:hAnsi="宋体"/>
          <w:bCs/>
          <w:szCs w:val="21"/>
        </w:rPr>
      </w:pPr>
      <w:r>
        <w:rPr>
          <w:rFonts w:hint="eastAsia" w:ascii="宋体" w:hAnsi="宋体"/>
          <w:bCs/>
          <w:szCs w:val="21"/>
        </w:rPr>
        <w:t>1.学生作品图像扫描录入系统（含高速多媒介扫描设备）演示：拍摄演示现场要求是一个三面墙的沉浸式投影环境空间中，需真人使用高速多媒介扫描设备实时扫描至少一种学生绘画作品或一种学生书法作品3秒内快速数字化呈现在三面墙组成的沉浸式空间的墙面虚拟画框中；</w:t>
      </w:r>
      <w:r>
        <w:rPr>
          <w:rFonts w:hint="eastAsia" w:cs="Calibri"/>
          <w:b/>
          <w:bCs/>
          <w:szCs w:val="22"/>
        </w:rPr>
        <w:t>功能全部演示成功得2分，部分成功或未演示均不得分。</w:t>
      </w:r>
    </w:p>
    <w:p w14:paraId="7E7FCADC">
      <w:pPr>
        <w:adjustRightInd w:val="0"/>
        <w:snapToGrid w:val="0"/>
        <w:spacing w:line="360" w:lineRule="auto"/>
        <w:ind w:firstLine="420" w:firstLineChars="200"/>
        <w:rPr>
          <w:rFonts w:hint="eastAsia" w:ascii="宋体" w:hAnsi="宋体"/>
          <w:bCs/>
          <w:szCs w:val="21"/>
        </w:rPr>
      </w:pPr>
      <w:r>
        <w:rPr>
          <w:rFonts w:hint="eastAsia" w:ascii="宋体" w:hAnsi="宋体"/>
          <w:bCs/>
          <w:szCs w:val="21"/>
        </w:rPr>
        <w:t>2.沉浸式跨学科人工智能实验室精准触控传感器设备演示：拍摄演示现场要求是一个三面墙的沉浸式投影环境空间中，需要真人在空间使用摄像头计算机视觉技术完成墙面的单指互动点击、物体的放大、缩小和旋转、超大墙面距离范围移动、手持红外设备与超大墙面中学生作品隔空互动；</w:t>
      </w:r>
      <w:r>
        <w:rPr>
          <w:rFonts w:hint="eastAsia" w:cs="Calibri"/>
          <w:b/>
          <w:bCs/>
          <w:szCs w:val="22"/>
        </w:rPr>
        <w:t>功能全部演示成功得2分，部分成功或未演示均不得分。</w:t>
      </w:r>
    </w:p>
    <w:p w14:paraId="10560ED7">
      <w:pPr>
        <w:adjustRightInd w:val="0"/>
        <w:snapToGrid w:val="0"/>
        <w:spacing w:line="360" w:lineRule="auto"/>
        <w:ind w:firstLine="420" w:firstLineChars="200"/>
        <w:rPr>
          <w:rFonts w:ascii="宋体" w:hAnsi="宋体"/>
          <w:bCs/>
          <w:szCs w:val="21"/>
        </w:rPr>
      </w:pPr>
      <w:r>
        <w:rPr>
          <w:rFonts w:hint="eastAsia" w:ascii="宋体" w:hAnsi="宋体"/>
          <w:bCs/>
          <w:szCs w:val="21"/>
        </w:rPr>
        <w:t>3.教师专用沉浸式AIGC课程编辑创作云平台演示：拍摄演示现场要求是一个三面墙的沉浸式投影环境空间中，需要真人在空间使用笔记本电脑在线制作一个自定义主题的课件，课件中设计的元素可以由平台提供的图生图工具来完成，最终课件编辑完成上传云平台后，演示人可以通过中控平板来进行一键启动刚刚上传的自定义课件。</w:t>
      </w:r>
      <w:r>
        <w:rPr>
          <w:rFonts w:hint="eastAsia" w:cs="Calibri"/>
          <w:b/>
          <w:bCs/>
          <w:szCs w:val="22"/>
        </w:rPr>
        <w:t>功能全部演示成功得2分，部分成功或未演示均不得分。</w:t>
      </w:r>
    </w:p>
    <w:p w14:paraId="33CB30D9">
      <w:pPr>
        <w:spacing w:line="360" w:lineRule="auto"/>
        <w:rPr>
          <w:rFonts w:hint="eastAsia" w:ascii="宋体" w:hAnsi="宋体" w:cs="宋体"/>
          <w:b/>
          <w:szCs w:val="21"/>
        </w:rPr>
      </w:pPr>
      <w:r>
        <w:rPr>
          <w:rFonts w:hint="eastAsia" w:ascii="宋体" w:hAnsi="宋体" w:cs="宋体"/>
          <w:b/>
          <w:szCs w:val="21"/>
        </w:rPr>
        <w:t>十二、付款及验收条件</w:t>
      </w:r>
    </w:p>
    <w:p w14:paraId="4E224765">
      <w:pPr>
        <w:pStyle w:val="2"/>
        <w:spacing w:before="0" w:beforeAutospacing="0" w:after="0" w:afterAutospacing="0" w:line="360" w:lineRule="auto"/>
        <w:ind w:firstLine="420"/>
        <w:rPr>
          <w:rFonts w:cs="Calibri"/>
          <w:b/>
          <w:bCs/>
          <w:kern w:val="2"/>
          <w:sz w:val="21"/>
          <w:szCs w:val="22"/>
        </w:rPr>
      </w:pPr>
      <w:r>
        <w:rPr>
          <w:rFonts w:hint="eastAsia" w:cs="Calibri"/>
          <w:b/>
          <w:bCs/>
          <w:kern w:val="2"/>
          <w:sz w:val="21"/>
          <w:szCs w:val="22"/>
        </w:rPr>
        <w:t>1、付款条件：</w:t>
      </w:r>
    </w:p>
    <w:p w14:paraId="4E34418A">
      <w:pPr>
        <w:pStyle w:val="2"/>
        <w:spacing w:before="0" w:beforeAutospacing="0" w:after="0" w:afterAutospacing="0" w:line="360" w:lineRule="auto"/>
        <w:ind w:firstLine="420"/>
        <w:rPr>
          <w:rFonts w:cs="Calibri"/>
          <w:bCs/>
          <w:kern w:val="2"/>
          <w:sz w:val="21"/>
          <w:szCs w:val="22"/>
        </w:rPr>
      </w:pPr>
      <w:r>
        <w:rPr>
          <w:rFonts w:hint="eastAsia" w:cs="Calibri"/>
          <w:bCs/>
          <w:kern w:val="2"/>
          <w:sz w:val="21"/>
          <w:szCs w:val="22"/>
        </w:rPr>
        <w:t>详见“第七章：拟签订的合同主要条款”。</w:t>
      </w:r>
    </w:p>
    <w:p w14:paraId="6DB0DBD5">
      <w:pPr>
        <w:pStyle w:val="2"/>
        <w:spacing w:before="0" w:beforeAutospacing="0" w:after="0" w:afterAutospacing="0" w:line="360" w:lineRule="auto"/>
        <w:ind w:firstLine="420"/>
        <w:rPr>
          <w:rFonts w:cs="Calibri"/>
          <w:b/>
          <w:bCs/>
          <w:kern w:val="2"/>
          <w:sz w:val="21"/>
          <w:szCs w:val="22"/>
        </w:rPr>
      </w:pPr>
      <w:r>
        <w:rPr>
          <w:rFonts w:hint="eastAsia" w:cs="Calibri"/>
          <w:b/>
          <w:bCs/>
          <w:kern w:val="2"/>
          <w:sz w:val="21"/>
          <w:szCs w:val="22"/>
        </w:rPr>
        <w:t>2、验收标准</w:t>
      </w:r>
    </w:p>
    <w:p w14:paraId="51E7E9DB">
      <w:pPr>
        <w:pStyle w:val="2"/>
        <w:spacing w:before="0" w:beforeAutospacing="0" w:after="0" w:afterAutospacing="0" w:line="360" w:lineRule="auto"/>
        <w:ind w:firstLine="420"/>
        <w:jc w:val="both"/>
        <w:rPr>
          <w:rFonts w:hint="eastAsia" w:cs="Calibri"/>
          <w:bCs/>
          <w:kern w:val="2"/>
          <w:sz w:val="21"/>
          <w:szCs w:val="22"/>
        </w:rPr>
      </w:pPr>
      <w:r>
        <w:rPr>
          <w:rFonts w:hint="eastAsia" w:cs="Calibri"/>
          <w:bCs/>
          <w:kern w:val="2"/>
          <w:sz w:val="21"/>
          <w:szCs w:val="22"/>
        </w:rPr>
        <w:t>本项目由采购人自行组织验收。</w:t>
      </w:r>
    </w:p>
    <w:p w14:paraId="0316845A">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DE3FD"/>
    <w:multiLevelType w:val="singleLevel"/>
    <w:tmpl w:val="9E8DE3F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D6876"/>
    <w:rsid w:val="0DCD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Lines="0" w:beforeAutospacing="1" w:after="100" w:afterLines="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2025-04-24T05:32:00Z</dcterms:created>
  <dc:creator>我只是路过的</dc:creator>
  <cp:lastModifiedBy>我只是路过的</cp:lastModifiedBy>
  <dcterms:modified xsi:type="dcterms:W3CDTF">2025-04-24T05:33:36Z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BB5CCEAC6D27463EB8057F6FA37C911B_11</vt:lpwstr>
  </property>
  <property fmtid="{D5CDD505-2E9C-101B-9397-08002B2CF9AE}" pid="4" name="KSOTemplateDocerSaveRecord">
    <vt:lpwstr>eyJoZGlkIjoiZDEyZTE2ZWY0NWFjMTljYzc0OWVlZjFmMDVkY2U4ZmUiLCJ1c2VySWQiOiIzNzk2NzUzMzQifQ==</vt:lpwstr>
  </property>
</Properties>
</file>