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B8" w:rsidRDefault="007770B8" w:rsidP="007770B8">
      <w:pPr>
        <w:numPr>
          <w:ilvl w:val="0"/>
          <w:numId w:val="1"/>
        </w:numPr>
        <w:spacing w:line="360" w:lineRule="auto"/>
        <w:jc w:val="left"/>
        <w:rPr>
          <w:rFonts w:cs="Calibri"/>
          <w:b/>
          <w:bCs/>
          <w:szCs w:val="22"/>
          <w:lang w:val="zh-CN"/>
        </w:rPr>
      </w:pPr>
      <w:r>
        <w:rPr>
          <w:rFonts w:cs="Calibri" w:hint="eastAsia"/>
          <w:b/>
          <w:bCs/>
          <w:szCs w:val="22"/>
          <w:lang w:val="zh-CN"/>
        </w:rPr>
        <w:t>项目概况</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bCs/>
          <w:szCs w:val="21"/>
          <w:lang w:val="zh-CN"/>
        </w:rPr>
        <w:t>仙霞院区（</w:t>
      </w:r>
      <w:proofErr w:type="gramStart"/>
      <w:r w:rsidRPr="00C80FB0">
        <w:rPr>
          <w:rFonts w:ascii="宋体" w:hAnsi="宋体"/>
          <w:bCs/>
          <w:szCs w:val="21"/>
          <w:lang w:val="zh-CN"/>
        </w:rPr>
        <w:t>长宁区仙霞</w:t>
      </w:r>
      <w:proofErr w:type="gramEnd"/>
      <w:r w:rsidRPr="00C80FB0">
        <w:rPr>
          <w:rFonts w:ascii="宋体" w:hAnsi="宋体"/>
          <w:bCs/>
          <w:szCs w:val="21"/>
          <w:lang w:val="zh-CN"/>
        </w:rPr>
        <w:t>路1111号，近林泉路）的员工餐、品牌咖啡吧、营养餐和配餐服务；哈密路院区（哈密路419号）的营养餐和配餐服务。</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106C5">
        <w:rPr>
          <w:rFonts w:ascii="宋体" w:hAnsi="宋体"/>
          <w:bCs/>
          <w:szCs w:val="21"/>
          <w:lang w:val="zh-CN"/>
        </w:rPr>
        <w:t>服务期限：</w:t>
      </w:r>
      <w:r w:rsidRPr="00C106C5">
        <w:rPr>
          <w:rFonts w:ascii="宋体" w:hAnsi="宋体" w:hint="eastAsia"/>
          <w:bCs/>
          <w:szCs w:val="21"/>
          <w:lang w:val="zh-CN"/>
        </w:rPr>
        <w:t>一</w:t>
      </w:r>
      <w:r w:rsidRPr="00C106C5">
        <w:rPr>
          <w:rFonts w:ascii="宋体" w:hAnsi="宋体"/>
          <w:bCs/>
          <w:szCs w:val="21"/>
          <w:lang w:val="zh-CN"/>
        </w:rPr>
        <w:t>年</w:t>
      </w:r>
    </w:p>
    <w:p w:rsidR="007770B8" w:rsidRDefault="007770B8" w:rsidP="007770B8">
      <w:pPr>
        <w:tabs>
          <w:tab w:val="left" w:pos="0"/>
        </w:tabs>
        <w:spacing w:line="500" w:lineRule="exact"/>
        <w:ind w:firstLineChars="200" w:firstLine="422"/>
        <w:jc w:val="left"/>
        <w:rPr>
          <w:rFonts w:ascii="宋体" w:hAnsi="宋体"/>
          <w:b/>
          <w:bCs/>
          <w:color w:val="FF0000"/>
          <w:szCs w:val="21"/>
          <w:lang w:val="zh-CN"/>
        </w:rPr>
      </w:pPr>
      <w:r w:rsidRPr="00C106C5">
        <w:rPr>
          <w:rFonts w:ascii="宋体" w:hAnsi="宋体"/>
          <w:b/>
          <w:bCs/>
          <w:color w:val="FF0000"/>
          <w:szCs w:val="21"/>
          <w:lang w:val="zh-CN"/>
        </w:rPr>
        <w:t>注：</w:t>
      </w:r>
      <w:r w:rsidRPr="00C106C5">
        <w:rPr>
          <w:rFonts w:ascii="宋体" w:hAnsi="宋体" w:hint="eastAsia"/>
          <w:b/>
          <w:bCs/>
          <w:color w:val="FF0000"/>
          <w:szCs w:val="21"/>
          <w:lang w:val="zh-CN"/>
        </w:rPr>
        <w:t>本项目采用“招一用三”模式，即本次采购结果三年内有效，</w:t>
      </w:r>
      <w:r>
        <w:rPr>
          <w:rFonts w:ascii="宋体" w:hAnsi="宋体" w:hint="eastAsia"/>
          <w:b/>
          <w:bCs/>
          <w:color w:val="FF0000"/>
          <w:szCs w:val="21"/>
          <w:lang w:val="zh-CN"/>
        </w:rPr>
        <w:t>采购人</w:t>
      </w:r>
      <w:r w:rsidRPr="00C106C5">
        <w:rPr>
          <w:rFonts w:ascii="宋体" w:hAnsi="宋体"/>
          <w:b/>
          <w:bCs/>
          <w:color w:val="FF0000"/>
          <w:szCs w:val="21"/>
          <w:lang w:val="zh-CN"/>
        </w:rPr>
        <w:t xml:space="preserve">按年度与中标单位签订合同，在当年度采购合同履约完成后，有权与中标人续签合同（合同内容、要求及服务期不变，续签合同金额与年度中标金额一致）。合同共可续签两次，每次签约服务期为一年。 </w:t>
      </w:r>
    </w:p>
    <w:p w:rsidR="007770B8" w:rsidRPr="00C106C5" w:rsidRDefault="007770B8" w:rsidP="007770B8">
      <w:pPr>
        <w:tabs>
          <w:tab w:val="left" w:pos="0"/>
        </w:tabs>
        <w:spacing w:line="500" w:lineRule="exact"/>
        <w:ind w:firstLineChars="200" w:firstLine="422"/>
        <w:jc w:val="left"/>
        <w:rPr>
          <w:rFonts w:ascii="宋体" w:hAnsi="宋体"/>
          <w:b/>
          <w:bCs/>
          <w:color w:val="FF0000"/>
          <w:szCs w:val="21"/>
          <w:lang w:val="zh-CN"/>
        </w:rPr>
      </w:pPr>
      <w:r w:rsidRPr="00C106C5">
        <w:rPr>
          <w:rFonts w:ascii="宋体" w:hAnsi="宋体"/>
          <w:b/>
          <w:bCs/>
          <w:color w:val="FF0000"/>
          <w:szCs w:val="21"/>
          <w:lang w:val="zh-CN"/>
        </w:rPr>
        <w:t>续签合同须知：</w:t>
      </w:r>
    </w:p>
    <w:p w:rsidR="007770B8" w:rsidRPr="00C106C5" w:rsidRDefault="007770B8" w:rsidP="007770B8">
      <w:pPr>
        <w:tabs>
          <w:tab w:val="left" w:pos="0"/>
        </w:tabs>
        <w:spacing w:line="500" w:lineRule="exact"/>
        <w:ind w:firstLineChars="200" w:firstLine="422"/>
        <w:jc w:val="left"/>
        <w:rPr>
          <w:rFonts w:ascii="宋体" w:hAnsi="宋体"/>
          <w:b/>
          <w:bCs/>
          <w:color w:val="FF0000"/>
          <w:szCs w:val="21"/>
          <w:lang w:val="zh-CN"/>
        </w:rPr>
      </w:pPr>
      <w:r w:rsidRPr="00C106C5">
        <w:rPr>
          <w:rFonts w:ascii="宋体" w:hAnsi="宋体"/>
          <w:b/>
          <w:bCs/>
          <w:color w:val="FF0000"/>
          <w:szCs w:val="21"/>
          <w:lang w:val="zh-CN"/>
        </w:rPr>
        <w:t>（1）采购人具有合同续签最终决定权；</w:t>
      </w:r>
    </w:p>
    <w:p w:rsidR="007770B8" w:rsidRDefault="007770B8" w:rsidP="007770B8">
      <w:pPr>
        <w:tabs>
          <w:tab w:val="left" w:pos="0"/>
        </w:tabs>
        <w:spacing w:line="500" w:lineRule="exact"/>
        <w:ind w:firstLineChars="200" w:firstLine="422"/>
        <w:jc w:val="left"/>
        <w:rPr>
          <w:rFonts w:ascii="宋体" w:hAnsi="宋体"/>
          <w:b/>
          <w:bCs/>
          <w:color w:val="FF0000"/>
          <w:szCs w:val="21"/>
          <w:lang w:val="zh-CN"/>
        </w:rPr>
      </w:pPr>
      <w:r w:rsidRPr="00C106C5">
        <w:rPr>
          <w:rFonts w:ascii="宋体" w:hAnsi="宋体"/>
          <w:b/>
          <w:bCs/>
          <w:color w:val="FF0000"/>
          <w:szCs w:val="21"/>
          <w:lang w:val="zh-CN"/>
        </w:rPr>
        <w:t>（2）每年度合同有效期终止前2个月，由采购人对中标人进行年度考核和验收，如上</w:t>
      </w:r>
      <w:proofErr w:type="gramStart"/>
      <w:r w:rsidRPr="00C106C5">
        <w:rPr>
          <w:rFonts w:ascii="宋体" w:hAnsi="宋体"/>
          <w:b/>
          <w:bCs/>
          <w:color w:val="FF0000"/>
          <w:szCs w:val="21"/>
          <w:lang w:val="zh-CN"/>
        </w:rPr>
        <w:t>一</w:t>
      </w:r>
      <w:proofErr w:type="gramEnd"/>
      <w:r w:rsidRPr="00C106C5">
        <w:rPr>
          <w:rFonts w:ascii="宋体" w:hAnsi="宋体"/>
          <w:b/>
          <w:bCs/>
          <w:color w:val="FF0000"/>
          <w:szCs w:val="21"/>
          <w:lang w:val="zh-CN"/>
        </w:rPr>
        <w:t>年度考核/验收不通过或因项目内容</w:t>
      </w:r>
      <w:r w:rsidRPr="00C9609A">
        <w:rPr>
          <w:rFonts w:ascii="宋体" w:hAnsi="宋体" w:hint="eastAsia"/>
          <w:b/>
          <w:bCs/>
          <w:color w:val="FF0000"/>
          <w:szCs w:val="21"/>
          <w:lang w:val="zh-CN"/>
        </w:rPr>
        <w:t>、合同价格等变动较大的（超过原合同价10%）</w:t>
      </w:r>
      <w:r w:rsidRPr="00C106C5">
        <w:rPr>
          <w:rFonts w:ascii="宋体" w:hAnsi="宋体"/>
          <w:b/>
          <w:bCs/>
          <w:color w:val="FF0000"/>
          <w:szCs w:val="21"/>
          <w:lang w:val="zh-CN"/>
        </w:rPr>
        <w:t>，采</w:t>
      </w:r>
      <w:r w:rsidRPr="00C9609A">
        <w:rPr>
          <w:rFonts w:ascii="宋体" w:hAnsi="宋体" w:hint="eastAsia"/>
          <w:b/>
          <w:bCs/>
          <w:color w:val="FF0000"/>
          <w:szCs w:val="21"/>
          <w:lang w:val="zh-CN"/>
        </w:rPr>
        <w:t>，采购人必须重新进行招标</w:t>
      </w:r>
      <w:r>
        <w:rPr>
          <w:rFonts w:ascii="宋体" w:hAnsi="宋体" w:hint="eastAsia"/>
          <w:b/>
          <w:bCs/>
          <w:color w:val="FF0000"/>
          <w:szCs w:val="21"/>
          <w:lang w:val="zh-CN"/>
        </w:rPr>
        <w:t>。</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p>
    <w:p w:rsidR="007770B8" w:rsidRPr="00C80FB0" w:rsidRDefault="007770B8" w:rsidP="007770B8">
      <w:pPr>
        <w:numPr>
          <w:ilvl w:val="0"/>
          <w:numId w:val="1"/>
        </w:numPr>
        <w:spacing w:line="360" w:lineRule="auto"/>
        <w:jc w:val="left"/>
        <w:rPr>
          <w:rFonts w:cs="Calibri"/>
          <w:b/>
          <w:bCs/>
          <w:szCs w:val="22"/>
          <w:lang w:val="zh-CN"/>
        </w:rPr>
      </w:pPr>
      <w:r w:rsidRPr="00C80FB0">
        <w:rPr>
          <w:rFonts w:cs="Calibri" w:hint="eastAsia"/>
          <w:b/>
          <w:bCs/>
          <w:szCs w:val="22"/>
          <w:lang w:val="zh-CN"/>
        </w:rPr>
        <w:t>合作模式：管理费</w:t>
      </w:r>
      <w:r w:rsidRPr="00C9609A">
        <w:rPr>
          <w:rFonts w:ascii="宋体" w:hAnsi="宋体" w:cs="Calibri" w:hint="eastAsia"/>
          <w:b/>
          <w:bCs/>
          <w:szCs w:val="22"/>
          <w:lang w:val="zh-CN"/>
        </w:rPr>
        <w:t>+</w:t>
      </w:r>
      <w:r w:rsidRPr="00C80FB0">
        <w:rPr>
          <w:rFonts w:cs="Calibri" w:hint="eastAsia"/>
          <w:b/>
          <w:bCs/>
          <w:szCs w:val="22"/>
          <w:lang w:val="zh-CN"/>
        </w:rPr>
        <w:t>食品成本</w:t>
      </w:r>
    </w:p>
    <w:p w:rsidR="007770B8" w:rsidRPr="00C80FB0" w:rsidRDefault="007770B8" w:rsidP="007770B8">
      <w:pPr>
        <w:tabs>
          <w:tab w:val="left" w:pos="0"/>
        </w:tabs>
        <w:spacing w:line="500" w:lineRule="exact"/>
        <w:jc w:val="left"/>
        <w:rPr>
          <w:rFonts w:ascii="宋体" w:hAnsi="宋体"/>
          <w:b/>
          <w:bCs/>
          <w:szCs w:val="21"/>
          <w:lang w:val="zh-CN"/>
        </w:rPr>
      </w:pPr>
      <w:r>
        <w:rPr>
          <w:rFonts w:ascii="宋体" w:hAnsi="宋体" w:hint="eastAsia"/>
          <w:b/>
          <w:bCs/>
          <w:szCs w:val="21"/>
          <w:lang w:val="zh-CN"/>
        </w:rPr>
        <w:t>1、</w:t>
      </w:r>
      <w:r w:rsidRPr="00C80FB0">
        <w:rPr>
          <w:rFonts w:ascii="宋体" w:hAnsi="宋体" w:hint="eastAsia"/>
          <w:b/>
          <w:bCs/>
          <w:szCs w:val="21"/>
          <w:lang w:val="zh-CN"/>
        </w:rPr>
        <w:t>管理费用：</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每月医院支付餐饮服务方管理费，用来支付服务方的现场人员、餐饮管理和行政等日常成本和服务利润。</w:t>
      </w:r>
    </w:p>
    <w:p w:rsidR="007770B8" w:rsidRPr="00C80FB0" w:rsidRDefault="007770B8" w:rsidP="007770B8">
      <w:pPr>
        <w:tabs>
          <w:tab w:val="left" w:pos="0"/>
        </w:tabs>
        <w:spacing w:line="500" w:lineRule="exact"/>
        <w:jc w:val="left"/>
        <w:rPr>
          <w:rFonts w:ascii="宋体" w:hAnsi="宋体"/>
          <w:b/>
          <w:bCs/>
          <w:szCs w:val="21"/>
          <w:lang w:val="zh-CN"/>
        </w:rPr>
      </w:pPr>
      <w:r>
        <w:rPr>
          <w:rFonts w:ascii="宋体" w:hAnsi="宋体" w:hint="eastAsia"/>
          <w:b/>
          <w:bCs/>
          <w:szCs w:val="21"/>
          <w:lang w:val="zh-CN"/>
        </w:rPr>
        <w:t>2、</w:t>
      </w:r>
      <w:r w:rsidRPr="00C80FB0">
        <w:rPr>
          <w:rFonts w:ascii="宋体" w:hAnsi="宋体" w:hint="eastAsia"/>
          <w:b/>
          <w:bCs/>
          <w:szCs w:val="21"/>
          <w:lang w:val="zh-CN"/>
        </w:rPr>
        <w:t>食品成本：</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服务方给到员工和住院病人的基本用餐的食品成本不得低于90%,参考如下员工餐正餐（午餐）标准暂定10-15元/餐，住院病人餐全天暂定</w:t>
      </w:r>
      <w:r w:rsidRPr="002544B2">
        <w:rPr>
          <w:rFonts w:ascii="宋体" w:hAnsi="宋体" w:hint="eastAsia"/>
          <w:bCs/>
          <w:szCs w:val="21"/>
          <w:lang w:val="zh-CN"/>
        </w:rPr>
        <w:t>33元/天</w:t>
      </w:r>
      <w:r w:rsidRPr="00C80FB0">
        <w:rPr>
          <w:rFonts w:ascii="宋体" w:hAnsi="宋体" w:hint="eastAsia"/>
          <w:bCs/>
          <w:szCs w:val="21"/>
          <w:lang w:val="zh-CN"/>
        </w:rPr>
        <w:t>(包括早中晚三餐)。</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服务方负责日常</w:t>
      </w:r>
      <w:proofErr w:type="gramStart"/>
      <w:r w:rsidRPr="00C80FB0">
        <w:rPr>
          <w:rFonts w:ascii="宋体" w:hAnsi="宋体" w:hint="eastAsia"/>
          <w:bCs/>
          <w:szCs w:val="21"/>
          <w:lang w:val="zh-CN"/>
        </w:rPr>
        <w:t>的食材采购</w:t>
      </w:r>
      <w:proofErr w:type="gramEnd"/>
      <w:r w:rsidRPr="00C80FB0">
        <w:rPr>
          <w:rFonts w:ascii="宋体" w:hAnsi="宋体" w:hint="eastAsia"/>
          <w:bCs/>
          <w:szCs w:val="21"/>
          <w:lang w:val="zh-CN"/>
        </w:rPr>
        <w:t>，以接近食品成本的报价保证按实按量按质供应上述范围内的餐饮服务。在服务期限内，医院保留</w:t>
      </w:r>
      <w:proofErr w:type="gramStart"/>
      <w:r w:rsidRPr="00C80FB0">
        <w:rPr>
          <w:rFonts w:ascii="宋体" w:hAnsi="宋体" w:hint="eastAsia"/>
          <w:bCs/>
          <w:szCs w:val="21"/>
          <w:lang w:val="zh-CN"/>
        </w:rPr>
        <w:t>提出食材自行</w:t>
      </w:r>
      <w:proofErr w:type="gramEnd"/>
      <w:r w:rsidRPr="00C80FB0">
        <w:rPr>
          <w:rFonts w:ascii="宋体" w:hAnsi="宋体" w:hint="eastAsia"/>
          <w:bCs/>
          <w:szCs w:val="21"/>
          <w:lang w:val="zh-CN"/>
        </w:rPr>
        <w:t>采购的需求，届时医院将提前一个月书面通知服务方。</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p>
    <w:p w:rsidR="007770B8" w:rsidRPr="00C80FB0" w:rsidRDefault="007770B8" w:rsidP="007770B8">
      <w:pPr>
        <w:numPr>
          <w:ilvl w:val="0"/>
          <w:numId w:val="1"/>
        </w:numPr>
        <w:spacing w:line="360" w:lineRule="auto"/>
        <w:jc w:val="left"/>
        <w:rPr>
          <w:rFonts w:cs="Calibri"/>
          <w:b/>
          <w:bCs/>
          <w:szCs w:val="22"/>
          <w:lang w:val="zh-CN"/>
        </w:rPr>
      </w:pPr>
      <w:r w:rsidRPr="00C80FB0">
        <w:rPr>
          <w:rFonts w:cs="Calibri" w:hint="eastAsia"/>
          <w:b/>
          <w:bCs/>
          <w:szCs w:val="22"/>
          <w:lang w:val="zh-CN"/>
        </w:rPr>
        <w:t>项目需求</w:t>
      </w:r>
    </w:p>
    <w:p w:rsidR="007770B8" w:rsidRPr="00C80FB0" w:rsidRDefault="007770B8" w:rsidP="007770B8">
      <w:pPr>
        <w:tabs>
          <w:tab w:val="left" w:pos="0"/>
        </w:tabs>
        <w:spacing w:line="500" w:lineRule="exact"/>
        <w:jc w:val="left"/>
        <w:rPr>
          <w:rFonts w:ascii="宋体" w:hAnsi="宋体"/>
          <w:b/>
          <w:bCs/>
          <w:szCs w:val="21"/>
          <w:lang w:val="zh-CN"/>
        </w:rPr>
      </w:pPr>
      <w:r w:rsidRPr="00C80FB0">
        <w:rPr>
          <w:rFonts w:ascii="宋体" w:hAnsi="宋体" w:hint="eastAsia"/>
          <w:b/>
          <w:bCs/>
          <w:szCs w:val="21"/>
          <w:lang w:val="zh-CN"/>
        </w:rPr>
        <w:t>服务需求和测算参考依据</w:t>
      </w:r>
    </w:p>
    <w:p w:rsidR="007770B8" w:rsidRPr="00C80FB0" w:rsidRDefault="007770B8" w:rsidP="007770B8">
      <w:pPr>
        <w:tabs>
          <w:tab w:val="left" w:pos="0"/>
        </w:tabs>
        <w:spacing w:line="500" w:lineRule="exact"/>
        <w:jc w:val="left"/>
        <w:rPr>
          <w:rFonts w:ascii="宋体" w:hAnsi="宋体"/>
          <w:b/>
          <w:bCs/>
          <w:szCs w:val="21"/>
          <w:lang w:val="zh-CN"/>
        </w:rPr>
      </w:pPr>
      <w:r w:rsidRPr="00C80FB0">
        <w:rPr>
          <w:rFonts w:ascii="宋体" w:hAnsi="宋体" w:hint="eastAsia"/>
          <w:b/>
          <w:bCs/>
          <w:szCs w:val="21"/>
          <w:lang w:val="zh-CN"/>
        </w:rPr>
        <w:t>（一） 就餐人次和食品成本要求</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lastRenderedPageBreak/>
        <w:t>以下为医院自营时的平均数据，供投标单位参考</w:t>
      </w:r>
      <w:r>
        <w:rPr>
          <w:rFonts w:ascii="宋体" w:hAnsi="宋体" w:hint="eastAsia"/>
          <w:bCs/>
          <w:szCs w:val="21"/>
          <w:lang w:val="zh-CN"/>
        </w:rPr>
        <w:t>：</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1、仙霞路院区员工餐：</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内部员工就餐量和平均消费</w:t>
      </w:r>
    </w:p>
    <w:tbl>
      <w:tblPr>
        <w:tblW w:w="8930"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843"/>
        <w:gridCol w:w="2268"/>
        <w:gridCol w:w="2268"/>
        <w:gridCol w:w="2551"/>
      </w:tblGrid>
      <w:tr w:rsidR="007770B8" w:rsidRPr="00C80FB0" w:rsidTr="00305BBA">
        <w:trPr>
          <w:trHeight w:val="387"/>
        </w:trPr>
        <w:tc>
          <w:tcPr>
            <w:tcW w:w="1843" w:type="dxa"/>
            <w:shd w:val="clear" w:color="auto" w:fill="auto"/>
            <w:vAlign w:val="center"/>
          </w:tcPr>
          <w:p w:rsidR="007770B8" w:rsidRPr="00C80FB0" w:rsidRDefault="007770B8" w:rsidP="00305BBA">
            <w:pPr>
              <w:pStyle w:val="TableText"/>
              <w:spacing w:before="40" w:line="220" w:lineRule="auto"/>
              <w:jc w:val="center"/>
              <w:rPr>
                <w:rFonts w:ascii="宋体" w:hAnsi="宋体"/>
                <w:b/>
                <w:szCs w:val="21"/>
              </w:rPr>
            </w:pPr>
            <w:r w:rsidRPr="00C80FB0">
              <w:rPr>
                <w:rFonts w:ascii="宋体" w:hAnsi="宋体"/>
                <w:b/>
                <w:spacing w:val="-8"/>
                <w:szCs w:val="21"/>
              </w:rPr>
              <w:t>内部员工</w:t>
            </w:r>
          </w:p>
        </w:tc>
        <w:tc>
          <w:tcPr>
            <w:tcW w:w="2268" w:type="dxa"/>
            <w:shd w:val="clear" w:color="auto" w:fill="auto"/>
            <w:vAlign w:val="center"/>
          </w:tcPr>
          <w:p w:rsidR="007770B8" w:rsidRPr="00C80FB0" w:rsidRDefault="007770B8" w:rsidP="00305BBA">
            <w:pPr>
              <w:pStyle w:val="TableText"/>
              <w:spacing w:before="40" w:line="220" w:lineRule="auto"/>
              <w:jc w:val="center"/>
              <w:rPr>
                <w:rFonts w:ascii="宋体" w:hAnsi="宋体"/>
                <w:b/>
                <w:szCs w:val="21"/>
              </w:rPr>
            </w:pPr>
            <w:r w:rsidRPr="00C80FB0">
              <w:rPr>
                <w:rFonts w:ascii="宋体" w:hAnsi="宋体"/>
                <w:b/>
                <w:spacing w:val="-2"/>
                <w:szCs w:val="21"/>
              </w:rPr>
              <w:t>工作日就餐人数</w:t>
            </w:r>
          </w:p>
        </w:tc>
        <w:tc>
          <w:tcPr>
            <w:tcW w:w="2268" w:type="dxa"/>
            <w:shd w:val="clear" w:color="auto" w:fill="auto"/>
            <w:vAlign w:val="center"/>
          </w:tcPr>
          <w:p w:rsidR="007770B8" w:rsidRPr="00C80FB0" w:rsidRDefault="007770B8" w:rsidP="00305BBA">
            <w:pPr>
              <w:pStyle w:val="TableText"/>
              <w:spacing w:before="40" w:line="219" w:lineRule="auto"/>
              <w:jc w:val="center"/>
              <w:rPr>
                <w:rFonts w:ascii="宋体" w:hAnsi="宋体"/>
                <w:b/>
                <w:szCs w:val="21"/>
              </w:rPr>
            </w:pPr>
            <w:r w:rsidRPr="00C80FB0">
              <w:rPr>
                <w:rFonts w:ascii="宋体" w:hAnsi="宋体"/>
                <w:b/>
                <w:spacing w:val="-2"/>
                <w:szCs w:val="21"/>
              </w:rPr>
              <w:t>周末节假日就餐人数</w:t>
            </w:r>
          </w:p>
        </w:tc>
        <w:tc>
          <w:tcPr>
            <w:tcW w:w="2551" w:type="dxa"/>
            <w:shd w:val="clear" w:color="auto" w:fill="auto"/>
            <w:vAlign w:val="center"/>
          </w:tcPr>
          <w:p w:rsidR="007770B8" w:rsidRPr="00C80FB0" w:rsidRDefault="007770B8" w:rsidP="00305BBA">
            <w:pPr>
              <w:pStyle w:val="TableText"/>
              <w:spacing w:before="41" w:line="220" w:lineRule="auto"/>
              <w:jc w:val="center"/>
              <w:rPr>
                <w:rFonts w:ascii="宋体" w:hAnsi="宋体"/>
                <w:b/>
                <w:szCs w:val="21"/>
              </w:rPr>
            </w:pPr>
            <w:r w:rsidRPr="00C80FB0">
              <w:rPr>
                <w:rFonts w:ascii="宋体" w:hAnsi="宋体"/>
                <w:b/>
                <w:spacing w:val="-2"/>
                <w:szCs w:val="21"/>
              </w:rPr>
              <w:t>平均消费</w:t>
            </w:r>
            <w:r w:rsidRPr="00C9609A">
              <w:rPr>
                <w:rFonts w:ascii="宋体" w:hAnsi="宋体" w:hint="eastAsia"/>
                <w:b/>
                <w:spacing w:val="-2"/>
                <w:szCs w:val="21"/>
              </w:rPr>
              <w:t>（元/餐）</w:t>
            </w:r>
          </w:p>
        </w:tc>
      </w:tr>
      <w:tr w:rsidR="007770B8" w:rsidRPr="00C80FB0" w:rsidTr="00305BBA">
        <w:trPr>
          <w:trHeight w:val="383"/>
        </w:trPr>
        <w:tc>
          <w:tcPr>
            <w:tcW w:w="1843" w:type="dxa"/>
            <w:shd w:val="clear" w:color="auto" w:fill="auto"/>
            <w:vAlign w:val="center"/>
          </w:tcPr>
          <w:p w:rsidR="007770B8" w:rsidRPr="00C80FB0" w:rsidRDefault="007770B8" w:rsidP="00305BBA">
            <w:pPr>
              <w:pStyle w:val="TableText"/>
              <w:spacing w:before="37" w:line="220" w:lineRule="auto"/>
              <w:jc w:val="center"/>
              <w:rPr>
                <w:rFonts w:ascii="宋体" w:hAnsi="宋体"/>
                <w:szCs w:val="21"/>
              </w:rPr>
            </w:pPr>
            <w:r w:rsidRPr="00C80FB0">
              <w:rPr>
                <w:rFonts w:ascii="宋体" w:hAnsi="宋体"/>
                <w:spacing w:val="-3"/>
                <w:szCs w:val="21"/>
              </w:rPr>
              <w:t>早餐</w:t>
            </w:r>
          </w:p>
        </w:tc>
        <w:tc>
          <w:tcPr>
            <w:tcW w:w="2268" w:type="dxa"/>
            <w:shd w:val="clear" w:color="auto" w:fill="auto"/>
            <w:vAlign w:val="center"/>
          </w:tcPr>
          <w:p w:rsidR="007770B8" w:rsidRPr="00C80FB0" w:rsidRDefault="007770B8" w:rsidP="00305BBA">
            <w:pPr>
              <w:pStyle w:val="TableText"/>
              <w:spacing w:before="78" w:line="181" w:lineRule="auto"/>
              <w:jc w:val="center"/>
              <w:rPr>
                <w:rFonts w:ascii="宋体" w:hAnsi="宋体"/>
                <w:szCs w:val="21"/>
              </w:rPr>
            </w:pPr>
            <w:r w:rsidRPr="00C80FB0">
              <w:rPr>
                <w:rFonts w:ascii="宋体" w:hAnsi="宋体"/>
                <w:spacing w:val="-4"/>
                <w:szCs w:val="21"/>
              </w:rPr>
              <w:t>600</w:t>
            </w:r>
          </w:p>
        </w:tc>
        <w:tc>
          <w:tcPr>
            <w:tcW w:w="2268" w:type="dxa"/>
            <w:shd w:val="clear" w:color="auto" w:fill="auto"/>
            <w:vAlign w:val="center"/>
          </w:tcPr>
          <w:p w:rsidR="007770B8" w:rsidRPr="00C80FB0" w:rsidRDefault="007770B8" w:rsidP="00305BBA">
            <w:pPr>
              <w:pStyle w:val="TableText"/>
              <w:spacing w:before="78" w:line="181" w:lineRule="auto"/>
              <w:jc w:val="center"/>
              <w:rPr>
                <w:rFonts w:ascii="宋体" w:hAnsi="宋体"/>
                <w:szCs w:val="21"/>
              </w:rPr>
            </w:pPr>
            <w:r w:rsidRPr="00C80FB0">
              <w:rPr>
                <w:rFonts w:ascii="宋体" w:hAnsi="宋体"/>
                <w:spacing w:val="-5"/>
                <w:szCs w:val="21"/>
              </w:rPr>
              <w:t>300</w:t>
            </w:r>
          </w:p>
        </w:tc>
        <w:tc>
          <w:tcPr>
            <w:tcW w:w="2551" w:type="dxa"/>
            <w:shd w:val="clear" w:color="auto" w:fill="auto"/>
            <w:vAlign w:val="center"/>
          </w:tcPr>
          <w:p w:rsidR="007770B8" w:rsidRPr="00C80FB0" w:rsidRDefault="007770B8" w:rsidP="00305BBA">
            <w:pPr>
              <w:pStyle w:val="TableText"/>
              <w:spacing w:before="79" w:line="180" w:lineRule="auto"/>
              <w:jc w:val="center"/>
              <w:rPr>
                <w:rFonts w:ascii="宋体" w:hAnsi="宋体"/>
                <w:szCs w:val="21"/>
              </w:rPr>
            </w:pPr>
            <w:r w:rsidRPr="00C80FB0">
              <w:rPr>
                <w:rFonts w:ascii="宋体" w:hAnsi="宋体"/>
                <w:szCs w:val="21"/>
              </w:rPr>
              <w:t>5</w:t>
            </w:r>
          </w:p>
        </w:tc>
      </w:tr>
      <w:tr w:rsidR="007770B8" w:rsidRPr="00C80FB0" w:rsidTr="00305BBA">
        <w:trPr>
          <w:trHeight w:val="380"/>
        </w:trPr>
        <w:tc>
          <w:tcPr>
            <w:tcW w:w="1843" w:type="dxa"/>
            <w:shd w:val="clear" w:color="auto" w:fill="auto"/>
            <w:vAlign w:val="center"/>
          </w:tcPr>
          <w:p w:rsidR="007770B8" w:rsidRPr="00C80FB0" w:rsidRDefault="007770B8" w:rsidP="00305BBA">
            <w:pPr>
              <w:pStyle w:val="TableText"/>
              <w:spacing w:before="37" w:line="220" w:lineRule="auto"/>
              <w:jc w:val="center"/>
              <w:rPr>
                <w:rFonts w:ascii="宋体" w:hAnsi="宋体"/>
                <w:szCs w:val="21"/>
              </w:rPr>
            </w:pPr>
            <w:r w:rsidRPr="00C80FB0">
              <w:rPr>
                <w:rFonts w:ascii="宋体" w:hAnsi="宋体"/>
                <w:spacing w:val="-8"/>
                <w:szCs w:val="21"/>
              </w:rPr>
              <w:t>中餐</w:t>
            </w:r>
          </w:p>
        </w:tc>
        <w:tc>
          <w:tcPr>
            <w:tcW w:w="2268" w:type="dxa"/>
            <w:shd w:val="clear" w:color="auto" w:fill="auto"/>
            <w:vAlign w:val="center"/>
          </w:tcPr>
          <w:p w:rsidR="007770B8" w:rsidRPr="00C80FB0" w:rsidRDefault="007770B8" w:rsidP="00305BBA">
            <w:pPr>
              <w:pStyle w:val="TableText"/>
              <w:spacing w:before="77" w:line="182" w:lineRule="auto"/>
              <w:jc w:val="center"/>
              <w:rPr>
                <w:rFonts w:ascii="宋体" w:hAnsi="宋体"/>
                <w:szCs w:val="21"/>
              </w:rPr>
            </w:pPr>
            <w:r w:rsidRPr="00C80FB0">
              <w:rPr>
                <w:rFonts w:ascii="宋体" w:hAnsi="宋体"/>
                <w:spacing w:val="-7"/>
                <w:szCs w:val="21"/>
              </w:rPr>
              <w:t>1400</w:t>
            </w:r>
          </w:p>
        </w:tc>
        <w:tc>
          <w:tcPr>
            <w:tcW w:w="2268" w:type="dxa"/>
            <w:shd w:val="clear" w:color="auto" w:fill="auto"/>
            <w:vAlign w:val="center"/>
          </w:tcPr>
          <w:p w:rsidR="007770B8" w:rsidRPr="00C80FB0" w:rsidRDefault="007770B8" w:rsidP="00305BBA">
            <w:pPr>
              <w:pStyle w:val="TableText"/>
              <w:spacing w:before="79" w:line="181" w:lineRule="auto"/>
              <w:jc w:val="center"/>
              <w:rPr>
                <w:rFonts w:ascii="宋体" w:hAnsi="宋体"/>
                <w:szCs w:val="21"/>
              </w:rPr>
            </w:pPr>
            <w:r w:rsidRPr="00C80FB0">
              <w:rPr>
                <w:rFonts w:ascii="宋体" w:hAnsi="宋体"/>
                <w:spacing w:val="-6"/>
                <w:szCs w:val="21"/>
              </w:rPr>
              <w:t>750</w:t>
            </w:r>
          </w:p>
        </w:tc>
        <w:tc>
          <w:tcPr>
            <w:tcW w:w="2551" w:type="dxa"/>
            <w:shd w:val="clear" w:color="auto" w:fill="auto"/>
            <w:vAlign w:val="center"/>
          </w:tcPr>
          <w:p w:rsidR="007770B8" w:rsidRPr="00C80FB0" w:rsidRDefault="007770B8" w:rsidP="00305BBA">
            <w:pPr>
              <w:pStyle w:val="TableText"/>
              <w:spacing w:before="77" w:line="182" w:lineRule="auto"/>
              <w:jc w:val="center"/>
              <w:rPr>
                <w:rFonts w:ascii="宋体" w:hAnsi="宋体"/>
                <w:szCs w:val="21"/>
              </w:rPr>
            </w:pPr>
            <w:r w:rsidRPr="00C80FB0">
              <w:rPr>
                <w:rFonts w:ascii="宋体" w:hAnsi="宋体"/>
                <w:spacing w:val="-7"/>
                <w:szCs w:val="21"/>
              </w:rPr>
              <w:t>12</w:t>
            </w:r>
          </w:p>
        </w:tc>
      </w:tr>
      <w:tr w:rsidR="007770B8" w:rsidRPr="00C80FB0" w:rsidTr="00305BBA">
        <w:trPr>
          <w:trHeight w:val="387"/>
        </w:trPr>
        <w:tc>
          <w:tcPr>
            <w:tcW w:w="1843" w:type="dxa"/>
            <w:shd w:val="clear" w:color="auto" w:fill="auto"/>
            <w:vAlign w:val="center"/>
          </w:tcPr>
          <w:p w:rsidR="007770B8" w:rsidRPr="00C80FB0" w:rsidRDefault="007770B8" w:rsidP="00305BBA">
            <w:pPr>
              <w:pStyle w:val="TableText"/>
              <w:spacing w:before="39" w:line="220" w:lineRule="auto"/>
              <w:jc w:val="center"/>
              <w:rPr>
                <w:rFonts w:ascii="宋体" w:hAnsi="宋体"/>
                <w:szCs w:val="21"/>
              </w:rPr>
            </w:pPr>
            <w:r w:rsidRPr="00C80FB0">
              <w:rPr>
                <w:rFonts w:ascii="宋体" w:hAnsi="宋体"/>
                <w:spacing w:val="-6"/>
                <w:szCs w:val="21"/>
              </w:rPr>
              <w:t>晚餐</w:t>
            </w:r>
          </w:p>
        </w:tc>
        <w:tc>
          <w:tcPr>
            <w:tcW w:w="2268" w:type="dxa"/>
            <w:shd w:val="clear" w:color="auto" w:fill="auto"/>
            <w:vAlign w:val="center"/>
          </w:tcPr>
          <w:p w:rsidR="007770B8" w:rsidRPr="00C80FB0" w:rsidRDefault="007770B8" w:rsidP="00305BBA">
            <w:pPr>
              <w:pStyle w:val="TableText"/>
              <w:spacing w:before="79" w:line="182" w:lineRule="auto"/>
              <w:jc w:val="center"/>
              <w:rPr>
                <w:rFonts w:ascii="宋体" w:hAnsi="宋体"/>
                <w:szCs w:val="21"/>
              </w:rPr>
            </w:pPr>
            <w:r w:rsidRPr="00C80FB0">
              <w:rPr>
                <w:rFonts w:ascii="宋体" w:hAnsi="宋体"/>
                <w:spacing w:val="-10"/>
                <w:szCs w:val="21"/>
              </w:rPr>
              <w:t>100</w:t>
            </w:r>
          </w:p>
        </w:tc>
        <w:tc>
          <w:tcPr>
            <w:tcW w:w="2268" w:type="dxa"/>
            <w:shd w:val="clear" w:color="auto" w:fill="auto"/>
            <w:vAlign w:val="center"/>
          </w:tcPr>
          <w:p w:rsidR="007770B8" w:rsidRPr="00C80FB0" w:rsidRDefault="007770B8" w:rsidP="00305BBA">
            <w:pPr>
              <w:pStyle w:val="TableText"/>
              <w:spacing w:before="80" w:line="181" w:lineRule="auto"/>
              <w:jc w:val="center"/>
              <w:rPr>
                <w:rFonts w:ascii="宋体" w:hAnsi="宋体"/>
                <w:szCs w:val="21"/>
              </w:rPr>
            </w:pPr>
            <w:r w:rsidRPr="00C80FB0">
              <w:rPr>
                <w:rFonts w:ascii="宋体" w:hAnsi="宋体"/>
                <w:spacing w:val="-4"/>
                <w:szCs w:val="21"/>
              </w:rPr>
              <w:t>50</w:t>
            </w:r>
          </w:p>
        </w:tc>
        <w:tc>
          <w:tcPr>
            <w:tcW w:w="2551" w:type="dxa"/>
            <w:shd w:val="clear" w:color="auto" w:fill="auto"/>
            <w:vAlign w:val="center"/>
          </w:tcPr>
          <w:p w:rsidR="007770B8" w:rsidRPr="00C80FB0" w:rsidRDefault="007770B8" w:rsidP="00305BBA">
            <w:pPr>
              <w:pStyle w:val="TableText"/>
              <w:spacing w:before="79" w:line="182" w:lineRule="auto"/>
              <w:jc w:val="center"/>
              <w:rPr>
                <w:rFonts w:ascii="宋体" w:hAnsi="宋体"/>
                <w:szCs w:val="21"/>
              </w:rPr>
            </w:pPr>
            <w:r w:rsidRPr="00C80FB0">
              <w:rPr>
                <w:rFonts w:ascii="宋体" w:hAnsi="宋体"/>
                <w:spacing w:val="-7"/>
                <w:szCs w:val="21"/>
              </w:rPr>
              <w:t>12</w:t>
            </w:r>
          </w:p>
        </w:tc>
      </w:tr>
    </w:tbl>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2、仙霞路院区</w:t>
      </w:r>
      <w:proofErr w:type="gramStart"/>
      <w:r w:rsidRPr="00C80FB0">
        <w:rPr>
          <w:rFonts w:ascii="宋体" w:hAnsi="宋体" w:hint="eastAsia"/>
          <w:bCs/>
          <w:szCs w:val="21"/>
          <w:lang w:val="zh-CN"/>
        </w:rPr>
        <w:t>营养餐及配送</w:t>
      </w:r>
      <w:proofErr w:type="gramEnd"/>
      <w:r w:rsidRPr="00C80FB0">
        <w:rPr>
          <w:rFonts w:ascii="宋体" w:hAnsi="宋体" w:hint="eastAsia"/>
          <w:bCs/>
          <w:szCs w:val="21"/>
          <w:lang w:val="zh-CN"/>
        </w:rPr>
        <w:t>：</w:t>
      </w:r>
    </w:p>
    <w:p w:rsidR="007770B8" w:rsidRPr="002544B2" w:rsidRDefault="007770B8" w:rsidP="007770B8">
      <w:pPr>
        <w:tabs>
          <w:tab w:val="left" w:pos="0"/>
        </w:tabs>
        <w:spacing w:line="500" w:lineRule="exact"/>
        <w:ind w:firstLineChars="200" w:firstLine="420"/>
        <w:jc w:val="left"/>
        <w:rPr>
          <w:rFonts w:ascii="宋体" w:hAnsi="宋体"/>
          <w:bCs/>
          <w:szCs w:val="21"/>
          <w:lang w:val="zh-CN"/>
        </w:rPr>
      </w:pPr>
      <w:r w:rsidRPr="002544B2">
        <w:rPr>
          <w:rFonts w:ascii="宋体" w:hAnsi="宋体" w:hint="eastAsia"/>
          <w:bCs/>
          <w:szCs w:val="21"/>
          <w:lang w:val="zh-CN"/>
        </w:rPr>
        <w:t>床位数1100张，住院率90%，根据病人医嘱提供相应的饮食，</w:t>
      </w:r>
      <w:proofErr w:type="gramStart"/>
      <w:r w:rsidRPr="002544B2">
        <w:rPr>
          <w:rFonts w:ascii="宋体" w:hAnsi="宋体" w:hint="eastAsia"/>
          <w:bCs/>
          <w:szCs w:val="21"/>
          <w:lang w:val="zh-CN"/>
        </w:rPr>
        <w:t>普食加治疗</w:t>
      </w:r>
      <w:proofErr w:type="gramEnd"/>
      <w:r w:rsidRPr="002544B2">
        <w:rPr>
          <w:rFonts w:ascii="宋体" w:hAnsi="宋体" w:hint="eastAsia"/>
          <w:bCs/>
          <w:szCs w:val="21"/>
          <w:lang w:val="zh-CN"/>
        </w:rPr>
        <w:t>餐的平均就餐率约70%，套餐33元/人/天。</w:t>
      </w:r>
    </w:p>
    <w:p w:rsidR="007770B8" w:rsidRPr="002544B2" w:rsidRDefault="007770B8" w:rsidP="007770B8">
      <w:pPr>
        <w:tabs>
          <w:tab w:val="left" w:pos="0"/>
        </w:tabs>
        <w:spacing w:line="500" w:lineRule="exact"/>
        <w:ind w:firstLineChars="200" w:firstLine="420"/>
        <w:jc w:val="left"/>
        <w:rPr>
          <w:rFonts w:ascii="宋体" w:hAnsi="宋体"/>
          <w:bCs/>
          <w:szCs w:val="21"/>
          <w:lang w:val="zh-CN"/>
        </w:rPr>
      </w:pPr>
      <w:r w:rsidRPr="002544B2">
        <w:rPr>
          <w:rFonts w:ascii="宋体" w:hAnsi="宋体" w:hint="eastAsia"/>
          <w:bCs/>
          <w:szCs w:val="21"/>
          <w:lang w:val="zh-CN"/>
        </w:rPr>
        <w:t>3、哈密路院区</w:t>
      </w:r>
      <w:proofErr w:type="gramStart"/>
      <w:r w:rsidRPr="002544B2">
        <w:rPr>
          <w:rFonts w:ascii="宋体" w:hAnsi="宋体" w:hint="eastAsia"/>
          <w:bCs/>
          <w:szCs w:val="21"/>
          <w:lang w:val="zh-CN"/>
        </w:rPr>
        <w:t>营养餐及配送</w:t>
      </w:r>
      <w:proofErr w:type="gramEnd"/>
      <w:r w:rsidRPr="002544B2">
        <w:rPr>
          <w:rFonts w:ascii="宋体" w:hAnsi="宋体" w:hint="eastAsia"/>
          <w:bCs/>
          <w:szCs w:val="21"/>
          <w:lang w:val="zh-CN"/>
        </w:rPr>
        <w:t>：</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2544B2">
        <w:rPr>
          <w:rFonts w:ascii="宋体" w:hAnsi="宋体" w:hint="eastAsia"/>
          <w:bCs/>
          <w:szCs w:val="21"/>
          <w:lang w:val="zh-CN"/>
        </w:rPr>
        <w:t>床位数300张，住院率90%，根据病人医嘱提供相应的饮食，</w:t>
      </w:r>
      <w:proofErr w:type="gramStart"/>
      <w:r w:rsidRPr="002544B2">
        <w:rPr>
          <w:rFonts w:ascii="宋体" w:hAnsi="宋体" w:hint="eastAsia"/>
          <w:bCs/>
          <w:szCs w:val="21"/>
          <w:lang w:val="zh-CN"/>
        </w:rPr>
        <w:t>普食加治疗</w:t>
      </w:r>
      <w:proofErr w:type="gramEnd"/>
      <w:r w:rsidRPr="002544B2">
        <w:rPr>
          <w:rFonts w:ascii="宋体" w:hAnsi="宋体" w:hint="eastAsia"/>
          <w:bCs/>
          <w:szCs w:val="21"/>
          <w:lang w:val="zh-CN"/>
        </w:rPr>
        <w:t>餐的平均就餐率约70%，套餐33元/人/天。</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4、营养食堂套餐：需按照上海市质控中心对医院营养餐的规定提供常规营养套餐、治疗饮食套餐、特需营养餐服务等符合医疗需求的专业营养套餐。</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5、员工餐应在实行分批、分时段就餐，分批炒菜，保持菜肴色、香、味、形、 营养俱全；荤素搭配，按季节及时调整供应计划。</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6、员工餐的特色餐饮和额外餐饮售价（例如，会议定制的商务套餐、宴会等）和营养餐的特需小锅菜等售价，原则上服务方可以根据市场需求并参照医院自营时的价格来自行定价，但须经医院确认方可实施。</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7、咖啡吧的定价由服务方根据市场需求自行定价，但须提交医院备案，运营过程中医院有权对产品提出建议，服务方应认真听取、及时改进。</w:t>
      </w:r>
    </w:p>
    <w:p w:rsidR="007770B8" w:rsidRPr="002544B2" w:rsidRDefault="007770B8" w:rsidP="007770B8">
      <w:pPr>
        <w:tabs>
          <w:tab w:val="left" w:pos="0"/>
        </w:tabs>
        <w:spacing w:line="500" w:lineRule="exact"/>
        <w:ind w:firstLineChars="200" w:firstLine="422"/>
        <w:jc w:val="left"/>
        <w:rPr>
          <w:rFonts w:ascii="宋体" w:hAnsi="宋体"/>
          <w:b/>
          <w:bCs/>
          <w:color w:val="FF0000"/>
          <w:szCs w:val="21"/>
          <w:lang w:val="zh-CN"/>
        </w:rPr>
      </w:pPr>
      <w:r w:rsidRPr="002544B2">
        <w:rPr>
          <w:rFonts w:ascii="宋体" w:hAnsi="宋体" w:hint="eastAsia"/>
          <w:b/>
          <w:bCs/>
          <w:color w:val="FF0000"/>
          <w:szCs w:val="21"/>
          <w:lang w:val="zh-CN"/>
        </w:rPr>
        <w:t>★8、为确保服务质量，各家投标单位在进行服务人员配置和报价测算时应不低于102人。</w:t>
      </w:r>
    </w:p>
    <w:p w:rsidR="007770B8" w:rsidRPr="00493CA0" w:rsidRDefault="007770B8" w:rsidP="007770B8">
      <w:pPr>
        <w:tabs>
          <w:tab w:val="left" w:pos="0"/>
        </w:tabs>
        <w:spacing w:line="500" w:lineRule="exact"/>
        <w:ind w:firstLineChars="200" w:firstLine="420"/>
        <w:jc w:val="left"/>
        <w:rPr>
          <w:rFonts w:ascii="宋体" w:hAnsi="宋体"/>
          <w:bCs/>
          <w:szCs w:val="21"/>
          <w:lang w:val="zh-CN"/>
        </w:rPr>
      </w:pPr>
      <w:r w:rsidRPr="00493CA0">
        <w:rPr>
          <w:rFonts w:ascii="宋体" w:hAnsi="宋体" w:hint="eastAsia"/>
          <w:bCs/>
          <w:szCs w:val="21"/>
          <w:lang w:val="zh-CN"/>
        </w:rPr>
        <w:t>9、同仁医院是肩负社会责任的公立医院，所有在场服务的餐饮员工应根据上海法规交纳规定的社保。</w:t>
      </w:r>
    </w:p>
    <w:p w:rsidR="007770B8" w:rsidRPr="00493CA0" w:rsidRDefault="007770B8" w:rsidP="007770B8">
      <w:pPr>
        <w:tabs>
          <w:tab w:val="left" w:pos="0"/>
        </w:tabs>
        <w:spacing w:line="500" w:lineRule="exact"/>
        <w:ind w:firstLineChars="200" w:firstLine="420"/>
        <w:jc w:val="left"/>
        <w:rPr>
          <w:rFonts w:ascii="宋体" w:hAnsi="宋体"/>
          <w:bCs/>
          <w:szCs w:val="21"/>
          <w:lang w:val="zh-CN"/>
        </w:rPr>
      </w:pPr>
      <w:r w:rsidRPr="00493CA0">
        <w:rPr>
          <w:rFonts w:ascii="宋体" w:hAnsi="宋体" w:hint="eastAsia"/>
          <w:bCs/>
          <w:szCs w:val="21"/>
          <w:lang w:val="zh-CN"/>
        </w:rPr>
        <w:t>10、各投标单位的报价应按照每月管理费进行报价，包含人员成本、行政、合理利润、利润、税金（国家法律法规规定的税费）和其他运营成本等，不含餐饮销售额。</w:t>
      </w:r>
    </w:p>
    <w:p w:rsidR="007770B8" w:rsidRPr="00E41D1D" w:rsidRDefault="007770B8" w:rsidP="007770B8">
      <w:pPr>
        <w:tabs>
          <w:tab w:val="left" w:pos="0"/>
        </w:tabs>
        <w:spacing w:line="500" w:lineRule="exact"/>
        <w:ind w:firstLineChars="200" w:firstLine="420"/>
        <w:jc w:val="left"/>
        <w:rPr>
          <w:rFonts w:ascii="宋体" w:hAnsi="宋体"/>
          <w:b/>
          <w:bCs/>
          <w:szCs w:val="21"/>
          <w:lang w:val="zh-CN"/>
        </w:rPr>
      </w:pPr>
      <w:r w:rsidRPr="00493CA0">
        <w:rPr>
          <w:rFonts w:ascii="宋体" w:hAnsi="宋体" w:hint="eastAsia"/>
          <w:bCs/>
          <w:szCs w:val="21"/>
          <w:lang w:val="zh-CN"/>
        </w:rPr>
        <w:lastRenderedPageBreak/>
        <w:t>11、在未来实际运营中，医院每月按实际发生的餐饮销售额与服务方结算，并每月支付服务方管理费，餐饮销售额不在此次报价内。</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p>
    <w:p w:rsidR="007770B8" w:rsidRPr="00BB0822" w:rsidRDefault="007770B8" w:rsidP="007770B8">
      <w:pPr>
        <w:tabs>
          <w:tab w:val="left" w:pos="0"/>
        </w:tabs>
        <w:spacing w:line="500" w:lineRule="exact"/>
        <w:jc w:val="left"/>
        <w:rPr>
          <w:rFonts w:ascii="宋体" w:hAnsi="宋体"/>
          <w:b/>
          <w:bCs/>
          <w:szCs w:val="21"/>
          <w:lang w:val="zh-CN"/>
        </w:rPr>
      </w:pPr>
      <w:r w:rsidRPr="00BB0822">
        <w:rPr>
          <w:rFonts w:ascii="宋体" w:hAnsi="宋体" w:hint="eastAsia"/>
          <w:b/>
          <w:bCs/>
          <w:szCs w:val="21"/>
          <w:lang w:val="zh-CN"/>
        </w:rPr>
        <w:t xml:space="preserve">（二） </w:t>
      </w:r>
      <w:r>
        <w:rPr>
          <w:rFonts w:ascii="宋体" w:hAnsi="宋体" w:hint="eastAsia"/>
          <w:b/>
          <w:bCs/>
          <w:szCs w:val="21"/>
          <w:lang w:val="zh-CN"/>
        </w:rPr>
        <w:t>服务及管理要求</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1、餐厅（厨房）应配备专业的后厨和前端送餐团队，包括厨师、点心师、服务人员、帮厨人员等（相关人员配备自报，人员配备力求合理、高效）。</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2、服务方负责食堂的保洁消毒工作、就餐环境卫生；建立全面的食堂卫生管理条例，定期对厨房及餐厅灯进行卫生大扫除，并接受招标单位的监督检查。</w:t>
      </w:r>
    </w:p>
    <w:p w:rsidR="007770B8" w:rsidRPr="006D732F"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3、为保证餐饮服务的质量，前一周拟定下一周的菜肴供应计划（菜肴品种等） 提交管理部门，</w:t>
      </w:r>
      <w:r w:rsidRPr="006D732F">
        <w:rPr>
          <w:rFonts w:ascii="宋体" w:hAnsi="宋体" w:hint="eastAsia"/>
          <w:bCs/>
          <w:szCs w:val="21"/>
          <w:lang w:val="zh-CN"/>
        </w:rPr>
        <w:t>待确认后执行。</w:t>
      </w:r>
    </w:p>
    <w:p w:rsidR="007770B8" w:rsidRPr="006D732F" w:rsidRDefault="007770B8" w:rsidP="007770B8">
      <w:pPr>
        <w:tabs>
          <w:tab w:val="left" w:pos="0"/>
        </w:tabs>
        <w:spacing w:line="500" w:lineRule="exact"/>
        <w:ind w:firstLineChars="200" w:firstLine="420"/>
        <w:jc w:val="left"/>
        <w:rPr>
          <w:rFonts w:ascii="宋体" w:hAnsi="宋体"/>
          <w:bCs/>
          <w:szCs w:val="21"/>
          <w:lang w:val="zh-CN"/>
        </w:rPr>
      </w:pPr>
      <w:r w:rsidRPr="006D732F">
        <w:rPr>
          <w:rFonts w:ascii="宋体" w:hAnsi="宋体" w:hint="eastAsia"/>
          <w:bCs/>
          <w:szCs w:val="21"/>
          <w:lang w:val="zh-CN"/>
        </w:rPr>
        <w:t>4、服务方须提供营养餐智能管理系统，并与医院的 HIS 系统作无缝连接（如产生相关费用，由服务方自行承担），能实时反映患者的治疗饮食和特殊饮食。</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5、用餐结束后需对餐具、餐桌、餐台等进行消毒，确保就餐环境；接受相关部门的卫生抽查，抽检不合格接受相应处罚，直至取消餐饮管理服务承包资格。</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6、食堂管理餐饮服务应符合国家有关食品卫生许可的特殊要求，所有服务人员应持证上岗，办理相关健康年检等费用由服务方自负；着装整洁、统一。</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7、应保证餐厅内的食品卫生，生、熟食分开，环境卫生整洁。</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8、服务方应每月按照实际销售额与医院结算，服务方需规范的做好每月食堂运营明细账，并随时接受医院的监督和抽查；医院随时可对食堂成本核算、运营明细账进行抽查。</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9、严格执行食品卫生法的要求和国家规定的有关法律法规，做好食堂各类菜肴的留样工作，保证食品进货渠道的安全可靠，做好相应的食品货源登记工作和供应方的食品卫生许可证的索取工作，严防食物中毒的发生。</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10、服务方在原材料采购中，要保证从正规渠道购进，并经过有关食品检验检疫部门的正规检验合格，必须严格执行国家相关法规，全程使用上海市食品安全信息追溯平台。</w:t>
      </w:r>
      <w:r w:rsidRPr="00A742B9">
        <w:rPr>
          <w:rFonts w:ascii="宋体" w:hAnsi="宋体" w:hint="eastAsia"/>
          <w:bCs/>
          <w:szCs w:val="21"/>
          <w:lang w:val="zh-CN"/>
        </w:rPr>
        <w:t>所有的原材料必须都有证可查</w:t>
      </w:r>
      <w:r w:rsidRPr="00C80FB0">
        <w:rPr>
          <w:rFonts w:ascii="宋体" w:hAnsi="宋体" w:hint="eastAsia"/>
          <w:bCs/>
          <w:szCs w:val="21"/>
          <w:lang w:val="zh-CN"/>
        </w:rPr>
        <w:t>，例如：肉制品的采购必须实行定点采购，并应提供定点采购的采购点的营业执照、经营许可证、卫生许可证、检验检疫合格证等。蔬菜类材料采购必须从正规市场购入并符合国家有关食品安全方面的规定。各种主 食材料（米面等）、辅</w:t>
      </w:r>
      <w:r w:rsidRPr="00C80FB0">
        <w:rPr>
          <w:rFonts w:ascii="宋体" w:hAnsi="宋体" w:hint="eastAsia"/>
          <w:bCs/>
          <w:szCs w:val="21"/>
          <w:lang w:val="zh-CN"/>
        </w:rPr>
        <w:lastRenderedPageBreak/>
        <w:t>料、调味品及卫生消毒用品、消耗品等必须从正规厂商或商场购入，指定品牌和采购渠道，并提供产品的品牌和采购点的营业执照、经营许可证、卫生许可证、检验检疫合格证等材料</w:t>
      </w:r>
      <w:r>
        <w:rPr>
          <w:rFonts w:ascii="宋体" w:hAnsi="宋体" w:hint="eastAsia"/>
          <w:bCs/>
          <w:szCs w:val="21"/>
          <w:lang w:val="zh-CN"/>
        </w:rPr>
        <w:t>。</w:t>
      </w:r>
      <w:r w:rsidRPr="00C80FB0">
        <w:rPr>
          <w:rFonts w:ascii="宋体" w:hAnsi="宋体" w:hint="eastAsia"/>
          <w:bCs/>
          <w:szCs w:val="21"/>
          <w:lang w:val="zh-CN"/>
        </w:rPr>
        <w:t>保证质量、杜绝使用三无产品、假冒伪劣、过期产品。</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11、在负责食堂工作期间，爱护好食堂内的各种设备和餐具，做好节能降耗工作，定期对食堂环境卫生进行清洁、扫清。若在负责管理期间因管理不善引起的安全、治安、卫生、消防等方面的事故造成的处罚均由服务方负责，并赔偿医院的经济损失。</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12、制定一套食品卫生安全管理制度和安全保卫工作的制度，落实责任人。</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13、服务方在餐饮服务过程中要主动接受医院的监督，对医院提出的建议或意见，及时采纳并制定具体整改措施。</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14、特殊事情及处罚条例（服务方需针对以下内容在投标书中做出书面承诺，并加盖公章）：</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食堂运营管理过程中每出现如下情况一次，应</w:t>
      </w:r>
      <w:proofErr w:type="gramStart"/>
      <w:r w:rsidRPr="00A742B9">
        <w:rPr>
          <w:rFonts w:ascii="宋体" w:hAnsi="宋体" w:hint="eastAsia"/>
          <w:bCs/>
          <w:szCs w:val="21"/>
          <w:lang w:val="zh-CN"/>
        </w:rPr>
        <w:t>作出</w:t>
      </w:r>
      <w:proofErr w:type="gramEnd"/>
      <w:r w:rsidRPr="00A742B9">
        <w:rPr>
          <w:rFonts w:ascii="宋体" w:hAnsi="宋体" w:hint="eastAsia"/>
          <w:bCs/>
          <w:szCs w:val="21"/>
          <w:lang w:val="zh-CN"/>
        </w:rPr>
        <w:t>处罚，具体奖惩细则由双方在合同中做出约定：</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1) 因经营管理不善造成重大投诉或发生食物中毒事件的取消其服务方资格；</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2) 医院抽验卫生不合格或不达标；</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3) 未按时进行食堂卫生大扫除或扫除不到位，造成就餐者投诉；</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4) 因食品中出现异物造成就餐者投诉；</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5) 未及时更新菜肴供应计划；</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6) 餐具、器皿消毒、清洗不及时造成投诉。</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p>
    <w:p w:rsidR="007770B8" w:rsidRPr="00BB0822" w:rsidRDefault="007770B8" w:rsidP="007770B8">
      <w:pPr>
        <w:numPr>
          <w:ilvl w:val="0"/>
          <w:numId w:val="1"/>
        </w:numPr>
        <w:spacing w:line="360" w:lineRule="auto"/>
        <w:jc w:val="left"/>
        <w:rPr>
          <w:rFonts w:cs="Calibri"/>
          <w:b/>
          <w:bCs/>
          <w:szCs w:val="22"/>
          <w:lang w:val="zh-CN"/>
        </w:rPr>
      </w:pPr>
      <w:r w:rsidRPr="00BB0822">
        <w:rPr>
          <w:rFonts w:cs="Calibri" w:hint="eastAsia"/>
          <w:b/>
          <w:bCs/>
          <w:szCs w:val="22"/>
          <w:lang w:val="zh-CN"/>
        </w:rPr>
        <w:t>投标要求</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1、分别针对员工食堂和营养食堂做出适合医院需求的可行性运营方案。</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2、针对服务对象的特殊性，投标单位可以提出其他特色服务的设想及建议</w:t>
      </w:r>
      <w:r>
        <w:rPr>
          <w:rFonts w:ascii="宋体" w:hAnsi="宋体" w:hint="eastAsia"/>
          <w:bCs/>
          <w:szCs w:val="21"/>
          <w:lang w:val="zh-CN"/>
        </w:rPr>
        <w:t>。</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3、针对医院的需求，提供咖啡吧和</w:t>
      </w:r>
      <w:proofErr w:type="gramStart"/>
      <w:r w:rsidRPr="00A742B9">
        <w:rPr>
          <w:rFonts w:ascii="宋体" w:hAnsi="宋体" w:hint="eastAsia"/>
          <w:bCs/>
          <w:szCs w:val="21"/>
          <w:lang w:val="zh-CN"/>
        </w:rPr>
        <w:t>会议茶歇的</w:t>
      </w:r>
      <w:proofErr w:type="gramEnd"/>
      <w:r w:rsidRPr="00A742B9">
        <w:rPr>
          <w:rFonts w:ascii="宋体" w:hAnsi="宋体" w:hint="eastAsia"/>
          <w:bCs/>
          <w:szCs w:val="21"/>
          <w:lang w:val="zh-CN"/>
        </w:rPr>
        <w:t>服务，投标方案里须有咖啡吧的服务流程和方案。</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4、投标单位需有临床医学营养师并且具备5年或以上的营养</w:t>
      </w:r>
      <w:proofErr w:type="gramStart"/>
      <w:r w:rsidRPr="00A742B9">
        <w:rPr>
          <w:rFonts w:ascii="宋体" w:hAnsi="宋体" w:hint="eastAsia"/>
          <w:bCs/>
          <w:szCs w:val="21"/>
          <w:lang w:val="zh-CN"/>
        </w:rPr>
        <w:t>餐工作</w:t>
      </w:r>
      <w:proofErr w:type="gramEnd"/>
      <w:r w:rsidRPr="00A742B9">
        <w:rPr>
          <w:rFonts w:ascii="宋体" w:hAnsi="宋体" w:hint="eastAsia"/>
          <w:bCs/>
          <w:szCs w:val="21"/>
          <w:lang w:val="zh-CN"/>
        </w:rPr>
        <w:t>经验，并具有国家卫生部颁发的中级或中级以上临床医学营养师资质证书。</w:t>
      </w:r>
    </w:p>
    <w:p w:rsidR="007770B8" w:rsidRPr="00A742B9"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lastRenderedPageBreak/>
        <w:t>5、医院未来有通过JCI认证的计划，因此投标单位须具有协助医院进行JCI 认证的类似经验，并在投标文件里提供相应的证明资料。</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6、未来餐厅有可能进行局部改建，服务方需具备设计支持能力，并免费为招标方提供相应的</w:t>
      </w:r>
      <w:r w:rsidRPr="00C80FB0">
        <w:rPr>
          <w:rFonts w:ascii="宋体" w:hAnsi="宋体" w:hint="eastAsia"/>
          <w:bCs/>
          <w:szCs w:val="21"/>
          <w:lang w:val="zh-CN"/>
        </w:rPr>
        <w:t>设计方案。</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7、服务方必须委派有相关经验的项目经理人来担任餐厅经理，需经院方面试方可录用。</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8、服务方应根据实际发生的餐饮销售金额，按月向医院申请结算餐饮销售额，医院每月支付上月产生的餐饮销售额和合同约定的管理费给服务方。</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A742B9">
        <w:rPr>
          <w:rFonts w:ascii="宋体" w:hAnsi="宋体" w:hint="eastAsia"/>
          <w:bCs/>
          <w:szCs w:val="21"/>
          <w:lang w:val="zh-CN"/>
        </w:rPr>
        <w:t>9、投标单位应自行核算本项目所涉及的所有成本及费用，并自行承担任何少报、漏报而带来的经营风险。</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p>
    <w:p w:rsidR="007770B8" w:rsidRPr="00BB0822" w:rsidRDefault="007770B8" w:rsidP="007770B8">
      <w:pPr>
        <w:numPr>
          <w:ilvl w:val="0"/>
          <w:numId w:val="1"/>
        </w:numPr>
        <w:spacing w:line="360" w:lineRule="auto"/>
        <w:jc w:val="left"/>
        <w:rPr>
          <w:rFonts w:cs="Calibri"/>
          <w:b/>
          <w:bCs/>
          <w:szCs w:val="22"/>
          <w:lang w:val="zh-CN"/>
        </w:rPr>
      </w:pPr>
      <w:r w:rsidRPr="00BB0822">
        <w:rPr>
          <w:rFonts w:cs="Calibri" w:hint="eastAsia"/>
          <w:b/>
          <w:bCs/>
          <w:szCs w:val="22"/>
          <w:lang w:val="zh-CN"/>
        </w:rPr>
        <w:t>其他要求</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1、服务方必须严格遵守《食品卫生法》等相关的食品卫生法律法规，确保食品质量。</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2、服务方必须无条件接受市、区卫生防疫部门及有关职能部门等对食品卫生、经营范围、销售价格、服务态度等方面的检查、监督、管理、考核。</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3、卫生检疫、工作人员体检、伤残疾病等费用均由服务方自理，因服务方的管理不善造成用餐人员食物中毒，由服务方依法承担责任。</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4、服务方需具有一定的抗风险能力，故要求服务方投保相关责任险。</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5、服务方应遵守有关的中国法律、法规和规章条例，遵守招标单位及其主管单位的有关管理制度，经营期间接受招标单位及其授权管理公司的日常管理和</w:t>
      </w:r>
      <w:proofErr w:type="gramStart"/>
      <w:r w:rsidRPr="00C80FB0">
        <w:rPr>
          <w:rFonts w:ascii="宋体" w:hAnsi="宋体" w:hint="eastAsia"/>
          <w:bCs/>
          <w:szCs w:val="21"/>
          <w:lang w:val="zh-CN"/>
        </w:rPr>
        <w:t xml:space="preserve">监 </w:t>
      </w:r>
      <w:proofErr w:type="gramEnd"/>
      <w:r w:rsidRPr="00C80FB0">
        <w:rPr>
          <w:rFonts w:ascii="宋体" w:hAnsi="宋体" w:hint="eastAsia"/>
          <w:bCs/>
          <w:szCs w:val="21"/>
          <w:lang w:val="zh-CN"/>
        </w:rPr>
        <w:t>督。</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6、医院提供经营场地、水电及设施设备。在经营过程中如需要添加大件设备，由服务方申请医院报批，经批准后由医院落实并承担相关费用。服务方需新增设备或者改变场地布局的，需经报批，医院同意允许后方可执行。</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7、服务方需对医院提供的厨房设备合理使用，服务</w:t>
      </w:r>
      <w:proofErr w:type="gramStart"/>
      <w:r w:rsidRPr="00C80FB0">
        <w:rPr>
          <w:rFonts w:ascii="宋体" w:hAnsi="宋体" w:hint="eastAsia"/>
          <w:bCs/>
          <w:szCs w:val="21"/>
          <w:lang w:val="zh-CN"/>
        </w:rPr>
        <w:t>方承包</w:t>
      </w:r>
      <w:proofErr w:type="gramEnd"/>
      <w:r w:rsidRPr="00C80FB0">
        <w:rPr>
          <w:rFonts w:ascii="宋体" w:hAnsi="宋体" w:hint="eastAsia"/>
          <w:bCs/>
          <w:szCs w:val="21"/>
          <w:lang w:val="zh-CN"/>
        </w:rPr>
        <w:t>区域内设备在使用过程中形成的损坏（含自然损坏），应及时向医院报修，由医院承担相应维修费用。若因服务方责任而导致的设备损失及因报修不及时造成</w:t>
      </w:r>
      <w:proofErr w:type="gramStart"/>
      <w:r w:rsidRPr="00C80FB0">
        <w:rPr>
          <w:rFonts w:ascii="宋体" w:hAnsi="宋体" w:hint="eastAsia"/>
          <w:bCs/>
          <w:szCs w:val="21"/>
          <w:lang w:val="zh-CN"/>
        </w:rPr>
        <w:t>的断餐等</w:t>
      </w:r>
      <w:proofErr w:type="gramEnd"/>
      <w:r w:rsidRPr="00C80FB0">
        <w:rPr>
          <w:rFonts w:ascii="宋体" w:hAnsi="宋体" w:hint="eastAsia"/>
          <w:bCs/>
          <w:szCs w:val="21"/>
          <w:lang w:val="zh-CN"/>
        </w:rPr>
        <w:t>情况，服务方应承担相应责任。</w:t>
      </w:r>
    </w:p>
    <w:p w:rsidR="007770B8" w:rsidRPr="00C80FB0" w:rsidRDefault="007770B8" w:rsidP="007770B8">
      <w:pPr>
        <w:tabs>
          <w:tab w:val="left" w:pos="0"/>
        </w:tabs>
        <w:spacing w:line="500" w:lineRule="exact"/>
        <w:ind w:firstLineChars="200" w:firstLine="420"/>
        <w:jc w:val="left"/>
        <w:rPr>
          <w:rFonts w:ascii="宋体" w:hAnsi="宋体"/>
          <w:bCs/>
          <w:szCs w:val="21"/>
          <w:lang w:val="zh-CN"/>
        </w:rPr>
      </w:pPr>
      <w:r w:rsidRPr="00C80FB0">
        <w:rPr>
          <w:rFonts w:ascii="宋体" w:hAnsi="宋体" w:hint="eastAsia"/>
          <w:bCs/>
          <w:szCs w:val="21"/>
          <w:lang w:val="zh-CN"/>
        </w:rPr>
        <w:t>8、服务方需按使用规范操作设备，禁止任何违章用电、用水的行为，妥善保管 消防</w:t>
      </w:r>
      <w:r w:rsidRPr="00C80FB0">
        <w:rPr>
          <w:rFonts w:ascii="宋体" w:hAnsi="宋体" w:hint="eastAsia"/>
          <w:bCs/>
          <w:szCs w:val="21"/>
          <w:lang w:val="zh-CN"/>
        </w:rPr>
        <w:lastRenderedPageBreak/>
        <w:t>器材。</w:t>
      </w:r>
    </w:p>
    <w:p w:rsidR="007770B8" w:rsidRPr="00493CA0" w:rsidRDefault="007770B8" w:rsidP="007770B8">
      <w:pPr>
        <w:tabs>
          <w:tab w:val="left" w:pos="0"/>
        </w:tabs>
        <w:spacing w:line="500" w:lineRule="exact"/>
        <w:ind w:firstLineChars="200" w:firstLine="420"/>
        <w:jc w:val="left"/>
        <w:rPr>
          <w:rFonts w:ascii="宋体" w:hAnsi="宋体"/>
          <w:bCs/>
          <w:szCs w:val="21"/>
          <w:lang w:val="zh-CN"/>
        </w:rPr>
      </w:pPr>
      <w:r w:rsidRPr="00493CA0">
        <w:rPr>
          <w:rFonts w:ascii="宋体" w:hAnsi="宋体" w:hint="eastAsia"/>
          <w:bCs/>
          <w:szCs w:val="21"/>
          <w:lang w:val="zh-CN"/>
        </w:rPr>
        <w:t>9、医院承担水、电、煤气等能源费用，但服务方应本着节约的原则，不得无故浪费，注重节约能源， 否则医院将视情况进行对服务方的罚款，并保留中止合同的权利。</w:t>
      </w:r>
    </w:p>
    <w:p w:rsidR="007770B8" w:rsidRPr="00493CA0" w:rsidRDefault="007770B8" w:rsidP="007770B8">
      <w:pPr>
        <w:tabs>
          <w:tab w:val="left" w:pos="0"/>
        </w:tabs>
        <w:spacing w:line="500" w:lineRule="exact"/>
        <w:ind w:firstLineChars="200" w:firstLine="420"/>
        <w:jc w:val="left"/>
        <w:rPr>
          <w:rFonts w:ascii="宋体" w:hAnsi="宋体"/>
          <w:bCs/>
          <w:szCs w:val="21"/>
          <w:lang w:val="zh-CN"/>
        </w:rPr>
      </w:pPr>
      <w:r w:rsidRPr="00493CA0">
        <w:rPr>
          <w:rFonts w:ascii="宋体" w:hAnsi="宋体" w:hint="eastAsia"/>
          <w:bCs/>
          <w:szCs w:val="21"/>
          <w:lang w:val="zh-CN"/>
        </w:rPr>
        <w:t>1</w:t>
      </w:r>
      <w:r w:rsidRPr="00493CA0">
        <w:rPr>
          <w:rFonts w:ascii="宋体" w:hAnsi="宋体"/>
          <w:bCs/>
          <w:szCs w:val="21"/>
          <w:lang w:val="zh-CN"/>
        </w:rPr>
        <w:t>0、</w:t>
      </w:r>
      <w:r w:rsidRPr="00493CA0">
        <w:rPr>
          <w:rFonts w:ascii="宋体" w:hAnsi="宋体" w:hint="eastAsia"/>
          <w:bCs/>
          <w:szCs w:val="21"/>
          <w:lang w:val="zh-CN"/>
        </w:rPr>
        <w:t>服务方须配合并协助甲方办理餐饮服务许可证。</w:t>
      </w:r>
    </w:p>
    <w:p w:rsidR="007770B8" w:rsidRPr="00493CA0" w:rsidRDefault="007770B8" w:rsidP="007770B8">
      <w:pPr>
        <w:tabs>
          <w:tab w:val="left" w:pos="0"/>
        </w:tabs>
        <w:spacing w:line="500" w:lineRule="exact"/>
        <w:jc w:val="left"/>
        <w:rPr>
          <w:rFonts w:ascii="宋体" w:hAnsi="宋体"/>
          <w:bCs/>
          <w:szCs w:val="21"/>
          <w:lang w:val="zh-CN"/>
        </w:rPr>
      </w:pPr>
    </w:p>
    <w:p w:rsidR="007770B8" w:rsidRPr="00493CA0" w:rsidRDefault="007770B8" w:rsidP="007770B8">
      <w:pPr>
        <w:numPr>
          <w:ilvl w:val="0"/>
          <w:numId w:val="1"/>
        </w:numPr>
        <w:spacing w:line="360" w:lineRule="auto"/>
        <w:jc w:val="left"/>
        <w:rPr>
          <w:rFonts w:cs="Calibri"/>
          <w:b/>
          <w:bCs/>
          <w:szCs w:val="22"/>
          <w:lang w:val="zh-CN"/>
        </w:rPr>
      </w:pPr>
      <w:r w:rsidRPr="00493CA0">
        <w:rPr>
          <w:rFonts w:cs="Calibri" w:hint="eastAsia"/>
          <w:b/>
          <w:bCs/>
          <w:szCs w:val="22"/>
          <w:lang w:val="zh-CN"/>
        </w:rPr>
        <w:t>付款及验收要求</w:t>
      </w:r>
    </w:p>
    <w:p w:rsidR="007770B8" w:rsidRPr="00493CA0" w:rsidRDefault="007770B8" w:rsidP="007770B8">
      <w:pPr>
        <w:tabs>
          <w:tab w:val="left" w:pos="0"/>
        </w:tabs>
        <w:spacing w:line="500" w:lineRule="exact"/>
        <w:ind w:firstLineChars="200" w:firstLine="422"/>
        <w:jc w:val="left"/>
        <w:rPr>
          <w:rFonts w:ascii="宋体" w:hAnsi="宋体"/>
          <w:bCs/>
          <w:szCs w:val="21"/>
          <w:lang w:val="zh-CN"/>
        </w:rPr>
      </w:pPr>
      <w:r w:rsidRPr="00493CA0">
        <w:rPr>
          <w:rFonts w:ascii="宋体" w:hAnsi="宋体" w:hint="eastAsia"/>
          <w:b/>
          <w:bCs/>
          <w:szCs w:val="21"/>
          <w:lang w:val="zh-CN"/>
        </w:rPr>
        <w:t>1、付款条件：</w:t>
      </w:r>
      <w:r w:rsidRPr="00493CA0">
        <w:rPr>
          <w:rFonts w:ascii="宋体" w:hAnsi="宋体" w:hint="eastAsia"/>
          <w:bCs/>
          <w:szCs w:val="21"/>
          <w:lang w:val="zh-CN"/>
        </w:rPr>
        <w:t>按月支付。</w:t>
      </w:r>
    </w:p>
    <w:p w:rsidR="003C2B6A" w:rsidRPr="007770B8" w:rsidRDefault="007770B8" w:rsidP="007770B8">
      <w:pPr>
        <w:tabs>
          <w:tab w:val="left" w:pos="0"/>
        </w:tabs>
        <w:spacing w:line="500" w:lineRule="exact"/>
        <w:ind w:firstLineChars="200" w:firstLine="422"/>
        <w:jc w:val="left"/>
        <w:rPr>
          <w:rFonts w:ascii="宋体" w:hAnsi="宋体" w:hint="eastAsia"/>
          <w:kern w:val="0"/>
          <w:sz w:val="18"/>
          <w:szCs w:val="18"/>
        </w:rPr>
      </w:pPr>
      <w:r w:rsidRPr="00493CA0">
        <w:rPr>
          <w:rFonts w:ascii="宋体" w:hAnsi="宋体" w:hint="eastAsia"/>
          <w:b/>
          <w:bCs/>
          <w:szCs w:val="21"/>
          <w:lang w:val="zh-CN"/>
        </w:rPr>
        <w:t>2、验收标准：</w:t>
      </w:r>
      <w:r w:rsidRPr="00493CA0">
        <w:rPr>
          <w:rFonts w:ascii="宋体" w:hAnsi="宋体" w:hint="eastAsia"/>
          <w:bCs/>
          <w:szCs w:val="21"/>
          <w:lang w:val="zh-CN"/>
        </w:rPr>
        <w:t>本项目采购人自行对中标单位服务进行验收和考评。</w:t>
      </w:r>
      <w:bookmarkStart w:id="0" w:name="_GoBack"/>
      <w:bookmarkEnd w:id="0"/>
    </w:p>
    <w:sectPr w:rsidR="003C2B6A" w:rsidRPr="00777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53502"/>
    <w:multiLevelType w:val="multilevel"/>
    <w:tmpl w:val="40A53502"/>
    <w:lvl w:ilvl="0">
      <w:start w:val="1"/>
      <w:numFmt w:val="japaneseCounting"/>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B8"/>
    <w:rsid w:val="003C2B6A"/>
    <w:rsid w:val="0077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526A4-1888-452C-8FDD-8996D3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B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qFormat/>
    <w:rsid w:val="007770B8"/>
    <w:pPr>
      <w:widowControl/>
      <w:spacing w:before="60" w:after="60"/>
      <w:jc w:val="left"/>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2024-08-15T10:24:00Z</dcterms:created>
  <dcterms:modified xsi:type="dcterms:W3CDTF">2024-08-15T10:24:00Z</dcterms:modified>
</cp:coreProperties>
</file>