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服务产品</w:t>
      </w:r>
    </w:p>
    <w:p>
      <w:pPr>
        <w:pStyle w:val="3"/>
        <w:spacing w:before="0" w:beforeAutospacing="0" w:after="0" w:afterAutospacing="0" w:line="360" w:lineRule="auto"/>
        <w:ind w:firstLine="420"/>
        <w:rPr>
          <w:rFonts w:cs="Calibri"/>
          <w:bCs/>
          <w:color w:val="auto"/>
          <w:kern w:val="2"/>
          <w:sz w:val="21"/>
          <w:szCs w:val="22"/>
        </w:rPr>
      </w:pPr>
      <w:r>
        <w:rPr>
          <w:rFonts w:hint="eastAsia" w:cs="Calibri"/>
          <w:bCs/>
          <w:color w:val="auto"/>
          <w:kern w:val="2"/>
          <w:sz w:val="21"/>
          <w:szCs w:val="22"/>
        </w:rPr>
        <w:t>本项目涉及的供应物资包括办公用品、日常消耗用品等。</w:t>
      </w:r>
    </w:p>
    <w:p>
      <w:pPr>
        <w:pStyle w:val="3"/>
        <w:spacing w:before="0" w:beforeAutospacing="0" w:after="0" w:afterAutospacing="0" w:line="360" w:lineRule="auto"/>
        <w:ind w:firstLine="420"/>
        <w:rPr>
          <w:rFonts w:cs="Calibri"/>
          <w:bCs/>
          <w:color w:val="auto"/>
          <w:kern w:val="2"/>
          <w:sz w:val="21"/>
          <w:szCs w:val="22"/>
        </w:rPr>
      </w:pPr>
      <w:r>
        <w:rPr>
          <w:rFonts w:hint="eastAsia" w:cs="Calibri"/>
          <w:b/>
          <w:color w:val="auto"/>
          <w:kern w:val="2"/>
          <w:sz w:val="21"/>
          <w:szCs w:val="22"/>
        </w:rPr>
        <w:t>（具体清单详见采购公告“附件：上</w:t>
      </w:r>
      <w:bookmarkStart w:id="0" w:name="_GoBack"/>
      <w:r>
        <w:rPr>
          <w:rFonts w:hint="eastAsia" w:cs="Calibri"/>
          <w:b/>
          <w:color w:val="auto"/>
          <w:kern w:val="2"/>
          <w:sz w:val="21"/>
          <w:szCs w:val="22"/>
        </w:rPr>
        <w:t>海市同仁医院总务物资供应链服务公开招标项目</w:t>
      </w:r>
      <w:bookmarkEnd w:id="0"/>
      <w:r>
        <w:rPr>
          <w:rFonts w:hint="eastAsia" w:cs="Calibri"/>
          <w:b/>
          <w:color w:val="auto"/>
          <w:kern w:val="2"/>
          <w:sz w:val="21"/>
          <w:szCs w:val="22"/>
        </w:rPr>
        <w:t>-主要设备采购清单”）</w:t>
      </w:r>
    </w:p>
    <w:p>
      <w:pPr>
        <w:pStyle w:val="3"/>
        <w:spacing w:before="0" w:beforeAutospacing="0" w:after="0" w:afterAutospacing="0" w:line="360" w:lineRule="auto"/>
        <w:ind w:firstLine="420"/>
        <w:rPr>
          <w:rFonts w:cs="Calibri"/>
          <w:bCs/>
          <w:color w:val="auto"/>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服务内容</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包括清单内物品的集中采购供应、医院内部仓储、信息化运用、物流服务、质量管理等。</w:t>
      </w:r>
    </w:p>
    <w:p>
      <w:pPr>
        <w:pStyle w:val="3"/>
        <w:spacing w:before="0" w:beforeAutospacing="0" w:after="0" w:afterAutospacing="0" w:line="360" w:lineRule="auto"/>
        <w:ind w:firstLine="420"/>
        <w:rPr>
          <w:rFonts w:cs="Calibri"/>
          <w:bCs/>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服务期限及服务地点</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1、服务期限：12个月。</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2、服务地点：采购人指定的任意地点。</w:t>
      </w:r>
    </w:p>
    <w:p>
      <w:pPr>
        <w:spacing w:line="360" w:lineRule="auto"/>
        <w:ind w:firstLine="426" w:firstLineChars="202"/>
        <w:rPr>
          <w:rFonts w:ascii="宋体" w:hAnsi="宋体"/>
          <w:b/>
          <w:color w:val="FF0000"/>
          <w:szCs w:val="21"/>
        </w:rPr>
      </w:pPr>
      <w:r>
        <w:rPr>
          <w:rFonts w:hint="eastAsia" w:ascii="宋体" w:hAnsi="宋体"/>
          <w:b/>
          <w:color w:val="FF0000"/>
          <w:szCs w:val="21"/>
        </w:rPr>
        <w:t>注：本项目采用“招一用三”模式，即本次采购结果三年内有效，采购人在当年度采购合同履约完成后，有权与中标人续签合同（合同内容、要求及服务期不变，原则上续签合同金额与中标金额一致）。合同共可续签两次，每次签约服务期为一年。</w:t>
      </w:r>
      <w:r>
        <w:rPr>
          <w:rFonts w:hint="eastAsia" w:ascii="宋体" w:hAnsi="宋体"/>
          <w:b/>
          <w:color w:val="FF0000"/>
          <w:szCs w:val="21"/>
        </w:rPr>
        <w:br w:type="textWrapping"/>
      </w:r>
      <w:r>
        <w:rPr>
          <w:rFonts w:hint="eastAsia" w:ascii="宋体" w:hAnsi="宋体"/>
          <w:b/>
          <w:color w:val="FF0000"/>
          <w:szCs w:val="21"/>
        </w:rPr>
        <w:t>续签合同须知：</w:t>
      </w:r>
    </w:p>
    <w:p>
      <w:pPr>
        <w:spacing w:line="360" w:lineRule="auto"/>
        <w:ind w:firstLine="426" w:firstLineChars="202"/>
        <w:rPr>
          <w:rFonts w:ascii="宋体" w:hAnsi="宋体"/>
          <w:b/>
          <w:color w:val="FF0000"/>
          <w:szCs w:val="21"/>
        </w:rPr>
      </w:pPr>
      <w:r>
        <w:rPr>
          <w:rFonts w:hint="eastAsia" w:ascii="宋体" w:hAnsi="宋体"/>
          <w:b/>
          <w:color w:val="FF0000"/>
          <w:szCs w:val="21"/>
        </w:rPr>
        <w:t>（</w:t>
      </w:r>
      <w:r>
        <w:rPr>
          <w:rFonts w:ascii="宋体" w:hAnsi="宋体"/>
          <w:b/>
          <w:color w:val="FF0000"/>
          <w:szCs w:val="21"/>
        </w:rPr>
        <w:t>1</w:t>
      </w:r>
      <w:r>
        <w:rPr>
          <w:rFonts w:hint="eastAsia" w:ascii="宋体" w:hAnsi="宋体"/>
          <w:b/>
          <w:color w:val="FF0000"/>
          <w:szCs w:val="21"/>
        </w:rPr>
        <w:t>）</w:t>
      </w:r>
      <w:r>
        <w:rPr>
          <w:rFonts w:ascii="宋体" w:hAnsi="宋体"/>
          <w:b/>
          <w:color w:val="FF0000"/>
          <w:szCs w:val="21"/>
        </w:rPr>
        <w:t>采购人具有合同续签最终决定权；</w:t>
      </w:r>
    </w:p>
    <w:p>
      <w:pPr>
        <w:spacing w:line="360" w:lineRule="auto"/>
        <w:ind w:firstLine="426" w:firstLineChars="202"/>
        <w:rPr>
          <w:rFonts w:ascii="宋体" w:hAnsi="宋体"/>
          <w:b/>
          <w:color w:val="FF0000"/>
          <w:szCs w:val="21"/>
        </w:rPr>
      </w:pPr>
      <w:r>
        <w:rPr>
          <w:rFonts w:hint="eastAsia" w:ascii="宋体" w:hAnsi="宋体"/>
          <w:b/>
          <w:color w:val="FF0000"/>
          <w:szCs w:val="21"/>
        </w:rPr>
        <w:t>（2）</w:t>
      </w:r>
      <w:r>
        <w:rPr>
          <w:rFonts w:hint="eastAsia" w:ascii="宋体" w:hAnsi="宋体"/>
          <w:b/>
          <w:bCs/>
          <w:color w:val="FF0000"/>
          <w:szCs w:val="21"/>
          <w:shd w:val="clear" w:color="auto" w:fill="FFFFFF"/>
        </w:rPr>
        <w:t>每年度合同有效期终止前</w:t>
      </w:r>
      <w:r>
        <w:rPr>
          <w:rFonts w:ascii="宋体" w:hAnsi="宋体"/>
          <w:b/>
          <w:bCs/>
          <w:color w:val="FF0000"/>
          <w:szCs w:val="21"/>
          <w:shd w:val="clear" w:color="auto" w:fill="FFFFFF"/>
        </w:rPr>
        <w:t>2</w:t>
      </w:r>
      <w:r>
        <w:rPr>
          <w:rFonts w:hint="eastAsia" w:ascii="宋体" w:hAnsi="宋体"/>
          <w:b/>
          <w:bCs/>
          <w:color w:val="FF0000"/>
          <w:szCs w:val="21"/>
          <w:shd w:val="clear" w:color="auto" w:fill="FFFFFF"/>
        </w:rPr>
        <w:t>个月，由采购人对中标人进行年度考核和验收，</w:t>
      </w:r>
      <w:r>
        <w:rPr>
          <w:rFonts w:ascii="宋体" w:hAnsi="宋体"/>
          <w:b/>
          <w:color w:val="FF0000"/>
          <w:szCs w:val="21"/>
        </w:rPr>
        <w:t>如上一年度考核/验收不通过或因项目内容</w:t>
      </w:r>
      <w:r>
        <w:rPr>
          <w:rFonts w:hint="eastAsia" w:ascii="宋体" w:hAnsi="宋体"/>
          <w:b/>
          <w:color w:val="FF0000"/>
          <w:szCs w:val="21"/>
        </w:rPr>
        <w:t>等发生</w:t>
      </w:r>
      <w:r>
        <w:rPr>
          <w:rFonts w:ascii="宋体" w:hAnsi="宋体"/>
          <w:b/>
          <w:color w:val="FF0000"/>
          <w:szCs w:val="21"/>
        </w:rPr>
        <w:t>变动较大的，采购人</w:t>
      </w:r>
      <w:r>
        <w:rPr>
          <w:rFonts w:hint="eastAsia" w:ascii="宋体" w:hAnsi="宋体"/>
          <w:b/>
          <w:color w:val="FF0000"/>
          <w:szCs w:val="21"/>
        </w:rPr>
        <w:t>有权</w:t>
      </w:r>
      <w:r>
        <w:rPr>
          <w:rFonts w:ascii="宋体" w:hAnsi="宋体"/>
          <w:b/>
          <w:color w:val="FF0000"/>
          <w:szCs w:val="21"/>
        </w:rPr>
        <w:t>重新进行招标。</w:t>
      </w:r>
    </w:p>
    <w:p>
      <w:pPr>
        <w:pStyle w:val="3"/>
        <w:spacing w:before="0" w:beforeAutospacing="0" w:after="0" w:afterAutospacing="0" w:line="360" w:lineRule="auto"/>
        <w:ind w:firstLine="420"/>
        <w:rPr>
          <w:rFonts w:cs="Calibri"/>
          <w:bCs/>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服务要求</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1、针对办公用品、日常消耗用品、被服类用品，院内仓储、物流服务模式服务内容。</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2、供应商应具备自由仓储、物流配送能力。</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3、能通过物流识别手段（如二维条形码技术），对采购人所使用的消耗品做全面信息化管理，并提供可行性方案。</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4、供应产品的型号规格和厂家必须由采购人确认后才能使用，任何改变需经过采 购人书面同意并及时更新供应产品目录。</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5、采购人经审核的物品采购订单能被供应商即时通过信息系统接收并组织供货。</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6、供应商负责将业务科室领用的物品送货至相关科室。普通物品须采用定数化自动补货模式进行二级库管理，并明确出库结算方式，实现零库存。</w:t>
      </w:r>
    </w:p>
    <w:p>
      <w:pPr>
        <w:pStyle w:val="3"/>
        <w:spacing w:before="0" w:beforeAutospacing="0" w:after="0" w:afterAutospacing="0" w:line="360" w:lineRule="auto"/>
        <w:ind w:firstLine="420"/>
        <w:rPr>
          <w:rFonts w:cs="Calibri"/>
          <w:bCs/>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质量控制体系要求</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1、供应商提供物资材料的证照管理、仓储、质量保证、有效期管理、领用消耗原始记录管理，有明确的采购、入库、保管、出库、供应、使用等相关制度与流程。</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2、有产品质量管控体系。</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3、有服务流程质量管控体系，有物资下送科室的相关制度。</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4、提供针对服务流程的质量管控体系流程说明。</w:t>
      </w:r>
    </w:p>
    <w:p>
      <w:pPr>
        <w:pStyle w:val="3"/>
        <w:spacing w:before="0" w:beforeAutospacing="0" w:after="0" w:afterAutospacing="0" w:line="360" w:lineRule="auto"/>
        <w:ind w:firstLine="420"/>
        <w:rPr>
          <w:rFonts w:cs="Calibri"/>
          <w:bCs/>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应急方案要求</w:t>
      </w:r>
    </w:p>
    <w:p>
      <w:pPr>
        <w:pStyle w:val="3"/>
        <w:spacing w:before="0" w:beforeAutospacing="0" w:after="0" w:afterAutospacing="0" w:line="360" w:lineRule="auto"/>
        <w:ind w:firstLine="420"/>
        <w:rPr>
          <w:rFonts w:cs="Calibri"/>
          <w:b/>
          <w:kern w:val="2"/>
          <w:sz w:val="21"/>
          <w:szCs w:val="22"/>
        </w:rPr>
      </w:pPr>
      <w:r>
        <w:rPr>
          <w:rFonts w:hint="eastAsia" w:cs="Calibri"/>
          <w:b/>
          <w:kern w:val="2"/>
          <w:sz w:val="21"/>
          <w:szCs w:val="22"/>
        </w:rPr>
        <w:t>供应商需在投标文件中提供以下方案（包括但不仅限于）：</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1、供应链服务应急方案，发生材料质量问题的应急措施。</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2、信息应急方案，提供信息系统故障的应急信息化预案。</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3、应急物品，根据医院要求提供相关应急物资储备服务及应急物品相关管理方法。</w:t>
      </w:r>
    </w:p>
    <w:p>
      <w:pPr>
        <w:pStyle w:val="3"/>
        <w:spacing w:before="0" w:beforeAutospacing="0" w:after="0" w:afterAutospacing="0" w:line="360" w:lineRule="auto"/>
        <w:ind w:firstLine="420"/>
        <w:rPr>
          <w:rFonts w:cs="Calibri"/>
          <w:bCs/>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信息化运用</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1、根据医院现有信息网络条件，完成耗材信息化运用，实现耗材全面信息化管理。</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2、为保证医院统一的信息化管理，供应商需提供与本项目有关的数据库本地化管理方案。</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3、提供各种供医院分析使用的报表。</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4、供应商的信息系统能提供物品规格、型号、厂家、供应单价、供应数量、价格、使用部门、验收日期时间、业务量等可用于二次分析的报表， 并提供以往案例信息界面。</w:t>
      </w:r>
    </w:p>
    <w:p>
      <w:pPr>
        <w:pStyle w:val="3"/>
        <w:spacing w:before="0" w:beforeAutospacing="0" w:after="0" w:afterAutospacing="0" w:line="360" w:lineRule="auto"/>
        <w:ind w:firstLine="420"/>
        <w:rPr>
          <w:rFonts w:cs="Calibri"/>
          <w:bCs/>
          <w:kern w:val="2"/>
          <w:sz w:val="21"/>
          <w:szCs w:val="22"/>
          <w:highlight w:val="none"/>
        </w:rPr>
      </w:pPr>
    </w:p>
    <w:p>
      <w:pPr>
        <w:pStyle w:val="3"/>
        <w:numPr>
          <w:ilvl w:val="0"/>
          <w:numId w:val="1"/>
        </w:numPr>
        <w:spacing w:before="0" w:beforeAutospacing="0" w:after="0" w:afterAutospacing="0" w:line="360" w:lineRule="auto"/>
        <w:rPr>
          <w:rFonts w:cs="Calibri"/>
          <w:b/>
          <w:bCs/>
          <w:kern w:val="2"/>
          <w:sz w:val="21"/>
          <w:szCs w:val="22"/>
          <w:highlight w:val="none"/>
        </w:rPr>
      </w:pPr>
      <w:r>
        <w:rPr>
          <w:rFonts w:hint="eastAsia" w:cs="Calibri"/>
          <w:b/>
          <w:bCs/>
          <w:kern w:val="2"/>
          <w:sz w:val="21"/>
          <w:szCs w:val="22"/>
          <w:highlight w:val="none"/>
        </w:rPr>
        <w:t>服务响应要求</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1、月度常规订单送货到使用部门时间，非常规订单院内物品送货到使用部门时间，非常规订单院外物品常规送货到使用部门时间。</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2、非常规订单院外物品加急送货到使用部门时间。</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3、在服务期内，中标单位负责供货产品的退换货及维修服务。</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4、所有产品依照《中华人民共和国产品质量法》、《中华人民共和国消费者权益保护法》等法律法规享受国家“三包”服务，终身维保。当采购方采购的商品或售后服务投诉纠纷时，供应商需在服务承诺的约定范围内妥善解决。如出现严重质量问题或产品厂商推诿质量、服务责任时，供应商需承担终级责任并提供质量和服务保障。</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5、本项目物资供应链服务中涉及的产品或材料如有行业标准或要求的，必须符合相关要求。</w:t>
      </w:r>
    </w:p>
    <w:p>
      <w:pPr>
        <w:pStyle w:val="3"/>
        <w:spacing w:before="0" w:beforeAutospacing="0" w:after="0" w:afterAutospacing="0" w:line="360" w:lineRule="auto"/>
        <w:ind w:firstLine="420"/>
        <w:rPr>
          <w:rFonts w:cs="Calibri"/>
          <w:bCs/>
          <w:kern w:val="2"/>
          <w:sz w:val="21"/>
          <w:szCs w:val="22"/>
          <w:highlight w:val="none"/>
        </w:rPr>
      </w:pPr>
    </w:p>
    <w:p>
      <w:pPr>
        <w:pStyle w:val="3"/>
        <w:numPr>
          <w:ilvl w:val="0"/>
          <w:numId w:val="1"/>
        </w:numPr>
        <w:spacing w:before="0" w:beforeAutospacing="0" w:after="0" w:afterAutospacing="0" w:line="360" w:lineRule="auto"/>
        <w:rPr>
          <w:rFonts w:cs="Calibri"/>
          <w:b/>
          <w:bCs/>
          <w:kern w:val="2"/>
          <w:sz w:val="21"/>
          <w:szCs w:val="22"/>
          <w:highlight w:val="none"/>
        </w:rPr>
      </w:pPr>
      <w:r>
        <w:rPr>
          <w:rFonts w:hint="eastAsia" w:cs="Calibri"/>
          <w:b/>
          <w:bCs/>
          <w:kern w:val="2"/>
          <w:sz w:val="21"/>
          <w:szCs w:val="22"/>
          <w:highlight w:val="none"/>
        </w:rPr>
        <w:t>人员配备要求</w:t>
      </w:r>
    </w:p>
    <w:p>
      <w:pPr>
        <w:pStyle w:val="3"/>
        <w:spacing w:before="0" w:beforeAutospacing="0" w:after="0" w:afterAutospacing="0" w:line="360" w:lineRule="auto"/>
        <w:ind w:firstLine="420"/>
        <w:rPr>
          <w:rFonts w:cs="Calibri"/>
          <w:bCs/>
          <w:kern w:val="2"/>
          <w:sz w:val="21"/>
          <w:szCs w:val="22"/>
          <w:highlight w:val="none"/>
        </w:rPr>
      </w:pPr>
      <w:r>
        <w:rPr>
          <w:rFonts w:hint="eastAsia" w:cs="Calibri"/>
          <w:bCs/>
          <w:kern w:val="2"/>
          <w:sz w:val="21"/>
          <w:szCs w:val="22"/>
          <w:highlight w:val="none"/>
        </w:rPr>
        <w:t>1、提供项目投入人员组织架构、分类、数量，供应商项目负责人。本项目配置人员建议不少于7人。</w:t>
      </w:r>
    </w:p>
    <w:p>
      <w:pPr>
        <w:pStyle w:val="3"/>
        <w:spacing w:before="0" w:beforeAutospacing="0" w:after="0" w:afterAutospacing="0" w:line="360" w:lineRule="auto"/>
        <w:ind w:firstLine="420"/>
        <w:rPr>
          <w:rFonts w:cs="Calibri"/>
          <w:b/>
          <w:color w:val="FF0000"/>
          <w:kern w:val="2"/>
          <w:sz w:val="21"/>
          <w:szCs w:val="22"/>
        </w:rPr>
      </w:pPr>
      <w:r>
        <w:rPr>
          <w:rFonts w:hint="eastAsia" w:cs="Calibri"/>
          <w:b/>
          <w:color w:val="FF0000"/>
          <w:kern w:val="2"/>
          <w:sz w:val="21"/>
          <w:szCs w:val="22"/>
        </w:rPr>
        <w:t>2、★进销差率为所有服务产品的综合进销差率。本项目以综合进销差率为准。投标人只允许有一个进销差率，招标人不接受有任何有选择的进销差率。</w:t>
      </w:r>
    </w:p>
    <w:p>
      <w:pPr>
        <w:pStyle w:val="3"/>
        <w:spacing w:before="0" w:beforeAutospacing="0" w:after="0" w:afterAutospacing="0" w:line="360" w:lineRule="auto"/>
        <w:ind w:firstLine="420"/>
        <w:rPr>
          <w:rFonts w:cs="Calibri"/>
          <w:b/>
          <w:color w:val="FF0000"/>
          <w:kern w:val="2"/>
          <w:sz w:val="21"/>
          <w:szCs w:val="22"/>
        </w:rPr>
      </w:pPr>
      <w:r>
        <w:rPr>
          <w:rFonts w:hint="eastAsia" w:cs="Calibri"/>
          <w:b/>
          <w:color w:val="FF0000"/>
          <w:kern w:val="2"/>
          <w:sz w:val="21"/>
          <w:szCs w:val="22"/>
        </w:rPr>
        <w:t>3、★本项目投标报价统一按750万元作为暂定投标总价。（合同执行中按采购人实际采购物资与进销差率进行结算）。</w:t>
      </w:r>
    </w:p>
    <w:p>
      <w:pPr>
        <w:pStyle w:val="3"/>
        <w:spacing w:before="0" w:beforeAutospacing="0" w:after="0" w:afterAutospacing="0" w:line="360" w:lineRule="auto"/>
        <w:ind w:firstLine="420"/>
        <w:rPr>
          <w:rFonts w:cs="Calibri"/>
          <w:b/>
          <w:color w:val="FF0000"/>
          <w:kern w:val="2"/>
          <w:sz w:val="21"/>
          <w:szCs w:val="22"/>
        </w:rPr>
      </w:pPr>
      <w:r>
        <w:rPr>
          <w:rFonts w:hint="eastAsia" w:cs="Calibri"/>
          <w:b/>
          <w:color w:val="FF0000"/>
          <w:kern w:val="2"/>
          <w:sz w:val="21"/>
          <w:szCs w:val="22"/>
        </w:rPr>
        <w:t>4、★投标人应按要求在投标文件中提供承诺保密函，承诺在本项目招投标活动过程中及招标结束后，按涉密标准妥善保管从招标方处获得的有关本项目的所有信息资料，承诺未经招标方书面同意不向外界、不向第三方传播。（承诺函格式详见“第三章：投标文件格式”）</w:t>
      </w:r>
    </w:p>
    <w:p>
      <w:pPr>
        <w:pStyle w:val="3"/>
        <w:spacing w:before="0" w:beforeAutospacing="0" w:after="0" w:afterAutospacing="0" w:line="360" w:lineRule="auto"/>
        <w:ind w:firstLine="420"/>
        <w:rPr>
          <w:rFonts w:cs="Calibri"/>
          <w:b/>
          <w:color w:val="FF0000"/>
          <w:kern w:val="2"/>
          <w:sz w:val="21"/>
          <w:szCs w:val="22"/>
        </w:rPr>
      </w:pPr>
      <w:r>
        <w:rPr>
          <w:rFonts w:hint="eastAsia" w:cs="Calibri"/>
          <w:b/>
          <w:color w:val="FF0000"/>
          <w:kern w:val="2"/>
          <w:sz w:val="21"/>
          <w:szCs w:val="22"/>
        </w:rPr>
        <w:t>注：</w:t>
      </w:r>
      <w:r>
        <w:rPr>
          <w:rFonts w:hint="eastAsia" w:cs="Calibri"/>
          <w:b/>
          <w:color w:val="FF0000"/>
          <w:kern w:val="2"/>
          <w:sz w:val="21"/>
          <w:szCs w:val="22"/>
          <w:lang w:val="zh-CN"/>
        </w:rPr>
        <w:t>上述“★”号为必须实质响应的内容，投标人必须对本技术规格要求逐条响应，若无法满足，作无效标处理。</w:t>
      </w:r>
    </w:p>
    <w:p>
      <w:pPr>
        <w:pStyle w:val="3"/>
        <w:spacing w:before="0" w:beforeAutospacing="0" w:after="0" w:afterAutospacing="0" w:line="360" w:lineRule="auto"/>
        <w:ind w:firstLine="420"/>
        <w:rPr>
          <w:rFonts w:cs="Calibri"/>
          <w:b/>
          <w:color w:val="FF0000"/>
          <w:kern w:val="2"/>
          <w:sz w:val="21"/>
          <w:szCs w:val="22"/>
        </w:rPr>
      </w:pPr>
    </w:p>
    <w:p>
      <w:pPr>
        <w:pStyle w:val="3"/>
        <w:numPr>
          <w:ilvl w:val="0"/>
          <w:numId w:val="1"/>
        </w:numPr>
        <w:spacing w:before="0" w:beforeAutospacing="0" w:after="0" w:afterAutospacing="0" w:line="360" w:lineRule="auto"/>
        <w:rPr>
          <w:rFonts w:cs="Calibri"/>
          <w:b/>
          <w:bCs/>
          <w:kern w:val="2"/>
          <w:sz w:val="21"/>
          <w:szCs w:val="22"/>
        </w:rPr>
      </w:pPr>
      <w:r>
        <w:rPr>
          <w:rFonts w:hint="eastAsia" w:cs="Calibri"/>
          <w:b/>
          <w:bCs/>
          <w:kern w:val="2"/>
          <w:sz w:val="21"/>
          <w:szCs w:val="22"/>
        </w:rPr>
        <w:t>结算方式</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1、在方案中明确供应物品的所有权的转移点，领用确认前供应物品所有权属于供应商，领用确认后属于采购人。</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2、结算方式：月结。</w:t>
      </w:r>
    </w:p>
    <w:p>
      <w:pPr>
        <w:pStyle w:val="3"/>
        <w:spacing w:before="0" w:beforeAutospacing="0" w:after="0" w:afterAutospacing="0" w:line="360" w:lineRule="auto"/>
        <w:ind w:firstLine="420"/>
        <w:rPr>
          <w:rFonts w:cs="Calibri"/>
          <w:bCs/>
          <w:kern w:val="2"/>
          <w:sz w:val="21"/>
          <w:szCs w:val="22"/>
        </w:rPr>
      </w:pPr>
      <w:r>
        <w:rPr>
          <w:rFonts w:hint="eastAsia" w:cs="Calibri"/>
          <w:bCs/>
          <w:kern w:val="2"/>
          <w:sz w:val="21"/>
          <w:szCs w:val="22"/>
        </w:rPr>
        <w:t>3、供应商同类同规格产品供货单价不高于采购人原采购价。</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 PAGE </w:instrText>
    </w:r>
    <w:r>
      <w:fldChar w:fldCharType="separate"/>
    </w:r>
    <w:r>
      <w:rPr>
        <w:rStyle w:val="6"/>
      </w:rPr>
      <w:t>24</w: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53502"/>
    <w:multiLevelType w:val="multilevel"/>
    <w:tmpl w:val="40A53502"/>
    <w:lvl w:ilvl="0" w:tentative="0">
      <w:start w:val="1"/>
      <w:numFmt w:val="japaneseCounting"/>
      <w:lvlText w:val="%1、"/>
      <w:lvlJc w:val="left"/>
      <w:pPr>
        <w:ind w:left="435" w:hanging="43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F832A"/>
    <w:rsid w:val="633226EC"/>
    <w:rsid w:val="7F7B39A6"/>
    <w:rsid w:val="7F9F75D5"/>
    <w:rsid w:val="FE9974EF"/>
    <w:rsid w:val="FFDF8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99"/>
    <w:pPr>
      <w:widowControl/>
      <w:spacing w:before="100" w:beforeAutospacing="1" w:after="100" w:afterAutospacing="1"/>
      <w:jc w:val="left"/>
    </w:pPr>
    <w:rPr>
      <w:rFonts w:ascii="宋体" w:hAnsi="宋体"/>
      <w:kern w:val="0"/>
      <w:sz w:val="18"/>
      <w:szCs w:val="18"/>
    </w:rPr>
  </w:style>
  <w:style w:type="character" w:styleId="6">
    <w:name w:val="page numb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2025-02-19T09:52:00Z</dcterms:created>
  <dc:creator>user</dc:creator>
  <cp:lastModifiedBy>user</cp:lastModifiedBy>
  <dcterms:modified xsi:type="dcterms:W3CDTF">2025-02-19T09:54:18Z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