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20"/>
        <w:rPr>
          <w:rFonts w:ascii="宋体" w:hAnsi="宋体" w:cs="宋体"/>
          <w:b/>
          <w:bCs/>
          <w:color w:val="auto"/>
          <w:sz w:val="24"/>
          <w:highlight w:val="none"/>
        </w:rPr>
      </w:pPr>
      <w:r>
        <w:rPr>
          <w:rFonts w:hint="eastAsia" w:ascii="宋体" w:hAnsi="宋体" w:cs="宋体"/>
          <w:b/>
          <w:bCs/>
          <w:color w:val="auto"/>
          <w:sz w:val="24"/>
          <w:highlight w:val="none"/>
        </w:rPr>
        <w:t>包件</w:t>
      </w:r>
      <w:r>
        <w:rPr>
          <w:rFonts w:hint="eastAsia" w:ascii="宋体" w:hAnsi="宋体" w:cs="宋体"/>
          <w:b/>
          <w:bCs/>
          <w:color w:val="auto"/>
          <w:sz w:val="24"/>
          <w:highlight w:val="none"/>
          <w:lang w:val="en-US" w:eastAsia="zh-CN"/>
        </w:rPr>
        <w:t>二</w:t>
      </w:r>
      <w:r>
        <w:rPr>
          <w:rFonts w:hint="eastAsia" w:ascii="宋体" w:hAnsi="宋体" w:cs="宋体"/>
          <w:b/>
          <w:bCs/>
          <w:color w:val="auto"/>
          <w:sz w:val="24"/>
          <w:highlight w:val="none"/>
        </w:rPr>
        <w:t>：39条路段</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3.1 硬件清单</w:t>
      </w:r>
    </w:p>
    <w:tbl>
      <w:tblPr>
        <w:tblStyle w:val="3"/>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113"/>
        <w:gridCol w:w="1549"/>
        <w:gridCol w:w="759"/>
        <w:gridCol w:w="2535"/>
        <w:gridCol w:w="583"/>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66" w:type="dxa"/>
            <w:noWrap/>
            <w:vAlign w:val="center"/>
          </w:tcPr>
          <w:p>
            <w:pPr>
              <w:widowControl/>
              <w:jc w:val="center"/>
              <w:textAlignment w:val="center"/>
              <w:rPr>
                <w:rFonts w:hint="eastAsia"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序号</w:t>
            </w:r>
          </w:p>
        </w:tc>
        <w:tc>
          <w:tcPr>
            <w:tcW w:w="2662" w:type="dxa"/>
            <w:gridSpan w:val="2"/>
            <w:noWrap/>
            <w:vAlign w:val="center"/>
          </w:tcPr>
          <w:p>
            <w:pPr>
              <w:widowControl/>
              <w:jc w:val="center"/>
              <w:textAlignment w:val="center"/>
              <w:rPr>
                <w:rFonts w:hint="eastAsia"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设备</w:t>
            </w:r>
          </w:p>
        </w:tc>
        <w:tc>
          <w:tcPr>
            <w:tcW w:w="759" w:type="dxa"/>
            <w:noWrap/>
            <w:vAlign w:val="center"/>
          </w:tcPr>
          <w:p>
            <w:pPr>
              <w:widowControl/>
              <w:jc w:val="center"/>
              <w:textAlignment w:val="center"/>
              <w:rPr>
                <w:rFonts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数量</w:t>
            </w:r>
          </w:p>
        </w:tc>
        <w:tc>
          <w:tcPr>
            <w:tcW w:w="2535" w:type="dxa"/>
            <w:noWrap/>
            <w:vAlign w:val="center"/>
          </w:tcPr>
          <w:p>
            <w:pPr>
              <w:widowControl/>
              <w:jc w:val="center"/>
              <w:textAlignment w:val="center"/>
              <w:rPr>
                <w:rFonts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功能</w:t>
            </w:r>
          </w:p>
        </w:tc>
        <w:tc>
          <w:tcPr>
            <w:tcW w:w="583" w:type="dxa"/>
            <w:noWrap/>
            <w:vAlign w:val="center"/>
          </w:tcPr>
          <w:p>
            <w:pPr>
              <w:widowControl/>
              <w:jc w:val="center"/>
              <w:textAlignment w:val="center"/>
              <w:rPr>
                <w:rFonts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单位</w:t>
            </w:r>
          </w:p>
        </w:tc>
        <w:tc>
          <w:tcPr>
            <w:tcW w:w="2293" w:type="dxa"/>
            <w:noWrap/>
            <w:vAlign w:val="center"/>
          </w:tcPr>
          <w:p>
            <w:pPr>
              <w:widowControl/>
              <w:jc w:val="center"/>
              <w:textAlignment w:val="center"/>
              <w:rPr>
                <w:rFonts w:ascii="宋体" w:hAnsi="宋体" w:cs="宋体"/>
                <w:b/>
                <w:bCs/>
                <w:color w:val="auto"/>
                <w:kern w:val="0"/>
                <w:sz w:val="22"/>
                <w:highlight w:val="none"/>
                <w:lang w:bidi="ar"/>
              </w:rPr>
            </w:pPr>
            <w:r>
              <w:rPr>
                <w:rFonts w:hint="eastAsia" w:ascii="宋体" w:hAnsi="宋体" w:cs="宋体"/>
                <w:b/>
                <w:bCs/>
                <w:color w:val="auto"/>
                <w:kern w:val="0"/>
                <w:sz w:val="22"/>
                <w:highlight w:val="none"/>
                <w:lang w:bidi="ar"/>
              </w:rPr>
              <w:t>建设标准和要求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6"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1</w:t>
            </w:r>
          </w:p>
        </w:tc>
        <w:tc>
          <w:tcPr>
            <w:tcW w:w="2662" w:type="dxa"/>
            <w:gridSpan w:val="2"/>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道路停车高清摄像机</w:t>
            </w:r>
          </w:p>
        </w:tc>
        <w:tc>
          <w:tcPr>
            <w:tcW w:w="759" w:type="dxa"/>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szCs w:val="22"/>
                <w:highlight w:val="none"/>
                <w:lang w:bidi="ar"/>
              </w:rPr>
              <w:t>154</w:t>
            </w:r>
          </w:p>
        </w:tc>
        <w:tc>
          <w:tcPr>
            <w:tcW w:w="2535" w:type="dxa"/>
            <w:noWrap/>
            <w:vAlign w:val="center"/>
          </w:tcPr>
          <w:p>
            <w:pPr>
              <w:widowControl/>
              <w:tabs>
                <w:tab w:val="left" w:pos="1256"/>
              </w:tabs>
              <w:jc w:val="left"/>
              <w:textAlignment w:val="center"/>
              <w:rPr>
                <w:rFonts w:ascii="宋体" w:hAnsi="宋体" w:cs="宋体"/>
                <w:color w:val="auto"/>
                <w:kern w:val="0"/>
                <w:sz w:val="22"/>
                <w:highlight w:val="none"/>
                <w:lang w:bidi="ar"/>
              </w:rPr>
            </w:pPr>
            <w:r>
              <w:rPr>
                <w:rFonts w:hint="eastAsia"/>
                <w:color w:val="auto"/>
                <w:szCs w:val="21"/>
                <w:highlight w:val="none"/>
              </w:rPr>
              <w:t>道路停车停放事件图像、视频采集</w:t>
            </w:r>
          </w:p>
        </w:tc>
        <w:tc>
          <w:tcPr>
            <w:tcW w:w="583" w:type="dxa"/>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c>
          <w:tcPr>
            <w:tcW w:w="2293" w:type="dxa"/>
            <w:noWrap/>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详见“3、系统及硬件技术要求”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66"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2.1</w:t>
            </w:r>
          </w:p>
        </w:tc>
        <w:tc>
          <w:tcPr>
            <w:tcW w:w="1113" w:type="dxa"/>
            <w:vMerge w:val="restart"/>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前端管理设备</w:t>
            </w:r>
          </w:p>
        </w:tc>
        <w:tc>
          <w:tcPr>
            <w:tcW w:w="1549" w:type="dxa"/>
            <w:noWrap w:val="0"/>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前端管理终端</w:t>
            </w:r>
          </w:p>
        </w:tc>
        <w:tc>
          <w:tcPr>
            <w:tcW w:w="759" w:type="dxa"/>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szCs w:val="22"/>
                <w:highlight w:val="none"/>
                <w:lang w:bidi="ar"/>
              </w:rPr>
              <w:t>64</w:t>
            </w:r>
          </w:p>
        </w:tc>
        <w:tc>
          <w:tcPr>
            <w:tcW w:w="2535" w:type="dxa"/>
            <w:vMerge w:val="restart"/>
            <w:noWrap/>
            <w:vAlign w:val="center"/>
          </w:tcPr>
          <w:p>
            <w:pPr>
              <w:widowControl/>
              <w:jc w:val="left"/>
              <w:textAlignment w:val="center"/>
              <w:rPr>
                <w:rFonts w:ascii="宋体" w:hAnsi="宋体" w:cs="宋体"/>
                <w:color w:val="auto"/>
                <w:kern w:val="0"/>
                <w:sz w:val="22"/>
                <w:highlight w:val="none"/>
                <w:lang w:bidi="ar"/>
              </w:rPr>
            </w:pPr>
            <w:r>
              <w:rPr>
                <w:rFonts w:hint="eastAsia"/>
                <w:color w:val="auto"/>
                <w:szCs w:val="21"/>
                <w:highlight w:val="none"/>
              </w:rPr>
              <w:t xml:space="preserve">车辆轨迹算法、车牌识别算法、车辆识别算法等，停车事件短视频录制和推送，流媒体服务，边缘设备状态监控 </w:t>
            </w:r>
          </w:p>
        </w:tc>
        <w:tc>
          <w:tcPr>
            <w:tcW w:w="583" w:type="dxa"/>
            <w:vMerge w:val="restart"/>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c>
          <w:tcPr>
            <w:tcW w:w="2293" w:type="dxa"/>
            <w:vMerge w:val="restart"/>
            <w:noWrap/>
            <w:vAlign w:val="center"/>
          </w:tcPr>
          <w:p>
            <w:pPr>
              <w:jc w:val="left"/>
              <w:rPr>
                <w:color w:val="auto"/>
                <w:szCs w:val="21"/>
                <w:highlight w:val="none"/>
              </w:rPr>
            </w:pPr>
            <w:r>
              <w:rPr>
                <w:rFonts w:hint="eastAsia" w:ascii="宋体" w:hAnsi="宋体" w:cs="宋体"/>
                <w:color w:val="auto"/>
                <w:sz w:val="22"/>
                <w:highlight w:val="none"/>
              </w:rPr>
              <w:t>详见“3、系统及硬件技术要求”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66"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2.2</w:t>
            </w:r>
          </w:p>
        </w:tc>
        <w:tc>
          <w:tcPr>
            <w:tcW w:w="1113" w:type="dxa"/>
            <w:vMerge w:val="continue"/>
            <w:noWrap/>
            <w:vAlign w:val="center"/>
          </w:tcPr>
          <w:p>
            <w:pPr>
              <w:widowControl/>
              <w:jc w:val="center"/>
              <w:textAlignment w:val="center"/>
              <w:rPr>
                <w:rFonts w:hint="eastAsia" w:ascii="宋体" w:hAnsi="宋体" w:cs="宋体"/>
                <w:color w:val="auto"/>
                <w:kern w:val="0"/>
                <w:sz w:val="22"/>
                <w:highlight w:val="none"/>
                <w:lang w:bidi="ar"/>
              </w:rPr>
            </w:pPr>
          </w:p>
        </w:tc>
        <w:tc>
          <w:tcPr>
            <w:tcW w:w="1549" w:type="dxa"/>
            <w:noWrap w:val="0"/>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业务管理终端</w:t>
            </w:r>
          </w:p>
        </w:tc>
        <w:tc>
          <w:tcPr>
            <w:tcW w:w="759"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szCs w:val="22"/>
                <w:highlight w:val="none"/>
                <w:lang w:bidi="ar"/>
              </w:rPr>
              <w:t>29</w:t>
            </w:r>
          </w:p>
        </w:tc>
        <w:tc>
          <w:tcPr>
            <w:tcW w:w="2535" w:type="dxa"/>
            <w:vMerge w:val="continue"/>
            <w:noWrap/>
            <w:vAlign w:val="center"/>
          </w:tcPr>
          <w:p>
            <w:pPr>
              <w:widowControl/>
              <w:jc w:val="left"/>
              <w:textAlignment w:val="center"/>
              <w:rPr>
                <w:rFonts w:hint="eastAsia"/>
                <w:color w:val="auto"/>
                <w:szCs w:val="21"/>
                <w:highlight w:val="none"/>
              </w:rPr>
            </w:pPr>
          </w:p>
        </w:tc>
        <w:tc>
          <w:tcPr>
            <w:tcW w:w="583" w:type="dxa"/>
            <w:vMerge w:val="continue"/>
            <w:noWrap/>
            <w:vAlign w:val="center"/>
          </w:tcPr>
          <w:p>
            <w:pPr>
              <w:widowControl/>
              <w:jc w:val="center"/>
              <w:textAlignment w:val="center"/>
              <w:rPr>
                <w:rFonts w:hint="eastAsia" w:ascii="宋体" w:hAnsi="宋体" w:cs="宋体"/>
                <w:color w:val="auto"/>
                <w:kern w:val="0"/>
                <w:sz w:val="22"/>
                <w:highlight w:val="none"/>
                <w:lang w:bidi="ar"/>
              </w:rPr>
            </w:pPr>
          </w:p>
        </w:tc>
        <w:tc>
          <w:tcPr>
            <w:tcW w:w="2293" w:type="dxa"/>
            <w:vMerge w:val="continue"/>
            <w:noWrap/>
            <w:vAlign w:val="center"/>
          </w:tcPr>
          <w:p>
            <w:pPr>
              <w:pStyle w:val="5"/>
              <w:numPr>
                <w:ilvl w:val="0"/>
                <w:numId w:val="1"/>
              </w:numPr>
              <w:ind w:firstLineChars="0"/>
              <w:jc w:val="left"/>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6"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3</w:t>
            </w:r>
          </w:p>
        </w:tc>
        <w:tc>
          <w:tcPr>
            <w:tcW w:w="2662" w:type="dxa"/>
            <w:gridSpan w:val="2"/>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硬盘录像机</w:t>
            </w:r>
          </w:p>
        </w:tc>
        <w:tc>
          <w:tcPr>
            <w:tcW w:w="759"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szCs w:val="22"/>
                <w:highlight w:val="none"/>
                <w:lang w:bidi="ar"/>
              </w:rPr>
              <w:t>29</w:t>
            </w:r>
          </w:p>
        </w:tc>
        <w:tc>
          <w:tcPr>
            <w:tcW w:w="2535" w:type="dxa"/>
            <w:noWrap/>
            <w:vAlign w:val="center"/>
          </w:tcPr>
          <w:p>
            <w:pPr>
              <w:widowControl/>
              <w:jc w:val="left"/>
              <w:textAlignment w:val="center"/>
              <w:rPr>
                <w:rFonts w:ascii="宋体" w:hAnsi="宋体" w:cs="宋体"/>
                <w:color w:val="auto"/>
                <w:kern w:val="0"/>
                <w:sz w:val="22"/>
                <w:highlight w:val="none"/>
                <w:lang w:bidi="ar"/>
              </w:rPr>
            </w:pPr>
            <w:r>
              <w:rPr>
                <w:rFonts w:hint="eastAsia"/>
                <w:color w:val="auto"/>
                <w:szCs w:val="21"/>
                <w:highlight w:val="none"/>
              </w:rPr>
              <w:t>视频流存储</w:t>
            </w:r>
          </w:p>
        </w:tc>
        <w:tc>
          <w:tcPr>
            <w:tcW w:w="583" w:type="dxa"/>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c>
          <w:tcPr>
            <w:tcW w:w="2293" w:type="dxa"/>
            <w:noWrap/>
            <w:vAlign w:val="center"/>
          </w:tcPr>
          <w:p>
            <w:pPr>
              <w:jc w:val="left"/>
              <w:rPr>
                <w:rFonts w:ascii="宋体" w:hAnsi="宋体" w:cs="宋体"/>
                <w:color w:val="auto"/>
                <w:sz w:val="22"/>
                <w:highlight w:val="none"/>
              </w:rPr>
            </w:pPr>
            <w:r>
              <w:rPr>
                <w:rFonts w:hint="eastAsia" w:ascii="宋体" w:hAnsi="宋体" w:cs="宋体"/>
                <w:color w:val="auto"/>
                <w:sz w:val="22"/>
                <w:highlight w:val="none"/>
              </w:rPr>
              <w:t>详见“3、系统及硬件技术要求”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6"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szCs w:val="22"/>
                <w:highlight w:val="none"/>
                <w:lang w:bidi="ar"/>
              </w:rPr>
              <w:t>4</w:t>
            </w:r>
          </w:p>
        </w:tc>
        <w:tc>
          <w:tcPr>
            <w:tcW w:w="2662" w:type="dxa"/>
            <w:gridSpan w:val="2"/>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网络交换机</w:t>
            </w:r>
          </w:p>
        </w:tc>
        <w:tc>
          <w:tcPr>
            <w:tcW w:w="759"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48</w:t>
            </w:r>
          </w:p>
        </w:tc>
        <w:tc>
          <w:tcPr>
            <w:tcW w:w="2535" w:type="dxa"/>
            <w:noWrap/>
            <w:vAlign w:val="center"/>
          </w:tcPr>
          <w:p>
            <w:pPr>
              <w:widowControl/>
              <w:jc w:val="left"/>
              <w:textAlignment w:val="center"/>
              <w:rPr>
                <w:rFonts w:ascii="宋体" w:hAnsi="宋体" w:cs="宋体"/>
                <w:color w:val="auto"/>
                <w:kern w:val="0"/>
                <w:sz w:val="22"/>
                <w:highlight w:val="none"/>
                <w:lang w:bidi="ar"/>
              </w:rPr>
            </w:pPr>
            <w:r>
              <w:rPr>
                <w:rFonts w:hint="eastAsia"/>
                <w:color w:val="auto"/>
                <w:szCs w:val="21"/>
                <w:highlight w:val="none"/>
              </w:rPr>
              <w:t>提供设备连接接口</w:t>
            </w:r>
          </w:p>
        </w:tc>
        <w:tc>
          <w:tcPr>
            <w:tcW w:w="583" w:type="dxa"/>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lang w:bidi="ar"/>
              </w:rPr>
              <w:t>台</w:t>
            </w:r>
          </w:p>
        </w:tc>
        <w:tc>
          <w:tcPr>
            <w:tcW w:w="2293" w:type="dxa"/>
            <w:noWrap/>
            <w:vAlign w:val="center"/>
          </w:tcPr>
          <w:p>
            <w:pPr>
              <w:jc w:val="left"/>
              <w:rPr>
                <w:rFonts w:hint="eastAsia"/>
                <w:color w:val="auto"/>
                <w:szCs w:val="21"/>
                <w:highlight w:val="none"/>
              </w:rPr>
            </w:pPr>
            <w:r>
              <w:rPr>
                <w:rFonts w:hint="eastAsia" w:ascii="宋体" w:hAnsi="宋体" w:cs="宋体"/>
                <w:color w:val="auto"/>
                <w:sz w:val="22"/>
                <w:highlight w:val="none"/>
              </w:rPr>
              <w:t>详见“3、系统及硬件技术要求”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66"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szCs w:val="22"/>
                <w:highlight w:val="none"/>
                <w:lang w:bidi="ar"/>
              </w:rPr>
              <w:t>5</w:t>
            </w:r>
          </w:p>
        </w:tc>
        <w:tc>
          <w:tcPr>
            <w:tcW w:w="2662" w:type="dxa"/>
            <w:gridSpan w:val="2"/>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路由器</w:t>
            </w:r>
          </w:p>
        </w:tc>
        <w:tc>
          <w:tcPr>
            <w:tcW w:w="759"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21</w:t>
            </w:r>
          </w:p>
        </w:tc>
        <w:tc>
          <w:tcPr>
            <w:tcW w:w="2535" w:type="dxa"/>
            <w:noWrap/>
            <w:vAlign w:val="center"/>
          </w:tcPr>
          <w:p>
            <w:pPr>
              <w:widowControl/>
              <w:jc w:val="left"/>
              <w:textAlignment w:val="center"/>
              <w:rPr>
                <w:color w:val="auto"/>
                <w:szCs w:val="21"/>
                <w:highlight w:val="none"/>
              </w:rPr>
            </w:pPr>
            <w:r>
              <w:rPr>
                <w:rFonts w:hint="eastAsia"/>
                <w:color w:val="auto"/>
                <w:szCs w:val="21"/>
                <w:highlight w:val="none"/>
              </w:rPr>
              <w:t>用于路段内设备网络连接</w:t>
            </w:r>
          </w:p>
        </w:tc>
        <w:tc>
          <w:tcPr>
            <w:tcW w:w="583"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台</w:t>
            </w:r>
          </w:p>
        </w:tc>
        <w:tc>
          <w:tcPr>
            <w:tcW w:w="2293" w:type="dxa"/>
            <w:noWrap/>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6" w:type="dxa"/>
            <w:noWrap/>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6</w:t>
            </w:r>
          </w:p>
        </w:tc>
        <w:tc>
          <w:tcPr>
            <w:tcW w:w="2662" w:type="dxa"/>
            <w:gridSpan w:val="2"/>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流媒体服务器及相关硬件</w:t>
            </w:r>
          </w:p>
        </w:tc>
        <w:tc>
          <w:tcPr>
            <w:tcW w:w="759" w:type="dxa"/>
            <w:noWrap/>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2535" w:type="dxa"/>
            <w:noWrap/>
            <w:vAlign w:val="center"/>
          </w:tcPr>
          <w:p>
            <w:pPr>
              <w:widowControl/>
              <w:jc w:val="left"/>
              <w:textAlignment w:val="center"/>
              <w:rPr>
                <w:color w:val="auto"/>
                <w:szCs w:val="21"/>
                <w:highlight w:val="none"/>
              </w:rPr>
            </w:pPr>
            <w:r>
              <w:rPr>
                <w:rFonts w:hint="eastAsia"/>
                <w:color w:val="auto"/>
                <w:szCs w:val="21"/>
                <w:highlight w:val="none"/>
              </w:rPr>
              <w:t>用于流媒体平台配置</w:t>
            </w:r>
          </w:p>
        </w:tc>
        <w:tc>
          <w:tcPr>
            <w:tcW w:w="583"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套</w:t>
            </w:r>
          </w:p>
        </w:tc>
        <w:tc>
          <w:tcPr>
            <w:tcW w:w="2293" w:type="dxa"/>
            <w:noWrap/>
            <w:vAlign w:val="center"/>
          </w:tcPr>
          <w:p>
            <w:pPr>
              <w:jc w:val="left"/>
              <w:rPr>
                <w:rFonts w:hint="eastAsia" w:ascii="宋体" w:hAnsi="宋体" w:cs="宋体"/>
                <w:color w:val="auto"/>
                <w:sz w:val="22"/>
                <w:highlight w:val="none"/>
              </w:rPr>
            </w:pPr>
            <w:r>
              <w:rPr>
                <w:rFonts w:hint="eastAsia" w:ascii="宋体" w:hAnsi="宋体" w:cs="宋体"/>
                <w:color w:val="auto"/>
                <w:sz w:val="22"/>
                <w:highlight w:val="none"/>
              </w:rPr>
              <w:t>详见“3、系统及硬件技术要求”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6"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szCs w:val="22"/>
                <w:highlight w:val="none"/>
                <w:lang w:bidi="ar"/>
              </w:rPr>
              <w:t>7</w:t>
            </w:r>
          </w:p>
        </w:tc>
        <w:tc>
          <w:tcPr>
            <w:tcW w:w="2662" w:type="dxa"/>
            <w:gridSpan w:val="2"/>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网络及供电</w:t>
            </w:r>
          </w:p>
        </w:tc>
        <w:tc>
          <w:tcPr>
            <w:tcW w:w="759"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21</w:t>
            </w:r>
          </w:p>
        </w:tc>
        <w:tc>
          <w:tcPr>
            <w:tcW w:w="2535" w:type="dxa"/>
            <w:noWrap/>
            <w:vAlign w:val="center"/>
          </w:tcPr>
          <w:p>
            <w:pPr>
              <w:widowControl/>
              <w:jc w:val="left"/>
              <w:textAlignment w:val="center"/>
              <w:rPr>
                <w:rFonts w:ascii="宋体" w:hAnsi="宋体" w:cs="宋体"/>
                <w:color w:val="auto"/>
                <w:kern w:val="0"/>
                <w:sz w:val="22"/>
                <w:highlight w:val="none"/>
                <w:lang w:bidi="ar"/>
              </w:rPr>
            </w:pPr>
            <w:r>
              <w:rPr>
                <w:rFonts w:hint="eastAsia"/>
                <w:color w:val="auto"/>
                <w:szCs w:val="21"/>
                <w:highlight w:val="none"/>
              </w:rPr>
              <w:t>用于高清摄像机、前端管理机、业务管理机等进行网络通信、数据传输，提供工作电源等</w:t>
            </w:r>
          </w:p>
        </w:tc>
        <w:tc>
          <w:tcPr>
            <w:tcW w:w="583"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套</w:t>
            </w:r>
          </w:p>
        </w:tc>
        <w:tc>
          <w:tcPr>
            <w:tcW w:w="2293" w:type="dxa"/>
            <w:noWrap/>
            <w:vAlign w:val="center"/>
          </w:tcPr>
          <w:p>
            <w:pPr>
              <w:jc w:val="left"/>
              <w:rPr>
                <w:rFonts w:hint="eastAsia" w:ascii="宋体" w:hAnsi="宋体" w:cs="宋体"/>
                <w:color w:val="auto"/>
                <w:kern w:val="0"/>
                <w:sz w:val="22"/>
                <w:highlight w:val="none"/>
                <w:lang w:bidi="ar"/>
              </w:rPr>
            </w:pPr>
            <w:r>
              <w:rPr>
                <w:rFonts w:hint="eastAsia" w:ascii="宋体" w:hAnsi="宋体" w:cs="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6"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szCs w:val="22"/>
                <w:highlight w:val="none"/>
                <w:lang w:bidi="ar"/>
              </w:rPr>
              <w:t>8</w:t>
            </w:r>
          </w:p>
        </w:tc>
        <w:tc>
          <w:tcPr>
            <w:tcW w:w="2662" w:type="dxa"/>
            <w:gridSpan w:val="2"/>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施工及辅材</w:t>
            </w:r>
          </w:p>
        </w:tc>
        <w:tc>
          <w:tcPr>
            <w:tcW w:w="759"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21</w:t>
            </w:r>
          </w:p>
        </w:tc>
        <w:tc>
          <w:tcPr>
            <w:tcW w:w="2535"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w:t>
            </w:r>
          </w:p>
        </w:tc>
        <w:tc>
          <w:tcPr>
            <w:tcW w:w="583" w:type="dxa"/>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套</w:t>
            </w:r>
          </w:p>
        </w:tc>
        <w:tc>
          <w:tcPr>
            <w:tcW w:w="2293" w:type="dxa"/>
            <w:noWrap/>
            <w:vAlign w:val="center"/>
          </w:tcPr>
          <w:p>
            <w:pPr>
              <w:widowControl/>
              <w:textAlignment w:val="center"/>
              <w:rPr>
                <w:rFonts w:hint="eastAsia" w:ascii="宋体" w:hAnsi="宋体" w:cs="宋体"/>
                <w:color w:val="auto"/>
                <w:kern w:val="0"/>
                <w:sz w:val="22"/>
                <w:highlight w:val="none"/>
                <w:lang w:bidi="ar"/>
              </w:rPr>
            </w:pPr>
            <w:r>
              <w:rPr>
                <w:rFonts w:hint="eastAsia" w:ascii="宋体" w:hAnsi="宋体" w:cs="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666"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szCs w:val="22"/>
                <w:highlight w:val="none"/>
                <w:lang w:bidi="ar"/>
              </w:rPr>
              <w:t>9</w:t>
            </w:r>
          </w:p>
        </w:tc>
        <w:tc>
          <w:tcPr>
            <w:tcW w:w="2662" w:type="dxa"/>
            <w:gridSpan w:val="2"/>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硬盘</w:t>
            </w:r>
          </w:p>
        </w:tc>
        <w:tc>
          <w:tcPr>
            <w:tcW w:w="759"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84</w:t>
            </w:r>
          </w:p>
        </w:tc>
        <w:tc>
          <w:tcPr>
            <w:tcW w:w="2535"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用于存储视频。</w:t>
            </w:r>
          </w:p>
        </w:tc>
        <w:tc>
          <w:tcPr>
            <w:tcW w:w="583"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个</w:t>
            </w:r>
          </w:p>
        </w:tc>
        <w:tc>
          <w:tcPr>
            <w:tcW w:w="2293" w:type="dxa"/>
            <w:noWrap/>
            <w:vAlign w:val="center"/>
          </w:tcPr>
          <w:p>
            <w:pPr>
              <w:widowControl/>
              <w:textAlignment w:val="center"/>
              <w:rPr>
                <w:rFonts w:hint="eastAsia" w:ascii="宋体" w:hAnsi="宋体" w:cs="宋体"/>
                <w:color w:val="auto"/>
                <w:sz w:val="22"/>
                <w:highlight w:val="none"/>
              </w:rPr>
            </w:pPr>
            <w:r>
              <w:rPr>
                <w:rFonts w:hint="eastAsia" w:ascii="宋体" w:hAnsi="宋体" w:cs="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6"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szCs w:val="22"/>
                <w:highlight w:val="none"/>
                <w:lang w:bidi="ar"/>
              </w:rPr>
              <w:t>10</w:t>
            </w:r>
          </w:p>
        </w:tc>
        <w:tc>
          <w:tcPr>
            <w:tcW w:w="2662" w:type="dxa"/>
            <w:gridSpan w:val="2"/>
            <w:noWrap/>
            <w:vAlign w:val="center"/>
          </w:tcPr>
          <w:p>
            <w:pPr>
              <w:widowControl/>
              <w:jc w:val="center"/>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地磁及施工</w:t>
            </w:r>
          </w:p>
        </w:tc>
        <w:tc>
          <w:tcPr>
            <w:tcW w:w="759"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481</w:t>
            </w:r>
          </w:p>
        </w:tc>
        <w:tc>
          <w:tcPr>
            <w:tcW w:w="2535" w:type="dxa"/>
            <w:noWrap/>
            <w:vAlign w:val="center"/>
          </w:tcPr>
          <w:p>
            <w:pPr>
              <w:widowControl/>
              <w:jc w:val="left"/>
              <w:textAlignment w:val="center"/>
              <w:rPr>
                <w:rFonts w:hint="eastAsia" w:ascii="宋体" w:hAnsi="宋体" w:cs="宋体"/>
                <w:color w:val="auto"/>
                <w:kern w:val="0"/>
                <w:sz w:val="22"/>
                <w:highlight w:val="none"/>
                <w:lang w:bidi="ar"/>
              </w:rPr>
            </w:pPr>
            <w:r>
              <w:rPr>
                <w:rFonts w:hint="eastAsia" w:ascii="宋体" w:hAnsi="宋体" w:cs="宋体"/>
                <w:color w:val="auto"/>
                <w:kern w:val="0"/>
                <w:sz w:val="22"/>
                <w:highlight w:val="none"/>
                <w:lang w:bidi="ar"/>
              </w:rPr>
              <w:t>用于地磁路段检测车辆进出</w:t>
            </w:r>
          </w:p>
        </w:tc>
        <w:tc>
          <w:tcPr>
            <w:tcW w:w="583" w:type="dxa"/>
            <w:noWrap/>
            <w:vAlign w:val="center"/>
          </w:tcPr>
          <w:p>
            <w:pPr>
              <w:widowControl/>
              <w:jc w:val="center"/>
              <w:textAlignment w:val="center"/>
              <w:rPr>
                <w:rFonts w:ascii="宋体" w:hAnsi="宋体" w:cs="宋体"/>
                <w:color w:val="auto"/>
                <w:kern w:val="0"/>
                <w:sz w:val="22"/>
                <w:highlight w:val="none"/>
                <w:lang w:bidi="ar"/>
              </w:rPr>
            </w:pPr>
            <w:r>
              <w:rPr>
                <w:rFonts w:hint="eastAsia" w:ascii="宋体" w:hAnsi="宋体" w:cs="宋体"/>
                <w:color w:val="auto"/>
                <w:kern w:val="0"/>
                <w:sz w:val="22"/>
                <w:highlight w:val="none"/>
                <w:lang w:bidi="ar"/>
              </w:rPr>
              <w:t>套</w:t>
            </w:r>
          </w:p>
        </w:tc>
        <w:tc>
          <w:tcPr>
            <w:tcW w:w="2293" w:type="dxa"/>
            <w:noWrap/>
            <w:vAlign w:val="center"/>
          </w:tcPr>
          <w:p>
            <w:pPr>
              <w:widowControl/>
              <w:textAlignment w:val="center"/>
              <w:rPr>
                <w:rFonts w:hint="eastAsia" w:ascii="宋体" w:hAnsi="宋体" w:cs="宋体"/>
                <w:color w:val="auto"/>
                <w:sz w:val="22"/>
                <w:highlight w:val="none"/>
              </w:rPr>
            </w:pPr>
            <w:r>
              <w:rPr>
                <w:rFonts w:hint="eastAsia" w:ascii="宋体" w:hAnsi="宋体" w:cs="宋体"/>
                <w:color w:val="auto"/>
                <w:sz w:val="22"/>
                <w:highlight w:val="none"/>
              </w:rPr>
              <w:t>详见“3、系统及硬件技术要求”</w:t>
            </w:r>
          </w:p>
        </w:tc>
      </w:tr>
    </w:tbl>
    <w:p>
      <w:pPr>
        <w:spacing w:line="360" w:lineRule="auto"/>
        <w:ind w:left="420"/>
        <w:rPr>
          <w:rFonts w:hint="eastAsia" w:ascii="宋体" w:hAnsi="宋体" w:eastAsia="宋体" w:cs="宋体"/>
          <w:b/>
          <w:bCs/>
          <w:color w:val="auto"/>
          <w:kern w:val="2"/>
          <w:sz w:val="24"/>
          <w:szCs w:val="24"/>
          <w:highlight w:val="none"/>
          <w:lang w:val="en-US" w:eastAsia="zh-CN" w:bidi="ar-SA"/>
        </w:rPr>
      </w:pPr>
    </w:p>
    <w:p>
      <w:pPr>
        <w:spacing w:line="360" w:lineRule="auto"/>
        <w:ind w:left="420"/>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3.2 高位视频及地磁有关服务</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中标方应在合同签订后90个工作日内完成高位视频及地磁的供应、安装及调试工作。如遇交通保障、建设审批或者招标方调整建设方案/标准等情况，建设期可相应顺延。</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系统与静安区级智慧停车管理平台的数据对接，包括但不限于基础数据（设备管理信息等）、停车结构化信息（进出场记录、车牌等）、非结构化数据（特征图片、合成图、短视频等）以及其他必要资源和运营数据等，核心业务系统稳定可靠，</w:t>
      </w:r>
      <w:r>
        <w:rPr>
          <w:rFonts w:hint="eastAsia" w:ascii="宋体" w:hAnsi="宋体" w:cs="宋体"/>
          <w:color w:val="auto"/>
          <w:kern w:val="0"/>
          <w:sz w:val="24"/>
          <w:highlight w:val="none"/>
          <w:lang w:bidi="ar"/>
        </w:rPr>
        <w:t>停车管理业务逻辑和功能</w:t>
      </w:r>
      <w:r>
        <w:rPr>
          <w:rFonts w:hint="eastAsia" w:ascii="宋体" w:hAnsi="宋体"/>
          <w:color w:val="auto"/>
          <w:sz w:val="24"/>
          <w:highlight w:val="none"/>
        </w:rPr>
        <w:t>根据主管部门最新需求进行定制开发，包括但不限于区综合交通平台与市公共停车平台业务接口升级、开发等；资源和运营管理功能；流媒体平台对接内容；巡检设备数据对接等。</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3.2.1 硬件相关配套管理软件的功能要求</w:t>
      </w:r>
    </w:p>
    <w:p>
      <w:pPr>
        <w:widowControl/>
        <w:spacing w:line="360" w:lineRule="auto"/>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高位视频配套管理软件应具备如下基本功能：</w:t>
      </w:r>
    </w:p>
    <w:p>
      <w:pPr>
        <w:pStyle w:val="5"/>
        <w:widowControl/>
        <w:numPr>
          <w:ilvl w:val="0"/>
          <w:numId w:val="2"/>
        </w:numPr>
        <w:spacing w:line="360" w:lineRule="auto"/>
        <w:ind w:firstLineChars="0"/>
        <w:jc w:val="left"/>
        <w:rPr>
          <w:rFonts w:ascii="宋体" w:hAnsi="宋体" w:cs="宋体"/>
          <w:color w:val="auto"/>
          <w:kern w:val="0"/>
          <w:sz w:val="24"/>
          <w:szCs w:val="24"/>
          <w:highlight w:val="none"/>
          <w:lang w:bidi="ar"/>
        </w:rPr>
      </w:pPr>
      <w:r>
        <w:rPr>
          <w:rFonts w:ascii="宋体" w:hAnsi="宋体" w:cs="宋体"/>
          <w:color w:val="auto"/>
          <w:kern w:val="0"/>
          <w:sz w:val="24"/>
          <w:szCs w:val="24"/>
          <w:highlight w:val="none"/>
          <w:lang w:bidi="ar"/>
        </w:rPr>
        <w:t xml:space="preserve"> 视频设备管理</w:t>
      </w:r>
    </w:p>
    <w:p>
      <w:pPr>
        <w:spacing w:line="360" w:lineRule="auto"/>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该功能模块记录高位视频路段所用到的设备信息，包含设备心跳信息等</w:t>
      </w:r>
      <w:r>
        <w:rPr>
          <w:rFonts w:ascii="宋体" w:hAnsi="宋体" w:cs="宋体"/>
          <w:color w:val="auto"/>
          <w:kern w:val="0"/>
          <w:sz w:val="24"/>
          <w:highlight w:val="none"/>
          <w:lang w:bidi="ar"/>
        </w:rPr>
        <w:t>。</w:t>
      </w:r>
    </w:p>
    <w:p>
      <w:pPr>
        <w:pStyle w:val="5"/>
        <w:widowControl/>
        <w:numPr>
          <w:ilvl w:val="0"/>
          <w:numId w:val="2"/>
        </w:numPr>
        <w:spacing w:line="360" w:lineRule="auto"/>
        <w:ind w:firstLineChars="0"/>
        <w:jc w:val="left"/>
        <w:rPr>
          <w:rFonts w:ascii="宋体" w:hAnsi="宋体" w:cs="宋体"/>
          <w:color w:val="auto"/>
          <w:kern w:val="0"/>
          <w:sz w:val="24"/>
          <w:szCs w:val="24"/>
          <w:highlight w:val="none"/>
          <w:lang w:bidi="ar"/>
        </w:rPr>
      </w:pPr>
      <w:r>
        <w:rPr>
          <w:rFonts w:ascii="宋体" w:hAnsi="宋体" w:cs="宋体"/>
          <w:color w:val="auto"/>
          <w:kern w:val="0"/>
          <w:sz w:val="24"/>
          <w:szCs w:val="24"/>
          <w:highlight w:val="none"/>
          <w:lang w:bidi="ar"/>
        </w:rPr>
        <w:t>停车记录管理</w:t>
      </w:r>
    </w:p>
    <w:p>
      <w:pPr>
        <w:widowControl/>
        <w:spacing w:line="360" w:lineRule="auto"/>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该功能模块记录高位视频路段每次进离场的车辆、场库、设备的结构化数据和图片视频等非结构化数据，以停车记录编号区分，用订单号关联到视频订单。每条记录都可以进行上报异常并修改结构化数据，支持“一键式”重新录制图片、短视频。</w:t>
      </w:r>
    </w:p>
    <w:p>
      <w:pPr>
        <w:pStyle w:val="5"/>
        <w:widowControl/>
        <w:numPr>
          <w:ilvl w:val="0"/>
          <w:numId w:val="2"/>
        </w:numPr>
        <w:spacing w:line="360" w:lineRule="auto"/>
        <w:ind w:firstLineChars="0"/>
        <w:jc w:val="left"/>
        <w:rPr>
          <w:rFonts w:ascii="宋体" w:hAnsi="宋体" w:cs="宋体"/>
          <w:color w:val="auto"/>
          <w:kern w:val="0"/>
          <w:sz w:val="24"/>
          <w:szCs w:val="24"/>
          <w:highlight w:val="none"/>
          <w:lang w:bidi="ar"/>
        </w:rPr>
      </w:pPr>
      <w:r>
        <w:rPr>
          <w:rFonts w:ascii="宋体" w:hAnsi="宋体" w:cs="宋体"/>
          <w:color w:val="auto"/>
          <w:kern w:val="0"/>
          <w:sz w:val="24"/>
          <w:szCs w:val="24"/>
          <w:highlight w:val="none"/>
          <w:lang w:bidi="ar"/>
        </w:rPr>
        <w:t>异常</w:t>
      </w:r>
      <w:r>
        <w:rPr>
          <w:rFonts w:hint="eastAsia" w:ascii="宋体" w:hAnsi="宋体" w:cs="宋体"/>
          <w:color w:val="auto"/>
          <w:kern w:val="0"/>
          <w:sz w:val="24"/>
          <w:szCs w:val="24"/>
          <w:highlight w:val="none"/>
          <w:lang w:bidi="ar"/>
        </w:rPr>
        <w:t>数据</w:t>
      </w:r>
      <w:r>
        <w:rPr>
          <w:rFonts w:ascii="宋体" w:hAnsi="宋体" w:cs="宋体"/>
          <w:color w:val="auto"/>
          <w:kern w:val="0"/>
          <w:sz w:val="24"/>
          <w:szCs w:val="24"/>
          <w:highlight w:val="none"/>
          <w:lang w:bidi="ar"/>
        </w:rPr>
        <w:t>管理</w:t>
      </w:r>
    </w:p>
    <w:p>
      <w:pPr>
        <w:pStyle w:val="5"/>
        <w:numPr>
          <w:ilvl w:val="0"/>
          <w:numId w:val="3"/>
        </w:numPr>
        <w:spacing w:line="360" w:lineRule="auto"/>
        <w:ind w:firstLineChars="0"/>
        <w:jc w:val="left"/>
        <w:rPr>
          <w:rFonts w:ascii="宋体" w:hAnsi="宋体" w:cs="宋体"/>
          <w:color w:val="auto"/>
          <w:kern w:val="0"/>
          <w:sz w:val="24"/>
          <w:szCs w:val="24"/>
          <w:highlight w:val="none"/>
          <w:lang w:bidi="ar"/>
        </w:rPr>
      </w:pPr>
      <w:r>
        <w:rPr>
          <w:rFonts w:ascii="宋体" w:hAnsi="宋体" w:cs="宋体"/>
          <w:color w:val="auto"/>
          <w:kern w:val="0"/>
          <w:sz w:val="24"/>
          <w:szCs w:val="24"/>
          <w:highlight w:val="none"/>
          <w:lang w:bidi="ar"/>
        </w:rPr>
        <w:t>订单异常</w:t>
      </w:r>
    </w:p>
    <w:p>
      <w:pPr>
        <w:spacing w:line="360" w:lineRule="auto"/>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记录订单异常的结构化数据并可以处理对应的异常，比如需改车牌、修改泊位、订单丢失。订单异常支持通过管理平台及巡检设备由运维服务人员介入处置。</w:t>
      </w:r>
    </w:p>
    <w:p>
      <w:pPr>
        <w:pStyle w:val="5"/>
        <w:numPr>
          <w:ilvl w:val="0"/>
          <w:numId w:val="3"/>
        </w:numPr>
        <w:spacing w:line="360" w:lineRule="auto"/>
        <w:ind w:firstLineChars="0"/>
        <w:jc w:val="left"/>
        <w:rPr>
          <w:rFonts w:ascii="宋体" w:hAnsi="宋体" w:cs="宋体"/>
          <w:color w:val="auto"/>
          <w:kern w:val="0"/>
          <w:sz w:val="24"/>
          <w:szCs w:val="24"/>
          <w:highlight w:val="none"/>
          <w:lang w:bidi="ar"/>
        </w:rPr>
      </w:pPr>
      <w:r>
        <w:rPr>
          <w:rFonts w:ascii="宋体" w:hAnsi="宋体" w:cs="宋体"/>
          <w:color w:val="auto"/>
          <w:kern w:val="0"/>
          <w:sz w:val="24"/>
          <w:szCs w:val="24"/>
          <w:highlight w:val="none"/>
          <w:lang w:bidi="ar"/>
        </w:rPr>
        <w:t>设备异常</w:t>
      </w:r>
    </w:p>
    <w:p>
      <w:pPr>
        <w:spacing w:line="360" w:lineRule="auto"/>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自动监控并记录设备的异常情况，在平台生成可视化的结构化数据，并可快捷关联到视频流，供运维人员及时接入处置。</w:t>
      </w:r>
    </w:p>
    <w:p>
      <w:pPr>
        <w:pStyle w:val="5"/>
        <w:numPr>
          <w:ilvl w:val="0"/>
          <w:numId w:val="3"/>
        </w:numPr>
        <w:spacing w:line="360" w:lineRule="auto"/>
        <w:ind w:firstLineChars="0"/>
        <w:jc w:val="left"/>
        <w:rPr>
          <w:rFonts w:ascii="宋体" w:hAnsi="宋体" w:cs="宋体"/>
          <w:color w:val="auto"/>
          <w:kern w:val="0"/>
          <w:sz w:val="24"/>
          <w:szCs w:val="24"/>
          <w:highlight w:val="none"/>
          <w:lang w:bidi="ar"/>
        </w:rPr>
      </w:pPr>
      <w:r>
        <w:rPr>
          <w:rFonts w:ascii="宋体" w:hAnsi="宋体" w:cs="宋体"/>
          <w:color w:val="auto"/>
          <w:kern w:val="0"/>
          <w:sz w:val="24"/>
          <w:szCs w:val="24"/>
          <w:highlight w:val="none"/>
          <w:lang w:bidi="ar"/>
        </w:rPr>
        <w:t>停放异常</w:t>
      </w:r>
    </w:p>
    <w:p>
      <w:pPr>
        <w:spacing w:line="360" w:lineRule="auto"/>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支持自动判断并记录车辆违停的结构化信息和非结构化信息，包括跨位停车、逆向停车等。</w:t>
      </w:r>
    </w:p>
    <w:p>
      <w:pPr>
        <w:pStyle w:val="5"/>
        <w:numPr>
          <w:ilvl w:val="0"/>
          <w:numId w:val="3"/>
        </w:numPr>
        <w:spacing w:line="360" w:lineRule="auto"/>
        <w:ind w:firstLineChars="0"/>
        <w:jc w:val="left"/>
        <w:rPr>
          <w:rFonts w:ascii="宋体" w:hAnsi="宋体" w:cs="宋体"/>
          <w:color w:val="auto"/>
          <w:kern w:val="0"/>
          <w:sz w:val="24"/>
          <w:szCs w:val="24"/>
          <w:highlight w:val="none"/>
          <w:lang w:bidi="ar"/>
        </w:rPr>
      </w:pPr>
      <w:r>
        <w:rPr>
          <w:rFonts w:ascii="宋体" w:hAnsi="宋体" w:cs="宋体"/>
          <w:color w:val="auto"/>
          <w:kern w:val="0"/>
          <w:sz w:val="24"/>
          <w:szCs w:val="24"/>
          <w:highlight w:val="none"/>
          <w:lang w:bidi="ar"/>
        </w:rPr>
        <w:t>非结构化信息状态</w:t>
      </w:r>
    </w:p>
    <w:p>
      <w:pPr>
        <w:spacing w:line="360" w:lineRule="auto"/>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记录每条停车记录的非结构化数据对应的处理状态，可通过停车编号实时查看图片、短视频。</w:t>
      </w:r>
    </w:p>
    <w:p>
      <w:pPr>
        <w:pStyle w:val="5"/>
        <w:widowControl/>
        <w:numPr>
          <w:ilvl w:val="0"/>
          <w:numId w:val="2"/>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静安区道路停车智慧管理系统</w:t>
      </w:r>
      <w:r>
        <w:rPr>
          <w:rFonts w:ascii="宋体" w:hAnsi="宋体" w:cs="宋体"/>
          <w:color w:val="auto"/>
          <w:kern w:val="0"/>
          <w:sz w:val="24"/>
          <w:szCs w:val="24"/>
          <w:highlight w:val="none"/>
          <w:lang w:bidi="ar"/>
        </w:rPr>
        <w:t>业务接口</w:t>
      </w:r>
    </w:p>
    <w:p>
      <w:pPr>
        <w:spacing w:line="360" w:lineRule="auto"/>
        <w:ind w:firstLine="480" w:firstLineChars="200"/>
        <w:jc w:val="left"/>
        <w:rPr>
          <w:rFonts w:ascii="宋体" w:hAnsi="宋体"/>
          <w:color w:val="auto"/>
          <w:sz w:val="24"/>
          <w:highlight w:val="none"/>
        </w:rPr>
      </w:pPr>
      <w:r>
        <w:rPr>
          <w:rFonts w:hint="eastAsia" w:ascii="宋体" w:hAnsi="宋体" w:cs="宋体"/>
          <w:color w:val="auto"/>
          <w:kern w:val="0"/>
          <w:sz w:val="24"/>
          <w:highlight w:val="none"/>
          <w:lang w:bidi="ar"/>
        </w:rPr>
        <w:t>与静安区道路停车智慧管理系统接口升级、开发，符合最新接口协议，并根据要求优化展示界面，提升数据处理速度；</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3.2.2 组网方式</w:t>
      </w:r>
    </w:p>
    <w:p>
      <w:pPr>
        <w:widowControl/>
        <w:spacing w:line="360" w:lineRule="auto"/>
        <w:ind w:firstLine="480" w:firstLineChars="200"/>
        <w:jc w:val="left"/>
        <w:rPr>
          <w:rFonts w:ascii="宋体" w:hAnsi="宋体" w:cs="宋体"/>
          <w:strike/>
          <w:color w:val="auto"/>
          <w:kern w:val="0"/>
          <w:sz w:val="24"/>
          <w:highlight w:val="none"/>
          <w:lang w:bidi="ar"/>
        </w:rPr>
      </w:pPr>
      <w:r>
        <w:rPr>
          <w:rFonts w:hint="eastAsia" w:ascii="宋体" w:hAnsi="宋体" w:cs="宋体"/>
          <w:color w:val="auto"/>
          <w:kern w:val="0"/>
          <w:sz w:val="24"/>
          <w:highlight w:val="none"/>
          <w:lang w:bidi="ar"/>
        </w:rPr>
        <w:t>▲ 为保障数据的及时性和流媒体服务的流畅性，本项目须采用有线网络作为前端数据网络连接方式，带宽应足够支持系统满足上海市有关技术规范。</w:t>
      </w:r>
    </w:p>
    <w:p>
      <w:pPr>
        <w:widowControl/>
        <w:spacing w:line="360" w:lineRule="auto"/>
        <w:ind w:firstLine="480" w:firstLineChars="200"/>
        <w:jc w:val="left"/>
        <w:rPr>
          <w:rFonts w:ascii="宋体" w:hAnsi="宋体"/>
          <w:color w:val="auto"/>
          <w:sz w:val="24"/>
          <w:highlight w:val="none"/>
        </w:rPr>
      </w:pPr>
      <w:r>
        <w:rPr>
          <w:rFonts w:hint="eastAsia" w:ascii="宋体" w:hAnsi="宋体" w:cs="宋体"/>
          <w:color w:val="auto"/>
          <w:kern w:val="0"/>
          <w:sz w:val="24"/>
          <w:highlight w:val="none"/>
          <w:lang w:bidi="ar"/>
        </w:rPr>
        <w:t>可访问组网下的所有设备包括IPC、NVR、</w:t>
      </w:r>
      <w:r>
        <w:rPr>
          <w:rFonts w:hint="eastAsia" w:ascii="宋体" w:hAnsi="宋体" w:cs="宋体"/>
          <w:color w:val="auto"/>
          <w:kern w:val="0"/>
          <w:sz w:val="24"/>
          <w:highlight w:val="none"/>
          <w:lang w:val="en-US" w:eastAsia="zh-CN" w:bidi="ar"/>
        </w:rPr>
        <w:t>前端管理设备</w:t>
      </w:r>
      <w:r>
        <w:rPr>
          <w:rFonts w:hint="eastAsia" w:ascii="宋体" w:hAnsi="宋体" w:cs="宋体"/>
          <w:color w:val="auto"/>
          <w:kern w:val="0"/>
          <w:sz w:val="24"/>
          <w:highlight w:val="none"/>
          <w:lang w:bidi="ar"/>
        </w:rPr>
        <w:t>等。可采用云联网加互联网组合模式，确保设备安全性。</w:t>
      </w:r>
    </w:p>
    <w:p>
      <w:pPr>
        <w:spacing w:line="360" w:lineRule="auto"/>
        <w:ind w:firstLine="420" w:firstLineChars="150"/>
        <w:jc w:val="left"/>
        <w:rPr>
          <w:rFonts w:hint="eastAsia" w:ascii="宋体" w:hAnsi="宋体" w:eastAsia="宋体" w:cs="宋体"/>
          <w:b/>
          <w:bCs/>
          <w:color w:val="auto"/>
          <w:sz w:val="28"/>
          <w:szCs w:val="28"/>
          <w:highlight w:val="none"/>
        </w:rPr>
      </w:pPr>
      <w:r>
        <w:rPr>
          <w:rFonts w:hint="eastAsia" w:ascii="宋体" w:hAnsi="宋体" w:eastAsia="宋体" w:cs="宋体"/>
          <w:color w:val="auto"/>
          <w:sz w:val="28"/>
          <w:szCs w:val="28"/>
          <w:highlight w:val="none"/>
        </w:rPr>
        <w:t>3</w:t>
      </w:r>
      <w:r>
        <w:rPr>
          <w:rFonts w:hint="eastAsia" w:ascii="宋体" w:hAnsi="宋体" w:eastAsia="宋体" w:cs="宋体"/>
          <w:b/>
          <w:bCs/>
          <w:color w:val="auto"/>
          <w:sz w:val="28"/>
          <w:szCs w:val="28"/>
          <w:highlight w:val="none"/>
        </w:rPr>
        <w:t>.3 硬件技术要求</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3.3.1  性能要求</w:t>
      </w:r>
    </w:p>
    <w:p>
      <w:pPr>
        <w:pStyle w:val="5"/>
        <w:numPr>
          <w:ilvl w:val="0"/>
          <w:numId w:val="4"/>
        </w:numPr>
        <w:spacing w:line="360" w:lineRule="auto"/>
        <w:ind w:left="840" w:leftChars="200" w:hangingChars="175"/>
        <w:jc w:val="left"/>
        <w:rPr>
          <w:rFonts w:ascii="宋体" w:hAnsi="宋体"/>
          <w:color w:val="auto"/>
          <w:sz w:val="24"/>
          <w:szCs w:val="24"/>
          <w:highlight w:val="none"/>
        </w:rPr>
      </w:pPr>
      <w:r>
        <w:rPr>
          <w:rFonts w:hint="eastAsia" w:ascii="宋体" w:hAnsi="宋体"/>
          <w:color w:val="auto"/>
          <w:sz w:val="24"/>
          <w:szCs w:val="24"/>
          <w:highlight w:val="none"/>
        </w:rPr>
        <w:t>对上传至上海市公共停车平台的数据进行检查，要求数据完整，结构化和非结构化数据质量满足相关质量要求，段数据合格率不低于95%；</w:t>
      </w:r>
    </w:p>
    <w:p>
      <w:pPr>
        <w:pStyle w:val="5"/>
        <w:numPr>
          <w:ilvl w:val="0"/>
          <w:numId w:val="4"/>
        </w:numPr>
        <w:spacing w:line="360" w:lineRule="auto"/>
        <w:ind w:left="840" w:leftChars="200" w:hangingChars="175"/>
        <w:jc w:val="left"/>
        <w:rPr>
          <w:rFonts w:ascii="宋体" w:hAnsi="宋体"/>
          <w:color w:val="auto"/>
          <w:sz w:val="24"/>
          <w:szCs w:val="24"/>
          <w:highlight w:val="none"/>
        </w:rPr>
      </w:pPr>
      <w:r>
        <w:rPr>
          <w:rFonts w:hint="eastAsia" w:ascii="宋体" w:hAnsi="宋体"/>
          <w:color w:val="auto"/>
          <w:sz w:val="24"/>
          <w:szCs w:val="24"/>
          <w:highlight w:val="none"/>
        </w:rPr>
        <w:t>对系统业务处理环节的程序进行调优，提升数据采集、存储和传输等环节的速度，路段数据延迟5分钟以上的不超过5%；</w:t>
      </w:r>
    </w:p>
    <w:p>
      <w:pPr>
        <w:pStyle w:val="5"/>
        <w:numPr>
          <w:ilvl w:val="0"/>
          <w:numId w:val="4"/>
        </w:numPr>
        <w:spacing w:line="360" w:lineRule="auto"/>
        <w:ind w:left="840" w:leftChars="200" w:hangingChars="175"/>
        <w:jc w:val="left"/>
        <w:rPr>
          <w:rFonts w:ascii="宋体" w:hAnsi="宋体"/>
          <w:color w:val="auto"/>
          <w:sz w:val="24"/>
          <w:szCs w:val="24"/>
          <w:highlight w:val="none"/>
        </w:rPr>
      </w:pPr>
      <w:r>
        <w:rPr>
          <w:rFonts w:hint="eastAsia" w:ascii="宋体" w:hAnsi="宋体"/>
          <w:color w:val="auto"/>
          <w:sz w:val="24"/>
          <w:szCs w:val="24"/>
          <w:highlight w:val="none"/>
        </w:rPr>
        <w:t>图片水印等按照市平台相关技术要求应包含:图像水印要求：图像生成时应自动添加水印信息，信息内容包括：车牌号码,数据时间（精确到秒），时间格式为</w:t>
      </w:r>
      <w:r>
        <w:rPr>
          <w:rFonts w:ascii="宋体" w:hAnsi="宋体"/>
          <w:color w:val="auto"/>
          <w:sz w:val="24"/>
          <w:szCs w:val="24"/>
          <w:highlight w:val="none"/>
        </w:rPr>
        <w:t xml:space="preserve"> YYYY-MM-DD HH:MM:SS</w:t>
      </w:r>
      <w:r>
        <w:rPr>
          <w:rFonts w:hint="eastAsia" w:ascii="宋体" w:hAnsi="宋体"/>
          <w:color w:val="auto"/>
          <w:sz w:val="24"/>
          <w:szCs w:val="24"/>
          <w:highlight w:val="none"/>
        </w:rPr>
        <w:t>、停车地点（含停车路段及停车泊位信息）、拍摄方向、拍摄设备编号等信息。设备编码等信息，其中设备编码标准符合市平台技术要求；</w:t>
      </w:r>
    </w:p>
    <w:p>
      <w:pPr>
        <w:pStyle w:val="5"/>
        <w:numPr>
          <w:ilvl w:val="0"/>
          <w:numId w:val="4"/>
        </w:numPr>
        <w:spacing w:line="360" w:lineRule="auto"/>
        <w:ind w:left="840" w:leftChars="200" w:hangingChars="175"/>
        <w:jc w:val="left"/>
        <w:rPr>
          <w:rFonts w:ascii="宋体" w:hAnsi="宋体"/>
          <w:color w:val="auto"/>
          <w:sz w:val="24"/>
          <w:szCs w:val="24"/>
          <w:highlight w:val="none"/>
        </w:rPr>
      </w:pPr>
      <w:r>
        <w:rPr>
          <w:rFonts w:hint="eastAsia" w:ascii="宋体" w:hAnsi="宋体"/>
          <w:color w:val="auto"/>
          <w:sz w:val="24"/>
          <w:szCs w:val="24"/>
          <w:highlight w:val="none"/>
        </w:rPr>
        <w:t>应截取停车行为的短视频，时长不低于1分钟，分辨率不低于1080p，短视频采用2帧帧率，可供相关管理人员进行调阅；</w:t>
      </w:r>
    </w:p>
    <w:p>
      <w:pPr>
        <w:pStyle w:val="5"/>
        <w:widowControl/>
        <w:numPr>
          <w:ilvl w:val="0"/>
          <w:numId w:val="4"/>
        </w:numPr>
        <w:spacing w:line="360" w:lineRule="auto"/>
        <w:ind w:left="840" w:leftChars="200" w:hangingChars="175"/>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高位视频采集数据及图片实时上传至后台，订单数据永久保留，图片及短视频后台保存至少一年，所有视频存储于本地硬盘录像机，高清视频分辨率不低于1080P，存储时间不少于</w:t>
      </w:r>
      <w:r>
        <w:rPr>
          <w:rFonts w:ascii="宋体" w:hAnsi="宋体" w:cs="宋体"/>
          <w:color w:val="auto"/>
          <w:kern w:val="0"/>
          <w:sz w:val="24"/>
          <w:szCs w:val="24"/>
          <w:highlight w:val="none"/>
          <w:lang w:bidi="ar"/>
        </w:rPr>
        <w:t>9</w:t>
      </w:r>
      <w:r>
        <w:rPr>
          <w:rFonts w:hint="eastAsia" w:ascii="宋体" w:hAnsi="宋体" w:cs="宋体"/>
          <w:color w:val="auto"/>
          <w:kern w:val="0"/>
          <w:sz w:val="24"/>
          <w:szCs w:val="24"/>
          <w:highlight w:val="none"/>
          <w:lang w:bidi="ar"/>
        </w:rPr>
        <w:t>0天。</w:t>
      </w:r>
    </w:p>
    <w:p>
      <w:pPr>
        <w:pStyle w:val="5"/>
        <w:widowControl/>
        <w:numPr>
          <w:ilvl w:val="0"/>
          <w:numId w:val="4"/>
        </w:numPr>
        <w:spacing w:line="360" w:lineRule="auto"/>
        <w:ind w:left="840" w:leftChars="200" w:hangingChars="175"/>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高位视频采集系统要求兼容巡检设备，在巡检设备前场巡检收费的情况下，高位视频采集系统可以兼容运转，不受影响；在巡检设备巡检人员无人值守时段或停车低谷时段通过高位视频采集系统的无人值守方式持续生产订单，在协管员在场后，进行欠费追缴，实现7X24小时收费，系统应具备支持“无人值守、电子支付”的智慧化管理模式；</w:t>
      </w:r>
    </w:p>
    <w:p>
      <w:pPr>
        <w:pStyle w:val="5"/>
        <w:numPr>
          <w:ilvl w:val="0"/>
          <w:numId w:val="4"/>
        </w:numPr>
        <w:spacing w:line="360" w:lineRule="auto"/>
        <w:ind w:left="840" w:leftChars="200" w:hangingChars="175"/>
        <w:jc w:val="left"/>
        <w:rPr>
          <w:rFonts w:ascii="宋体" w:hAnsi="宋体"/>
          <w:color w:val="auto"/>
          <w:sz w:val="24"/>
          <w:szCs w:val="24"/>
          <w:highlight w:val="none"/>
        </w:rPr>
      </w:pPr>
      <w:r>
        <w:rPr>
          <w:rFonts w:hint="eastAsia" w:ascii="宋体" w:hAnsi="宋体"/>
          <w:color w:val="auto"/>
          <w:sz w:val="24"/>
          <w:szCs w:val="24"/>
          <w:highlight w:val="none"/>
        </w:rPr>
        <w:t>系统应支持流媒体服务，包括：</w:t>
      </w:r>
      <w:r>
        <w:rPr>
          <w:rFonts w:hint="eastAsia" w:ascii="宋体" w:hAnsi="宋体" w:cs="宋体"/>
          <w:color w:val="auto"/>
          <w:kern w:val="0"/>
          <w:sz w:val="24"/>
          <w:szCs w:val="24"/>
          <w:highlight w:val="none"/>
          <w:lang w:bidi="ar"/>
        </w:rPr>
        <w:t>按照市平台流媒体平台及 “一网统管”要求对接相关内容，按照国标协议将视频信息统一接入到相关网格化视频平台及市流媒体综合平台，实现系统实时查看视频流主副码流切换（其中主码流支持1080p分辨率，辅码流支持720p分辨率），历史码流查看，完成相应流媒体内容注册，实现历史回放时间戳查看；按照国标协议将视频信息统一接入到网格化视频平台，用于集中管理、多级联网和信息共享等需求。</w:t>
      </w:r>
    </w:p>
    <w:p>
      <w:pPr>
        <w:pStyle w:val="5"/>
        <w:widowControl/>
        <w:numPr>
          <w:ilvl w:val="0"/>
          <w:numId w:val="5"/>
        </w:numPr>
        <w:spacing w:line="360" w:lineRule="auto"/>
        <w:ind w:left="840" w:leftChars="200" w:hangingChars="175"/>
        <w:jc w:val="left"/>
        <w:rPr>
          <w:rFonts w:ascii="宋体" w:hAnsi="宋体"/>
          <w:color w:val="auto"/>
          <w:sz w:val="28"/>
          <w:szCs w:val="28"/>
          <w:highlight w:val="none"/>
        </w:rPr>
      </w:pPr>
      <w:r>
        <w:rPr>
          <w:rFonts w:hint="eastAsia" w:ascii="宋体" w:hAnsi="宋体"/>
          <w:color w:val="auto"/>
          <w:sz w:val="24"/>
          <w:szCs w:val="24"/>
          <w:highlight w:val="none"/>
        </w:rPr>
        <w:t>如遇新增前端硬件设备或者市平台需求重大调整，相应提供硬件调试服务，调试内容包括架构下主要功能、容错能力、模块间的关联等；</w:t>
      </w:r>
    </w:p>
    <w:p>
      <w:pPr>
        <w:pStyle w:val="5"/>
        <w:widowControl/>
        <w:numPr>
          <w:ilvl w:val="0"/>
          <w:numId w:val="5"/>
        </w:numPr>
        <w:spacing w:line="360" w:lineRule="auto"/>
        <w:ind w:left="840" w:leftChars="200" w:hangingChars="175"/>
        <w:jc w:val="left"/>
        <w:rPr>
          <w:rFonts w:ascii="宋体" w:hAnsi="宋体"/>
          <w:color w:val="auto"/>
          <w:sz w:val="28"/>
          <w:szCs w:val="28"/>
          <w:highlight w:val="none"/>
        </w:rPr>
      </w:pPr>
      <w:r>
        <w:rPr>
          <w:rFonts w:hint="eastAsia" w:ascii="宋体" w:hAnsi="宋体" w:cs="宋体"/>
          <w:color w:val="auto"/>
          <w:kern w:val="0"/>
          <w:sz w:val="24"/>
          <w:szCs w:val="24"/>
          <w:highlight w:val="none"/>
          <w:lang w:bidi="ar"/>
        </w:rPr>
        <w:t>硬件设备可进行自动检测，自动化分析平台基础数据，针对错误、异常数据进行清洗；</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3.3.2  道路停车高清摄像机</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1/1.8英寸CMOS传感器；</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8~32mm机芯镜头，支持一键聚焦（AF）；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像素不低于500万；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补光灯数及距离：2颗红外灯+3颗暖光灯；红外补光距离30米，暖光补光距离10米；</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照度：彩色：0.0004ux（AGC ON @F1.8）、黑白：0.0002ux（AGC ON @F1.8）；</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支持三码流，码流、分辨率可配置，最高分辨率4MP@25fps（P制）；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支持音频1入1出，报警2入1出，1路RS485、RTC、TF卡接口（512G）、内置MIC、扬声器、硬复位；</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支持网络协议：IPv4, IPv6, IGMP, ICMP, ARP, TCP, UDP, DHCP, PPPoE, RTP, RTSP, RTCP, DNS, DDNS, NTP, FTP, UPnP, HTTP, HTTPS, SMTP, 802.1x, SNMP, SS, QoS, Tenet,RTMP（推流）;SFTP;Muticast;NFS;</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支持CGI、GAT1400、GB28181-2016版、Miestone、Onvif ProfieG/S/T、RTSP、P2P协议；</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支持智能监控、人脸抓拍双模式切换；</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支持警戒：白光警戒、声音警戒、语音自定义；</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DC12V±20%供电，支持POE供电及反向供电；</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工作温度及湿度：-35℃~65℃，湿度小于95%(无凝结)；</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3.3.3 前端管理终端</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支持多路高位视频摄像机接入；</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运行能力:支持7*24h不间断工作；</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使用环境:温度-20-60℃，相对湿度95%；</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处理器能力:控制器算力不得低于8T，每路视频满足1-5个车位检测，可支持多路视频接入；</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车辆捕获率：≥98%；</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全天候车位识别率：≥95%；</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多检率：≤5%；</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号牌识别：识别符合标准的民用车号牌（除临时/摩托车/拖拉机号牌）、警车号牌的汉字、字母、数字、颜色等信息；</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车牌颜色：黑、白、蓝、黄、绿色车牌颜色识别；</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支持泊位类型：平行/垂直/斜列；</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抓拍方式：车头识别模式和车位识别模式；</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支持车辆挪位、车牌修正取证识别；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s="宋体"/>
          <w:color w:val="auto"/>
          <w:sz w:val="24"/>
          <w:szCs w:val="24"/>
          <w:highlight w:val="none"/>
        </w:rPr>
        <w:t>▲</w:t>
      </w:r>
      <w:r>
        <w:rPr>
          <w:rFonts w:hint="eastAsia" w:ascii="宋体" w:hAnsi="宋体"/>
          <w:color w:val="auto"/>
          <w:sz w:val="24"/>
          <w:szCs w:val="24"/>
          <w:highlight w:val="none"/>
        </w:rPr>
        <w:t xml:space="preserve"> 支持车辆违停、车辆压线、车辆跨位、非机动车占用车位、车牌置信度低，并可推送提示等多种异常停车事件自动识别；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支持1个相机镜头可同时对6辆车进行进离场检测，且无漏检及漏拍现象；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olor w:val="auto"/>
          <w:sz w:val="24"/>
          <w:szCs w:val="24"/>
          <w:highlight w:val="none"/>
        </w:rPr>
        <w:t xml:space="preserve">支持进离场取证回溯功能：当车辆进场未识别，离场正常识别时，系统会自动回溯车辆进场的图片和车牌，生成车辆进场事件；当车辆进场正常识别，离场未识别时，系统会自动回溯车辆离场的图片和车牌，生成车辆离场事件；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支持多片区泊位检测功能：可在监控画面内任意区域绘制规则框，检测停靠车辆；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支持云端安全防护功能：可通过公共云的威胁特征库识别非法入侵、非授权访问等恶意攻击行为，并可提供安全策略管理能力，保护一体机的安全；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olor w:val="auto"/>
          <w:sz w:val="24"/>
          <w:szCs w:val="24"/>
          <w:highlight w:val="none"/>
        </w:rPr>
        <w:t xml:space="preserve">支持高遮挡模式：可在监控画面内停车场的四周绘制规则框，对车辆在高遮挡情况下进行进离场精准检测，减少由于车辆互相遮挡造成的误报；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支持设备断网、断电、设备CPU异常、内存异常感知告警。并支持断电数据保护；</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支持车辆同一事件ID与任一时间进离场数据自动关联匹配，云端具有停车事件校验功能；</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支持系统级运维监控，如：停车事件的离线存储及断网续传。</w:t>
      </w:r>
    </w:p>
    <w:p>
      <w:pPr>
        <w:spacing w:line="360" w:lineRule="auto"/>
        <w:ind w:left="420"/>
        <w:rPr>
          <w:rFonts w:ascii="宋体" w:hAnsi="宋体" w:cs="宋体"/>
          <w:b/>
          <w:bCs/>
          <w:color w:val="auto"/>
          <w:sz w:val="24"/>
          <w:highlight w:val="none"/>
        </w:rPr>
      </w:pPr>
      <w:r>
        <w:rPr>
          <w:rFonts w:hint="eastAsia" w:ascii="宋体" w:hAnsi="宋体" w:cs="宋体"/>
          <w:b/>
          <w:bCs/>
          <w:color w:val="auto"/>
          <w:sz w:val="24"/>
          <w:highlight w:val="none"/>
        </w:rPr>
        <w:t>3.3.4 业务管理终端</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olor w:val="auto"/>
          <w:sz w:val="24"/>
          <w:szCs w:val="24"/>
          <w:highlight w:val="none"/>
        </w:rPr>
        <w:t>支持事件证据链和唯一序列匹配，提供停车事件证据链，包含但不限于车牌特写照，车牌最清晰单帧照片，车辆入离场证据照，车牌特写放大照和入离场证据照合成图，可自由控制合成图原始照片和水印文字信息。</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可根据提供事件关联时间段进行小视频录制，转码，下载和在线访问功能。</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可根据不同时间，不同泊位信息自由录制视频和截图证据图片。</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olor w:val="auto"/>
          <w:sz w:val="24"/>
          <w:szCs w:val="24"/>
          <w:highlight w:val="none"/>
        </w:rPr>
        <w:t>支持海康、大华、宇视、天地伟业等主流摄像头厂商SDK。</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3.3.5 硬盘录像机</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视频输入路数：12~20路</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硬盘容量：支持4个硬盘接口，单块最大10TB</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网络带宽：接入：400Mbps，转发：200Mbps</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视频输入最大分辨率：12MP</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实时浏览：1/3/4/5/6/7/8/9/10/13/16/20A/20B画面</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批量添加设备：批量添加局域网内的摄像机</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支持Onvif标准协议网络前端，支持H.265 Onvif，支持onvif对接平台（平台仅限实时预览）。</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支持标准：GB/T28181；支持GA/T1400</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音频输入：1路，3.5mm</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VGA输出：1路，分辨率为1920×1080，1280×720，800×600, 1024×768， 1366×768, 1440×900, 1280×800</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输出模式可调，输出分辨率自适应：</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HDMI输出：1路，分辨率为3840×2160,2560×1600，2560×1440，1920×1080，1280×720，</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800×600,1024×768,1366×768,1440×900,1280×800</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音频输出：1路，RCA</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工作温度：-10℃～55℃</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工作湿度：10％～90％（无冷凝）</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3.3.6 网络交换机</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网络标准：IEEE 802.3 、IEEE 802.3i、IEEE 802.3u、IEEE 802.3ab、IEEE 802.3x</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端口：24个10/100/1000Mbps RJ45 端口</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性能：支持8K的MAC地址表深度</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工作温度：0℃～40℃</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存储温度：-40℃～70℃</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工作湿度：10%～90%RH，不凝露</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存储湿度：5%～90%RH，不凝露</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3.3.7 云服务要求</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除现有应用部署的云环境外，为保障数据存储的稳定高效运行，投标方应自备云存储进行结构化数据保存，</w:t>
      </w:r>
      <w:r>
        <w:rPr>
          <w:rFonts w:ascii="宋体" w:hAnsi="宋体"/>
          <w:color w:val="auto"/>
          <w:sz w:val="24"/>
          <w:highlight w:val="none"/>
        </w:rPr>
        <w:t>云应用服务</w:t>
      </w:r>
      <w:r>
        <w:rPr>
          <w:rFonts w:hint="eastAsia" w:ascii="宋体" w:hAnsi="宋体"/>
          <w:color w:val="auto"/>
          <w:sz w:val="24"/>
          <w:highlight w:val="none"/>
        </w:rPr>
        <w:t>包括以下服务内容：</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数据备份及恢复服务</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网络防火墙</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负载均衡</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VPN</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IP地址</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3.3.8 流媒体服务器技术要求</w:t>
      </w:r>
    </w:p>
    <w:p>
      <w:pPr>
        <w:spacing w:line="360" w:lineRule="auto"/>
        <w:ind w:firstLine="420" w:firstLineChars="175"/>
        <w:rPr>
          <w:rFonts w:ascii="宋体" w:hAnsi="宋体" w:cs="宋体"/>
          <w:color w:val="auto"/>
          <w:kern w:val="0"/>
          <w:sz w:val="24"/>
          <w:highlight w:val="none"/>
          <w:lang w:bidi="ar"/>
        </w:rPr>
      </w:pPr>
      <w:r>
        <w:rPr>
          <w:rFonts w:hint="eastAsia" w:ascii="宋体" w:hAnsi="宋体" w:cs="宋体"/>
          <w:color w:val="auto"/>
          <w:kern w:val="0"/>
          <w:sz w:val="24"/>
          <w:highlight w:val="none"/>
          <w:lang w:bidi="ar"/>
        </w:rPr>
        <w:t>▲  中标方使用的服务器及相应流媒体服务平台，可提供视频流配置及管理页面，该流媒体平台须已完成与上海市有关道路停车高位视频流媒体服务平台的对接。</w:t>
      </w:r>
    </w:p>
    <w:p>
      <w:pPr>
        <w:widowControl/>
        <w:spacing w:line="360" w:lineRule="auto"/>
        <w:ind w:firstLine="480" w:firstLineChars="200"/>
        <w:jc w:val="left"/>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流媒体服务器，单机支持100路IPC流媒体处理,10路并发编解码直播</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16核32线程</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16G内存</w:t>
      </w:r>
    </w:p>
    <w:p>
      <w:pPr>
        <w:pStyle w:val="5"/>
        <w:numPr>
          <w:ilvl w:val="0"/>
          <w:numId w:val="4"/>
        </w:numPr>
        <w:spacing w:line="360" w:lineRule="auto"/>
        <w:ind w:left="840" w:leftChars="200" w:hangingChars="175"/>
        <w:jc w:val="left"/>
        <w:rPr>
          <w:rFonts w:ascii="宋体" w:hAnsi="宋体"/>
          <w:color w:val="auto"/>
          <w:sz w:val="24"/>
          <w:szCs w:val="24"/>
          <w:highlight w:val="none"/>
        </w:rPr>
      </w:pPr>
      <w:r>
        <w:rPr>
          <w:rFonts w:hint="eastAsia" w:ascii="宋体" w:hAnsi="宋体"/>
          <w:color w:val="auto"/>
          <w:sz w:val="24"/>
          <w:szCs w:val="24"/>
          <w:highlight w:val="none"/>
        </w:rPr>
        <w:t>2*2T企业级</w:t>
      </w:r>
    </w:p>
    <w:p>
      <w:pPr>
        <w:widowControl/>
        <w:spacing w:line="360" w:lineRule="auto"/>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可支持多国标级联，多种级联方式共存，支持多种协议流媒体设备接入，包含但不限于GB28181、RTSP、RTMP、HTTP-FLV、HLS、H265、Onvif。</w:t>
      </w:r>
    </w:p>
    <w:p>
      <w:pPr>
        <w:widowControl/>
        <w:spacing w:line="360" w:lineRule="auto"/>
        <w:ind w:firstLine="480" w:firstLineChars="200"/>
        <w:jc w:val="left"/>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流媒体服务器及应用可自定义设置相机的国标编码，可增加自定义属性字段添加，具备高可扩展性，流媒体平台支持至少2路的GB28181级联，至少2路NVS级联。可在流媒体平台为视频流重新添加自定义水印，支持视频文字叠加。</w:t>
      </w:r>
    </w:p>
    <w:p>
      <w:pPr>
        <w:widowControl/>
        <w:spacing w:line="360" w:lineRule="auto"/>
        <w:ind w:firstLine="480" w:firstLineChars="200"/>
        <w:jc w:val="left"/>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流媒体服务器及应用支持多种协议视频流输出，包含但不限于GB28181，WebRTC、Websocket-FLV、RTMP、RTSP、HTTP-FLV、HLS(M3U8)。支持支持 WEB 页面配置管理，录像文件回看、下载。支持录像自动清理。</w:t>
      </w:r>
    </w:p>
    <w:p>
      <w:pPr>
        <w:widowControl/>
        <w:spacing w:line="360" w:lineRule="auto"/>
        <w:ind w:firstLine="480" w:firstLineChars="200"/>
        <w:jc w:val="left"/>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流媒体平台可提供分屏展示，轮播等服务，同时录像回看可提供时间戳播放，录像回看可设置不同倍速播放。</w:t>
      </w:r>
    </w:p>
    <w:p>
      <w:pPr>
        <w:widowControl/>
        <w:spacing w:line="360" w:lineRule="auto"/>
        <w:ind w:firstLine="480" w:firstLineChars="200"/>
        <w:jc w:val="left"/>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支持摄像机媒体流解码和再编码服务。</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3.3.9 地磁要求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G1 级智慧道路停车场应在每个标准泊位安装一套智能地磁设备，地磁设备应符合以下要求：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基本功能要求 </w:t>
      </w:r>
    </w:p>
    <w:p>
      <w:pPr>
        <w:spacing w:line="360" w:lineRule="auto"/>
        <w:ind w:left="420"/>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 xml:space="preserve">）地磁设备应能够检测道路停车泊位占用状态，准确记录车辆占用泊位时间、车辆离场时间等内容。 </w:t>
      </w:r>
    </w:p>
    <w:p>
      <w:pPr>
        <w:spacing w:line="360" w:lineRule="auto"/>
        <w:ind w:left="420"/>
        <w:rPr>
          <w:rFonts w:hint="eastAsia"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 xml:space="preserve">）地磁设备应采用地磁与雷达双模检测方式实现高可靠性工作模式。 </w:t>
      </w:r>
    </w:p>
    <w:p>
      <w:pPr>
        <w:spacing w:line="360" w:lineRule="auto"/>
        <w:ind w:left="420"/>
        <w:rPr>
          <w:rFonts w:hint="eastAsia"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 xml:space="preserve">）地磁设备应能够对串行、并行、交织型道路停车泊位进行车辆检测。 </w:t>
      </w:r>
    </w:p>
    <w:p>
      <w:pPr>
        <w:spacing w:line="360" w:lineRule="auto"/>
        <w:ind w:left="420"/>
        <w:rPr>
          <w:rFonts w:hint="eastAsia"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 xml:space="preserve">）地磁设备应具备支持移动互联网或中、低速窄带物联网数据传输要求。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设备联网要求 </w:t>
      </w:r>
    </w:p>
    <w:p>
      <w:pPr>
        <w:spacing w:line="360" w:lineRule="auto"/>
        <w:ind w:left="420"/>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 xml:space="preserve">）地磁设备应按照 </w:t>
      </w:r>
      <w:r>
        <w:rPr>
          <w:rFonts w:ascii="宋体" w:hAnsi="宋体"/>
          <w:color w:val="auto"/>
          <w:sz w:val="24"/>
          <w:highlight w:val="none"/>
        </w:rPr>
        <w:t>DB31/T 1083</w:t>
      </w:r>
      <w:r>
        <w:rPr>
          <w:rFonts w:hint="eastAsia" w:ascii="宋体" w:hAnsi="宋体"/>
          <w:color w:val="auto"/>
          <w:sz w:val="24"/>
          <w:highlight w:val="none"/>
        </w:rPr>
        <w:t xml:space="preserve">《公共停车信息联网技术要求》规定与上海市公共停车信息平台互联，进行数据传输。 </w:t>
      </w:r>
    </w:p>
    <w:p>
      <w:pPr>
        <w:spacing w:line="360" w:lineRule="auto"/>
        <w:ind w:left="420"/>
        <w:rPr>
          <w:rFonts w:hint="eastAsia"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 xml:space="preserve">）地磁设备应定时向上海市公共停车信息平台发送心跳记录，时间周期不超过 </w:t>
      </w:r>
      <w:r>
        <w:rPr>
          <w:rFonts w:ascii="宋体" w:hAnsi="宋体"/>
          <w:color w:val="auto"/>
          <w:sz w:val="24"/>
          <w:highlight w:val="none"/>
        </w:rPr>
        <w:t xml:space="preserve">120 </w:t>
      </w:r>
      <w:r>
        <w:rPr>
          <w:rFonts w:hint="eastAsia" w:ascii="宋体" w:hAnsi="宋体"/>
          <w:color w:val="auto"/>
          <w:sz w:val="24"/>
          <w:highlight w:val="none"/>
        </w:rPr>
        <w:t xml:space="preserve">分钟。 </w:t>
      </w:r>
    </w:p>
    <w:p>
      <w:pPr>
        <w:spacing w:line="360" w:lineRule="auto"/>
        <w:ind w:left="420"/>
        <w:rPr>
          <w:rFonts w:hint="eastAsia"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 xml:space="preserve">）地磁设备检测到车辆进出场时应向上海市公共停车信息平台推送实时数据，未上传成功时应具备补传功能。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设备安装要求 </w:t>
      </w:r>
    </w:p>
    <w:p>
      <w:pPr>
        <w:spacing w:line="360" w:lineRule="auto"/>
        <w:ind w:left="420"/>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 xml:space="preserve">）地磁设备应部署安装在道路停车场中，每个标准泊位安装一套地磁检测器。地磁设备安装应牢固、安全；与地面齐平；避免外界破坏、干扰；安装后清理干净，确保路面整洁，无地面露出突起，不影响行人、交通及道路景观。 </w:t>
      </w:r>
    </w:p>
    <w:p>
      <w:pPr>
        <w:spacing w:line="360" w:lineRule="auto"/>
        <w:ind w:left="420"/>
        <w:rPr>
          <w:rFonts w:hint="eastAsia"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 xml:space="preserve">）地磁设备防护等级应不低于 </w:t>
      </w:r>
      <w:r>
        <w:rPr>
          <w:rFonts w:ascii="宋体" w:hAnsi="宋体"/>
          <w:color w:val="auto"/>
          <w:sz w:val="24"/>
          <w:highlight w:val="none"/>
        </w:rPr>
        <w:t>IP68</w:t>
      </w:r>
      <w:r>
        <w:rPr>
          <w:rFonts w:hint="eastAsia" w:ascii="宋体" w:hAnsi="宋体"/>
          <w:color w:val="auto"/>
          <w:sz w:val="24"/>
          <w:highlight w:val="none"/>
        </w:rPr>
        <w:t xml:space="preserve">；车位检测器外壳采用密封防水防腐设计，确保水浸泡的情况下仍然可以正常工作。 </w:t>
      </w:r>
    </w:p>
    <w:p>
      <w:pPr>
        <w:spacing w:line="360" w:lineRule="auto"/>
        <w:ind w:left="420"/>
        <w:rPr>
          <w:rFonts w:hint="eastAsia"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 xml:space="preserve">）地磁设备外壳应选用 </w:t>
      </w:r>
      <w:r>
        <w:rPr>
          <w:rFonts w:ascii="宋体" w:hAnsi="宋体"/>
          <w:color w:val="auto"/>
          <w:sz w:val="24"/>
          <w:highlight w:val="none"/>
        </w:rPr>
        <w:t xml:space="preserve">PC </w:t>
      </w:r>
      <w:r>
        <w:rPr>
          <w:rFonts w:hint="eastAsia" w:ascii="宋体" w:hAnsi="宋体"/>
          <w:color w:val="auto"/>
          <w:sz w:val="24"/>
          <w:highlight w:val="none"/>
        </w:rPr>
        <w:t xml:space="preserve">防爆材料，贴地安装抗压不低于 </w:t>
      </w:r>
      <w:r>
        <w:rPr>
          <w:rFonts w:ascii="宋体" w:hAnsi="宋体"/>
          <w:color w:val="auto"/>
          <w:sz w:val="24"/>
          <w:highlight w:val="none"/>
        </w:rPr>
        <w:t xml:space="preserve">10 </w:t>
      </w:r>
      <w:r>
        <w:rPr>
          <w:rFonts w:hint="eastAsia" w:ascii="宋体" w:hAnsi="宋体"/>
          <w:color w:val="auto"/>
          <w:sz w:val="24"/>
          <w:highlight w:val="none"/>
        </w:rPr>
        <w:t xml:space="preserve">吨。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网络传输要求 </w:t>
      </w:r>
    </w:p>
    <w:p>
      <w:pPr>
        <w:spacing w:line="360" w:lineRule="auto"/>
        <w:ind w:left="420"/>
        <w:rPr>
          <w:rFonts w:hint="eastAsia" w:ascii="宋体" w:hAnsi="宋体"/>
          <w:color w:val="auto"/>
          <w:sz w:val="24"/>
          <w:highlight w:val="none"/>
        </w:rPr>
      </w:pPr>
      <w:r>
        <w:rPr>
          <w:rFonts w:hint="eastAsia" w:ascii="宋体" w:hAnsi="宋体"/>
          <w:color w:val="auto"/>
          <w:sz w:val="24"/>
          <w:highlight w:val="none"/>
        </w:rPr>
        <w:t xml:space="preserve">地磁设备应具备支持移动互联网或中、低速窄带物联网组网功功能，能够直接通过通信基站传输数据。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设备其他功能要求 </w:t>
      </w:r>
    </w:p>
    <w:p>
      <w:pPr>
        <w:spacing w:line="360" w:lineRule="auto"/>
        <w:ind w:left="420"/>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 xml:space="preserve">）数据存储功能：安全存储 </w:t>
      </w:r>
      <w:r>
        <w:rPr>
          <w:rFonts w:ascii="宋体" w:hAnsi="宋体"/>
          <w:color w:val="auto"/>
          <w:sz w:val="24"/>
          <w:highlight w:val="none"/>
        </w:rPr>
        <w:t xml:space="preserve">30 </w:t>
      </w:r>
      <w:r>
        <w:rPr>
          <w:rFonts w:hint="eastAsia" w:ascii="宋体" w:hAnsi="宋体"/>
          <w:color w:val="auto"/>
          <w:sz w:val="24"/>
          <w:highlight w:val="none"/>
        </w:rPr>
        <w:t xml:space="preserve">天内的数据，存储至少 </w:t>
      </w:r>
      <w:r>
        <w:rPr>
          <w:rFonts w:ascii="宋体" w:hAnsi="宋体"/>
          <w:color w:val="auto"/>
          <w:sz w:val="24"/>
          <w:highlight w:val="none"/>
        </w:rPr>
        <w:t xml:space="preserve">10000 </w:t>
      </w:r>
      <w:r>
        <w:rPr>
          <w:rFonts w:hint="eastAsia" w:ascii="宋体" w:hAnsi="宋体"/>
          <w:color w:val="auto"/>
          <w:sz w:val="24"/>
          <w:highlight w:val="none"/>
        </w:rPr>
        <w:t xml:space="preserve">条记录的空间；在通讯异常情况下，可以本地保存数据记录，并在通信恢复时补传。 </w:t>
      </w:r>
    </w:p>
    <w:p>
      <w:pPr>
        <w:spacing w:line="360" w:lineRule="auto"/>
        <w:ind w:left="420"/>
        <w:rPr>
          <w:rFonts w:hint="eastAsia"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 xml:space="preserve">）设备自检和报警功能：设备定期自我检测，对异常情况可以自复位及自动报警。 </w:t>
      </w:r>
    </w:p>
    <w:p>
      <w:pPr>
        <w:spacing w:line="360" w:lineRule="auto"/>
        <w:ind w:left="420"/>
        <w:rPr>
          <w:rFonts w:hint="eastAsia"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 xml:space="preserve">）时钟同步功能：自动时钟同步，定时心跳信号上传，记录和异常信息自动标记时间戳，满足准确定时要求。 </w:t>
      </w:r>
    </w:p>
    <w:p>
      <w:pPr>
        <w:spacing w:line="360" w:lineRule="auto"/>
        <w:ind w:left="420"/>
        <w:rPr>
          <w:rFonts w:hint="eastAsia"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 xml:space="preserve">）设备参数设置可调：可通过后台下发设备参数数据，调整检测频率等。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设备性能要求 </w:t>
      </w:r>
    </w:p>
    <w:p>
      <w:pPr>
        <w:spacing w:line="360" w:lineRule="auto"/>
        <w:ind w:left="420"/>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 xml:space="preserve">）车位状态检测综合准确率不低于 </w:t>
      </w:r>
      <w:r>
        <w:rPr>
          <w:rFonts w:ascii="宋体" w:hAnsi="宋体"/>
          <w:color w:val="auto"/>
          <w:sz w:val="24"/>
          <w:highlight w:val="none"/>
        </w:rPr>
        <w:t>98%</w:t>
      </w:r>
      <w:r>
        <w:rPr>
          <w:rFonts w:hint="eastAsia" w:ascii="宋体" w:hAnsi="宋体"/>
          <w:color w:val="auto"/>
          <w:sz w:val="24"/>
          <w:highlight w:val="none"/>
        </w:rPr>
        <w:t xml:space="preserve">。 </w:t>
      </w:r>
    </w:p>
    <w:p>
      <w:pPr>
        <w:spacing w:line="360" w:lineRule="auto"/>
        <w:ind w:left="420"/>
        <w:rPr>
          <w:rFonts w:hint="eastAsia"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 xml:space="preserve">）车位状态检测误报率不超过 </w:t>
      </w:r>
      <w:r>
        <w:rPr>
          <w:rFonts w:ascii="宋体" w:hAnsi="宋体"/>
          <w:color w:val="auto"/>
          <w:sz w:val="24"/>
          <w:highlight w:val="none"/>
        </w:rPr>
        <w:t>5%</w:t>
      </w:r>
      <w:r>
        <w:rPr>
          <w:rFonts w:hint="eastAsia" w:ascii="宋体" w:hAnsi="宋体"/>
          <w:color w:val="auto"/>
          <w:sz w:val="24"/>
          <w:highlight w:val="none"/>
        </w:rPr>
        <w:t xml:space="preserve">。 </w:t>
      </w:r>
    </w:p>
    <w:p>
      <w:pPr>
        <w:spacing w:line="360" w:lineRule="auto"/>
        <w:ind w:left="420"/>
        <w:rPr>
          <w:rFonts w:hint="eastAsia"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 xml:space="preserve">）车位状态检测反应时间不超过 </w:t>
      </w:r>
      <w:r>
        <w:rPr>
          <w:rFonts w:ascii="宋体" w:hAnsi="宋体"/>
          <w:color w:val="auto"/>
          <w:sz w:val="24"/>
          <w:highlight w:val="none"/>
        </w:rPr>
        <w:t xml:space="preserve">20 </w:t>
      </w:r>
      <w:r>
        <w:rPr>
          <w:rFonts w:hint="eastAsia" w:ascii="宋体" w:hAnsi="宋体"/>
          <w:color w:val="auto"/>
          <w:sz w:val="24"/>
          <w:highlight w:val="none"/>
        </w:rPr>
        <w:t xml:space="preserve">秒。 </w:t>
      </w:r>
    </w:p>
    <w:p>
      <w:pPr>
        <w:spacing w:line="360" w:lineRule="auto"/>
        <w:ind w:left="420"/>
        <w:rPr>
          <w:rFonts w:hint="eastAsia"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 xml:space="preserve">）车位检测周期不低于 </w:t>
      </w:r>
      <w:r>
        <w:rPr>
          <w:rFonts w:ascii="宋体" w:hAnsi="宋体"/>
          <w:color w:val="auto"/>
          <w:sz w:val="24"/>
          <w:highlight w:val="none"/>
        </w:rPr>
        <w:t xml:space="preserve">1 </w:t>
      </w:r>
      <w:r>
        <w:rPr>
          <w:rFonts w:hint="eastAsia" w:ascii="宋体" w:hAnsi="宋体"/>
          <w:color w:val="auto"/>
          <w:sz w:val="24"/>
          <w:highlight w:val="none"/>
        </w:rPr>
        <w:t>次</w:t>
      </w:r>
      <w:r>
        <w:rPr>
          <w:rFonts w:ascii="宋体" w:hAnsi="宋体"/>
          <w:color w:val="auto"/>
          <w:sz w:val="24"/>
          <w:highlight w:val="none"/>
        </w:rPr>
        <w:t>/</w:t>
      </w:r>
      <w:r>
        <w:rPr>
          <w:rFonts w:hint="eastAsia" w:ascii="宋体" w:hAnsi="宋体"/>
          <w:color w:val="auto"/>
          <w:sz w:val="24"/>
          <w:highlight w:val="none"/>
        </w:rPr>
        <w:t xml:space="preserve">秒，可配置调整。 </w:t>
      </w:r>
    </w:p>
    <w:p>
      <w:pPr>
        <w:spacing w:line="360" w:lineRule="auto"/>
        <w:ind w:left="420"/>
        <w:rPr>
          <w:rFonts w:hint="eastAsia"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 xml:space="preserve">）车辆检测可适用于小型车、中型车、大型车车型。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使用寿命 </w:t>
      </w:r>
    </w:p>
    <w:p>
      <w:pPr>
        <w:spacing w:line="360" w:lineRule="auto"/>
        <w:ind w:left="420"/>
        <w:rPr>
          <w:rFonts w:hint="eastAsia" w:ascii="宋体" w:hAnsi="宋体"/>
          <w:color w:val="auto"/>
          <w:sz w:val="24"/>
          <w:highlight w:val="none"/>
        </w:rPr>
      </w:pPr>
      <w:r>
        <w:rPr>
          <w:rFonts w:hint="eastAsia" w:ascii="宋体" w:hAnsi="宋体"/>
          <w:color w:val="auto"/>
          <w:sz w:val="24"/>
          <w:highlight w:val="none"/>
        </w:rPr>
        <w:t xml:space="preserve">洁净环境网络稳定条件下，终端寿命不低于 </w:t>
      </w:r>
      <w:r>
        <w:rPr>
          <w:rFonts w:ascii="宋体" w:hAnsi="宋体"/>
          <w:color w:val="auto"/>
          <w:sz w:val="24"/>
          <w:highlight w:val="none"/>
        </w:rPr>
        <w:t xml:space="preserve">5 </w:t>
      </w:r>
      <w:r>
        <w:rPr>
          <w:rFonts w:hint="eastAsia" w:ascii="宋体" w:hAnsi="宋体"/>
          <w:color w:val="auto"/>
          <w:sz w:val="24"/>
          <w:highlight w:val="none"/>
        </w:rPr>
        <w:t xml:space="preserve">年，电池工作寿命不低于 </w:t>
      </w:r>
      <w:r>
        <w:rPr>
          <w:rFonts w:ascii="宋体" w:hAnsi="宋体"/>
          <w:color w:val="auto"/>
          <w:sz w:val="24"/>
          <w:highlight w:val="none"/>
        </w:rPr>
        <w:t xml:space="preserve">3 </w:t>
      </w:r>
      <w:r>
        <w:rPr>
          <w:rFonts w:hint="eastAsia" w:ascii="宋体" w:hAnsi="宋体"/>
          <w:color w:val="auto"/>
          <w:sz w:val="24"/>
          <w:highlight w:val="none"/>
        </w:rPr>
        <w:t xml:space="preserve">年，支持不动土便捷更换电池。 </w:t>
      </w:r>
    </w:p>
    <w:p>
      <w:pPr>
        <w:pStyle w:val="5"/>
        <w:numPr>
          <w:ilvl w:val="0"/>
          <w:numId w:val="4"/>
        </w:numPr>
        <w:spacing w:line="360" w:lineRule="auto"/>
        <w:ind w:left="840" w:leftChars="200" w:hangingChars="175"/>
        <w:jc w:val="left"/>
        <w:rPr>
          <w:rFonts w:hint="eastAsia" w:ascii="宋体" w:hAnsi="宋体"/>
          <w:color w:val="auto"/>
          <w:sz w:val="24"/>
          <w:szCs w:val="24"/>
          <w:highlight w:val="none"/>
        </w:rPr>
      </w:pPr>
      <w:r>
        <w:rPr>
          <w:rFonts w:hint="eastAsia" w:ascii="宋体" w:hAnsi="宋体"/>
          <w:color w:val="auto"/>
          <w:sz w:val="24"/>
          <w:szCs w:val="24"/>
          <w:highlight w:val="none"/>
        </w:rPr>
        <w:t xml:space="preserve">工作环境 </w:t>
      </w:r>
    </w:p>
    <w:p>
      <w:pPr>
        <w:spacing w:line="360" w:lineRule="auto"/>
        <w:ind w:left="420"/>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）环境温度</w:t>
      </w:r>
      <w:r>
        <w:rPr>
          <w:rFonts w:ascii="宋体" w:hAnsi="宋体"/>
          <w:color w:val="auto"/>
          <w:sz w:val="24"/>
          <w:highlight w:val="none"/>
        </w:rPr>
        <w:t>:-30</w:t>
      </w:r>
      <w:r>
        <w:rPr>
          <w:rFonts w:hint="eastAsia" w:ascii="宋体" w:hAnsi="宋体"/>
          <w:color w:val="auto"/>
          <w:sz w:val="24"/>
          <w:highlight w:val="none"/>
        </w:rPr>
        <w:t>℃</w:t>
      </w:r>
      <w:r>
        <w:rPr>
          <w:rFonts w:ascii="宋体" w:hAnsi="宋体"/>
          <w:color w:val="auto"/>
          <w:sz w:val="24"/>
          <w:highlight w:val="none"/>
        </w:rPr>
        <w:t>~+70</w:t>
      </w:r>
      <w:r>
        <w:rPr>
          <w:rFonts w:hint="eastAsia" w:ascii="宋体" w:hAnsi="宋体"/>
          <w:color w:val="auto"/>
          <w:sz w:val="24"/>
          <w:highlight w:val="none"/>
        </w:rPr>
        <w:t xml:space="preserve">℃。 </w:t>
      </w:r>
    </w:p>
    <w:p>
      <w:pPr>
        <w:spacing w:line="360" w:lineRule="auto"/>
        <w:ind w:left="420"/>
        <w:rPr>
          <w:rFonts w:hint="eastAsia"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）相对湿度</w:t>
      </w:r>
      <w:r>
        <w:rPr>
          <w:rFonts w:ascii="宋体" w:hAnsi="宋体"/>
          <w:color w:val="auto"/>
          <w:sz w:val="24"/>
          <w:highlight w:val="none"/>
        </w:rPr>
        <w:t>:</w:t>
      </w:r>
      <w:r>
        <w:rPr>
          <w:rFonts w:hint="eastAsia" w:ascii="宋体" w:hAnsi="宋体"/>
          <w:color w:val="auto"/>
          <w:sz w:val="24"/>
          <w:highlight w:val="none"/>
        </w:rPr>
        <w:t xml:space="preserve">不大于 </w:t>
      </w:r>
      <w:r>
        <w:rPr>
          <w:rFonts w:ascii="宋体" w:hAnsi="宋体"/>
          <w:color w:val="auto"/>
          <w:sz w:val="24"/>
          <w:highlight w:val="none"/>
        </w:rPr>
        <w:t>93%RH</w:t>
      </w:r>
      <w:r>
        <w:rPr>
          <w:rFonts w:hint="eastAsia" w:ascii="宋体" w:hAnsi="宋体"/>
          <w:color w:val="auto"/>
          <w:sz w:val="24"/>
          <w:highlight w:val="none"/>
        </w:rPr>
        <w:t>。</w:t>
      </w:r>
    </w:p>
    <w:p>
      <w:pPr>
        <w:spacing w:line="360" w:lineRule="auto"/>
        <w:ind w:left="420"/>
        <w:rPr>
          <w:rFonts w:hint="eastAsia" w:ascii="宋体" w:hAnsi="宋体" w:cs="宋体"/>
          <w:b/>
          <w:bCs/>
          <w:color w:val="auto"/>
          <w:sz w:val="24"/>
          <w:highlight w:val="none"/>
        </w:rPr>
      </w:pPr>
      <w:r>
        <w:rPr>
          <w:rFonts w:hint="eastAsia" w:ascii="宋体" w:hAnsi="宋体" w:eastAsia="宋体" w:cs="宋体"/>
          <w:b/>
          <w:bCs/>
          <w:color w:val="auto"/>
          <w:sz w:val="24"/>
          <w:highlight w:val="none"/>
        </w:rPr>
        <w:t>3.3.1</w:t>
      </w:r>
      <w:r>
        <w:rPr>
          <w:rFonts w:hint="eastAsia" w:ascii="宋体" w:hAnsi="宋体" w:cs="宋体"/>
          <w:b/>
          <w:bCs/>
          <w:color w:val="auto"/>
          <w:sz w:val="24"/>
          <w:highlight w:val="none"/>
        </w:rPr>
        <w:t>0 硬盘要求</w:t>
      </w:r>
    </w:p>
    <w:p>
      <w:pPr>
        <w:spacing w:line="360" w:lineRule="auto"/>
        <w:ind w:left="420"/>
        <w:rPr>
          <w:rFonts w:hint="eastAsia" w:ascii="宋体" w:hAnsi="宋体"/>
          <w:color w:val="auto"/>
          <w:sz w:val="24"/>
          <w:highlight w:val="none"/>
        </w:rPr>
      </w:pPr>
      <w:r>
        <w:rPr>
          <w:rFonts w:hint="eastAsia" w:ascii="宋体" w:hAnsi="宋体"/>
          <w:color w:val="auto"/>
          <w:sz w:val="24"/>
          <w:highlight w:val="none"/>
        </w:rPr>
        <w:t>监控级硬盘，安防监控录像机用机械硬盘或同类型产品。</w:t>
      </w:r>
    </w:p>
    <w:p>
      <w:pPr>
        <w:spacing w:line="360" w:lineRule="auto"/>
        <w:ind w:left="420"/>
        <w:rPr>
          <w:rFonts w:hint="eastAsia"/>
          <w:b/>
          <w:bCs/>
          <w:color w:val="auto"/>
          <w:sz w:val="28"/>
          <w:szCs w:val="28"/>
          <w:highlight w:val="none"/>
        </w:rPr>
      </w:pPr>
      <w:r>
        <w:rPr>
          <w:rFonts w:hint="eastAsia" w:ascii="Times New Roman" w:hAnsi="Times New Roman" w:eastAsia="宋体" w:cs="Times New Roman"/>
          <w:b/>
          <w:bCs/>
          <w:color w:val="auto"/>
          <w:sz w:val="28"/>
          <w:szCs w:val="28"/>
          <w:highlight w:val="none"/>
        </w:rPr>
        <w:t xml:space="preserve">3.4 </w:t>
      </w:r>
      <w:r>
        <w:rPr>
          <w:rFonts w:hint="eastAsia"/>
          <w:b/>
          <w:bCs/>
          <w:color w:val="auto"/>
          <w:sz w:val="28"/>
          <w:szCs w:val="28"/>
          <w:highlight w:val="none"/>
        </w:rPr>
        <w:t>施工及保障</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3.4.1 安装和调试</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本项目工期为合同签订后90个工作日内完成（如遇交通保障、建设审批或者招标方调整建设方案/标准等情况，建设期可相应顺延。）。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olor w:val="auto"/>
          <w:sz w:val="24"/>
          <w:highlight w:val="none"/>
        </w:rPr>
      </w:pPr>
      <w:r>
        <w:rPr>
          <w:rFonts w:hint="eastAsia" w:ascii="宋体" w:hAnsi="宋体"/>
          <w:color w:val="auto"/>
          <w:sz w:val="24"/>
          <w:highlight w:val="none"/>
        </w:rPr>
        <w:t>投标人所提供的设备及其内部连线及施工服务等全部由投标人负责。投标人负责投标设备之间线缆的布放以及投标设备与招标人或现场环境已有相关设备之间的线缆布放。投标人负责对施工地点进行现场勘察，保证施工进行。安装调测时使用的工具、设备由投标人提供。</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双方应协商制定工程进度表, 投标人负责按工程进度表进行施工。设备调试由投标人负责, 并提出设备调试的内容、项目、指标和方法，并提供相应的仪器和工具，投标人有责任对招标人的技术人员提出的问题作出解答。调试应进行详细记录,调试结束后, 由投标人技术人员签字后交给招标人验收。基于以上要求，投标人应提供测试条件、方法和过程的草案，招标以后，最终测试文件由双方共同拟定。</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3.4.2 验收</w:t>
      </w:r>
    </w:p>
    <w:p>
      <w:pPr>
        <w:widowControl/>
        <w:spacing w:line="360" w:lineRule="auto"/>
        <w:ind w:firstLine="420"/>
        <w:jc w:val="left"/>
        <w:rPr>
          <w:rFonts w:ascii="宋体" w:hAnsi="宋体"/>
          <w:color w:val="auto"/>
          <w:sz w:val="24"/>
          <w:highlight w:val="none"/>
        </w:rPr>
      </w:pPr>
      <w:r>
        <w:rPr>
          <w:rFonts w:hint="eastAsia" w:ascii="宋体" w:hAnsi="宋体"/>
          <w:color w:val="auto"/>
          <w:sz w:val="24"/>
          <w:highlight w:val="none"/>
        </w:rPr>
        <w:t>设备运抵安装现场后，需共同开箱验收。验收时发现短缺、破损, 招标人有权要求中标人立即补发和负责更换。同时中标人应提供必备的技术资料：</w:t>
      </w:r>
    </w:p>
    <w:p>
      <w:pPr>
        <w:widowControl/>
        <w:spacing w:line="360" w:lineRule="auto"/>
        <w:ind w:firstLine="315"/>
        <w:jc w:val="left"/>
        <w:rPr>
          <w:rFonts w:ascii="宋体" w:hAnsi="宋体"/>
          <w:color w:val="auto"/>
          <w:sz w:val="24"/>
          <w:highlight w:val="none"/>
        </w:rPr>
      </w:pPr>
      <w:r>
        <w:rPr>
          <w:rFonts w:hint="eastAsia" w:ascii="宋体" w:hAnsi="宋体"/>
          <w:color w:val="auto"/>
          <w:sz w:val="24"/>
          <w:highlight w:val="none"/>
        </w:rPr>
        <w:t>（1）相关的技术资料（测试报告、产品合格证书、保修卡等）；</w:t>
      </w:r>
    </w:p>
    <w:p>
      <w:pPr>
        <w:widowControl/>
        <w:spacing w:line="360" w:lineRule="auto"/>
        <w:ind w:firstLine="315"/>
        <w:jc w:val="left"/>
        <w:rPr>
          <w:rFonts w:ascii="宋体" w:hAnsi="宋体"/>
          <w:color w:val="auto"/>
          <w:sz w:val="24"/>
          <w:highlight w:val="none"/>
        </w:rPr>
      </w:pPr>
      <w:r>
        <w:rPr>
          <w:rFonts w:hint="eastAsia" w:ascii="宋体" w:hAnsi="宋体"/>
          <w:color w:val="auto"/>
          <w:sz w:val="24"/>
          <w:highlight w:val="none"/>
        </w:rPr>
        <w:t>（2）提供设备保养、维修操作规程；</w:t>
      </w:r>
    </w:p>
    <w:p>
      <w:pPr>
        <w:widowControl/>
        <w:spacing w:line="360" w:lineRule="auto"/>
        <w:ind w:firstLine="315"/>
        <w:jc w:val="left"/>
        <w:rPr>
          <w:rFonts w:ascii="宋体" w:hAnsi="宋体"/>
          <w:color w:val="auto"/>
          <w:sz w:val="24"/>
          <w:highlight w:val="none"/>
        </w:rPr>
      </w:pPr>
      <w:r>
        <w:rPr>
          <w:rFonts w:hint="eastAsia" w:ascii="宋体" w:hAnsi="宋体"/>
          <w:color w:val="auto"/>
          <w:sz w:val="24"/>
          <w:highlight w:val="none"/>
        </w:rPr>
        <w:t>（3）设备安装、调试达到规范的指标并正常运行5个工作日后，可进行验收测试。验收规范(包括项目、指标、方式等)应由中标人提交给招标人。招标人可根据合同及技术规范书进行修改和补充, 经双方确认后形成验收文件作为验收依据。验收测试合格后, 双方签署验收协议。</w:t>
      </w:r>
    </w:p>
    <w:p>
      <w:pPr>
        <w:widowControl/>
        <w:spacing w:line="360" w:lineRule="auto"/>
        <w:ind w:firstLine="315"/>
        <w:jc w:val="left"/>
        <w:rPr>
          <w:rFonts w:ascii="宋体" w:hAnsi="宋体"/>
          <w:color w:val="auto"/>
          <w:sz w:val="24"/>
          <w:highlight w:val="none"/>
        </w:rPr>
      </w:pPr>
      <w:r>
        <w:rPr>
          <w:rFonts w:hint="eastAsia" w:ascii="宋体" w:hAnsi="宋体"/>
          <w:color w:val="auto"/>
          <w:sz w:val="24"/>
          <w:highlight w:val="none"/>
        </w:rPr>
        <w:t>（4）验收条件及标准：</w:t>
      </w:r>
    </w:p>
    <w:p>
      <w:pPr>
        <w:pStyle w:val="5"/>
        <w:widowControl/>
        <w:numPr>
          <w:ilvl w:val="0"/>
          <w:numId w:val="6"/>
        </w:numPr>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项目建设内容（可分路段分批确认竣工），建成部分能满足运行的需要；</w:t>
      </w:r>
    </w:p>
    <w:p>
      <w:pPr>
        <w:pStyle w:val="5"/>
        <w:widowControl/>
        <w:numPr>
          <w:ilvl w:val="0"/>
          <w:numId w:val="6"/>
        </w:numPr>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试运行无重大缺陷、故障且试运行期间所有问题都已得到解决；</w:t>
      </w:r>
    </w:p>
    <w:p>
      <w:pPr>
        <w:pStyle w:val="5"/>
        <w:widowControl/>
        <w:numPr>
          <w:ilvl w:val="0"/>
          <w:numId w:val="6"/>
        </w:numPr>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项目文件资料齐全，并符合相关规定。</w:t>
      </w:r>
    </w:p>
    <w:p>
      <w:pPr>
        <w:pStyle w:val="5"/>
        <w:widowControl/>
        <w:numPr>
          <w:ilvl w:val="0"/>
          <w:numId w:val="6"/>
        </w:numPr>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投标人应提交规范、全套、完整的验收文档，包括但不限于需求分析报告、详细设计说明书、使用手册、系统测试报告，技术手册、配置、管理及维护等资料，以及所有与用户、设备等相关联的说明、表格等资料文档。</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3.4.3 硬件质量保障要求</w:t>
      </w:r>
    </w:p>
    <w:p>
      <w:pPr>
        <w:widowControl/>
        <w:spacing w:line="360" w:lineRule="auto"/>
        <w:ind w:firstLine="42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完成高位视频静态交通管理系统运维保障力度，确保系统总体设备稳定运行时间高于</w:t>
      </w:r>
      <w:r>
        <w:rPr>
          <w:rFonts w:ascii="宋体" w:hAnsi="宋体" w:cs="宋体"/>
          <w:color w:val="auto"/>
          <w:kern w:val="0"/>
          <w:sz w:val="24"/>
          <w:highlight w:val="none"/>
          <w:lang w:bidi="ar"/>
        </w:rPr>
        <w:t>99.5</w:t>
      </w:r>
      <w:r>
        <w:rPr>
          <w:rFonts w:hint="eastAsia" w:ascii="宋体" w:hAnsi="宋体" w:cs="宋体"/>
          <w:color w:val="auto"/>
          <w:kern w:val="0"/>
          <w:sz w:val="24"/>
          <w:highlight w:val="none"/>
          <w:lang w:bidi="ar"/>
        </w:rPr>
        <w:t>％。</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含质保期内维护（包括各型摄像机、录像机及其它在用附属设备），在保修期内非人为损坏，投标方须负责修理或更换；</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设备损坏等情况进行更换的高清摄像机等设备应具备本采购文件的技术规范要求；</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设专人定期巡检现场高位视频设备；</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每月一次完成硬件巡检；包括现场摄像机、业务管理终端设备、机柜开关、风扇、网络设备等硬件运行情况；</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高位视频设备出现离线，除不可抗力导致的断电断网外，应在4小时内恢复正常在线，出现摄像机、录像机等主要设备损坏，必须更换设备，应在2日内完成更换；</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出现树枝遮挡摄像机的情况，应及时通知招标方，并由后者协调绿化部门部门，并派专人去现场指导修剪；</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遇泊位调整，投标方应及时对前端摄像机进行角度调整或者安装位置迁移，或者添设前端设备，满足停车业务数据采集相关要求；</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遇供电线路调整，投标方应配合电力、管线等有关部门对前端设备设施及线路等进行配合调整，最大限度减少调整期间对数据采集的影响；</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高位视频采集系统要求兼容巡检设备，在现场巡检收费的情况下，高位视频采集系统可以兼容运转，不受影响；在路段无人值守时段或停车低谷时段通过高位视频采集系统自动生成订单，相关订单通过上海市公共停车平台进行数据存储和共享，可对其进行欠费追缴，实现7X24小时收费；</w:t>
      </w:r>
    </w:p>
    <w:p>
      <w:pPr>
        <w:pStyle w:val="5"/>
        <w:widowControl/>
        <w:numPr>
          <w:ilvl w:val="0"/>
          <w:numId w:val="7"/>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sz w:val="24"/>
          <w:szCs w:val="24"/>
          <w:highlight w:val="none"/>
        </w:rPr>
        <w:t xml:space="preserve">▲ </w:t>
      </w:r>
      <w:r>
        <w:rPr>
          <w:rFonts w:hint="eastAsia" w:ascii="宋体" w:hAnsi="宋体" w:cs="宋体"/>
          <w:color w:val="auto"/>
          <w:kern w:val="0"/>
          <w:sz w:val="24"/>
          <w:szCs w:val="24"/>
          <w:highlight w:val="none"/>
          <w:lang w:bidi="ar"/>
        </w:rPr>
        <w:t>投标方承诺其使用的云服务在上海市具备管理后台主服务及灾备系统，云服务机房出现其他网络故障，应及时处置，15分钟响应，1小时内解决，对出现云服务严重故障时可以及时进行云服务资源切换。</w:t>
      </w:r>
    </w:p>
    <w:p>
      <w:pPr>
        <w:pStyle w:val="5"/>
        <w:widowControl/>
        <w:numPr>
          <w:ilvl w:val="0"/>
          <w:numId w:val="7"/>
        </w:numPr>
        <w:spacing w:line="360" w:lineRule="auto"/>
        <w:ind w:firstLineChars="0"/>
        <w:jc w:val="left"/>
        <w:rPr>
          <w:rFonts w:ascii="宋体" w:hAnsi="宋体"/>
          <w:color w:val="auto"/>
          <w:kern w:val="0"/>
          <w:sz w:val="24"/>
          <w:szCs w:val="24"/>
          <w:highlight w:val="none"/>
        </w:rPr>
      </w:pPr>
      <w:r>
        <w:rPr>
          <w:rFonts w:hint="eastAsia" w:ascii="宋体" w:hAnsi="宋体" w:cs="宋体"/>
          <w:color w:val="auto"/>
          <w:kern w:val="0"/>
          <w:sz w:val="24"/>
          <w:szCs w:val="24"/>
          <w:highlight w:val="none"/>
          <w:lang w:bidi="ar"/>
        </w:rPr>
        <w:t>项目实施和质保期间，投标方应保证积极配合市级主管部门布置的试点任务。</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3.4.4 配套质量保障要求</w:t>
      </w:r>
    </w:p>
    <w:p>
      <w:pPr>
        <w:pStyle w:val="5"/>
        <w:widowControl/>
        <w:numPr>
          <w:ilvl w:val="0"/>
          <w:numId w:val="8"/>
        </w:numPr>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对产品的运行环境进行监控，配置足够的运行资源和算力等，保障产品的功能稳定，不得出现严重业务中断；</w:t>
      </w:r>
    </w:p>
    <w:p>
      <w:pPr>
        <w:pStyle w:val="5"/>
        <w:widowControl/>
        <w:numPr>
          <w:ilvl w:val="0"/>
          <w:numId w:val="8"/>
        </w:numPr>
        <w:spacing w:line="360" w:lineRule="auto"/>
        <w:ind w:firstLineChars="0"/>
        <w:jc w:val="left"/>
        <w:rPr>
          <w:rFonts w:ascii="宋体" w:hAnsi="宋体"/>
          <w:color w:val="auto"/>
          <w:sz w:val="24"/>
          <w:szCs w:val="24"/>
          <w:highlight w:val="none"/>
        </w:rPr>
      </w:pPr>
      <w:r>
        <w:rPr>
          <w:rFonts w:hint="eastAsia" w:ascii="宋体" w:hAnsi="宋体"/>
          <w:color w:val="auto"/>
          <w:sz w:val="24"/>
          <w:szCs w:val="24"/>
          <w:highlight w:val="none"/>
        </w:rPr>
        <w:t>定期巡检后台服务器磁盘空间、CPU和内存使用情况、后台服务并定期维护，每季度提供维护报告；</w:t>
      </w:r>
    </w:p>
    <w:p>
      <w:pPr>
        <w:widowControl/>
        <w:numPr>
          <w:ilvl w:val="0"/>
          <w:numId w:val="8"/>
        </w:numPr>
        <w:spacing w:line="360" w:lineRule="auto"/>
        <w:ind w:left="839"/>
        <w:jc w:val="left"/>
        <w:textAlignment w:val="center"/>
        <w:rPr>
          <w:rFonts w:ascii="宋体" w:hAnsi="宋体"/>
          <w:color w:val="auto"/>
          <w:sz w:val="24"/>
          <w:highlight w:val="none"/>
        </w:rPr>
      </w:pPr>
      <w:r>
        <w:rPr>
          <w:rFonts w:hint="eastAsia" w:ascii="宋体" w:hAnsi="宋体"/>
          <w:color w:val="auto"/>
          <w:sz w:val="24"/>
          <w:highlight w:val="none"/>
        </w:rPr>
        <w:t>故障修复；包括电话支持、远程技术支持及现场支持。</w:t>
      </w:r>
    </w:p>
    <w:p>
      <w:pPr>
        <w:pStyle w:val="5"/>
        <w:widowControl/>
        <w:numPr>
          <w:ilvl w:val="0"/>
          <w:numId w:val="5"/>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电话支持：提供专业热线坐席，由运维工程师进行电话支持。</w:t>
      </w:r>
    </w:p>
    <w:p>
      <w:pPr>
        <w:pStyle w:val="5"/>
        <w:widowControl/>
        <w:numPr>
          <w:ilvl w:val="0"/>
          <w:numId w:val="5"/>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远程技术支持：通过远程诊断、远程管理、远程部署等方式进行技术支持。</w:t>
      </w:r>
    </w:p>
    <w:p>
      <w:pPr>
        <w:pStyle w:val="5"/>
        <w:widowControl/>
        <w:numPr>
          <w:ilvl w:val="0"/>
          <w:numId w:val="5"/>
        </w:numPr>
        <w:spacing w:line="360" w:lineRule="auto"/>
        <w:ind w:firstLineChars="0"/>
        <w:jc w:val="left"/>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现场支持：如果不能通过远程技术支持方式解决，在提出现场支持要求后的24小时内，将派遣工程师赶赴现场分析故障原因，制定故障排除方案，提供故障排除服务；</w:t>
      </w:r>
    </w:p>
    <w:p>
      <w:pPr>
        <w:widowControl/>
        <w:numPr>
          <w:ilvl w:val="0"/>
          <w:numId w:val="8"/>
        </w:numPr>
        <w:spacing w:line="360" w:lineRule="auto"/>
        <w:ind w:left="839"/>
        <w:jc w:val="left"/>
        <w:textAlignment w:val="center"/>
        <w:rPr>
          <w:rFonts w:ascii="宋体" w:hAnsi="宋体"/>
          <w:color w:val="auto"/>
          <w:sz w:val="24"/>
          <w:highlight w:val="none"/>
        </w:rPr>
      </w:pPr>
      <w:r>
        <w:rPr>
          <w:rFonts w:hint="eastAsia" w:ascii="宋体" w:hAnsi="宋体"/>
          <w:color w:val="auto"/>
          <w:sz w:val="24"/>
          <w:highlight w:val="none"/>
        </w:rPr>
        <w:t>系统对接</w:t>
      </w:r>
    </w:p>
    <w:p>
      <w:pPr>
        <w:spacing w:line="360" w:lineRule="auto"/>
        <w:ind w:firstLine="480" w:firstLineChars="200"/>
        <w:jc w:val="left"/>
        <w:rPr>
          <w:rFonts w:ascii="宋体" w:hAnsi="宋体" w:cs="宋体"/>
          <w:color w:val="auto"/>
          <w:kern w:val="0"/>
          <w:sz w:val="24"/>
          <w:highlight w:val="none"/>
          <w:lang w:bidi="ar"/>
        </w:rPr>
      </w:pPr>
      <w:r>
        <w:rPr>
          <w:rFonts w:hint="eastAsia" w:ascii="宋体" w:hAnsi="宋体"/>
          <w:color w:val="auto"/>
          <w:sz w:val="24"/>
          <w:highlight w:val="none"/>
        </w:rPr>
        <w:t>系统应根据相关市、区主管部门要求进行升级维护，与静安区道路停车智慧平台完成对接，地磁数据与上海市公共停车服务平台等完成对接。</w:t>
      </w:r>
    </w:p>
    <w:p>
      <w:pPr>
        <w:spacing w:line="360" w:lineRule="auto"/>
        <w:ind w:left="420"/>
        <w:rPr>
          <w:rFonts w:hint="eastAsia" w:ascii="宋体" w:hAnsi="宋体" w:cs="宋体"/>
          <w:b/>
          <w:bCs/>
          <w:color w:val="auto"/>
          <w:sz w:val="24"/>
          <w:highlight w:val="none"/>
        </w:rPr>
      </w:pPr>
      <w:r>
        <w:rPr>
          <w:rFonts w:hint="eastAsia" w:ascii="宋体" w:hAnsi="宋体" w:cs="宋体"/>
          <w:b/>
          <w:bCs/>
          <w:color w:val="auto"/>
          <w:sz w:val="24"/>
          <w:highlight w:val="none"/>
        </w:rPr>
        <w:t>3.4.5 保修期</w:t>
      </w:r>
    </w:p>
    <w:p>
      <w:pPr>
        <w:widowControl/>
        <w:spacing w:line="360" w:lineRule="auto"/>
        <w:ind w:firstLine="420"/>
        <w:jc w:val="left"/>
        <w:rPr>
          <w:rFonts w:ascii="宋体" w:hAnsi="宋体"/>
          <w:color w:val="auto"/>
          <w:sz w:val="24"/>
          <w:highlight w:val="none"/>
        </w:rPr>
      </w:pPr>
      <w:r>
        <w:rPr>
          <w:rFonts w:hint="eastAsia" w:ascii="宋体" w:hAnsi="宋体" w:cs="宋体"/>
          <w:color w:val="auto"/>
          <w:kern w:val="0"/>
          <w:sz w:val="24"/>
          <w:highlight w:val="none"/>
          <w:lang w:bidi="ar"/>
        </w:rPr>
        <w:t>从验收完成之日开始计算，本项目硬件及系统集成保修期不得低于1年。设备开通后，如发生软件升级及设备升级、扩展等有关情况，中标人应向招标方提供必要的技术资料，并免费提供软件升级。保修期后，中标人应对其提供的设备提供技术支持。</w:t>
      </w:r>
    </w:p>
    <w:p>
      <w:pPr>
        <w:autoSpaceDE w:val="0"/>
        <w:autoSpaceDN w:val="0"/>
        <w:adjustRightInd w:val="0"/>
        <w:spacing w:line="360" w:lineRule="auto"/>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 xml:space="preserve">  </w:t>
      </w:r>
    </w:p>
    <w:p>
      <w:pPr>
        <w:autoSpaceDE w:val="0"/>
        <w:autoSpaceDN w:val="0"/>
        <w:adjustRightInd w:val="0"/>
        <w:spacing w:line="360" w:lineRule="auto"/>
        <w:rPr>
          <w:rFonts w:hint="eastAsia" w:ascii="宋体" w:cs="宋体"/>
          <w:b/>
          <w:bCs/>
          <w:color w:val="auto"/>
          <w:kern w:val="0"/>
          <w:szCs w:val="21"/>
          <w:highlight w:val="none"/>
        </w:rPr>
      </w:pPr>
      <w:r>
        <w:rPr>
          <w:rFonts w:hint="eastAsia" w:ascii="宋体" w:cs="宋体"/>
          <w:b/>
          <w:bCs/>
          <w:color w:val="auto"/>
          <w:kern w:val="0"/>
          <w:szCs w:val="21"/>
          <w:highlight w:val="none"/>
        </w:rPr>
        <w:t>附件</w:t>
      </w:r>
      <w:r>
        <w:rPr>
          <w:rFonts w:hint="eastAsia" w:ascii="宋体" w:cs="宋体"/>
          <w:b/>
          <w:bCs/>
          <w:color w:val="auto"/>
          <w:kern w:val="0"/>
          <w:szCs w:val="21"/>
          <w:highlight w:val="none"/>
          <w:lang w:val="en-US" w:eastAsia="zh-CN"/>
        </w:rPr>
        <w:t>二</w:t>
      </w:r>
      <w:r>
        <w:rPr>
          <w:rFonts w:hint="eastAsia" w:ascii="宋体" w:cs="宋体"/>
          <w:b/>
          <w:bCs/>
          <w:color w:val="auto"/>
          <w:kern w:val="0"/>
          <w:szCs w:val="21"/>
          <w:highlight w:val="none"/>
        </w:rPr>
        <w:t>：</w:t>
      </w:r>
    </w:p>
    <w:p>
      <w:pPr>
        <w:autoSpaceDE w:val="0"/>
        <w:autoSpaceDN w:val="0"/>
        <w:adjustRightInd w:val="0"/>
        <w:spacing w:line="360" w:lineRule="auto"/>
        <w:jc w:val="center"/>
        <w:rPr>
          <w:rFonts w:hint="eastAsia" w:ascii="宋体" w:cs="宋体"/>
          <w:b/>
          <w:bCs/>
          <w:color w:val="auto"/>
          <w:kern w:val="0"/>
          <w:szCs w:val="21"/>
          <w:highlight w:val="none"/>
        </w:rPr>
      </w:pPr>
      <w:r>
        <w:rPr>
          <w:rFonts w:hint="eastAsia" w:ascii="宋体" w:cs="宋体"/>
          <w:b/>
          <w:bCs/>
          <w:color w:val="auto"/>
          <w:kern w:val="0"/>
          <w:szCs w:val="21"/>
          <w:highlight w:val="none"/>
        </w:rPr>
        <w:t>路段清单</w:t>
      </w:r>
    </w:p>
    <w:tbl>
      <w:tblPr>
        <w:tblStyle w:val="3"/>
        <w:tblW w:w="9315" w:type="dxa"/>
        <w:tblInd w:w="96" w:type="dxa"/>
        <w:tblLayout w:type="autofit"/>
        <w:tblCellMar>
          <w:top w:w="0" w:type="dxa"/>
          <w:left w:w="108" w:type="dxa"/>
          <w:bottom w:w="0" w:type="dxa"/>
          <w:right w:w="108" w:type="dxa"/>
        </w:tblCellMar>
      </w:tblPr>
      <w:tblGrid>
        <w:gridCol w:w="662"/>
        <w:gridCol w:w="1202"/>
        <w:gridCol w:w="4291"/>
        <w:gridCol w:w="950"/>
        <w:gridCol w:w="1173"/>
        <w:gridCol w:w="1037"/>
      </w:tblGrid>
      <w:tr>
        <w:tblPrEx>
          <w:tblCellMar>
            <w:top w:w="0" w:type="dxa"/>
            <w:left w:w="108" w:type="dxa"/>
            <w:bottom w:w="0" w:type="dxa"/>
            <w:right w:w="108" w:type="dxa"/>
          </w:tblCellMar>
        </w:tblPrEx>
        <w:trPr>
          <w:trHeight w:val="643"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color w:val="auto"/>
                <w:sz w:val="22"/>
                <w:szCs w:val="22"/>
                <w:highlight w:val="none"/>
              </w:rPr>
            </w:pPr>
            <w:r>
              <w:rPr>
                <w:rFonts w:hint="eastAsia" w:ascii="仿宋" w:hAnsi="仿宋" w:eastAsia="仿宋" w:cs="仿宋"/>
                <w:b/>
                <w:bCs/>
                <w:color w:val="auto"/>
                <w:kern w:val="0"/>
                <w:sz w:val="22"/>
                <w:szCs w:val="22"/>
                <w:highlight w:val="none"/>
                <w:lang w:bidi="ar"/>
              </w:rPr>
              <w:t>序号</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auto"/>
                <w:sz w:val="22"/>
                <w:szCs w:val="22"/>
                <w:highlight w:val="none"/>
              </w:rPr>
            </w:pPr>
            <w:r>
              <w:rPr>
                <w:rFonts w:hint="eastAsia" w:ascii="仿宋" w:hAnsi="仿宋" w:eastAsia="仿宋" w:cs="仿宋"/>
                <w:b/>
                <w:bCs/>
                <w:color w:val="auto"/>
                <w:kern w:val="0"/>
                <w:sz w:val="22"/>
                <w:szCs w:val="22"/>
                <w:highlight w:val="none"/>
                <w:lang w:bidi="ar"/>
              </w:rPr>
              <w:t>场库编号</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auto"/>
                <w:sz w:val="22"/>
                <w:szCs w:val="22"/>
                <w:highlight w:val="none"/>
              </w:rPr>
            </w:pPr>
            <w:r>
              <w:rPr>
                <w:rFonts w:hint="eastAsia" w:ascii="仿宋" w:hAnsi="仿宋" w:eastAsia="仿宋" w:cs="仿宋"/>
                <w:b/>
                <w:bCs/>
                <w:color w:val="auto"/>
                <w:kern w:val="0"/>
                <w:sz w:val="22"/>
                <w:szCs w:val="22"/>
                <w:highlight w:val="none"/>
                <w:lang w:bidi="ar"/>
              </w:rPr>
              <w:t>场库名称</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auto"/>
                <w:sz w:val="22"/>
                <w:szCs w:val="22"/>
                <w:highlight w:val="none"/>
              </w:rPr>
            </w:pPr>
            <w:r>
              <w:rPr>
                <w:rFonts w:hint="eastAsia" w:ascii="仿宋" w:hAnsi="仿宋" w:eastAsia="仿宋" w:cs="仿宋"/>
                <w:b/>
                <w:bCs/>
                <w:color w:val="auto"/>
                <w:kern w:val="0"/>
                <w:sz w:val="22"/>
                <w:szCs w:val="22"/>
                <w:highlight w:val="none"/>
                <w:lang w:bidi="ar"/>
              </w:rPr>
              <w:t>车位数量</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auto"/>
                <w:sz w:val="22"/>
                <w:szCs w:val="22"/>
                <w:highlight w:val="none"/>
              </w:rPr>
            </w:pPr>
            <w:r>
              <w:rPr>
                <w:rFonts w:hint="eastAsia" w:ascii="仿宋" w:hAnsi="仿宋" w:eastAsia="仿宋" w:cs="仿宋"/>
                <w:b/>
                <w:bCs/>
                <w:color w:val="auto"/>
                <w:kern w:val="0"/>
                <w:sz w:val="22"/>
                <w:szCs w:val="22"/>
                <w:highlight w:val="none"/>
                <w:lang w:bidi="ar"/>
              </w:rPr>
              <w:t>方案</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color w:val="auto"/>
                <w:sz w:val="22"/>
                <w:szCs w:val="22"/>
                <w:highlight w:val="none"/>
              </w:rPr>
            </w:pPr>
            <w:r>
              <w:rPr>
                <w:rFonts w:hint="eastAsia" w:ascii="仿宋" w:hAnsi="仿宋" w:eastAsia="仿宋" w:cs="仿宋"/>
                <w:b/>
                <w:bCs/>
                <w:color w:val="auto"/>
                <w:kern w:val="0"/>
                <w:sz w:val="22"/>
                <w:szCs w:val="22"/>
                <w:highlight w:val="none"/>
                <w:lang w:bidi="ar"/>
              </w:rPr>
              <w:t>分包</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JAZ003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北京西路-石门二路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JAZ017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成都北路西侧便道(新闸路以北-南苏州路)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JAZ018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慈溪路(新闸路-山海关路)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JAZ029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新丰路(陕西北路-常德路)-1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JAZ031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陕西北路(安远路-昌平路)-1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JAZ039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余姚路(730号-798号)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JAZ040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昌平路(791号-993号)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JAZ046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西苏州河路/淮安路西南侧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JAZ047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余姚路（余姚路5号~27号）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JAZ052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康定路(万航渡路-余姚路)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JAZ053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新闸路(万航渡路-镇宁路)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JAZ054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淮安路西苏河路桥底南侧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JAZ041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句容路（海防路桥以北）东侧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JAW027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泽州路（柳营路-洛川中路）东侧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JA005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交通路（共和新路～徐家宅路）两侧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JA010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新民支路(天目中路～大统路)西侧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27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JA025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恒丰路路-（光复路-恒丰路桥北侧）</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sz w:val="22"/>
                <w:szCs w:val="22"/>
                <w:highlight w:val="none"/>
              </w:rPr>
            </w:pPr>
            <w:r>
              <w:rPr>
                <w:rFonts w:hint="eastAsia" w:ascii="等线" w:hAnsi="等线" w:eastAsia="等线" w:cs="等线"/>
                <w:color w:val="auto"/>
                <w:kern w:val="0"/>
                <w:sz w:val="22"/>
                <w:szCs w:val="22"/>
                <w:highlight w:val="none"/>
                <w:lang w:bidi="ar"/>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JA033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梅园路（恒通路-共和路）</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lang w:bidi="ar"/>
              </w:rPr>
              <w:t>G1地磁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sz w:val="22"/>
                <w:szCs w:val="22"/>
                <w:highlight w:val="none"/>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19</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JAL002</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石门路(石门一路66号-82号)</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9</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20</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JAL003</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昌化路(昌化路20号南40米-46号)</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14</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21</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JAZ002</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南汇路(南京西路-北京西路)-1</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21</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22</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JAZ004</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襄阳北路(长乐路-巨鹿路)-1</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21</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23</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JAZ014</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武定路(石门二路-泰兴路)</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30</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24</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JAZ024</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昌平路(泰州路-康定路)</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18</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25</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JAZ030</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南阳路(陕西北路-西康路)</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19</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26</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JAZ032</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巨鹿路(富民路-常熟路)-1</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38</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27</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JAZ036</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镇宁路(万航渡路-镇宁路466号)</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15</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28</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JAZ044</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陕西北路(南京西路-奉贤路)</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10</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29</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JAZ051</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淮安路(江宁路-昌化路)</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8</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30</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JAZ056</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昌化路（海防路-新安远路）东侧</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14</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31</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JA011</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虬江路(共和新路～徐家宅路)南侧</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38</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32</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JA024</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长安路（恒丰北路-恒通路）北侧</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17</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33</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JA026</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长安路（汉中路～普济路）东侧</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29</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34</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JA028</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沪太路-（150号-普善路）</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15</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35</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JA029</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汉中路-（长安路-光复路）</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19</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36</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JA030</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华盛路（恒通路-汉中路）东侧</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16</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37</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JA042</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大统路（共和新路-新民支路）</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11</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38</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JA043</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汉中路（华盛路-梅园路）北侧</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25</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r>
        <w:tblPrEx>
          <w:tblCellMar>
            <w:top w:w="0" w:type="dxa"/>
            <w:left w:w="108" w:type="dxa"/>
            <w:bottom w:w="0" w:type="dxa"/>
            <w:right w:w="108" w:type="dxa"/>
          </w:tblCellMar>
        </w:tblPrEx>
        <w:trPr>
          <w:trHeight w:val="288" w:hRule="atLeast"/>
        </w:trPr>
        <w:tc>
          <w:tcPr>
            <w:tcW w:w="66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仿宋" w:hAnsi="仿宋" w:eastAsia="仿宋" w:cs="仿宋"/>
                <w:color w:val="auto"/>
                <w:kern w:val="0"/>
                <w:sz w:val="22"/>
                <w:szCs w:val="22"/>
                <w:highlight w:val="none"/>
                <w:lang w:bidi="ar"/>
              </w:rPr>
            </w:pPr>
            <w:r>
              <w:rPr>
                <w:rFonts w:hint="eastAsia" w:ascii="等线" w:hAnsi="等线" w:eastAsia="等线" w:cs="等线"/>
                <w:color w:val="auto"/>
                <w:kern w:val="0"/>
                <w:sz w:val="22"/>
                <w:szCs w:val="22"/>
                <w:highlight w:val="none"/>
                <w:lang w:bidi="ar"/>
              </w:rPr>
              <w:t>39</w:t>
            </w:r>
          </w:p>
        </w:tc>
        <w:tc>
          <w:tcPr>
            <w:tcW w:w="12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JA045</w:t>
            </w:r>
          </w:p>
        </w:tc>
        <w:tc>
          <w:tcPr>
            <w:tcW w:w="42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长安路（裕通路~无名路）南侧</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12</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color w:val="auto"/>
                <w:kern w:val="0"/>
                <w:sz w:val="22"/>
                <w:szCs w:val="22"/>
                <w:highlight w:val="none"/>
                <w:lang w:bidi="ar"/>
              </w:rPr>
            </w:pPr>
            <w:r>
              <w:rPr>
                <w:rFonts w:hint="eastAsia" w:ascii="仿宋" w:hAnsi="仿宋" w:eastAsia="仿宋" w:cs="仿宋"/>
                <w:color w:val="auto"/>
                <w:kern w:val="0"/>
                <w:sz w:val="22"/>
                <w:szCs w:val="22"/>
                <w:highlight w:val="none"/>
                <w:lang w:bidi="ar"/>
              </w:rPr>
              <w:t>G2高位</w:t>
            </w:r>
          </w:p>
        </w:tc>
        <w:tc>
          <w:tcPr>
            <w:tcW w:w="10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等线" w:hAnsi="等线" w:eastAsia="等线" w:cs="等线"/>
                <w:color w:val="auto"/>
                <w:kern w:val="0"/>
                <w:sz w:val="22"/>
                <w:szCs w:val="22"/>
                <w:highlight w:val="none"/>
                <w:lang w:bidi="ar"/>
              </w:rPr>
            </w:pPr>
            <w:r>
              <w:rPr>
                <w:rFonts w:hint="eastAsia" w:ascii="等线" w:hAnsi="等线" w:eastAsia="等线" w:cs="等线"/>
                <w:color w:val="auto"/>
                <w:kern w:val="0"/>
                <w:sz w:val="22"/>
                <w:szCs w:val="22"/>
                <w:highlight w:val="none"/>
                <w:lang w:bidi="ar"/>
              </w:rPr>
              <w:t>1</w:t>
            </w:r>
          </w:p>
        </w:tc>
      </w:tr>
    </w:tbl>
    <w:p>
      <w:pPr>
        <w:spacing w:line="360" w:lineRule="auto"/>
        <w:ind w:firstLine="482" w:firstLineChars="200"/>
        <w:jc w:val="left"/>
      </w:pPr>
      <w:r>
        <w:rPr>
          <w:rFonts w:hint="eastAsia" w:ascii="宋体" w:hAnsi="宋体" w:cs="宋体"/>
          <w:b/>
          <w:bCs/>
          <w:color w:val="auto"/>
          <w:kern w:val="0"/>
          <w:sz w:val="24"/>
          <w:highlight w:val="none"/>
          <w:lang w:bidi="ar"/>
        </w:rPr>
        <w:t>注：实际</w:t>
      </w:r>
      <w:r>
        <w:rPr>
          <w:rFonts w:ascii="宋体" w:hAnsi="宋体" w:cs="宋体"/>
          <w:b/>
          <w:bCs/>
          <w:color w:val="auto"/>
          <w:kern w:val="0"/>
          <w:sz w:val="24"/>
          <w:highlight w:val="none"/>
          <w:lang w:bidi="ar"/>
        </w:rPr>
        <w:t>路段根据</w:t>
      </w:r>
      <w:r>
        <w:rPr>
          <w:rFonts w:hint="eastAsia" w:ascii="宋体" w:hAnsi="宋体" w:cs="宋体"/>
          <w:b/>
          <w:bCs/>
          <w:color w:val="auto"/>
          <w:kern w:val="0"/>
          <w:sz w:val="24"/>
          <w:highlight w:val="none"/>
          <w:lang w:bidi="ar"/>
        </w:rPr>
        <w:t>现场杆位条件建设、电力网络设施等</w:t>
      </w:r>
      <w:r>
        <w:rPr>
          <w:rFonts w:ascii="宋体" w:hAnsi="宋体" w:cs="宋体"/>
          <w:b/>
          <w:bCs/>
          <w:color w:val="auto"/>
          <w:kern w:val="0"/>
          <w:sz w:val="24"/>
          <w:highlight w:val="none"/>
          <w:lang w:bidi="ar"/>
        </w:rPr>
        <w:t>现场情况</w:t>
      </w:r>
      <w:r>
        <w:rPr>
          <w:rFonts w:hint="eastAsia" w:ascii="宋体" w:hAnsi="宋体" w:cs="宋体"/>
          <w:b/>
          <w:bCs/>
          <w:color w:val="auto"/>
          <w:kern w:val="0"/>
          <w:sz w:val="24"/>
          <w:highlight w:val="none"/>
          <w:lang w:bidi="ar"/>
        </w:rPr>
        <w:t>可由招标方进行调整。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4A31C6"/>
    <w:multiLevelType w:val="multilevel"/>
    <w:tmpl w:val="084A31C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9222878"/>
    <w:multiLevelType w:val="multilevel"/>
    <w:tmpl w:val="29222878"/>
    <w:lvl w:ilvl="0" w:tentative="0">
      <w:start w:val="1"/>
      <w:numFmt w:val="bullet"/>
      <w:lvlText w:val="•"/>
      <w:lvlJc w:val="left"/>
      <w:pPr>
        <w:ind w:left="1260" w:hanging="420"/>
      </w:pPr>
      <w:rPr>
        <w:rFonts w:hint="default" w:ascii="Arial" w:hAnsi="Arial"/>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
    <w:nsid w:val="346B3AEF"/>
    <w:multiLevelType w:val="multilevel"/>
    <w:tmpl w:val="346B3AE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17E45E0"/>
    <w:multiLevelType w:val="multilevel"/>
    <w:tmpl w:val="417E45E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5973B24"/>
    <w:multiLevelType w:val="multilevel"/>
    <w:tmpl w:val="55973B2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6EE81BF5"/>
    <w:multiLevelType w:val="multilevel"/>
    <w:tmpl w:val="6EE81BF5"/>
    <w:lvl w:ilvl="0" w:tentative="0">
      <w:start w:val="1"/>
      <w:numFmt w:val="bullet"/>
      <w:lvlText w:val="•"/>
      <w:lvlJc w:val="left"/>
      <w:pPr>
        <w:ind w:left="1259" w:hanging="420"/>
      </w:pPr>
      <w:rPr>
        <w:rFonts w:hint="default" w:ascii="Arial" w:hAnsi="Arial"/>
      </w:rPr>
    </w:lvl>
    <w:lvl w:ilvl="1" w:tentative="0">
      <w:start w:val="1"/>
      <w:numFmt w:val="bullet"/>
      <w:lvlText w:val=""/>
      <w:lvlJc w:val="left"/>
      <w:pPr>
        <w:ind w:left="1679" w:hanging="420"/>
      </w:pPr>
      <w:rPr>
        <w:rFonts w:hint="default" w:ascii="Wingdings" w:hAnsi="Wingdings"/>
      </w:rPr>
    </w:lvl>
    <w:lvl w:ilvl="2" w:tentative="0">
      <w:start w:val="1"/>
      <w:numFmt w:val="bullet"/>
      <w:lvlText w:val=""/>
      <w:lvlJc w:val="left"/>
      <w:pPr>
        <w:ind w:left="2099" w:hanging="420"/>
      </w:pPr>
      <w:rPr>
        <w:rFonts w:hint="default" w:ascii="Wingdings" w:hAnsi="Wingdings"/>
      </w:rPr>
    </w:lvl>
    <w:lvl w:ilvl="3" w:tentative="0">
      <w:start w:val="1"/>
      <w:numFmt w:val="bullet"/>
      <w:lvlText w:val=""/>
      <w:lvlJc w:val="left"/>
      <w:pPr>
        <w:ind w:left="2519" w:hanging="420"/>
      </w:pPr>
      <w:rPr>
        <w:rFonts w:hint="default" w:ascii="Wingdings" w:hAnsi="Wingdings"/>
      </w:rPr>
    </w:lvl>
    <w:lvl w:ilvl="4" w:tentative="0">
      <w:start w:val="1"/>
      <w:numFmt w:val="bullet"/>
      <w:lvlText w:val=""/>
      <w:lvlJc w:val="left"/>
      <w:pPr>
        <w:ind w:left="2939" w:hanging="420"/>
      </w:pPr>
      <w:rPr>
        <w:rFonts w:hint="default" w:ascii="Wingdings" w:hAnsi="Wingdings"/>
      </w:rPr>
    </w:lvl>
    <w:lvl w:ilvl="5" w:tentative="0">
      <w:start w:val="1"/>
      <w:numFmt w:val="bullet"/>
      <w:lvlText w:val=""/>
      <w:lvlJc w:val="left"/>
      <w:pPr>
        <w:ind w:left="3359" w:hanging="420"/>
      </w:pPr>
      <w:rPr>
        <w:rFonts w:hint="default" w:ascii="Wingdings" w:hAnsi="Wingdings"/>
      </w:rPr>
    </w:lvl>
    <w:lvl w:ilvl="6" w:tentative="0">
      <w:start w:val="1"/>
      <w:numFmt w:val="bullet"/>
      <w:lvlText w:val=""/>
      <w:lvlJc w:val="left"/>
      <w:pPr>
        <w:ind w:left="3779" w:hanging="420"/>
      </w:pPr>
      <w:rPr>
        <w:rFonts w:hint="default" w:ascii="Wingdings" w:hAnsi="Wingdings"/>
      </w:rPr>
    </w:lvl>
    <w:lvl w:ilvl="7" w:tentative="0">
      <w:start w:val="1"/>
      <w:numFmt w:val="bullet"/>
      <w:lvlText w:val=""/>
      <w:lvlJc w:val="left"/>
      <w:pPr>
        <w:ind w:left="4199" w:hanging="420"/>
      </w:pPr>
      <w:rPr>
        <w:rFonts w:hint="default" w:ascii="Wingdings" w:hAnsi="Wingdings"/>
      </w:rPr>
    </w:lvl>
    <w:lvl w:ilvl="8" w:tentative="0">
      <w:start w:val="1"/>
      <w:numFmt w:val="bullet"/>
      <w:lvlText w:val=""/>
      <w:lvlJc w:val="left"/>
      <w:pPr>
        <w:ind w:left="4619" w:hanging="420"/>
      </w:pPr>
      <w:rPr>
        <w:rFonts w:hint="default" w:ascii="Wingdings" w:hAnsi="Wingdings"/>
      </w:rPr>
    </w:lvl>
  </w:abstractNum>
  <w:abstractNum w:abstractNumId="6">
    <w:nsid w:val="778D393B"/>
    <w:multiLevelType w:val="multilevel"/>
    <w:tmpl w:val="778D393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7B181911"/>
    <w:multiLevelType w:val="multilevel"/>
    <w:tmpl w:val="7B181911"/>
    <w:lvl w:ilvl="0" w:tentative="0">
      <w:start w:val="1"/>
      <w:numFmt w:val="bullet"/>
      <w:lvlText w:val=""/>
      <w:lvlJc w:val="left"/>
      <w:pPr>
        <w:ind w:left="780" w:hanging="36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0"/>
  </w:num>
  <w:num w:numId="3">
    <w:abstractNumId w:val="4"/>
  </w:num>
  <w:num w:numId="4">
    <w:abstractNumId w:val="1"/>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3Mzc2MTJlODRlZDQ5Y2EwZjA5ZDkyYzIwMzdiYTMifQ=="/>
  </w:docVars>
  <w:rsids>
    <w:rsidRoot w:val="5906324F"/>
    <w:rsid w:val="13236D95"/>
    <w:rsid w:val="59063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unhideWhenUsed/>
    <w:qFormat/>
    <w:uiPriority w:val="0"/>
    <w:pPr>
      <w:jc w:val="left"/>
    </w:pPr>
  </w:style>
  <w:style w:type="paragraph" w:styleId="5">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2024-04-11T02:56:00Z</dcterms:created>
  <dc:creator>qcjs</dc:creator>
  <cp:lastModifiedBy>qcjs</cp:lastModifiedBy>
  <dcterms:modified xsi:type="dcterms:W3CDTF">2024-04-11T05:59:33Z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C5358C3DA4904734802EA9E06D25FB17_11</vt:lpwstr>
  </property>
</Properties>
</file>