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ACC199">
      <w:pPr>
        <w:spacing w:line="360" w:lineRule="auto"/>
        <w:rPr>
          <w:rFonts w:ascii="宋体"/>
        </w:rPr>
      </w:pPr>
    </w:p>
    <w:p w14:paraId="24C13DDA">
      <w:pPr>
        <w:spacing w:line="360" w:lineRule="auto"/>
        <w:rPr>
          <w:rFonts w:ascii="宋体"/>
        </w:rPr>
      </w:pPr>
    </w:p>
    <w:p w14:paraId="47862BED">
      <w:pPr>
        <w:spacing w:line="360" w:lineRule="auto"/>
        <w:rPr>
          <w:rFonts w:ascii="宋体"/>
        </w:rPr>
      </w:pPr>
    </w:p>
    <w:p w14:paraId="7C9E83B0">
      <w:pPr>
        <w:spacing w:line="360" w:lineRule="auto"/>
        <w:jc w:val="center"/>
        <w:rPr>
          <w:rFonts w:hint="eastAsia" w:ascii="宋体" w:eastAsia="宋体"/>
          <w:w w:val="90"/>
          <w:sz w:val="48"/>
          <w:szCs w:val="48"/>
          <w:lang w:eastAsia="zh-CN"/>
        </w:rPr>
      </w:pPr>
      <w:r>
        <w:rPr>
          <w:rFonts w:hint="eastAsia" w:ascii="宋体" w:hAnsi="宋体"/>
          <w:b/>
          <w:bCs/>
          <w:iCs/>
          <w:w w:val="90"/>
          <w:sz w:val="36"/>
          <w:szCs w:val="36"/>
          <w:lang w:eastAsia="zh-CN"/>
        </w:rPr>
        <w:t>黄浦区老西门街道市民健身中心装修工程</w:t>
      </w:r>
    </w:p>
    <w:p w14:paraId="027B43C8">
      <w:pPr>
        <w:spacing w:line="360" w:lineRule="auto"/>
        <w:rPr>
          <w:rFonts w:ascii="宋体"/>
        </w:rPr>
      </w:pPr>
    </w:p>
    <w:p w14:paraId="399CCC09">
      <w:pPr>
        <w:spacing w:line="360" w:lineRule="auto"/>
        <w:rPr>
          <w:rFonts w:ascii="宋体"/>
        </w:rPr>
      </w:pPr>
    </w:p>
    <w:p w14:paraId="7530022A">
      <w:pPr>
        <w:spacing w:line="360" w:lineRule="auto"/>
        <w:rPr>
          <w:rFonts w:ascii="宋体"/>
        </w:rPr>
      </w:pPr>
    </w:p>
    <w:p w14:paraId="2293965D">
      <w:pPr>
        <w:spacing w:line="360" w:lineRule="auto"/>
        <w:rPr>
          <w:rFonts w:ascii="宋体"/>
        </w:rPr>
      </w:pPr>
    </w:p>
    <w:p w14:paraId="55D73D08">
      <w:pPr>
        <w:spacing w:line="360" w:lineRule="auto"/>
        <w:rPr>
          <w:rFonts w:ascii="宋体"/>
        </w:rPr>
      </w:pPr>
    </w:p>
    <w:p w14:paraId="280179CD">
      <w:pPr>
        <w:spacing w:line="360" w:lineRule="auto"/>
        <w:rPr>
          <w:rFonts w:ascii="宋体"/>
        </w:rPr>
      </w:pPr>
    </w:p>
    <w:p w14:paraId="443126EA">
      <w:pPr>
        <w:spacing w:line="360" w:lineRule="auto"/>
        <w:rPr>
          <w:rFonts w:ascii="宋体"/>
        </w:rPr>
      </w:pPr>
    </w:p>
    <w:p w14:paraId="41E3EEE1">
      <w:pPr>
        <w:spacing w:line="360" w:lineRule="auto"/>
        <w:rPr>
          <w:rFonts w:ascii="宋体"/>
        </w:rPr>
      </w:pPr>
    </w:p>
    <w:p w14:paraId="17E4AB8E">
      <w:pPr>
        <w:spacing w:line="360" w:lineRule="auto"/>
        <w:jc w:val="center"/>
        <w:rPr>
          <w:rFonts w:ascii="宋体" w:cs="黑体"/>
          <w:b/>
          <w:bCs/>
          <w:sz w:val="72"/>
          <w:szCs w:val="72"/>
        </w:rPr>
      </w:pPr>
      <w:r>
        <w:rPr>
          <w:rFonts w:hint="eastAsia" w:ascii="宋体" w:hAnsi="宋体" w:cs="黑体"/>
          <w:b/>
          <w:bCs/>
          <w:sz w:val="52"/>
          <w:szCs w:val="52"/>
        </w:rPr>
        <w:t>竞争性磋商文件</w:t>
      </w:r>
    </w:p>
    <w:p w14:paraId="5E17B978">
      <w:pPr>
        <w:spacing w:line="360" w:lineRule="auto"/>
        <w:jc w:val="center"/>
        <w:rPr>
          <w:rFonts w:ascii="宋体" w:cs="黑体"/>
          <w:b/>
          <w:bCs/>
          <w:sz w:val="32"/>
          <w:szCs w:val="32"/>
        </w:rPr>
      </w:pPr>
    </w:p>
    <w:p w14:paraId="760F24C0">
      <w:pPr>
        <w:spacing w:line="360" w:lineRule="auto"/>
        <w:rPr>
          <w:rFonts w:ascii="宋体" w:cs="黑体"/>
          <w:b/>
          <w:bCs/>
          <w:sz w:val="32"/>
          <w:szCs w:val="32"/>
        </w:rPr>
      </w:pPr>
    </w:p>
    <w:p w14:paraId="2F11A4E2">
      <w:pPr>
        <w:spacing w:line="360" w:lineRule="auto"/>
        <w:rPr>
          <w:rFonts w:ascii="宋体" w:cs="黑体"/>
          <w:b/>
          <w:bCs/>
          <w:sz w:val="32"/>
          <w:szCs w:val="32"/>
        </w:rPr>
      </w:pPr>
    </w:p>
    <w:p w14:paraId="180BDD7C">
      <w:pPr>
        <w:spacing w:line="360" w:lineRule="auto"/>
        <w:rPr>
          <w:rFonts w:ascii="宋体" w:cs="黑体"/>
          <w:b/>
          <w:bCs/>
          <w:sz w:val="32"/>
          <w:szCs w:val="32"/>
        </w:rPr>
      </w:pPr>
    </w:p>
    <w:p w14:paraId="7F12561E">
      <w:pPr>
        <w:spacing w:line="360" w:lineRule="auto"/>
        <w:jc w:val="both"/>
        <w:rPr>
          <w:rFonts w:ascii="宋体" w:cs="黑体"/>
          <w:b/>
          <w:bCs/>
          <w:sz w:val="24"/>
          <w:szCs w:val="24"/>
        </w:rPr>
      </w:pPr>
    </w:p>
    <w:p w14:paraId="7D46048D">
      <w:pPr>
        <w:spacing w:line="360" w:lineRule="auto"/>
        <w:ind w:left="718" w:leftChars="342"/>
        <w:rPr>
          <w:rFonts w:ascii="宋体" w:hAnsi="宋体" w:cs="黑体"/>
          <w:b/>
          <w:bCs/>
          <w:sz w:val="24"/>
          <w:szCs w:val="24"/>
        </w:rPr>
      </w:pPr>
    </w:p>
    <w:p w14:paraId="4FC33F8C">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采购单位：</w:t>
      </w:r>
      <w:r>
        <w:rPr>
          <w:rFonts w:hint="eastAsia" w:ascii="宋体" w:hAnsi="宋体" w:cs="黑体"/>
          <w:b/>
          <w:bCs/>
          <w:sz w:val="28"/>
          <w:szCs w:val="28"/>
          <w:lang w:eastAsia="zh-CN"/>
        </w:rPr>
        <w:t>上海市黄浦区人民政府老西门街道办事处</w:t>
      </w:r>
    </w:p>
    <w:p w14:paraId="4308E174">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代理单位：</w:t>
      </w:r>
      <w:r>
        <w:rPr>
          <w:rFonts w:hint="eastAsia" w:ascii="宋体" w:hAnsi="宋体" w:cs="黑体"/>
          <w:b/>
          <w:bCs/>
          <w:sz w:val="28"/>
          <w:szCs w:val="28"/>
          <w:lang w:eastAsia="zh-CN"/>
        </w:rPr>
        <w:t>上海煌浦建设咨询有限公司</w:t>
      </w:r>
    </w:p>
    <w:p w14:paraId="714AF687">
      <w:pPr>
        <w:spacing w:line="360" w:lineRule="auto"/>
        <w:ind w:left="718" w:leftChars="342"/>
        <w:rPr>
          <w:rFonts w:ascii="宋体" w:cs="黑体"/>
          <w:b/>
          <w:bCs/>
          <w:sz w:val="24"/>
          <w:szCs w:val="24"/>
        </w:rPr>
      </w:pPr>
      <w:r>
        <w:rPr>
          <w:rFonts w:hint="eastAsia" w:ascii="宋体" w:hAnsi="宋体" w:cs="黑体"/>
          <w:b/>
          <w:bCs/>
          <w:sz w:val="28"/>
          <w:szCs w:val="28"/>
        </w:rPr>
        <w:t>日期：</w:t>
      </w:r>
      <w:r>
        <w:rPr>
          <w:rFonts w:hint="eastAsia" w:ascii="宋体" w:hAnsi="宋体" w:cs="黑体"/>
          <w:b/>
          <w:bCs/>
          <w:sz w:val="28"/>
          <w:szCs w:val="28"/>
          <w:highlight w:val="none"/>
        </w:rPr>
        <w:t>202</w:t>
      </w:r>
      <w:r>
        <w:rPr>
          <w:rFonts w:hint="eastAsia" w:ascii="宋体" w:hAnsi="宋体" w:cs="黑体"/>
          <w:b/>
          <w:bCs/>
          <w:sz w:val="28"/>
          <w:szCs w:val="28"/>
          <w:highlight w:val="none"/>
          <w:lang w:val="en-US" w:eastAsia="zh-CN"/>
        </w:rPr>
        <w:t>5</w:t>
      </w:r>
      <w:r>
        <w:rPr>
          <w:rFonts w:hint="eastAsia" w:ascii="宋体" w:hAnsi="宋体" w:cs="黑体"/>
          <w:b/>
          <w:bCs/>
          <w:sz w:val="28"/>
          <w:szCs w:val="28"/>
          <w:highlight w:val="none"/>
        </w:rPr>
        <w:t>年</w:t>
      </w:r>
      <w:r>
        <w:rPr>
          <w:rFonts w:hint="eastAsia" w:ascii="宋体" w:hAnsi="宋体" w:cs="黑体"/>
          <w:b/>
          <w:bCs/>
          <w:sz w:val="28"/>
          <w:szCs w:val="28"/>
          <w:highlight w:val="none"/>
          <w:lang w:val="en-US" w:eastAsia="zh-CN"/>
        </w:rPr>
        <w:t>6</w:t>
      </w:r>
      <w:r>
        <w:rPr>
          <w:rFonts w:hint="eastAsia" w:ascii="宋体" w:hAnsi="宋体" w:cs="黑体"/>
          <w:b/>
          <w:bCs/>
          <w:sz w:val="28"/>
          <w:szCs w:val="28"/>
          <w:highlight w:val="none"/>
        </w:rPr>
        <w:t>月</w:t>
      </w:r>
    </w:p>
    <w:p w14:paraId="799E6A80">
      <w:pPr>
        <w:spacing w:line="360" w:lineRule="auto"/>
        <w:rPr>
          <w:rFonts w:ascii="宋体"/>
        </w:rPr>
      </w:pPr>
    </w:p>
    <w:p w14:paraId="31940252">
      <w:pPr>
        <w:spacing w:line="360" w:lineRule="auto"/>
        <w:rPr>
          <w:rFonts w:ascii="宋体"/>
        </w:rPr>
      </w:pPr>
    </w:p>
    <w:p w14:paraId="4215A98D">
      <w:pPr>
        <w:spacing w:line="360" w:lineRule="auto"/>
        <w:rPr>
          <w:rFonts w:ascii="宋体"/>
        </w:rPr>
      </w:pPr>
    </w:p>
    <w:p w14:paraId="03236114">
      <w:pPr>
        <w:spacing w:line="360" w:lineRule="auto"/>
        <w:rPr>
          <w:rFonts w:ascii="宋体" w:cs="宋体"/>
          <w:b/>
          <w:sz w:val="28"/>
          <w:szCs w:val="28"/>
        </w:rPr>
      </w:pPr>
    </w:p>
    <w:p w14:paraId="74616D92">
      <w:pPr>
        <w:spacing w:line="360" w:lineRule="auto"/>
        <w:jc w:val="center"/>
        <w:rPr>
          <w:rFonts w:ascii="宋体" w:hAnsi="宋体" w:cs="宋体"/>
          <w:b/>
          <w:sz w:val="28"/>
          <w:szCs w:val="28"/>
        </w:rPr>
      </w:pPr>
    </w:p>
    <w:p w14:paraId="31007890">
      <w:pPr>
        <w:spacing w:line="360" w:lineRule="auto"/>
        <w:jc w:val="center"/>
        <w:rPr>
          <w:rFonts w:ascii="宋体" w:cs="宋体"/>
          <w:b/>
          <w:sz w:val="32"/>
          <w:szCs w:val="32"/>
        </w:rPr>
      </w:pPr>
      <w:r>
        <w:rPr>
          <w:rFonts w:hint="eastAsia" w:ascii="宋体" w:hAnsi="宋体" w:cs="宋体"/>
          <w:b/>
          <w:sz w:val="32"/>
          <w:szCs w:val="32"/>
        </w:rPr>
        <w:br w:type="page"/>
      </w:r>
      <w:r>
        <w:rPr>
          <w:rFonts w:hint="eastAsia" w:ascii="宋体" w:hAnsi="宋体" w:cs="宋体"/>
          <w:b/>
          <w:sz w:val="32"/>
          <w:szCs w:val="32"/>
        </w:rPr>
        <w:t>目录</w:t>
      </w:r>
    </w:p>
    <w:p w14:paraId="759ADEF9">
      <w:pPr>
        <w:spacing w:line="360" w:lineRule="auto"/>
        <w:ind w:firstLine="480" w:firstLineChars="200"/>
        <w:rPr>
          <w:rFonts w:ascii="宋体" w:cs="宋体"/>
          <w:sz w:val="24"/>
          <w:szCs w:val="24"/>
        </w:rPr>
      </w:pPr>
    </w:p>
    <w:p w14:paraId="2036692B">
      <w:pPr>
        <w:pStyle w:val="32"/>
        <w:tabs>
          <w:tab w:val="right" w:leader="dot" w:pos="8821"/>
          <w:tab w:val="clear" w:pos="8810"/>
        </w:tabs>
      </w:pPr>
      <w:r>
        <w:rPr>
          <w:rFonts w:ascii="宋体" w:hAnsi="宋体" w:cs="宋体"/>
          <w:sz w:val="24"/>
          <w:szCs w:val="24"/>
        </w:rPr>
        <w:fldChar w:fldCharType="begin"/>
      </w:r>
      <w:r>
        <w:rPr>
          <w:rFonts w:ascii="宋体" w:hAnsi="宋体" w:cs="宋体"/>
          <w:sz w:val="24"/>
          <w:szCs w:val="24"/>
        </w:rPr>
        <w:instrText xml:space="preserve"> TOC \o "1-1" \h \z \u </w:instrText>
      </w:r>
      <w:r>
        <w:rPr>
          <w:rFonts w:ascii="宋体" w:hAnsi="宋体" w:cs="宋体"/>
          <w:sz w:val="24"/>
          <w:szCs w:val="24"/>
        </w:rPr>
        <w:fldChar w:fldCharType="separate"/>
      </w:r>
      <w:r>
        <w:fldChar w:fldCharType="begin"/>
      </w:r>
      <w:r>
        <w:instrText xml:space="preserve"> HYPERLINK \l "_Toc21184" </w:instrText>
      </w:r>
      <w:r>
        <w:fldChar w:fldCharType="separate"/>
      </w:r>
      <w:r>
        <w:rPr>
          <w:rFonts w:hint="eastAsia" w:ascii="宋体" w:hAnsi="宋体"/>
          <w:szCs w:val="32"/>
        </w:rPr>
        <w:t>第一章磋商公告</w:t>
      </w:r>
      <w:r>
        <w:tab/>
      </w:r>
      <w:r>
        <w:fldChar w:fldCharType="begin"/>
      </w:r>
      <w:r>
        <w:instrText xml:space="preserve"> PAGEREF _Toc21184 </w:instrText>
      </w:r>
      <w:r>
        <w:fldChar w:fldCharType="separate"/>
      </w:r>
      <w:r>
        <w:t>- 1 -</w:t>
      </w:r>
      <w:r>
        <w:fldChar w:fldCharType="end"/>
      </w:r>
      <w:r>
        <w:fldChar w:fldCharType="end"/>
      </w:r>
    </w:p>
    <w:p w14:paraId="0F50755A">
      <w:pPr>
        <w:pStyle w:val="32"/>
        <w:tabs>
          <w:tab w:val="right" w:leader="dot" w:pos="8821"/>
          <w:tab w:val="clear" w:pos="8810"/>
        </w:tabs>
      </w:pPr>
      <w:r>
        <w:fldChar w:fldCharType="begin"/>
      </w:r>
      <w:r>
        <w:instrText xml:space="preserve"> HYPERLINK \l "_Toc22886" </w:instrText>
      </w:r>
      <w:r>
        <w:fldChar w:fldCharType="separate"/>
      </w:r>
      <w:r>
        <w:rPr>
          <w:rFonts w:hint="eastAsia" w:ascii="宋体" w:hAnsi="宋体"/>
          <w:szCs w:val="32"/>
        </w:rPr>
        <w:t>第二章</w:t>
      </w:r>
      <w:r>
        <w:rPr>
          <w:rFonts w:hint="eastAsia" w:ascii="宋体" w:hAnsi="宋体"/>
          <w:szCs w:val="32"/>
          <w:lang w:eastAsia="zh-CN"/>
        </w:rPr>
        <w:t>响应单位</w:t>
      </w:r>
      <w:r>
        <w:rPr>
          <w:rFonts w:hint="eastAsia" w:ascii="宋体" w:hAnsi="宋体"/>
          <w:szCs w:val="32"/>
        </w:rPr>
        <w:t>须知及附表</w:t>
      </w:r>
      <w:r>
        <w:tab/>
      </w:r>
      <w:r>
        <w:fldChar w:fldCharType="begin"/>
      </w:r>
      <w:r>
        <w:instrText xml:space="preserve"> PAGEREF _Toc22886 </w:instrText>
      </w:r>
      <w:r>
        <w:fldChar w:fldCharType="separate"/>
      </w:r>
      <w:r>
        <w:t>- 4 -</w:t>
      </w:r>
      <w:r>
        <w:fldChar w:fldCharType="end"/>
      </w:r>
      <w:r>
        <w:fldChar w:fldCharType="end"/>
      </w:r>
    </w:p>
    <w:p w14:paraId="3F56910B">
      <w:pPr>
        <w:pStyle w:val="32"/>
        <w:tabs>
          <w:tab w:val="right" w:leader="dot" w:pos="8821"/>
          <w:tab w:val="clear" w:pos="8810"/>
        </w:tabs>
      </w:pPr>
      <w:r>
        <w:fldChar w:fldCharType="begin"/>
      </w:r>
      <w:r>
        <w:instrText xml:space="preserve"> HYPERLINK \l "_Toc32421" </w:instrText>
      </w:r>
      <w:r>
        <w:fldChar w:fldCharType="separate"/>
      </w:r>
      <w:r>
        <w:rPr>
          <w:rFonts w:hint="eastAsia" w:ascii="宋体" w:hAnsi="宋体"/>
          <w:szCs w:val="32"/>
        </w:rPr>
        <w:t>第三章</w:t>
      </w:r>
      <w:r>
        <w:rPr>
          <w:rFonts w:hint="eastAsia" w:ascii="宋体" w:hAnsi="宋体"/>
          <w:szCs w:val="32"/>
          <w:lang w:eastAsia="zh-CN"/>
        </w:rPr>
        <w:t>响应单位</w:t>
      </w:r>
      <w:r>
        <w:rPr>
          <w:rFonts w:hint="eastAsia" w:ascii="宋体" w:hAnsi="宋体"/>
          <w:szCs w:val="32"/>
        </w:rPr>
        <w:t>须知</w:t>
      </w:r>
      <w:r>
        <w:tab/>
      </w:r>
      <w:r>
        <w:fldChar w:fldCharType="begin"/>
      </w:r>
      <w:r>
        <w:instrText xml:space="preserve"> PAGEREF _Toc32421 </w:instrText>
      </w:r>
      <w:r>
        <w:fldChar w:fldCharType="separate"/>
      </w:r>
      <w:r>
        <w:t>- 5 -</w:t>
      </w:r>
      <w:r>
        <w:fldChar w:fldCharType="end"/>
      </w:r>
      <w:r>
        <w:fldChar w:fldCharType="end"/>
      </w:r>
    </w:p>
    <w:p w14:paraId="0C341DF2">
      <w:pPr>
        <w:pStyle w:val="32"/>
        <w:tabs>
          <w:tab w:val="right" w:leader="dot" w:pos="8821"/>
          <w:tab w:val="clear" w:pos="8810"/>
        </w:tabs>
      </w:pPr>
      <w:r>
        <w:fldChar w:fldCharType="begin"/>
      </w:r>
      <w:r>
        <w:instrText xml:space="preserve"> HYPERLINK \l "_Toc19079" </w:instrText>
      </w:r>
      <w:r>
        <w:fldChar w:fldCharType="separate"/>
      </w:r>
      <w:r>
        <w:rPr>
          <w:rFonts w:hint="eastAsia" w:ascii="宋体" w:hAnsi="宋体"/>
          <w:szCs w:val="32"/>
        </w:rPr>
        <w:t>第一部分磋商程序</w:t>
      </w:r>
      <w:r>
        <w:tab/>
      </w:r>
      <w:r>
        <w:fldChar w:fldCharType="begin"/>
      </w:r>
      <w:r>
        <w:instrText xml:space="preserve"> PAGEREF _Toc19079 </w:instrText>
      </w:r>
      <w:r>
        <w:fldChar w:fldCharType="separate"/>
      </w:r>
      <w:r>
        <w:t>- 5 -</w:t>
      </w:r>
      <w:r>
        <w:fldChar w:fldCharType="end"/>
      </w:r>
      <w:r>
        <w:fldChar w:fldCharType="end"/>
      </w:r>
    </w:p>
    <w:p w14:paraId="45509014">
      <w:pPr>
        <w:pStyle w:val="32"/>
        <w:tabs>
          <w:tab w:val="right" w:leader="dot" w:pos="8821"/>
          <w:tab w:val="clear" w:pos="8810"/>
        </w:tabs>
      </w:pPr>
      <w:r>
        <w:fldChar w:fldCharType="begin"/>
      </w:r>
      <w:r>
        <w:instrText xml:space="preserve"> HYPERLINK \l "_Toc15985" </w:instrText>
      </w:r>
      <w:r>
        <w:fldChar w:fldCharType="separate"/>
      </w:r>
      <w:r>
        <w:rPr>
          <w:rFonts w:hint="eastAsia" w:ascii="宋体" w:hAnsi="宋体"/>
          <w:szCs w:val="32"/>
        </w:rPr>
        <w:t>第二部分磋商文件</w:t>
      </w:r>
      <w:r>
        <w:tab/>
      </w:r>
      <w:r>
        <w:fldChar w:fldCharType="begin"/>
      </w:r>
      <w:r>
        <w:instrText xml:space="preserve"> PAGEREF _Toc15985 </w:instrText>
      </w:r>
      <w:r>
        <w:fldChar w:fldCharType="separate"/>
      </w:r>
      <w:r>
        <w:t>- 6 -</w:t>
      </w:r>
      <w:r>
        <w:fldChar w:fldCharType="end"/>
      </w:r>
      <w:r>
        <w:fldChar w:fldCharType="end"/>
      </w:r>
    </w:p>
    <w:p w14:paraId="538E00CD">
      <w:pPr>
        <w:pStyle w:val="32"/>
        <w:tabs>
          <w:tab w:val="right" w:leader="dot" w:pos="8821"/>
          <w:tab w:val="clear" w:pos="8810"/>
        </w:tabs>
      </w:pPr>
      <w:r>
        <w:fldChar w:fldCharType="begin"/>
      </w:r>
      <w:r>
        <w:instrText xml:space="preserve"> HYPERLINK \l "_Toc31920" </w:instrText>
      </w:r>
      <w:r>
        <w:fldChar w:fldCharType="separate"/>
      </w:r>
      <w:r>
        <w:rPr>
          <w:rFonts w:hint="eastAsia" w:ascii="宋体" w:hAnsi="宋体"/>
          <w:szCs w:val="32"/>
        </w:rPr>
        <w:t>第三部分磋商响应文件的编制</w:t>
      </w:r>
      <w:r>
        <w:tab/>
      </w:r>
      <w:r>
        <w:fldChar w:fldCharType="begin"/>
      </w:r>
      <w:r>
        <w:instrText xml:space="preserve"> PAGEREF _Toc31920 </w:instrText>
      </w:r>
      <w:r>
        <w:fldChar w:fldCharType="separate"/>
      </w:r>
      <w:r>
        <w:t>- 6 -</w:t>
      </w:r>
      <w:r>
        <w:fldChar w:fldCharType="end"/>
      </w:r>
      <w:r>
        <w:fldChar w:fldCharType="end"/>
      </w:r>
    </w:p>
    <w:p w14:paraId="6F953F74">
      <w:pPr>
        <w:pStyle w:val="32"/>
        <w:tabs>
          <w:tab w:val="right" w:leader="dot" w:pos="8821"/>
          <w:tab w:val="clear" w:pos="8810"/>
        </w:tabs>
      </w:pPr>
      <w:r>
        <w:fldChar w:fldCharType="begin"/>
      </w:r>
      <w:r>
        <w:instrText xml:space="preserve"> HYPERLINK \l "_Toc20967" </w:instrText>
      </w:r>
      <w:r>
        <w:fldChar w:fldCharType="separate"/>
      </w:r>
      <w:r>
        <w:rPr>
          <w:rFonts w:hint="eastAsia" w:ascii="宋体" w:hAnsi="宋体"/>
          <w:szCs w:val="32"/>
        </w:rPr>
        <w:t>第四部分磋商响应文件的递交</w:t>
      </w:r>
      <w:r>
        <w:tab/>
      </w:r>
      <w:r>
        <w:fldChar w:fldCharType="begin"/>
      </w:r>
      <w:r>
        <w:instrText xml:space="preserve"> PAGEREF _Toc20967 </w:instrText>
      </w:r>
      <w:r>
        <w:fldChar w:fldCharType="separate"/>
      </w:r>
      <w:r>
        <w:t>- 9 -</w:t>
      </w:r>
      <w:r>
        <w:fldChar w:fldCharType="end"/>
      </w:r>
      <w:r>
        <w:fldChar w:fldCharType="end"/>
      </w:r>
    </w:p>
    <w:p w14:paraId="51E60BCB">
      <w:pPr>
        <w:pStyle w:val="32"/>
        <w:tabs>
          <w:tab w:val="right" w:leader="dot" w:pos="8821"/>
          <w:tab w:val="clear" w:pos="8810"/>
        </w:tabs>
      </w:pPr>
      <w:r>
        <w:fldChar w:fldCharType="begin"/>
      </w:r>
      <w:r>
        <w:instrText xml:space="preserve"> HYPERLINK \l "_Toc18583" </w:instrText>
      </w:r>
      <w:r>
        <w:fldChar w:fldCharType="separate"/>
      </w:r>
      <w:r>
        <w:rPr>
          <w:rFonts w:hint="eastAsia" w:ascii="宋体" w:hAnsi="宋体"/>
          <w:szCs w:val="32"/>
        </w:rPr>
        <w:t>第五部分磋商响应文件的评审</w:t>
      </w:r>
      <w:r>
        <w:tab/>
      </w:r>
      <w:r>
        <w:fldChar w:fldCharType="begin"/>
      </w:r>
      <w:r>
        <w:instrText xml:space="preserve"> PAGEREF _Toc18583 </w:instrText>
      </w:r>
      <w:r>
        <w:fldChar w:fldCharType="separate"/>
      </w:r>
      <w:r>
        <w:t>- 10 -</w:t>
      </w:r>
      <w:r>
        <w:fldChar w:fldCharType="end"/>
      </w:r>
      <w:r>
        <w:fldChar w:fldCharType="end"/>
      </w:r>
    </w:p>
    <w:p w14:paraId="603E4C23">
      <w:pPr>
        <w:pStyle w:val="32"/>
        <w:tabs>
          <w:tab w:val="right" w:leader="dot" w:pos="8821"/>
          <w:tab w:val="clear" w:pos="8810"/>
        </w:tabs>
      </w:pPr>
      <w:r>
        <w:fldChar w:fldCharType="begin"/>
      </w:r>
      <w:r>
        <w:instrText xml:space="preserve"> HYPERLINK \l "_Toc20218" </w:instrText>
      </w:r>
      <w:r>
        <w:fldChar w:fldCharType="separate"/>
      </w:r>
      <w:r>
        <w:rPr>
          <w:rFonts w:hint="eastAsia" w:ascii="宋体" w:hAnsi="宋体"/>
          <w:szCs w:val="32"/>
        </w:rPr>
        <w:t>第四章竞争性磋商评审细则</w:t>
      </w:r>
      <w:r>
        <w:tab/>
      </w:r>
      <w:r>
        <w:fldChar w:fldCharType="begin"/>
      </w:r>
      <w:r>
        <w:instrText xml:space="preserve"> PAGEREF _Toc20218 </w:instrText>
      </w:r>
      <w:r>
        <w:fldChar w:fldCharType="separate"/>
      </w:r>
      <w:r>
        <w:t>- 11 -</w:t>
      </w:r>
      <w:r>
        <w:fldChar w:fldCharType="end"/>
      </w:r>
      <w:r>
        <w:fldChar w:fldCharType="end"/>
      </w:r>
    </w:p>
    <w:p w14:paraId="7375CC21">
      <w:pPr>
        <w:pStyle w:val="32"/>
        <w:tabs>
          <w:tab w:val="right" w:leader="dot" w:pos="8821"/>
          <w:tab w:val="clear" w:pos="8810"/>
        </w:tabs>
      </w:pPr>
      <w:r>
        <w:fldChar w:fldCharType="begin"/>
      </w:r>
      <w:r>
        <w:instrText xml:space="preserve"> HYPERLINK \l "_Toc21547" </w:instrText>
      </w:r>
      <w:r>
        <w:fldChar w:fldCharType="separate"/>
      </w:r>
      <w:r>
        <w:rPr>
          <w:rFonts w:hint="eastAsia" w:ascii="宋体" w:hAnsi="宋体"/>
          <w:szCs w:val="32"/>
        </w:rPr>
        <w:t>第五章合同条款及格式</w:t>
      </w:r>
      <w:r>
        <w:tab/>
      </w:r>
      <w:r>
        <w:fldChar w:fldCharType="begin"/>
      </w:r>
      <w:r>
        <w:instrText xml:space="preserve"> PAGEREF _Toc21547 </w:instrText>
      </w:r>
      <w:r>
        <w:fldChar w:fldCharType="separate"/>
      </w:r>
      <w:r>
        <w:t>- 14 -</w:t>
      </w:r>
      <w:r>
        <w:fldChar w:fldCharType="end"/>
      </w:r>
      <w:r>
        <w:fldChar w:fldCharType="end"/>
      </w:r>
    </w:p>
    <w:p w14:paraId="1FA5DE1C">
      <w:pPr>
        <w:pStyle w:val="32"/>
        <w:tabs>
          <w:tab w:val="right" w:leader="dot" w:pos="8821"/>
          <w:tab w:val="clear" w:pos="8810"/>
        </w:tabs>
      </w:pPr>
      <w:r>
        <w:fldChar w:fldCharType="begin"/>
      </w:r>
      <w:r>
        <w:instrText xml:space="preserve"> HYPERLINK \l "_Toc13436" </w:instrText>
      </w:r>
      <w:r>
        <w:fldChar w:fldCharType="separate"/>
      </w:r>
      <w:r>
        <w:rPr>
          <w:rFonts w:hint="eastAsia" w:ascii="宋体" w:hAnsi="宋体"/>
          <w:szCs w:val="32"/>
        </w:rPr>
        <w:t>第六章　工程量清单</w:t>
      </w:r>
      <w:r>
        <w:tab/>
      </w:r>
      <w:r>
        <w:fldChar w:fldCharType="begin"/>
      </w:r>
      <w:r>
        <w:instrText xml:space="preserve"> PAGEREF _Toc13436 </w:instrText>
      </w:r>
      <w:r>
        <w:fldChar w:fldCharType="separate"/>
      </w:r>
      <w:r>
        <w:t>- 16 -</w:t>
      </w:r>
      <w:r>
        <w:fldChar w:fldCharType="end"/>
      </w:r>
      <w:r>
        <w:fldChar w:fldCharType="end"/>
      </w:r>
    </w:p>
    <w:p w14:paraId="38BFE2F2">
      <w:pPr>
        <w:pStyle w:val="32"/>
        <w:tabs>
          <w:tab w:val="right" w:leader="dot" w:pos="8821"/>
          <w:tab w:val="clear" w:pos="8810"/>
        </w:tabs>
      </w:pPr>
      <w:r>
        <w:fldChar w:fldCharType="begin"/>
      </w:r>
      <w:r>
        <w:instrText xml:space="preserve"> HYPERLINK \l "_Toc22797" </w:instrText>
      </w:r>
      <w:r>
        <w:fldChar w:fldCharType="separate"/>
      </w:r>
      <w:r>
        <w:rPr>
          <w:rFonts w:hint="eastAsia" w:ascii="宋体" w:hAnsi="宋体"/>
          <w:szCs w:val="32"/>
        </w:rPr>
        <w:t>第七章磋商响应文件格式</w:t>
      </w:r>
      <w:r>
        <w:tab/>
      </w:r>
      <w:r>
        <w:fldChar w:fldCharType="begin"/>
      </w:r>
      <w:r>
        <w:instrText xml:space="preserve"> PAGEREF _Toc22797 </w:instrText>
      </w:r>
      <w:r>
        <w:fldChar w:fldCharType="separate"/>
      </w:r>
      <w:r>
        <w:t>- 17 -</w:t>
      </w:r>
      <w:r>
        <w:fldChar w:fldCharType="end"/>
      </w:r>
      <w:r>
        <w:fldChar w:fldCharType="end"/>
      </w:r>
    </w:p>
    <w:p w14:paraId="4FFEF74F">
      <w:pPr>
        <w:tabs>
          <w:tab w:val="right" w:leader="dot" w:pos="8364"/>
        </w:tabs>
        <w:spacing w:line="360" w:lineRule="auto"/>
        <w:ind w:left="567" w:leftChars="270" w:firstLine="420" w:firstLineChars="200"/>
        <w:rPr>
          <w:rFonts w:ascii="宋体" w:cs="宋体"/>
          <w:sz w:val="24"/>
          <w:szCs w:val="24"/>
        </w:rPr>
        <w:sectPr>
          <w:footerReference r:id="rId4" w:type="first"/>
          <w:footerReference r:id="rId3" w:type="default"/>
          <w:pgSz w:w="11906" w:h="16838"/>
          <w:pgMar w:top="1418" w:right="1554" w:bottom="1418" w:left="1531" w:header="851" w:footer="680" w:gutter="0"/>
          <w:pgNumType w:start="0"/>
          <w:cols w:space="720" w:num="1"/>
          <w:titlePg/>
          <w:docGrid w:linePitch="312" w:charSpace="0"/>
        </w:sectPr>
      </w:pPr>
      <w:r>
        <w:rPr>
          <w:rFonts w:ascii="宋体" w:hAnsi="宋体" w:cs="宋体"/>
          <w:szCs w:val="24"/>
        </w:rPr>
        <w:fldChar w:fldCharType="end"/>
      </w:r>
    </w:p>
    <w:p w14:paraId="1FB9035D">
      <w:pPr>
        <w:pStyle w:val="2"/>
        <w:spacing w:line="360" w:lineRule="auto"/>
        <w:jc w:val="center"/>
        <w:rPr>
          <w:rFonts w:ascii="宋体"/>
          <w:sz w:val="32"/>
          <w:szCs w:val="32"/>
        </w:rPr>
      </w:pPr>
      <w:bookmarkStart w:id="0" w:name="_Toc21184"/>
      <w:r>
        <w:rPr>
          <w:rFonts w:hint="eastAsia" w:ascii="宋体" w:hAnsi="宋体"/>
          <w:sz w:val="32"/>
          <w:szCs w:val="32"/>
        </w:rPr>
        <w:t>第一章</w:t>
      </w:r>
      <w:r>
        <w:rPr>
          <w:rFonts w:hint="eastAsia" w:ascii="宋体" w:hAnsi="宋体"/>
          <w:sz w:val="32"/>
          <w:szCs w:val="32"/>
          <w:lang w:val="en-US" w:eastAsia="zh-CN"/>
        </w:rPr>
        <w:t xml:space="preserve">  </w:t>
      </w:r>
      <w:r>
        <w:rPr>
          <w:rFonts w:hint="eastAsia" w:ascii="宋体" w:hAnsi="宋体"/>
          <w:sz w:val="32"/>
          <w:szCs w:val="32"/>
        </w:rPr>
        <w:t>竞争性磋商公告</w:t>
      </w:r>
      <w:bookmarkEnd w:id="0"/>
    </w:p>
    <w:p w14:paraId="28B4A635">
      <w:pPr>
        <w:widowControl/>
        <w:spacing w:line="360" w:lineRule="auto"/>
        <w:ind w:firstLine="420" w:firstLineChars="200"/>
        <w:jc w:val="left"/>
        <w:textAlignment w:val="baseline"/>
        <w:rPr>
          <w:rFonts w:ascii="宋体" w:cs="宋体"/>
          <w:kern w:val="0"/>
          <w:szCs w:val="21"/>
        </w:rPr>
      </w:pPr>
      <w:r>
        <w:rPr>
          <w:rFonts w:hint="eastAsia" w:ascii="宋体" w:hAnsi="宋体" w:cs="宋体"/>
          <w:kern w:val="0"/>
          <w:szCs w:val="21"/>
        </w:rPr>
        <w:t>根据《中华人民共和国政府采购法》及相关法律、法规之规定，</w:t>
      </w:r>
      <w:r>
        <w:rPr>
          <w:rFonts w:hint="eastAsia" w:ascii="宋体" w:hAnsi="宋体" w:cs="宋体"/>
          <w:kern w:val="0"/>
          <w:szCs w:val="21"/>
          <w:lang w:eastAsia="zh-CN"/>
        </w:rPr>
        <w:t>上海煌浦建设咨询有限公司</w:t>
      </w:r>
      <w:r>
        <w:rPr>
          <w:rFonts w:hint="eastAsia" w:ascii="宋体" w:hAnsi="宋体" w:cs="宋体"/>
          <w:kern w:val="0"/>
          <w:szCs w:val="21"/>
        </w:rPr>
        <w:t>受委托，对</w:t>
      </w:r>
      <w:r>
        <w:rPr>
          <w:rFonts w:hint="eastAsia" w:ascii="宋体" w:hAnsi="宋体" w:cs="宋体"/>
          <w:iCs/>
          <w:kern w:val="0"/>
          <w:szCs w:val="21"/>
          <w:lang w:eastAsia="zh-CN"/>
        </w:rPr>
        <w:t>黄浦区老西门街道市民健身中心装修工程</w:t>
      </w:r>
      <w:r>
        <w:rPr>
          <w:rFonts w:hint="eastAsia" w:ascii="宋体" w:hAnsi="宋体" w:cs="宋体"/>
          <w:kern w:val="0"/>
          <w:szCs w:val="21"/>
        </w:rPr>
        <w:t>采购项目进行国内</w:t>
      </w:r>
      <w:r>
        <w:rPr>
          <w:rFonts w:hint="eastAsia" w:ascii="宋体" w:hAnsi="宋体" w:cs="宋体"/>
          <w:kern w:val="0"/>
          <w:szCs w:val="21"/>
          <w:lang w:eastAsia="zh-CN"/>
        </w:rPr>
        <w:t>竞争性磋商</w:t>
      </w:r>
      <w:r>
        <w:rPr>
          <w:rFonts w:hint="eastAsia" w:ascii="宋体" w:hAnsi="宋体" w:cs="宋体"/>
          <w:kern w:val="0"/>
          <w:szCs w:val="21"/>
        </w:rPr>
        <w:t>采购，特邀请合格的</w:t>
      </w:r>
      <w:r>
        <w:rPr>
          <w:rFonts w:hint="eastAsia" w:ascii="宋体" w:hAnsi="宋体" w:cs="宋体"/>
          <w:kern w:val="0"/>
          <w:szCs w:val="21"/>
          <w:lang w:eastAsia="zh-CN"/>
        </w:rPr>
        <w:t>响应单位</w:t>
      </w:r>
      <w:r>
        <w:rPr>
          <w:rFonts w:hint="eastAsia" w:ascii="宋体" w:hAnsi="宋体" w:cs="宋体"/>
          <w:kern w:val="0"/>
          <w:szCs w:val="21"/>
        </w:rPr>
        <w:t>前来</w:t>
      </w:r>
      <w:r>
        <w:rPr>
          <w:rFonts w:hint="eastAsia" w:ascii="宋体" w:hAnsi="宋体" w:cs="宋体"/>
          <w:kern w:val="0"/>
          <w:szCs w:val="21"/>
          <w:lang w:eastAsia="zh-CN"/>
        </w:rPr>
        <w:t>响应</w:t>
      </w:r>
      <w:r>
        <w:rPr>
          <w:rFonts w:hint="eastAsia" w:ascii="宋体" w:hAnsi="宋体" w:cs="宋体"/>
          <w:kern w:val="0"/>
          <w:szCs w:val="21"/>
        </w:rPr>
        <w:t>。</w:t>
      </w:r>
    </w:p>
    <w:p w14:paraId="58537AAD">
      <w:pPr>
        <w:widowControl/>
        <w:spacing w:line="360" w:lineRule="auto"/>
        <w:jc w:val="left"/>
        <w:textAlignment w:val="baseline"/>
        <w:rPr>
          <w:rFonts w:ascii="宋体" w:cs="宋体"/>
          <w:kern w:val="0"/>
          <w:szCs w:val="21"/>
        </w:rPr>
      </w:pPr>
      <w:r>
        <w:rPr>
          <w:rFonts w:hint="eastAsia" w:ascii="宋体" w:hAnsi="宋体" w:cs="宋体"/>
          <w:kern w:val="0"/>
          <w:szCs w:val="21"/>
        </w:rPr>
        <w:t>一、合格的</w:t>
      </w:r>
      <w:r>
        <w:rPr>
          <w:rFonts w:hint="eastAsia" w:ascii="宋体" w:hAnsi="宋体" w:cs="宋体"/>
          <w:kern w:val="0"/>
          <w:szCs w:val="21"/>
          <w:lang w:eastAsia="zh-CN"/>
        </w:rPr>
        <w:t>响应单位</w:t>
      </w:r>
      <w:r>
        <w:rPr>
          <w:rFonts w:hint="eastAsia" w:ascii="宋体" w:hAnsi="宋体" w:cs="宋体"/>
          <w:kern w:val="0"/>
          <w:szCs w:val="21"/>
        </w:rPr>
        <w:t>必须具备以下条件：</w:t>
      </w:r>
    </w:p>
    <w:p w14:paraId="632F48A9">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、符合《中华人民共和国政府采购法》第二十二条规定的</w:t>
      </w:r>
      <w:r>
        <w:rPr>
          <w:rFonts w:hint="eastAsia" w:ascii="宋体" w:hAnsi="宋体" w:cs="宋体"/>
          <w:kern w:val="0"/>
          <w:szCs w:val="21"/>
          <w:lang w:eastAsia="zh-CN"/>
        </w:rPr>
        <w:t>响应单位</w:t>
      </w:r>
      <w:r>
        <w:rPr>
          <w:rFonts w:hint="eastAsia" w:ascii="宋体" w:hAnsi="宋体" w:cs="宋体"/>
          <w:kern w:val="0"/>
          <w:szCs w:val="21"/>
        </w:rPr>
        <w:t>。</w:t>
      </w:r>
    </w:p>
    <w:p w14:paraId="2A6FD02C">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、根据《上海市政府采购</w:t>
      </w:r>
      <w:r>
        <w:rPr>
          <w:rFonts w:hint="eastAsia" w:ascii="宋体" w:hAnsi="宋体" w:cs="宋体"/>
          <w:kern w:val="0"/>
          <w:szCs w:val="21"/>
          <w:lang w:eastAsia="zh-CN"/>
        </w:rPr>
        <w:t>响应单位</w:t>
      </w:r>
      <w:r>
        <w:rPr>
          <w:rFonts w:hint="eastAsia" w:ascii="宋体" w:hAnsi="宋体" w:cs="宋体"/>
          <w:kern w:val="0"/>
          <w:szCs w:val="21"/>
        </w:rPr>
        <w:t>登记及诚信管理办法》已登记入库的</w:t>
      </w:r>
      <w:r>
        <w:rPr>
          <w:rFonts w:hint="eastAsia" w:ascii="宋体" w:hAnsi="宋体" w:cs="宋体"/>
          <w:kern w:val="0"/>
          <w:szCs w:val="21"/>
          <w:lang w:eastAsia="zh-CN"/>
        </w:rPr>
        <w:t>响应单位</w:t>
      </w:r>
      <w:r>
        <w:rPr>
          <w:rFonts w:hint="eastAsia" w:ascii="宋体" w:hAnsi="宋体" w:cs="宋体"/>
          <w:kern w:val="0"/>
          <w:szCs w:val="21"/>
        </w:rPr>
        <w:t>。</w:t>
      </w:r>
    </w:p>
    <w:p w14:paraId="08834975">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、其他资格要求：</w:t>
      </w:r>
    </w:p>
    <w:p w14:paraId="506FA54D">
      <w:pPr>
        <w:widowControl/>
        <w:spacing w:line="360" w:lineRule="auto"/>
        <w:jc w:val="left"/>
        <w:textAlignment w:val="baseline"/>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具有独立承担民事责任的法人；</w:t>
      </w:r>
    </w:p>
    <w:p w14:paraId="4FD0556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本次</w:t>
      </w:r>
      <w:r>
        <w:rPr>
          <w:rFonts w:hint="eastAsia" w:ascii="宋体" w:hAnsi="宋体" w:cs="宋体"/>
          <w:kern w:val="0"/>
          <w:szCs w:val="21"/>
          <w:lang w:eastAsia="zh-CN"/>
        </w:rPr>
        <w:t>竞争性磋商</w:t>
      </w:r>
      <w:r>
        <w:rPr>
          <w:rFonts w:hint="eastAsia" w:ascii="宋体" w:hAnsi="宋体" w:cs="宋体"/>
          <w:kern w:val="0"/>
          <w:szCs w:val="21"/>
        </w:rPr>
        <w:t>需要网上</w:t>
      </w:r>
      <w:r>
        <w:rPr>
          <w:rFonts w:hint="eastAsia" w:ascii="宋体" w:hAnsi="宋体" w:cs="宋体"/>
          <w:kern w:val="0"/>
          <w:szCs w:val="21"/>
          <w:lang w:eastAsia="zh-CN"/>
        </w:rPr>
        <w:t>响应</w:t>
      </w:r>
      <w:r>
        <w:rPr>
          <w:rFonts w:hint="eastAsia" w:ascii="宋体" w:hAnsi="宋体" w:cs="宋体"/>
          <w:kern w:val="0"/>
          <w:szCs w:val="21"/>
        </w:rPr>
        <w:t>，</w:t>
      </w:r>
      <w:r>
        <w:rPr>
          <w:rFonts w:hint="eastAsia" w:ascii="宋体" w:hAnsi="宋体" w:cs="宋体"/>
          <w:kern w:val="0"/>
          <w:szCs w:val="21"/>
          <w:lang w:eastAsia="zh-CN"/>
        </w:rPr>
        <w:t>响应单位</w:t>
      </w:r>
      <w:r>
        <w:rPr>
          <w:rFonts w:hint="eastAsia" w:ascii="宋体" w:hAnsi="宋体" w:cs="宋体"/>
          <w:kern w:val="0"/>
          <w:szCs w:val="21"/>
        </w:rPr>
        <w:t>必须获得上海市电子签名认证证书（</w:t>
      </w:r>
      <w:r>
        <w:rPr>
          <w:rFonts w:ascii="宋体" w:hAnsi="宋体" w:cs="宋体"/>
          <w:kern w:val="0"/>
          <w:szCs w:val="21"/>
        </w:rPr>
        <w:t>CA</w:t>
      </w:r>
      <w:r>
        <w:rPr>
          <w:rFonts w:hint="eastAsia" w:ascii="宋体" w:hAnsi="宋体" w:cs="宋体"/>
          <w:kern w:val="0"/>
          <w:szCs w:val="21"/>
        </w:rPr>
        <w:t>认证证书）；</w:t>
      </w:r>
    </w:p>
    <w:p w14:paraId="3FA466D0">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具有良好的商业信誉和健全的财务会计制度、有依法缴纳税收和社会保障资金的良好记录、参加政府采购活动前三年内，在经营活动中没有重大违法记录；</w:t>
      </w:r>
    </w:p>
    <w:p w14:paraId="03022FE2">
      <w:pPr>
        <w:widowControl/>
        <w:spacing w:line="360" w:lineRule="auto"/>
        <w:jc w:val="left"/>
        <w:textAlignment w:val="baseline"/>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hint="eastAsia" w:ascii="宋体" w:hAnsi="宋体" w:cs="楷体_GB2312"/>
          <w:szCs w:val="21"/>
          <w:lang w:eastAsia="zh-CN"/>
        </w:rPr>
        <w:t>具备建筑工程施工总承包资质三级及以上资质</w:t>
      </w:r>
      <w:r>
        <w:rPr>
          <w:rFonts w:hint="eastAsia" w:ascii="宋体" w:hAnsi="宋体" w:cs="宋体"/>
          <w:kern w:val="0"/>
          <w:szCs w:val="21"/>
        </w:rPr>
        <w:t>；</w:t>
      </w:r>
    </w:p>
    <w:p w14:paraId="007368F6">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）具备有效期内的安全生产许可证；</w:t>
      </w:r>
    </w:p>
    <w:p w14:paraId="03581C51">
      <w:pPr>
        <w:widowControl/>
        <w:spacing w:line="360" w:lineRule="auto"/>
        <w:jc w:val="left"/>
        <w:textAlignment w:val="baseline"/>
        <w:rPr>
          <w:rFonts w:ascii="宋体" w:hAnsi="宋体" w:cs="楷体_GB2312"/>
          <w:szCs w:val="21"/>
        </w:rPr>
      </w:pPr>
      <w:r>
        <w:rPr>
          <w:rFonts w:ascii="宋体" w:hAnsi="宋体" w:cs="宋体"/>
          <w:kern w:val="0"/>
          <w:szCs w:val="21"/>
        </w:rPr>
        <w:t>6</w:t>
      </w:r>
      <w:r>
        <w:rPr>
          <w:rFonts w:hint="eastAsia" w:ascii="宋体" w:hAnsi="宋体" w:cs="宋体"/>
          <w:kern w:val="0"/>
          <w:szCs w:val="21"/>
        </w:rPr>
        <w:t>）</w:t>
      </w:r>
      <w:r>
        <w:rPr>
          <w:rFonts w:hint="eastAsia" w:ascii="宋体" w:hAnsi="宋体" w:cs="楷体_GB2312"/>
          <w:szCs w:val="21"/>
        </w:rPr>
        <w:t>项目拟派项目经理具有</w:t>
      </w:r>
      <w:r>
        <w:rPr>
          <w:rFonts w:hint="eastAsia" w:ascii="宋体" w:hAnsi="宋体" w:cs="楷体_GB2312"/>
          <w:b/>
          <w:bCs/>
          <w:szCs w:val="21"/>
          <w:lang w:eastAsia="zh-CN"/>
        </w:rPr>
        <w:t>建筑工程</w:t>
      </w:r>
      <w:r>
        <w:rPr>
          <w:rFonts w:hint="eastAsia" w:ascii="宋体" w:hAnsi="宋体" w:cs="楷体_GB2312"/>
          <w:szCs w:val="21"/>
        </w:rPr>
        <w:t>专业二级（及以上）注册建造师执业资格；</w:t>
      </w:r>
    </w:p>
    <w:p w14:paraId="6216C5ED">
      <w:pPr>
        <w:widowControl/>
        <w:spacing w:line="360" w:lineRule="auto"/>
        <w:jc w:val="left"/>
        <w:textAlignment w:val="baseline"/>
        <w:rPr>
          <w:rFonts w:ascii="宋体" w:hAnsi="宋体" w:cs="宋体"/>
          <w:kern w:val="0"/>
          <w:szCs w:val="21"/>
        </w:rPr>
      </w:pPr>
      <w:r>
        <w:rPr>
          <w:rFonts w:hint="eastAsia" w:ascii="宋体" w:hAnsi="宋体" w:cs="宋体"/>
          <w:kern w:val="0"/>
          <w:szCs w:val="21"/>
        </w:rPr>
        <w:t>7</w:t>
      </w:r>
      <w:r>
        <w:rPr>
          <w:rFonts w:ascii="宋体" w:hAnsi="宋体" w:cs="宋体"/>
          <w:kern w:val="0"/>
          <w:szCs w:val="21"/>
        </w:rPr>
        <w:t>)</w:t>
      </w:r>
      <w:r>
        <w:rPr>
          <w:rFonts w:hint="eastAsia" w:ascii="宋体" w:hAnsi="宋体" w:cs="宋体"/>
          <w:kern w:val="0"/>
          <w:szCs w:val="21"/>
        </w:rPr>
        <w:t>本项目不接受联合体。</w:t>
      </w:r>
    </w:p>
    <w:p w14:paraId="085BDE14">
      <w:pPr>
        <w:widowControl/>
        <w:spacing w:line="360" w:lineRule="auto"/>
        <w:jc w:val="left"/>
        <w:textAlignment w:val="baseline"/>
        <w:rPr>
          <w:rFonts w:ascii="宋体" w:cs="宋体"/>
          <w:kern w:val="0"/>
          <w:szCs w:val="21"/>
        </w:rPr>
      </w:pPr>
      <w:r>
        <w:rPr>
          <w:rFonts w:hint="eastAsia" w:ascii="宋体" w:hAnsi="宋体" w:cs="宋体"/>
          <w:kern w:val="0"/>
          <w:szCs w:val="21"/>
        </w:rPr>
        <w:t>注：</w:t>
      </w:r>
      <w:r>
        <w:rPr>
          <w:rFonts w:hint="eastAsia" w:ascii="宋体" w:hAnsi="宋体" w:cs="宋体"/>
          <w:kern w:val="0"/>
          <w:szCs w:val="21"/>
          <w:lang w:eastAsia="zh-CN"/>
        </w:rPr>
        <w:t>响应单位</w:t>
      </w:r>
      <w:r>
        <w:rPr>
          <w:rFonts w:hint="eastAsia" w:ascii="宋体" w:hAnsi="宋体" w:cs="宋体"/>
          <w:kern w:val="0"/>
          <w:szCs w:val="21"/>
        </w:rPr>
        <w:t>应提供满足上述资格要求的充分证明。所提供的各类证件、证书、证明、说明，具有有效期的，</w:t>
      </w:r>
      <w:r>
        <w:rPr>
          <w:rFonts w:hint="eastAsia" w:ascii="宋体" w:hAnsi="宋体" w:cs="宋体"/>
          <w:kern w:val="0"/>
          <w:szCs w:val="21"/>
          <w:lang w:eastAsia="zh-CN"/>
        </w:rPr>
        <w:t>磋商</w:t>
      </w:r>
      <w:r>
        <w:rPr>
          <w:rFonts w:hint="eastAsia" w:ascii="宋体" w:hAnsi="宋体" w:cs="宋体"/>
          <w:kern w:val="0"/>
          <w:szCs w:val="21"/>
        </w:rPr>
        <w:t>时均应在有效期内，否则不予认可。</w:t>
      </w:r>
    </w:p>
    <w:p w14:paraId="7666DED4">
      <w:pPr>
        <w:widowControl/>
        <w:spacing w:line="360" w:lineRule="auto"/>
        <w:jc w:val="left"/>
        <w:textAlignment w:val="baseline"/>
        <w:rPr>
          <w:rFonts w:ascii="宋体" w:cs="宋体"/>
          <w:kern w:val="0"/>
          <w:szCs w:val="21"/>
        </w:rPr>
      </w:pPr>
      <w:r>
        <w:rPr>
          <w:rFonts w:hint="eastAsia" w:ascii="宋体" w:hAnsi="宋体" w:cs="宋体"/>
          <w:kern w:val="0"/>
          <w:szCs w:val="21"/>
        </w:rPr>
        <w:t>二、项目概况：</w:t>
      </w:r>
    </w:p>
    <w:p w14:paraId="352C13EA">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、项目名称：</w:t>
      </w:r>
      <w:r>
        <w:rPr>
          <w:rFonts w:hint="eastAsia" w:ascii="宋体" w:hAnsi="宋体" w:cs="宋体"/>
          <w:b/>
          <w:bCs/>
          <w:iCs/>
          <w:kern w:val="0"/>
          <w:szCs w:val="21"/>
          <w:lang w:eastAsia="zh-CN"/>
        </w:rPr>
        <w:t>黄浦区老西门街道市民健身中心装修工程</w:t>
      </w:r>
    </w:p>
    <w:p w14:paraId="37AD59C0">
      <w:pPr>
        <w:widowControl/>
        <w:spacing w:line="360" w:lineRule="auto"/>
        <w:jc w:val="left"/>
        <w:textAlignment w:val="baseline"/>
        <w:rPr>
          <w:rFonts w:ascii="宋体" w:cs="宋体"/>
          <w:kern w:val="0"/>
          <w:szCs w:val="21"/>
        </w:rPr>
      </w:pPr>
      <w:r>
        <w:rPr>
          <w:rFonts w:hint="eastAsia" w:ascii="宋体" w:hAnsi="宋体" w:cs="宋体"/>
          <w:kern w:val="0"/>
          <w:szCs w:val="21"/>
        </w:rPr>
        <w:t>2、项目主要内容、数量及简要规格描述或项目基本概况介绍：</w:t>
      </w:r>
    </w:p>
    <w:p w14:paraId="4384A873">
      <w:pPr>
        <w:widowControl/>
        <w:spacing w:line="360" w:lineRule="auto"/>
        <w:ind w:firstLine="420" w:firstLineChars="200"/>
        <w:jc w:val="left"/>
        <w:textAlignment w:val="baseline"/>
        <w:rPr>
          <w:rFonts w:hint="eastAsia" w:ascii="宋体" w:eastAsia="宋体" w:cs="宋体"/>
          <w:kern w:val="0"/>
          <w:szCs w:val="21"/>
          <w:highlight w:val="none"/>
          <w:lang w:eastAsia="zh-CN"/>
        </w:rPr>
      </w:pPr>
      <w:r>
        <w:rPr>
          <w:rFonts w:hint="eastAsia" w:ascii="宋体" w:hAnsi="宋体" w:cs="宋体"/>
          <w:kern w:val="0"/>
          <w:szCs w:val="21"/>
          <w:highlight w:val="none"/>
        </w:rPr>
        <w:t>本项目拟在不改变建筑主体承重结构和建筑面积的基础上，对黄浦区大兴街12-22号第2层房屋进行装修，主要包括：房屋功能布局调整，室内装修工程和安装工程等。项目实施总建筑面积为1634.1平方米</w:t>
      </w:r>
      <w:r>
        <w:rPr>
          <w:rFonts w:hint="eastAsia" w:ascii="宋体" w:hAnsi="宋体" w:cs="宋体"/>
          <w:kern w:val="0"/>
          <w:szCs w:val="21"/>
          <w:highlight w:val="none"/>
          <w:lang w:eastAsia="zh-CN"/>
        </w:rPr>
        <w:t>。</w:t>
      </w:r>
      <w:r>
        <w:rPr>
          <w:rFonts w:hint="eastAsia" w:ascii="宋体" w:hAnsi="宋体" w:cs="宋体"/>
          <w:kern w:val="0"/>
          <w:szCs w:val="21"/>
          <w:highlight w:val="none"/>
        </w:rPr>
        <w:t>施工工期（日历天）：</w:t>
      </w:r>
      <w:r>
        <w:rPr>
          <w:rFonts w:hint="eastAsia" w:ascii="宋体" w:hAnsi="宋体" w:cs="宋体"/>
          <w:kern w:val="0"/>
          <w:szCs w:val="21"/>
          <w:highlight w:val="none"/>
          <w:lang w:val="en-US" w:eastAsia="zh-CN"/>
        </w:rPr>
        <w:t>60</w:t>
      </w:r>
      <w:r>
        <w:rPr>
          <w:rFonts w:hint="eastAsia" w:ascii="宋体" w:hAnsi="宋体" w:cs="宋体"/>
          <w:kern w:val="0"/>
          <w:szCs w:val="21"/>
          <w:highlight w:val="none"/>
        </w:rPr>
        <w:t>（日历天），计划开工日期：202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7</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20</w:t>
      </w:r>
      <w:r>
        <w:rPr>
          <w:rFonts w:hint="eastAsia" w:ascii="宋体" w:hAnsi="宋体" w:cs="宋体"/>
          <w:kern w:val="0"/>
          <w:szCs w:val="21"/>
          <w:highlight w:val="none"/>
        </w:rPr>
        <w:t>日</w:t>
      </w:r>
      <w:r>
        <w:rPr>
          <w:rFonts w:ascii="宋体" w:hAnsi="宋体" w:cs="宋体"/>
          <w:kern w:val="0"/>
          <w:szCs w:val="21"/>
          <w:highlight w:val="none"/>
        </w:rPr>
        <w:t>(</w:t>
      </w:r>
      <w:r>
        <w:rPr>
          <w:rFonts w:hint="eastAsia" w:ascii="宋体" w:hAnsi="宋体" w:cs="宋体"/>
          <w:kern w:val="0"/>
          <w:szCs w:val="21"/>
          <w:highlight w:val="none"/>
        </w:rPr>
        <w:t>具体开工日期以业主开工令为准</w:t>
      </w:r>
      <w:r>
        <w:rPr>
          <w:rFonts w:ascii="宋体" w:hAnsi="宋体" w:cs="宋体"/>
          <w:kern w:val="0"/>
          <w:szCs w:val="21"/>
          <w:highlight w:val="none"/>
        </w:rPr>
        <w:t>)</w:t>
      </w:r>
      <w:r>
        <w:rPr>
          <w:rFonts w:hint="eastAsia" w:ascii="宋体" w:hAnsi="宋体" w:cs="宋体"/>
          <w:kern w:val="0"/>
          <w:szCs w:val="21"/>
          <w:highlight w:val="none"/>
          <w:lang w:eastAsia="zh-CN"/>
        </w:rPr>
        <w:t>。</w:t>
      </w:r>
    </w:p>
    <w:p w14:paraId="677DD591">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、交付地址：业主指定</w:t>
      </w:r>
    </w:p>
    <w:p w14:paraId="74261CC0">
      <w:pPr>
        <w:widowControl/>
        <w:spacing w:line="360" w:lineRule="auto"/>
        <w:jc w:val="left"/>
        <w:textAlignment w:val="baseline"/>
        <w:rPr>
          <w:rFonts w:ascii="宋体" w:cs="宋体"/>
          <w:kern w:val="0"/>
          <w:szCs w:val="21"/>
          <w:highlight w:val="yellow"/>
        </w:rPr>
      </w:pPr>
      <w:r>
        <w:rPr>
          <w:rFonts w:ascii="宋体" w:hAnsi="宋体" w:cs="宋体"/>
          <w:kern w:val="0"/>
          <w:szCs w:val="21"/>
          <w:highlight w:val="none"/>
        </w:rPr>
        <w:t>6</w:t>
      </w:r>
      <w:r>
        <w:rPr>
          <w:rFonts w:hint="eastAsia" w:ascii="宋体" w:hAnsi="宋体" w:cs="宋体"/>
          <w:kern w:val="0"/>
          <w:szCs w:val="21"/>
          <w:highlight w:val="none"/>
        </w:rPr>
        <w:t>、交付日期：</w:t>
      </w:r>
      <w:r>
        <w:rPr>
          <w:rFonts w:hint="eastAsia" w:ascii="宋体" w:hAnsi="宋体" w:cs="宋体"/>
          <w:kern w:val="0"/>
          <w:szCs w:val="21"/>
          <w:highlight w:val="none"/>
          <w:lang w:val="en-US" w:eastAsia="zh-CN"/>
        </w:rPr>
        <w:t>60</w:t>
      </w:r>
      <w:r>
        <w:rPr>
          <w:rFonts w:hint="eastAsia" w:ascii="宋体" w:hAnsi="宋体" w:cs="宋体"/>
          <w:kern w:val="0"/>
          <w:szCs w:val="21"/>
          <w:highlight w:val="none"/>
        </w:rPr>
        <w:t>（日历天）</w:t>
      </w:r>
    </w:p>
    <w:p w14:paraId="354BB9EB">
      <w:pPr>
        <w:keepNext w:val="0"/>
        <w:keepLines w:val="0"/>
        <w:widowControl/>
        <w:suppressLineNumbers w:val="0"/>
        <w:spacing w:line="360" w:lineRule="auto"/>
        <w:jc w:val="left"/>
        <w:rPr>
          <w:rFonts w:ascii="宋体" w:cs="宋体"/>
          <w:kern w:val="0"/>
          <w:szCs w:val="21"/>
          <w:highlight w:val="none"/>
        </w:rPr>
      </w:pPr>
      <w:r>
        <w:rPr>
          <w:rFonts w:ascii="宋体" w:hAnsi="宋体" w:cs="宋体"/>
          <w:kern w:val="0"/>
          <w:szCs w:val="21"/>
        </w:rPr>
        <w:t>7</w:t>
      </w:r>
      <w:r>
        <w:rPr>
          <w:rFonts w:hint="eastAsia" w:ascii="宋体" w:hAnsi="宋体" w:cs="宋体"/>
          <w:kern w:val="0"/>
          <w:szCs w:val="21"/>
        </w:rPr>
        <w:t>、</w:t>
      </w:r>
      <w:r>
        <w:rPr>
          <w:rFonts w:hint="eastAsia" w:ascii="宋体" w:hAnsi="宋体" w:cs="宋体"/>
          <w:b/>
          <w:bCs/>
          <w:kern w:val="0"/>
          <w:szCs w:val="21"/>
        </w:rPr>
        <w:t>采购预算金额：</w:t>
      </w:r>
      <w:r>
        <w:rPr>
          <w:rFonts w:hint="eastAsia" w:ascii="宋体" w:hAnsi="宋体" w:cs="宋体"/>
          <w:b/>
          <w:bCs/>
          <w:kern w:val="0"/>
          <w:szCs w:val="21"/>
          <w:lang w:val="en-US" w:eastAsia="zh-CN"/>
        </w:rPr>
        <w:t>3621200</w:t>
      </w:r>
      <w:r>
        <w:rPr>
          <w:rFonts w:hint="eastAsia" w:ascii="宋体" w:hAnsi="宋体" w:cs="宋体"/>
          <w:b/>
          <w:bCs/>
          <w:kern w:val="0"/>
          <w:szCs w:val="21"/>
        </w:rPr>
        <w:t>元（国库资金：</w:t>
      </w:r>
      <w:r>
        <w:rPr>
          <w:rFonts w:hint="eastAsia" w:ascii="宋体" w:hAnsi="宋体" w:cs="宋体"/>
          <w:b/>
          <w:bCs/>
          <w:kern w:val="0"/>
          <w:szCs w:val="21"/>
          <w:lang w:val="en-US" w:eastAsia="zh-CN"/>
        </w:rPr>
        <w:t>3621200</w:t>
      </w:r>
      <w:r>
        <w:rPr>
          <w:rFonts w:hint="eastAsia" w:ascii="宋体" w:hAnsi="宋体" w:cs="宋体"/>
          <w:b/>
          <w:bCs/>
          <w:kern w:val="0"/>
          <w:szCs w:val="21"/>
        </w:rPr>
        <w:t>元；自筹资金：</w:t>
      </w:r>
      <w:r>
        <w:rPr>
          <w:rFonts w:ascii="宋体" w:cs="宋体"/>
          <w:b/>
          <w:bCs/>
          <w:kern w:val="0"/>
          <w:szCs w:val="21"/>
        </w:rPr>
        <w:t>0</w:t>
      </w:r>
      <w:r>
        <w:rPr>
          <w:rFonts w:hint="eastAsia" w:ascii="宋体" w:hAnsi="宋体" w:cs="宋体"/>
          <w:b/>
          <w:bCs/>
          <w:kern w:val="0"/>
          <w:szCs w:val="21"/>
        </w:rPr>
        <w:t>元）,</w:t>
      </w:r>
      <w:r>
        <w:rPr>
          <w:rFonts w:hint="eastAsia" w:ascii="宋体" w:hAnsi="宋体" w:cs="宋体"/>
          <w:b/>
          <w:bCs/>
          <w:kern w:val="0"/>
          <w:szCs w:val="21"/>
          <w:highlight w:val="none"/>
        </w:rPr>
        <w:t>本项目</w:t>
      </w:r>
      <w:r>
        <w:rPr>
          <w:rFonts w:hint="eastAsia" w:ascii="宋体" w:hAnsi="宋体" w:cs="宋体"/>
          <w:b/>
          <w:bCs/>
          <w:kern w:val="0"/>
          <w:szCs w:val="21"/>
          <w:lang w:val="en-US" w:eastAsia="zh-CN"/>
        </w:rPr>
        <w:t>最高投标限价</w:t>
      </w:r>
      <w:r>
        <w:rPr>
          <w:rFonts w:hint="eastAsia" w:ascii="宋体" w:hAnsi="宋体" w:cs="宋体"/>
          <w:b/>
          <w:bCs/>
          <w:kern w:val="0"/>
          <w:szCs w:val="21"/>
          <w:highlight w:val="none"/>
          <w:lang w:val="en-US" w:eastAsia="zh-CN"/>
        </w:rPr>
        <w:t>为3619381.62元，</w:t>
      </w:r>
      <w:r>
        <w:rPr>
          <w:rFonts w:hint="eastAsia" w:ascii="宋体" w:hAnsi="宋体" w:cs="宋体"/>
          <w:kern w:val="0"/>
          <w:szCs w:val="21"/>
          <w:highlight w:val="none"/>
          <w:lang w:eastAsia="zh-CN"/>
        </w:rPr>
        <w:t>磋商</w:t>
      </w:r>
      <w:r>
        <w:rPr>
          <w:rFonts w:hint="eastAsia" w:ascii="宋体" w:hAnsi="宋体" w:cs="宋体"/>
          <w:kern w:val="0"/>
          <w:szCs w:val="21"/>
          <w:highlight w:val="none"/>
        </w:rPr>
        <w:t>报价超过此限价作为无效标处理。</w:t>
      </w:r>
    </w:p>
    <w:p w14:paraId="194AC1C8">
      <w:pPr>
        <w:widowControl/>
        <w:spacing w:line="360" w:lineRule="auto"/>
        <w:jc w:val="left"/>
        <w:textAlignment w:val="baseline"/>
        <w:rPr>
          <w:rFonts w:hint="eastAsia" w:ascii="宋体" w:hAnsi="宋体" w:cs="宋体"/>
          <w:kern w:val="0"/>
          <w:szCs w:val="21"/>
        </w:rPr>
      </w:pPr>
      <w:r>
        <w:rPr>
          <w:rFonts w:ascii="宋体" w:hAnsi="宋体" w:cs="宋体"/>
          <w:kern w:val="0"/>
          <w:szCs w:val="21"/>
          <w:highlight w:val="none"/>
        </w:rPr>
        <w:t>8</w:t>
      </w:r>
      <w:r>
        <w:rPr>
          <w:rFonts w:hint="eastAsia" w:ascii="宋体" w:hAnsi="宋体" w:cs="宋体"/>
          <w:kern w:val="0"/>
          <w:szCs w:val="21"/>
          <w:highlight w:val="none"/>
        </w:rPr>
        <w:t>、采购项目需要落实的政府采购政策情况：本采购项目执行中小企业、福利企业等的政府采购政策。根据财库46号文</w:t>
      </w:r>
      <w:r>
        <w:rPr>
          <w:rFonts w:hint="eastAsia" w:ascii="宋体" w:hAnsi="宋体" w:cs="宋体"/>
          <w:kern w:val="0"/>
          <w:szCs w:val="21"/>
          <w:highlight w:val="none"/>
          <w:lang w:val="en-US" w:eastAsia="zh-CN"/>
        </w:rPr>
        <w:t>，</w:t>
      </w:r>
      <w:r>
        <w:rPr>
          <w:rFonts w:hint="eastAsia" w:ascii="宋体" w:hAnsi="宋体" w:cs="宋体"/>
          <w:kern w:val="0"/>
          <w:szCs w:val="21"/>
          <w:highlight w:val="none"/>
        </w:rPr>
        <w:t>本项目专门面向中小企业。</w:t>
      </w:r>
    </w:p>
    <w:p w14:paraId="533D3C4F">
      <w:pPr>
        <w:widowControl/>
        <w:spacing w:line="360" w:lineRule="auto"/>
        <w:jc w:val="left"/>
        <w:textAlignment w:val="baseline"/>
        <w:rPr>
          <w:rFonts w:ascii="宋体" w:cs="宋体"/>
          <w:kern w:val="0"/>
          <w:szCs w:val="21"/>
        </w:rPr>
      </w:pPr>
      <w:r>
        <w:rPr>
          <w:rFonts w:hint="eastAsia" w:ascii="宋体" w:hAnsi="宋体" w:cs="宋体"/>
          <w:kern w:val="0"/>
          <w:szCs w:val="21"/>
        </w:rPr>
        <w:t>三、竞争性磋商文件的获取</w:t>
      </w:r>
    </w:p>
    <w:p w14:paraId="7FA60D08">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、合格的</w:t>
      </w:r>
      <w:r>
        <w:rPr>
          <w:rFonts w:hint="eastAsia" w:ascii="宋体" w:hAnsi="宋体" w:cs="宋体"/>
          <w:kern w:val="0"/>
          <w:szCs w:val="21"/>
          <w:lang w:eastAsia="zh-CN"/>
        </w:rPr>
        <w:t>响应单位</w:t>
      </w:r>
      <w:r>
        <w:rPr>
          <w:rFonts w:hint="eastAsia" w:ascii="宋体" w:hAnsi="宋体" w:cs="宋体"/>
          <w:kern w:val="0"/>
          <w:szCs w:val="21"/>
        </w:rPr>
        <w:t>可于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6</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30</w:t>
      </w:r>
      <w:r>
        <w:rPr>
          <w:rFonts w:hint="eastAsia" w:ascii="宋体" w:hAnsi="宋体" w:cs="宋体"/>
          <w:b/>
          <w:bCs/>
          <w:kern w:val="0"/>
          <w:szCs w:val="21"/>
          <w:highlight w:val="none"/>
        </w:rPr>
        <w:t>日上午09:00起至202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日</w:t>
      </w:r>
      <w:r>
        <w:rPr>
          <w:rFonts w:hint="eastAsia" w:ascii="宋体" w:hAnsi="宋体" w:cs="宋体"/>
          <w:b/>
          <w:bCs/>
          <w:kern w:val="0"/>
          <w:szCs w:val="21"/>
        </w:rPr>
        <w:t>下午16:00</w:t>
      </w:r>
      <w:r>
        <w:rPr>
          <w:rFonts w:hint="eastAsia" w:ascii="宋体" w:hAnsi="宋体" w:cs="宋体"/>
          <w:kern w:val="0"/>
          <w:szCs w:val="21"/>
        </w:rPr>
        <w:t>截止，登录“上海政府采购”（</w:t>
      </w:r>
      <w:r>
        <w:fldChar w:fldCharType="begin"/>
      </w:r>
      <w:r>
        <w:instrText xml:space="preserve"> HYPERLINK "http://www.zfcg.sh.gov.cn/" \t "http://www.zfcg.sh.gov.cn/resource/_top" </w:instrText>
      </w:r>
      <w:r>
        <w:fldChar w:fldCharType="separate"/>
      </w:r>
      <w:r>
        <w:rPr>
          <w:rFonts w:ascii="宋体" w:hAnsi="宋体" w:cs="宋体"/>
          <w:kern w:val="0"/>
          <w:szCs w:val="21"/>
        </w:rPr>
        <w:t>http://</w:t>
      </w:r>
      <w:r>
        <w:rPr>
          <w:rFonts w:hint="eastAsia" w:ascii="宋体" w:hAnsi="宋体" w:cs="宋体"/>
          <w:kern w:val="0"/>
          <w:szCs w:val="21"/>
        </w:rPr>
        <w:t>https://home.zfcg.sh.gov.cn/</w:t>
      </w:r>
      <w:r>
        <w:rPr>
          <w:rFonts w:hint="eastAsia" w:ascii="宋体" w:hAnsi="宋体" w:cs="宋体"/>
          <w:kern w:val="0"/>
          <w:szCs w:val="21"/>
        </w:rPr>
        <w:fldChar w:fldCharType="end"/>
      </w:r>
      <w:r>
        <w:rPr>
          <w:rFonts w:hint="eastAsia" w:ascii="宋体" w:hAnsi="宋体" w:cs="宋体"/>
          <w:kern w:val="0"/>
          <w:szCs w:val="21"/>
        </w:rPr>
        <w:t>）在网上招标系统中上传如下材料：</w:t>
      </w:r>
    </w:p>
    <w:p w14:paraId="192E400B">
      <w:pPr>
        <w:widowControl/>
        <w:spacing w:line="360" w:lineRule="auto"/>
        <w:jc w:val="left"/>
        <w:textAlignment w:val="baseline"/>
        <w:rPr>
          <w:rFonts w:ascii="宋体" w:cs="宋体"/>
          <w:kern w:val="0"/>
          <w:szCs w:val="21"/>
        </w:rPr>
      </w:pPr>
      <w:r>
        <w:rPr>
          <w:rFonts w:ascii="宋体" w:hAnsi="宋体" w:cs="宋体"/>
          <w:kern w:val="0"/>
          <w:szCs w:val="21"/>
        </w:rPr>
        <w:t xml:space="preserve">1. </w:t>
      </w:r>
      <w:r>
        <w:rPr>
          <w:rFonts w:hint="eastAsia" w:ascii="宋体" w:hAnsi="宋体" w:cs="宋体"/>
          <w:kern w:val="0"/>
          <w:szCs w:val="21"/>
        </w:rPr>
        <w:t>营业执照原件彩色扫描件；</w:t>
      </w:r>
      <w:r>
        <w:rPr>
          <w:rFonts w:ascii="宋体" w:hAnsi="宋体" w:cs="宋体"/>
          <w:kern w:val="0"/>
          <w:szCs w:val="21"/>
        </w:rPr>
        <w:t>2</w:t>
      </w:r>
      <w:r>
        <w:rPr>
          <w:rFonts w:hint="eastAsia" w:ascii="宋体" w:hAnsi="宋体" w:cs="宋体"/>
          <w:kern w:val="0"/>
          <w:szCs w:val="21"/>
        </w:rPr>
        <w:t>．资质证书原件彩色扫描件；</w:t>
      </w:r>
      <w:r>
        <w:rPr>
          <w:rFonts w:ascii="宋体" w:hAnsi="宋体" w:cs="宋体"/>
          <w:kern w:val="0"/>
          <w:szCs w:val="21"/>
        </w:rPr>
        <w:t>3.</w:t>
      </w:r>
      <w:r>
        <w:rPr>
          <w:rFonts w:hint="eastAsia" w:ascii="宋体" w:hAnsi="宋体" w:cs="宋体"/>
          <w:kern w:val="0"/>
          <w:szCs w:val="21"/>
        </w:rPr>
        <w:t>有效期内的安全生产许可证彩色扫描件；</w:t>
      </w:r>
      <w:r>
        <w:rPr>
          <w:rFonts w:ascii="宋体" w:hAnsi="宋体" w:cs="宋体"/>
          <w:kern w:val="0"/>
          <w:szCs w:val="21"/>
        </w:rPr>
        <w:t>4</w:t>
      </w:r>
      <w:r>
        <w:rPr>
          <w:rFonts w:hint="eastAsia" w:ascii="宋体" w:hAnsi="宋体" w:cs="宋体"/>
          <w:kern w:val="0"/>
          <w:szCs w:val="21"/>
        </w:rPr>
        <w:t>、法定代表人的授权书原件扫描件；</w:t>
      </w:r>
      <w:r>
        <w:rPr>
          <w:rFonts w:ascii="宋体" w:hAnsi="宋体" w:cs="宋体"/>
          <w:kern w:val="0"/>
          <w:szCs w:val="21"/>
        </w:rPr>
        <w:t>5</w:t>
      </w:r>
      <w:r>
        <w:rPr>
          <w:rFonts w:hint="eastAsia" w:ascii="宋体" w:hAnsi="宋体" w:cs="宋体"/>
          <w:kern w:val="0"/>
          <w:szCs w:val="21"/>
        </w:rPr>
        <w:t>．被授权代表人的身份证原件扫描件；6.项目经理资格证书及其安全生产考核合格证等原件及最新信用记录查询结果截屏图资料。</w:t>
      </w:r>
    </w:p>
    <w:p w14:paraId="724530E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、凡愿参加</w:t>
      </w:r>
      <w:r>
        <w:rPr>
          <w:rFonts w:hint="eastAsia" w:ascii="宋体" w:hAnsi="宋体" w:cs="宋体"/>
          <w:kern w:val="0"/>
          <w:szCs w:val="21"/>
          <w:lang w:eastAsia="zh-CN"/>
        </w:rPr>
        <w:t>磋商</w:t>
      </w:r>
      <w:r>
        <w:rPr>
          <w:rFonts w:hint="eastAsia" w:ascii="宋体" w:hAnsi="宋体" w:cs="宋体"/>
          <w:kern w:val="0"/>
          <w:szCs w:val="21"/>
        </w:rPr>
        <w:t>的合格</w:t>
      </w:r>
      <w:r>
        <w:rPr>
          <w:rFonts w:hint="eastAsia" w:ascii="宋体" w:hAnsi="宋体" w:cs="宋体"/>
          <w:kern w:val="0"/>
          <w:szCs w:val="21"/>
          <w:lang w:eastAsia="zh-CN"/>
        </w:rPr>
        <w:t>响应单位</w:t>
      </w:r>
      <w:r>
        <w:rPr>
          <w:rFonts w:hint="eastAsia" w:ascii="宋体" w:hAnsi="宋体" w:cs="宋体"/>
          <w:kern w:val="0"/>
          <w:szCs w:val="21"/>
        </w:rPr>
        <w:t>可在网上报名截止前下载（获取）竞争性磋商文件并按照竞争性磋商文件要求参加</w:t>
      </w:r>
      <w:r>
        <w:rPr>
          <w:rFonts w:hint="eastAsia" w:ascii="宋体" w:hAnsi="宋体" w:cs="宋体"/>
          <w:kern w:val="0"/>
          <w:szCs w:val="21"/>
          <w:lang w:eastAsia="zh-CN"/>
        </w:rPr>
        <w:t>磋商</w:t>
      </w:r>
      <w:r>
        <w:rPr>
          <w:rFonts w:hint="eastAsia" w:ascii="宋体" w:hAnsi="宋体" w:cs="宋体"/>
          <w:kern w:val="0"/>
          <w:szCs w:val="21"/>
        </w:rPr>
        <w:t>。</w:t>
      </w:r>
    </w:p>
    <w:p w14:paraId="2F12A5F7">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、获取竞争性磋商文件其他说明：</w:t>
      </w:r>
    </w:p>
    <w:p w14:paraId="7F756A24">
      <w:pPr>
        <w:widowControl/>
        <w:spacing w:line="360" w:lineRule="auto"/>
        <w:ind w:firstLine="422" w:firstLineChars="200"/>
        <w:jc w:val="left"/>
        <w:textAlignment w:val="baseline"/>
        <w:rPr>
          <w:rFonts w:ascii="宋体" w:hAnsi="宋体" w:cs="楷体_GB2312"/>
          <w:szCs w:val="21"/>
        </w:rPr>
      </w:pPr>
      <w:r>
        <w:rPr>
          <w:rFonts w:hint="eastAsia" w:ascii="宋体" w:hAnsi="宋体" w:cs="楷体_GB2312"/>
          <w:b/>
          <w:bCs/>
          <w:szCs w:val="21"/>
        </w:rPr>
        <w:t>本项目采用电子化采购方式，采购人、采购代理机构免费提供电子采购文件。</w:t>
      </w:r>
    </w:p>
    <w:p w14:paraId="27FECFDE">
      <w:pPr>
        <w:widowControl/>
        <w:spacing w:line="360" w:lineRule="auto"/>
        <w:jc w:val="left"/>
        <w:textAlignment w:val="baseline"/>
        <w:rPr>
          <w:rFonts w:ascii="宋体" w:hAnsi="宋体" w:cs="楷体_GB2312"/>
          <w:szCs w:val="21"/>
        </w:rPr>
      </w:pPr>
      <w:r>
        <w:rPr>
          <w:rFonts w:hint="eastAsia" w:ascii="宋体" w:hAnsi="宋体" w:cs="楷体_GB2312"/>
          <w:szCs w:val="21"/>
        </w:rPr>
        <w:t>合格</w:t>
      </w:r>
      <w:r>
        <w:rPr>
          <w:rFonts w:hint="eastAsia" w:ascii="宋体" w:hAnsi="宋体" w:cs="楷体_GB2312"/>
          <w:szCs w:val="21"/>
          <w:lang w:eastAsia="zh-CN"/>
        </w:rPr>
        <w:t>响应单位</w:t>
      </w:r>
      <w:r>
        <w:rPr>
          <w:rFonts w:hint="eastAsia" w:ascii="宋体" w:hAnsi="宋体" w:cs="楷体_GB2312"/>
          <w:szCs w:val="21"/>
        </w:rPr>
        <w:t>可在上述规定的时间内下载磋商文件并按照磋商文件要求参加</w:t>
      </w:r>
      <w:r>
        <w:rPr>
          <w:rFonts w:hint="eastAsia" w:ascii="宋体" w:hAnsi="宋体" w:cs="楷体_GB2312"/>
          <w:szCs w:val="21"/>
          <w:lang w:eastAsia="zh-CN"/>
        </w:rPr>
        <w:t>磋商</w:t>
      </w:r>
      <w:r>
        <w:rPr>
          <w:rFonts w:hint="eastAsia" w:ascii="宋体" w:hAnsi="宋体" w:cs="楷体_GB2312"/>
          <w:szCs w:val="21"/>
        </w:rPr>
        <w:t>。</w:t>
      </w:r>
    </w:p>
    <w:p w14:paraId="736D95E5">
      <w:pPr>
        <w:widowControl/>
        <w:spacing w:line="360" w:lineRule="auto"/>
        <w:jc w:val="left"/>
        <w:textAlignment w:val="baseline"/>
        <w:rPr>
          <w:rFonts w:ascii="宋体" w:cs="宋体"/>
          <w:kern w:val="0"/>
          <w:szCs w:val="21"/>
        </w:rPr>
      </w:pPr>
      <w:r>
        <w:rPr>
          <w:rFonts w:hint="eastAsia" w:ascii="宋体" w:hAnsi="宋体" w:cs="楷体_GB2312"/>
          <w:szCs w:val="21"/>
        </w:rPr>
        <w:t>注：</w:t>
      </w:r>
      <w:r>
        <w:rPr>
          <w:rFonts w:hint="eastAsia" w:ascii="宋体" w:hAnsi="宋体" w:cs="楷体_GB2312"/>
          <w:szCs w:val="21"/>
          <w:lang w:eastAsia="zh-CN"/>
        </w:rPr>
        <w:t>响应单位</w:t>
      </w:r>
      <w:r>
        <w:rPr>
          <w:rFonts w:hint="eastAsia" w:ascii="宋体" w:hAnsi="宋体" w:cs="楷体_GB2312"/>
          <w:szCs w:val="21"/>
        </w:rPr>
        <w:t>须保证报名及获得竞争性磋商文件需提交的资料和所填写内容真</w:t>
      </w:r>
      <w:r>
        <w:rPr>
          <w:rFonts w:hint="eastAsia" w:ascii="宋体" w:hAnsi="宋体" w:cs="宋体"/>
          <w:kern w:val="0"/>
          <w:szCs w:val="21"/>
        </w:rPr>
        <w:t>实、完整、有效、一致，如因</w:t>
      </w:r>
      <w:r>
        <w:rPr>
          <w:rFonts w:hint="eastAsia" w:ascii="宋体" w:hAnsi="宋体" w:cs="宋体"/>
          <w:kern w:val="0"/>
          <w:szCs w:val="21"/>
          <w:lang w:eastAsia="zh-CN"/>
        </w:rPr>
        <w:t>响应单位</w:t>
      </w:r>
      <w:r>
        <w:rPr>
          <w:rFonts w:hint="eastAsia" w:ascii="宋体" w:hAnsi="宋体" w:cs="宋体"/>
          <w:kern w:val="0"/>
          <w:szCs w:val="21"/>
        </w:rPr>
        <w:t>递交虚假材料或填写信息错误导致的与本项目有关的任何损失由</w:t>
      </w:r>
      <w:r>
        <w:rPr>
          <w:rFonts w:hint="eastAsia" w:ascii="宋体" w:hAnsi="宋体" w:cs="宋体"/>
          <w:kern w:val="0"/>
          <w:szCs w:val="21"/>
          <w:lang w:eastAsia="zh-CN"/>
        </w:rPr>
        <w:t>响应单位</w:t>
      </w:r>
      <w:r>
        <w:rPr>
          <w:rFonts w:hint="eastAsia" w:ascii="宋体" w:hAnsi="宋体" w:cs="宋体"/>
          <w:kern w:val="0"/>
          <w:szCs w:val="21"/>
        </w:rPr>
        <w:t>承担。</w:t>
      </w:r>
    </w:p>
    <w:p w14:paraId="1FAD1CF4">
      <w:pPr>
        <w:widowControl/>
        <w:spacing w:line="360" w:lineRule="auto"/>
        <w:jc w:val="left"/>
        <w:textAlignment w:val="baseline"/>
        <w:rPr>
          <w:rFonts w:ascii="宋体" w:cs="宋体"/>
          <w:kern w:val="0"/>
          <w:szCs w:val="21"/>
        </w:rPr>
      </w:pPr>
      <w:r>
        <w:rPr>
          <w:rFonts w:hint="eastAsia" w:ascii="宋体" w:hAnsi="宋体" w:cs="宋体"/>
          <w:kern w:val="0"/>
          <w:szCs w:val="21"/>
        </w:rPr>
        <w:t>四、磋商响应截止时间及开标时间：</w:t>
      </w:r>
    </w:p>
    <w:p w14:paraId="335B4FD0">
      <w:pPr>
        <w:widowControl/>
        <w:spacing w:line="360" w:lineRule="auto"/>
        <w:jc w:val="left"/>
        <w:textAlignment w:val="baseline"/>
        <w:rPr>
          <w:rFonts w:ascii="宋体" w:cs="宋体"/>
          <w:kern w:val="0"/>
          <w:szCs w:val="21"/>
          <w:highlight w:val="none"/>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11</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rPr>
        <w:t>00</w:t>
      </w:r>
      <w:r>
        <w:rPr>
          <w:rFonts w:hint="eastAsia" w:ascii="宋体" w:hAnsi="宋体" w:cs="宋体"/>
          <w:kern w:val="0"/>
          <w:szCs w:val="21"/>
          <w:highlight w:val="none"/>
        </w:rPr>
        <w:t>，迟到或不符合规定的</w:t>
      </w:r>
      <w:r>
        <w:rPr>
          <w:rFonts w:hint="eastAsia" w:ascii="宋体" w:hAnsi="宋体" w:cs="宋体"/>
          <w:kern w:val="0"/>
          <w:szCs w:val="21"/>
          <w:highlight w:val="none"/>
          <w:lang w:eastAsia="zh-CN"/>
        </w:rPr>
        <w:t>响应</w:t>
      </w:r>
      <w:r>
        <w:rPr>
          <w:rFonts w:hint="eastAsia" w:ascii="宋体" w:hAnsi="宋体" w:cs="宋体"/>
          <w:kern w:val="0"/>
          <w:szCs w:val="21"/>
          <w:highlight w:val="none"/>
        </w:rPr>
        <w:t>文件恕不接受。</w:t>
      </w:r>
    </w:p>
    <w:p w14:paraId="284C7E55">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、开标时间：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11</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rPr>
        <w:t>00。</w:t>
      </w:r>
    </w:p>
    <w:p w14:paraId="4E8A35B3">
      <w:pPr>
        <w:widowControl/>
        <w:spacing w:line="360" w:lineRule="auto"/>
        <w:jc w:val="left"/>
        <w:textAlignment w:val="baseline"/>
        <w:rPr>
          <w:rFonts w:ascii="宋体" w:cs="宋体"/>
          <w:kern w:val="0"/>
          <w:szCs w:val="21"/>
        </w:rPr>
      </w:pPr>
      <w:r>
        <w:rPr>
          <w:rFonts w:ascii="宋体" w:hAnsi="宋体" w:cs="宋体"/>
          <w:kern w:val="0"/>
          <w:szCs w:val="21"/>
          <w:highlight w:val="none"/>
        </w:rPr>
        <w:t>3</w:t>
      </w:r>
      <w:r>
        <w:rPr>
          <w:rFonts w:hint="eastAsia" w:ascii="宋体" w:hAnsi="宋体" w:cs="宋体"/>
          <w:kern w:val="0"/>
          <w:szCs w:val="21"/>
          <w:highlight w:val="none"/>
        </w:rPr>
        <w:t>、竞争磋商时间：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11</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0</w:t>
      </w:r>
      <w:r>
        <w:rPr>
          <w:rFonts w:hint="eastAsia" w:ascii="宋体" w:hAnsi="宋体" w:cs="宋体"/>
          <w:b/>
          <w:bCs/>
          <w:kern w:val="0"/>
          <w:szCs w:val="21"/>
        </w:rPr>
        <w:t>。</w:t>
      </w:r>
    </w:p>
    <w:p w14:paraId="6C53E4A8">
      <w:pPr>
        <w:widowControl/>
        <w:spacing w:line="360" w:lineRule="auto"/>
        <w:jc w:val="left"/>
        <w:textAlignment w:val="baseline"/>
        <w:rPr>
          <w:rFonts w:ascii="宋体" w:cs="宋体"/>
          <w:kern w:val="0"/>
          <w:szCs w:val="21"/>
        </w:rPr>
      </w:pPr>
      <w:r>
        <w:rPr>
          <w:rFonts w:hint="eastAsia" w:ascii="宋体" w:hAnsi="宋体" w:cs="宋体"/>
          <w:kern w:val="0"/>
          <w:szCs w:val="21"/>
        </w:rPr>
        <w:t>五、</w:t>
      </w:r>
      <w:r>
        <w:rPr>
          <w:rFonts w:hint="eastAsia" w:ascii="宋体" w:hAnsi="宋体" w:cs="宋体"/>
          <w:kern w:val="0"/>
          <w:szCs w:val="21"/>
          <w:lang w:eastAsia="zh-CN"/>
        </w:rPr>
        <w:t>磋商</w:t>
      </w:r>
      <w:r>
        <w:rPr>
          <w:rFonts w:hint="eastAsia" w:ascii="宋体" w:hAnsi="宋体" w:cs="宋体"/>
          <w:kern w:val="0"/>
          <w:szCs w:val="21"/>
        </w:rPr>
        <w:t>地点和开标地点</w:t>
      </w:r>
    </w:p>
    <w:p w14:paraId="01DB7F44">
      <w:pPr>
        <w:widowControl/>
        <w:spacing w:line="360" w:lineRule="auto"/>
        <w:jc w:val="left"/>
        <w:textAlignment w:val="baseline"/>
        <w:rPr>
          <w:rFonts w:hint="eastAsia" w:ascii="宋体" w:hAnsi="宋体" w:eastAsia="宋体" w:cs="宋体"/>
          <w:kern w:val="0"/>
          <w:szCs w:val="21"/>
          <w:lang w:eastAsia="zh-CN"/>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磋商</w:t>
      </w: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p w14:paraId="0D3869F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、开标地点：</w:t>
      </w:r>
      <w:r>
        <w:rPr>
          <w:rFonts w:hint="eastAsia" w:ascii="宋体" w:hAnsi="宋体" w:cs="宋体"/>
          <w:kern w:val="0"/>
          <w:szCs w:val="21"/>
          <w:lang w:eastAsia="zh-CN"/>
        </w:rPr>
        <w:t>上海市黄浦区西藏南路831弄2号19楼</w:t>
      </w:r>
      <w:r>
        <w:rPr>
          <w:rFonts w:hint="eastAsia" w:ascii="宋体" w:hAnsi="宋体" w:cs="宋体"/>
          <w:kern w:val="0"/>
          <w:szCs w:val="21"/>
        </w:rPr>
        <w:t>。届时请</w:t>
      </w:r>
      <w:r>
        <w:rPr>
          <w:rFonts w:hint="eastAsia" w:ascii="宋体" w:hAnsi="宋体" w:cs="宋体"/>
          <w:kern w:val="0"/>
          <w:szCs w:val="21"/>
          <w:lang w:eastAsia="zh-CN"/>
        </w:rPr>
        <w:t>响应单位</w:t>
      </w:r>
      <w:r>
        <w:rPr>
          <w:rFonts w:hint="eastAsia" w:ascii="宋体" w:hAnsi="宋体" w:cs="宋体"/>
          <w:kern w:val="0"/>
          <w:szCs w:val="21"/>
        </w:rPr>
        <w:t>代表持</w:t>
      </w:r>
      <w:r>
        <w:rPr>
          <w:rFonts w:hint="eastAsia" w:ascii="宋体" w:hAnsi="宋体" w:cs="宋体"/>
          <w:kern w:val="0"/>
          <w:szCs w:val="21"/>
          <w:lang w:eastAsia="zh-CN"/>
        </w:rPr>
        <w:t>磋商</w:t>
      </w:r>
      <w:r>
        <w:rPr>
          <w:rFonts w:hint="eastAsia" w:ascii="宋体" w:hAnsi="宋体" w:cs="宋体"/>
          <w:kern w:val="0"/>
          <w:szCs w:val="21"/>
        </w:rPr>
        <w:t>时所使用的数字证书（</w:t>
      </w:r>
      <w:r>
        <w:rPr>
          <w:rFonts w:ascii="宋体" w:hAnsi="宋体" w:cs="宋体"/>
          <w:kern w:val="0"/>
          <w:szCs w:val="21"/>
        </w:rPr>
        <w:t>CA</w:t>
      </w:r>
      <w:r>
        <w:rPr>
          <w:rFonts w:hint="eastAsia" w:ascii="宋体" w:hAnsi="宋体" w:cs="宋体"/>
          <w:kern w:val="0"/>
          <w:szCs w:val="21"/>
        </w:rPr>
        <w:t>证书）参加开标。</w:t>
      </w:r>
    </w:p>
    <w:p w14:paraId="05F22932">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、开标所需携带其他材料：</w:t>
      </w:r>
    </w:p>
    <w:p w14:paraId="5A76A185">
      <w:pPr>
        <w:widowControl/>
        <w:spacing w:line="360" w:lineRule="auto"/>
        <w:jc w:val="left"/>
        <w:textAlignment w:val="baseline"/>
        <w:rPr>
          <w:rFonts w:ascii="宋体" w:cs="宋体"/>
          <w:kern w:val="0"/>
          <w:szCs w:val="21"/>
        </w:rPr>
      </w:pPr>
      <w:r>
        <w:rPr>
          <w:rFonts w:hint="eastAsia" w:ascii="宋体" w:hAnsi="宋体" w:cs="宋体"/>
          <w:kern w:val="0"/>
          <w:szCs w:val="21"/>
        </w:rPr>
        <w:t>可以无线上网的笔记本电脑、无线</w:t>
      </w:r>
      <w:r>
        <w:rPr>
          <w:rFonts w:ascii="宋体" w:hAnsi="宋体" w:cs="宋体"/>
          <w:kern w:val="0"/>
          <w:szCs w:val="21"/>
        </w:rPr>
        <w:t>3G</w:t>
      </w:r>
      <w:r>
        <w:rPr>
          <w:rFonts w:hint="eastAsia" w:ascii="宋体" w:hAnsi="宋体" w:cs="宋体"/>
          <w:kern w:val="0"/>
          <w:szCs w:val="21"/>
        </w:rPr>
        <w:t>或</w:t>
      </w:r>
      <w:r>
        <w:rPr>
          <w:rFonts w:ascii="宋体" w:hAnsi="宋体" w:cs="宋体"/>
          <w:kern w:val="0"/>
          <w:szCs w:val="21"/>
        </w:rPr>
        <w:t>4G</w:t>
      </w:r>
      <w:r>
        <w:rPr>
          <w:rFonts w:hint="eastAsia" w:ascii="宋体" w:hAnsi="宋体" w:cs="宋体"/>
          <w:kern w:val="0"/>
          <w:szCs w:val="21"/>
        </w:rPr>
        <w:t>上网卡、</w:t>
      </w:r>
      <w:r>
        <w:rPr>
          <w:rFonts w:hint="eastAsia" w:ascii="宋体" w:hAnsi="宋体" w:cs="宋体"/>
          <w:kern w:val="0"/>
          <w:szCs w:val="21"/>
          <w:lang w:eastAsia="zh-CN"/>
        </w:rPr>
        <w:t>磋商</w:t>
      </w:r>
      <w:r>
        <w:rPr>
          <w:rFonts w:hint="eastAsia" w:ascii="宋体" w:hAnsi="宋体" w:cs="宋体"/>
          <w:kern w:val="0"/>
          <w:szCs w:val="21"/>
        </w:rPr>
        <w:t>时所使用的上海市电子签名认证证书（</w:t>
      </w:r>
      <w:r>
        <w:rPr>
          <w:rFonts w:ascii="宋体" w:hAnsi="宋体" w:cs="宋体"/>
          <w:kern w:val="0"/>
          <w:szCs w:val="21"/>
        </w:rPr>
        <w:t>CA</w:t>
      </w:r>
      <w:r>
        <w:rPr>
          <w:rFonts w:hint="eastAsia" w:ascii="宋体" w:hAnsi="宋体" w:cs="宋体"/>
          <w:kern w:val="0"/>
          <w:szCs w:val="21"/>
        </w:rPr>
        <w:t>认证证书）。</w:t>
      </w:r>
      <w:r>
        <w:rPr>
          <w:rFonts w:ascii="宋体" w:cs="宋体"/>
          <w:kern w:val="0"/>
          <w:szCs w:val="21"/>
        </w:rPr>
        <w:t> </w:t>
      </w:r>
    </w:p>
    <w:p w14:paraId="0A1FBE73">
      <w:pPr>
        <w:widowControl/>
        <w:spacing w:line="360" w:lineRule="auto"/>
        <w:jc w:val="left"/>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、磋商所需携带其他资料：</w:t>
      </w:r>
    </w:p>
    <w:p w14:paraId="4BDF8F27">
      <w:pPr>
        <w:widowControl/>
        <w:spacing w:line="360" w:lineRule="auto"/>
        <w:jc w:val="left"/>
        <w:textAlignment w:val="baseline"/>
        <w:rPr>
          <w:rFonts w:ascii="宋体" w:hAnsi="宋体" w:cs="宋体"/>
          <w:kern w:val="0"/>
          <w:szCs w:val="21"/>
        </w:rPr>
      </w:pPr>
      <w:r>
        <w:rPr>
          <w:rFonts w:hint="eastAsia" w:ascii="宋体" w:hAnsi="宋体" w:cs="宋体"/>
          <w:kern w:val="0"/>
          <w:szCs w:val="21"/>
        </w:rPr>
        <w:t>法定代表人的授权书、被授权代表人的身份证、标书一正二副。</w:t>
      </w:r>
    </w:p>
    <w:p w14:paraId="5D5E19B2">
      <w:pPr>
        <w:widowControl/>
        <w:spacing w:line="360" w:lineRule="auto"/>
        <w:jc w:val="left"/>
        <w:textAlignment w:val="baseline"/>
        <w:rPr>
          <w:rFonts w:ascii="宋体" w:cs="宋体"/>
          <w:kern w:val="0"/>
          <w:szCs w:val="21"/>
        </w:rPr>
      </w:pPr>
      <w:r>
        <w:rPr>
          <w:rFonts w:hint="eastAsia" w:ascii="宋体" w:hAnsi="宋体" w:cs="宋体"/>
          <w:kern w:val="0"/>
          <w:szCs w:val="21"/>
        </w:rPr>
        <w:t>六、发布公告的媒介：</w:t>
      </w:r>
    </w:p>
    <w:p w14:paraId="7F62C587">
      <w:pPr>
        <w:widowControl/>
        <w:spacing w:line="360" w:lineRule="auto"/>
        <w:jc w:val="left"/>
        <w:textAlignment w:val="baseline"/>
        <w:rPr>
          <w:rFonts w:ascii="宋体" w:cs="宋体"/>
          <w:kern w:val="0"/>
          <w:szCs w:val="21"/>
        </w:rPr>
      </w:pPr>
      <w:r>
        <w:rPr>
          <w:rFonts w:hint="eastAsia" w:ascii="宋体" w:hAnsi="宋体" w:cs="宋体"/>
          <w:kern w:val="0"/>
          <w:szCs w:val="21"/>
        </w:rPr>
        <w:t>以上信息若有变更我们会通过“上海政府采购云平台”通知，请</w:t>
      </w:r>
      <w:r>
        <w:rPr>
          <w:rFonts w:hint="eastAsia" w:ascii="宋体" w:hAnsi="宋体" w:cs="宋体"/>
          <w:kern w:val="0"/>
          <w:szCs w:val="21"/>
          <w:lang w:eastAsia="zh-CN"/>
        </w:rPr>
        <w:t>响应单位</w:t>
      </w:r>
      <w:r>
        <w:rPr>
          <w:rFonts w:hint="eastAsia" w:ascii="宋体" w:hAnsi="宋体" w:cs="宋体"/>
          <w:kern w:val="0"/>
          <w:szCs w:val="21"/>
        </w:rPr>
        <w:t>关注。</w:t>
      </w:r>
    </w:p>
    <w:p w14:paraId="277487E4">
      <w:pPr>
        <w:widowControl/>
        <w:spacing w:line="360" w:lineRule="auto"/>
        <w:jc w:val="left"/>
        <w:textAlignment w:val="baseline"/>
        <w:rPr>
          <w:rFonts w:ascii="宋体" w:cs="宋体"/>
          <w:kern w:val="0"/>
          <w:szCs w:val="21"/>
        </w:rPr>
      </w:pPr>
      <w:r>
        <w:rPr>
          <w:rFonts w:hint="eastAsia" w:ascii="宋体" w:hAnsi="宋体" w:cs="宋体"/>
          <w:kern w:val="0"/>
          <w:szCs w:val="21"/>
        </w:rPr>
        <w:t>七、其他事项</w:t>
      </w:r>
    </w:p>
    <w:p w14:paraId="1369744C">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文件递交方式：电子</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在采购平台电子招投标系统上传提交。</w:t>
      </w:r>
    </w:p>
    <w:p w14:paraId="64696FD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、电子</w:t>
      </w:r>
      <w:r>
        <w:rPr>
          <w:rFonts w:hint="eastAsia" w:ascii="宋体" w:hAnsi="宋体" w:cs="宋体"/>
          <w:kern w:val="0"/>
          <w:szCs w:val="21"/>
          <w:lang w:eastAsia="zh-CN"/>
        </w:rPr>
        <w:t>响应</w:t>
      </w:r>
      <w:r>
        <w:rPr>
          <w:rFonts w:hint="eastAsia" w:ascii="宋体" w:hAnsi="宋体" w:cs="宋体"/>
          <w:kern w:val="0"/>
          <w:szCs w:val="21"/>
        </w:rPr>
        <w:t>文件递交网址：</w:t>
      </w:r>
      <w:r>
        <w:fldChar w:fldCharType="begin"/>
      </w:r>
      <w:r>
        <w:instrText xml:space="preserve"> HYPERLINK "http://www.zfcg.sh.gov.cn" </w:instrText>
      </w:r>
      <w:r>
        <w:fldChar w:fldCharType="separate"/>
      </w:r>
      <w:r>
        <w:rPr>
          <w:rStyle w:val="52"/>
          <w:rFonts w:hint="eastAsia" w:ascii="宋体" w:hAnsi="宋体" w:cs="宋体"/>
          <w:color w:val="auto"/>
          <w:kern w:val="0"/>
          <w:szCs w:val="21"/>
        </w:rPr>
        <w:t>https://home.zfcg.sh.gov.cn/</w:t>
      </w:r>
      <w:r>
        <w:rPr>
          <w:rStyle w:val="52"/>
          <w:rFonts w:hint="eastAsia" w:ascii="宋体" w:hAnsi="宋体" w:cs="宋体"/>
          <w:color w:val="auto"/>
          <w:kern w:val="0"/>
          <w:szCs w:val="21"/>
        </w:rPr>
        <w:fldChar w:fldCharType="end"/>
      </w:r>
      <w:r>
        <w:rPr>
          <w:rFonts w:hint="eastAsia" w:ascii="宋体" w:hAnsi="宋体" w:cs="宋体"/>
          <w:kern w:val="0"/>
          <w:szCs w:val="21"/>
        </w:rPr>
        <w:t>。</w:t>
      </w:r>
    </w:p>
    <w:p w14:paraId="090C0F81">
      <w:pPr>
        <w:widowControl/>
        <w:spacing w:line="360" w:lineRule="auto"/>
        <w:jc w:val="left"/>
        <w:textAlignment w:val="baseline"/>
        <w:rPr>
          <w:rFonts w:hint="eastAsia" w:ascii="宋体" w:eastAsia="宋体" w:cs="宋体"/>
          <w:szCs w:val="21"/>
          <w:lang w:eastAsia="zh-CN"/>
        </w:rPr>
      </w:pPr>
      <w:r>
        <w:rPr>
          <w:rFonts w:ascii="宋体" w:hAnsi="宋体" w:cs="宋体"/>
          <w:kern w:val="0"/>
          <w:szCs w:val="21"/>
        </w:rPr>
        <w:t>3</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文件递交地点：</w:t>
      </w:r>
      <w:r>
        <w:rPr>
          <w:rFonts w:hint="eastAsia" w:ascii="宋体" w:hAnsi="宋体" w:cs="宋体"/>
          <w:kern w:val="0"/>
          <w:szCs w:val="21"/>
          <w:lang w:eastAsia="zh-CN"/>
        </w:rPr>
        <w:t>上海市黄浦区西藏南路831弄2号19楼</w:t>
      </w:r>
    </w:p>
    <w:p w14:paraId="51A758E8">
      <w:pPr>
        <w:widowControl/>
        <w:spacing w:line="360" w:lineRule="auto"/>
        <w:jc w:val="left"/>
        <w:textAlignment w:val="baseline"/>
        <w:rPr>
          <w:rFonts w:ascii="宋体" w:cs="宋体"/>
          <w:kern w:val="0"/>
          <w:szCs w:val="21"/>
        </w:rPr>
      </w:pPr>
      <w:r>
        <w:rPr>
          <w:rFonts w:ascii="宋体" w:hAnsi="宋体" w:cs="宋体"/>
          <w:szCs w:val="21"/>
        </w:rPr>
        <w:t>4</w:t>
      </w:r>
      <w:r>
        <w:rPr>
          <w:rFonts w:hint="eastAsia" w:ascii="宋体" w:hAnsi="宋体" w:cs="宋体"/>
          <w:szCs w:val="21"/>
        </w:rPr>
        <w:t>、</w:t>
      </w:r>
      <w:r>
        <w:rPr>
          <w:rFonts w:hint="eastAsia" w:ascii="宋体" w:hAnsi="宋体" w:cs="宋体"/>
          <w:kern w:val="0"/>
          <w:szCs w:val="21"/>
        </w:rPr>
        <w:t>递交</w:t>
      </w:r>
      <w:r>
        <w:rPr>
          <w:rFonts w:hint="eastAsia" w:ascii="宋体" w:hAnsi="宋体" w:cs="宋体"/>
          <w:kern w:val="0"/>
          <w:szCs w:val="21"/>
          <w:lang w:eastAsia="zh-CN"/>
        </w:rPr>
        <w:t>响应</w:t>
      </w:r>
      <w:r>
        <w:rPr>
          <w:rFonts w:hint="eastAsia" w:ascii="宋体" w:hAnsi="宋体" w:cs="宋体"/>
          <w:kern w:val="0"/>
          <w:szCs w:val="21"/>
        </w:rPr>
        <w:t>文件在截止时间后（以采购平台电子招投标系统显示时间为准）送达的，均将拒绝接受。</w:t>
      </w:r>
    </w:p>
    <w:p w14:paraId="6E1F22C5">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截止时间前被列入失信被执行人、重大税收违法案件当事人名单、政府采购严重违法失信行为记录名单及其他不符合《中华人民共和国政府采购法》第二十二条规定条件的</w:t>
      </w:r>
      <w:r>
        <w:rPr>
          <w:rFonts w:hint="eastAsia" w:ascii="宋体" w:hAnsi="宋体" w:cs="宋体"/>
          <w:kern w:val="0"/>
          <w:szCs w:val="21"/>
          <w:lang w:eastAsia="zh-CN"/>
        </w:rPr>
        <w:t>响应单位</w:t>
      </w:r>
      <w:r>
        <w:rPr>
          <w:rFonts w:hint="eastAsia" w:ascii="宋体" w:hAnsi="宋体" w:cs="宋体"/>
          <w:kern w:val="0"/>
          <w:szCs w:val="21"/>
        </w:rPr>
        <w:t>将被视为无效</w:t>
      </w:r>
      <w:r>
        <w:rPr>
          <w:rFonts w:hint="eastAsia" w:ascii="宋体" w:hAnsi="宋体" w:cs="宋体"/>
          <w:kern w:val="0"/>
          <w:szCs w:val="21"/>
          <w:lang w:eastAsia="zh-CN"/>
        </w:rPr>
        <w:t>响应</w:t>
      </w:r>
      <w:r>
        <w:rPr>
          <w:rFonts w:hint="eastAsia" w:ascii="宋体" w:hAnsi="宋体" w:cs="宋体"/>
          <w:kern w:val="0"/>
          <w:szCs w:val="21"/>
        </w:rPr>
        <w:t>。查询网址如下：“信用中国”网站</w:t>
      </w:r>
      <w:r>
        <w:rPr>
          <w:rFonts w:ascii="宋体" w:hAnsi="宋体" w:cs="宋体"/>
          <w:kern w:val="0"/>
          <w:szCs w:val="21"/>
        </w:rPr>
        <w:t>(www.creditchina.gov.cn)</w:t>
      </w:r>
      <w:r>
        <w:rPr>
          <w:rFonts w:hint="eastAsia" w:ascii="宋体" w:hAnsi="宋体" w:cs="宋体"/>
          <w:kern w:val="0"/>
          <w:szCs w:val="21"/>
        </w:rPr>
        <w:t>及中国政府采购网</w:t>
      </w:r>
      <w:r>
        <w:rPr>
          <w:rFonts w:ascii="宋体" w:hAnsi="宋体" w:cs="宋体"/>
          <w:kern w:val="0"/>
          <w:szCs w:val="21"/>
        </w:rPr>
        <w:t>(www.ccgp.gov.cn)</w:t>
      </w:r>
    </w:p>
    <w:p w14:paraId="42DC5C46">
      <w:pPr>
        <w:widowControl/>
        <w:spacing w:line="360" w:lineRule="auto"/>
        <w:jc w:val="left"/>
        <w:textAlignment w:val="baseline"/>
        <w:rPr>
          <w:rFonts w:ascii="宋体" w:cs="宋体"/>
          <w:kern w:val="0"/>
          <w:szCs w:val="21"/>
        </w:rPr>
      </w:pPr>
      <w:r>
        <w:rPr>
          <w:rFonts w:hint="eastAsia" w:ascii="宋体" w:hAnsi="宋体" w:cs="宋体"/>
          <w:kern w:val="0"/>
          <w:szCs w:val="21"/>
        </w:rPr>
        <w:t>八、联系方式</w:t>
      </w:r>
    </w:p>
    <w:p w14:paraId="22393405">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、采购人：</w:t>
      </w:r>
      <w:r>
        <w:rPr>
          <w:rFonts w:hint="eastAsia" w:ascii="宋体" w:hAnsi="宋体" w:cs="宋体"/>
          <w:kern w:val="0"/>
          <w:szCs w:val="21"/>
          <w:lang w:eastAsia="zh-CN"/>
        </w:rPr>
        <w:t>上海市黄浦区人民政府老西门街道办事处</w:t>
      </w:r>
    </w:p>
    <w:p w14:paraId="7667405E">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ascii="宋体" w:hAnsi="宋体" w:cs="宋体"/>
          <w:kern w:val="0"/>
          <w:szCs w:val="21"/>
        </w:rPr>
        <w:t xml:space="preserve">: </w:t>
      </w:r>
      <w:r>
        <w:rPr>
          <w:rFonts w:hint="eastAsia" w:ascii="宋体" w:hAnsi="宋体" w:cs="宋体"/>
          <w:kern w:val="0"/>
          <w:szCs w:val="21"/>
          <w:lang w:eastAsia="zh-CN"/>
        </w:rPr>
        <w:t>上海市黄浦区大吉路65号</w:t>
      </w:r>
    </w:p>
    <w:p w14:paraId="704D9EE0">
      <w:pPr>
        <w:widowControl/>
        <w:adjustRightInd w:val="0"/>
        <w:snapToGrid w:val="0"/>
        <w:spacing w:line="360" w:lineRule="auto"/>
        <w:ind w:firstLine="630" w:firstLineChars="300"/>
        <w:jc w:val="left"/>
        <w:textAlignment w:val="baseline"/>
        <w:rPr>
          <w:rFonts w:hint="eastAsia" w:ascii="宋体" w:eastAsia="宋体" w:cs="宋体"/>
          <w:kern w:val="0"/>
          <w:szCs w:val="21"/>
          <w:highlight w:val="none"/>
          <w:lang w:eastAsia="zh-CN"/>
        </w:rPr>
      </w:pPr>
      <w:r>
        <w:rPr>
          <w:rFonts w:hint="eastAsia" w:ascii="宋体" w:hAnsi="宋体" w:cs="宋体"/>
          <w:kern w:val="0"/>
          <w:szCs w:val="21"/>
          <w:highlight w:val="none"/>
        </w:rPr>
        <w:t>联系</w:t>
      </w:r>
      <w:r>
        <w:rPr>
          <w:rFonts w:hint="eastAsia" w:ascii="宋体" w:hAnsi="宋体"/>
          <w:szCs w:val="21"/>
          <w:highlight w:val="none"/>
        </w:rPr>
        <w:t>人：李率</w:t>
      </w:r>
      <w:r>
        <w:rPr>
          <w:rFonts w:hint="eastAsia" w:ascii="宋体" w:hAnsi="宋体"/>
          <w:szCs w:val="21"/>
          <w:highlight w:val="none"/>
          <w:lang w:val="en-US" w:eastAsia="zh-CN"/>
        </w:rPr>
        <w:t xml:space="preserve"> </w:t>
      </w:r>
    </w:p>
    <w:p w14:paraId="550E0416">
      <w:pPr>
        <w:widowControl/>
        <w:adjustRightInd w:val="0"/>
        <w:snapToGrid w:val="0"/>
        <w:spacing w:line="360" w:lineRule="auto"/>
        <w:ind w:firstLine="630" w:firstLineChars="300"/>
        <w:jc w:val="left"/>
        <w:textAlignment w:val="baseline"/>
        <w:rPr>
          <w:rFonts w:hint="eastAsia" w:ascii="宋体" w:hAnsi="宋体" w:eastAsia="宋体" w:cs="宋体"/>
          <w:kern w:val="0"/>
          <w:szCs w:val="21"/>
          <w:highlight w:val="yellow"/>
          <w:lang w:eastAsia="zh-CN"/>
        </w:rPr>
      </w:pPr>
      <w:r>
        <w:rPr>
          <w:rFonts w:hint="eastAsia" w:ascii="宋体" w:hAnsi="宋体" w:cs="宋体"/>
          <w:kern w:val="0"/>
          <w:szCs w:val="21"/>
          <w:highlight w:val="none"/>
        </w:rPr>
        <w:t>联系电话：</w:t>
      </w:r>
      <w:r>
        <w:rPr>
          <w:rFonts w:hint="eastAsia" w:ascii="宋体" w:hAnsi="宋体" w:cs="宋体"/>
          <w:kern w:val="0"/>
          <w:szCs w:val="21"/>
          <w:highlight w:val="none"/>
          <w:lang w:val="en-US" w:eastAsia="zh-CN"/>
        </w:rPr>
        <w:t>021-63696363</w:t>
      </w:r>
    </w:p>
    <w:p w14:paraId="743674A9">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2</w:t>
      </w: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3F2E1E47">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B84246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41AA7E9">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电话：</w:t>
      </w:r>
      <w:r>
        <w:rPr>
          <w:rFonts w:hint="eastAsia" w:ascii="宋体" w:hAnsi="宋体" w:cs="宋体"/>
          <w:kern w:val="0"/>
          <w:szCs w:val="21"/>
          <w:lang w:eastAsia="zh-CN"/>
        </w:rPr>
        <w:t>13764226886</w:t>
      </w:r>
    </w:p>
    <w:p w14:paraId="2BBCD2BE">
      <w:pPr>
        <w:widowControl/>
        <w:adjustRightInd w:val="0"/>
        <w:snapToGrid w:val="0"/>
        <w:spacing w:line="360" w:lineRule="auto"/>
        <w:ind w:firstLine="630" w:firstLineChars="300"/>
        <w:jc w:val="left"/>
        <w:textAlignment w:val="baseline"/>
        <w:rPr>
          <w:rFonts w:ascii="宋体" w:hAnsi="宋体" w:cs="宋体"/>
          <w:kern w:val="0"/>
          <w:szCs w:val="21"/>
        </w:rPr>
      </w:pPr>
    </w:p>
    <w:p w14:paraId="74914A8E">
      <w:pPr>
        <w:widowControl/>
        <w:adjustRightInd w:val="0"/>
        <w:snapToGrid w:val="0"/>
        <w:spacing w:line="360" w:lineRule="auto"/>
        <w:ind w:firstLine="630" w:firstLineChars="300"/>
        <w:jc w:val="left"/>
        <w:textAlignment w:val="baseline"/>
        <w:rPr>
          <w:rFonts w:ascii="宋体" w:cs="宋体"/>
          <w:kern w:val="0"/>
          <w:szCs w:val="21"/>
        </w:rPr>
        <w:sectPr>
          <w:pgSz w:w="11906" w:h="16838"/>
          <w:pgMar w:top="1246" w:right="1555" w:bottom="1246" w:left="1531" w:header="851" w:footer="680" w:gutter="0"/>
          <w:pgNumType w:fmt="numberInDash" w:start="1"/>
          <w:cols w:space="720" w:num="1"/>
          <w:titlePg/>
          <w:docGrid w:linePitch="312" w:charSpace="0"/>
        </w:sectPr>
      </w:pPr>
    </w:p>
    <w:p w14:paraId="035D3F97">
      <w:pPr>
        <w:pStyle w:val="2"/>
        <w:spacing w:line="240" w:lineRule="auto"/>
        <w:jc w:val="center"/>
        <w:rPr>
          <w:rFonts w:ascii="宋体"/>
          <w:sz w:val="32"/>
          <w:szCs w:val="32"/>
        </w:rPr>
      </w:pPr>
      <w:bookmarkStart w:id="1" w:name="_Toc22886"/>
      <w:r>
        <w:rPr>
          <w:rFonts w:hint="eastAsia" w:ascii="宋体" w:hAnsi="宋体"/>
          <w:sz w:val="32"/>
          <w:szCs w:val="32"/>
        </w:rPr>
        <w:t>第二章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须知及附表</w:t>
      </w:r>
      <w:bookmarkEnd w:id="1"/>
    </w:p>
    <w:p w14:paraId="3A721458">
      <w:pPr>
        <w:spacing w:line="360" w:lineRule="auto"/>
        <w:ind w:firstLine="643" w:firstLineChars="200"/>
        <w:jc w:val="center"/>
        <w:rPr>
          <w:rFonts w:ascii="宋体" w:cs="宋体"/>
          <w:b/>
          <w:bCs/>
          <w:sz w:val="32"/>
          <w:szCs w:val="32"/>
        </w:rPr>
      </w:pPr>
      <w:r>
        <w:rPr>
          <w:rFonts w:hint="eastAsia" w:ascii="宋体" w:hAnsi="宋体" w:cs="宋体"/>
          <w:b/>
          <w:bCs/>
          <w:sz w:val="32"/>
          <w:szCs w:val="32"/>
        </w:rPr>
        <w:t>前附表</w:t>
      </w:r>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783"/>
      </w:tblGrid>
      <w:tr w14:paraId="10EE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745" w:type="dxa"/>
            <w:vAlign w:val="center"/>
          </w:tcPr>
          <w:p w14:paraId="2D7EC17C">
            <w:pPr>
              <w:jc w:val="center"/>
              <w:rPr>
                <w:rFonts w:ascii="宋体" w:cs="宋体"/>
                <w:kern w:val="0"/>
                <w:szCs w:val="21"/>
              </w:rPr>
            </w:pPr>
            <w:r>
              <w:rPr>
                <w:rFonts w:hint="eastAsia" w:ascii="宋体" w:hAnsi="宋体" w:cs="宋体"/>
                <w:kern w:val="0"/>
                <w:szCs w:val="21"/>
              </w:rPr>
              <w:t>序号</w:t>
            </w:r>
          </w:p>
        </w:tc>
        <w:tc>
          <w:tcPr>
            <w:tcW w:w="7783" w:type="dxa"/>
            <w:vAlign w:val="center"/>
          </w:tcPr>
          <w:p w14:paraId="7347D372">
            <w:pPr>
              <w:jc w:val="center"/>
              <w:rPr>
                <w:rFonts w:ascii="宋体" w:cs="宋体"/>
                <w:kern w:val="0"/>
                <w:szCs w:val="21"/>
              </w:rPr>
            </w:pPr>
            <w:r>
              <w:rPr>
                <w:rFonts w:hint="eastAsia" w:ascii="宋体" w:hAnsi="宋体" w:cs="宋体"/>
                <w:kern w:val="0"/>
                <w:szCs w:val="21"/>
              </w:rPr>
              <w:t>内容</w:t>
            </w:r>
          </w:p>
        </w:tc>
      </w:tr>
      <w:tr w14:paraId="0539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5" w:type="dxa"/>
            <w:vAlign w:val="center"/>
          </w:tcPr>
          <w:p w14:paraId="72664D9A">
            <w:pPr>
              <w:jc w:val="center"/>
              <w:rPr>
                <w:rFonts w:ascii="宋体" w:hAnsi="宋体" w:cs="宋体"/>
                <w:kern w:val="0"/>
                <w:szCs w:val="21"/>
              </w:rPr>
            </w:pPr>
            <w:r>
              <w:rPr>
                <w:rFonts w:ascii="宋体" w:hAnsi="宋体" w:cs="宋体"/>
                <w:kern w:val="0"/>
                <w:szCs w:val="21"/>
              </w:rPr>
              <w:t>1</w:t>
            </w:r>
          </w:p>
        </w:tc>
        <w:tc>
          <w:tcPr>
            <w:tcW w:w="7783" w:type="dxa"/>
            <w:vAlign w:val="center"/>
          </w:tcPr>
          <w:p w14:paraId="31B5DBE0">
            <w:pPr>
              <w:rPr>
                <w:rFonts w:hint="eastAsia" w:ascii="宋体" w:eastAsia="宋体" w:cs="宋体"/>
                <w:kern w:val="0"/>
                <w:szCs w:val="21"/>
                <w:lang w:eastAsia="zh-CN"/>
              </w:rPr>
            </w:pPr>
            <w:r>
              <w:rPr>
                <w:rFonts w:hint="eastAsia" w:ascii="宋体" w:hAnsi="宋体" w:cs="宋体"/>
                <w:kern w:val="0"/>
                <w:szCs w:val="21"/>
              </w:rPr>
              <w:t>项目名称：</w:t>
            </w:r>
            <w:r>
              <w:rPr>
                <w:rFonts w:hint="eastAsia" w:ascii="宋体" w:hAnsi="宋体" w:cs="宋体"/>
                <w:b/>
                <w:bCs/>
                <w:iCs/>
                <w:kern w:val="0"/>
                <w:szCs w:val="21"/>
                <w:lang w:eastAsia="zh-CN"/>
              </w:rPr>
              <w:t>黄浦区老西门街道市民健身中心装修工程</w:t>
            </w:r>
          </w:p>
          <w:p w14:paraId="3AB18F68">
            <w:pPr>
              <w:rPr>
                <w:rFonts w:hint="eastAsia" w:ascii="宋体" w:eastAsia="宋体" w:cs="宋体"/>
                <w:kern w:val="0"/>
                <w:szCs w:val="21"/>
                <w:lang w:eastAsia="zh-CN"/>
              </w:rPr>
            </w:pPr>
            <w:r>
              <w:rPr>
                <w:rFonts w:hint="eastAsia" w:ascii="宋体" w:hAnsi="宋体" w:cs="宋体"/>
                <w:kern w:val="0"/>
                <w:szCs w:val="21"/>
              </w:rPr>
              <w:t>采购单位：</w:t>
            </w:r>
            <w:r>
              <w:rPr>
                <w:rFonts w:hint="eastAsia" w:ascii="宋体" w:hAnsi="宋体" w:cs="宋体"/>
                <w:kern w:val="0"/>
                <w:szCs w:val="21"/>
                <w:lang w:eastAsia="zh-CN"/>
              </w:rPr>
              <w:t>上海市黄浦区人民政府老西门街道办事处</w:t>
            </w:r>
          </w:p>
          <w:p w14:paraId="1E677B03">
            <w:pPr>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上海市黄浦区大吉路65号</w:t>
            </w:r>
          </w:p>
        </w:tc>
      </w:tr>
      <w:tr w14:paraId="51B2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45" w:type="dxa"/>
            <w:vAlign w:val="center"/>
          </w:tcPr>
          <w:p w14:paraId="492894C8">
            <w:pPr>
              <w:jc w:val="center"/>
              <w:rPr>
                <w:rFonts w:ascii="宋体" w:hAnsi="宋体" w:cs="宋体"/>
                <w:kern w:val="0"/>
                <w:szCs w:val="21"/>
              </w:rPr>
            </w:pPr>
            <w:r>
              <w:rPr>
                <w:rFonts w:ascii="宋体" w:hAnsi="宋体" w:cs="宋体"/>
                <w:kern w:val="0"/>
                <w:szCs w:val="21"/>
              </w:rPr>
              <w:t>2</w:t>
            </w:r>
          </w:p>
        </w:tc>
        <w:tc>
          <w:tcPr>
            <w:tcW w:w="7783" w:type="dxa"/>
            <w:vAlign w:val="center"/>
          </w:tcPr>
          <w:p w14:paraId="671B43AB">
            <w:pPr>
              <w:widowControl/>
              <w:textAlignment w:val="baseline"/>
              <w:rPr>
                <w:rFonts w:hint="eastAsia" w:ascii="宋体" w:eastAsia="宋体" w:cs="宋体"/>
                <w:kern w:val="0"/>
                <w:szCs w:val="21"/>
                <w:lang w:eastAsia="zh-CN"/>
              </w:rPr>
            </w:pP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224E730F">
            <w:pPr>
              <w:widowControl/>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9AE5617">
            <w:pPr>
              <w:widowControl/>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CD3F1BE">
            <w:pPr>
              <w:widowControl/>
              <w:textAlignment w:val="baseline"/>
              <w:rPr>
                <w:rFonts w:ascii="宋体" w:cs="宋体"/>
                <w:kern w:val="0"/>
                <w:szCs w:val="21"/>
              </w:rPr>
            </w:pPr>
            <w:r>
              <w:rPr>
                <w:rFonts w:hint="eastAsia" w:ascii="宋体" w:hAnsi="宋体" w:cs="宋体"/>
                <w:kern w:val="0"/>
                <w:szCs w:val="21"/>
              </w:rPr>
              <w:t>电话：</w:t>
            </w:r>
            <w:r>
              <w:rPr>
                <w:rFonts w:hint="eastAsia" w:ascii="宋体" w:hAnsi="宋体" w:cs="宋体"/>
                <w:kern w:val="0"/>
                <w:szCs w:val="21"/>
                <w:lang w:eastAsia="zh-CN"/>
              </w:rPr>
              <w:t>13764226886</w:t>
            </w:r>
          </w:p>
        </w:tc>
      </w:tr>
      <w:tr w14:paraId="3C91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5" w:type="dxa"/>
            <w:vAlign w:val="center"/>
          </w:tcPr>
          <w:p w14:paraId="6DB6A1CC">
            <w:pPr>
              <w:jc w:val="center"/>
              <w:rPr>
                <w:rFonts w:ascii="宋体" w:hAnsi="宋体" w:cs="宋体"/>
                <w:kern w:val="0"/>
                <w:szCs w:val="21"/>
              </w:rPr>
            </w:pPr>
            <w:r>
              <w:rPr>
                <w:rFonts w:ascii="宋体" w:hAnsi="宋体" w:cs="宋体"/>
                <w:kern w:val="0"/>
                <w:szCs w:val="21"/>
              </w:rPr>
              <w:t>3</w:t>
            </w:r>
          </w:p>
        </w:tc>
        <w:tc>
          <w:tcPr>
            <w:tcW w:w="7783" w:type="dxa"/>
            <w:vAlign w:val="center"/>
          </w:tcPr>
          <w:p w14:paraId="64794E79">
            <w:pPr>
              <w:rPr>
                <w:rFonts w:ascii="宋体" w:cs="宋体"/>
                <w:kern w:val="0"/>
                <w:szCs w:val="21"/>
              </w:rPr>
            </w:pPr>
            <w:r>
              <w:rPr>
                <w:rFonts w:hint="eastAsia" w:ascii="宋体" w:hAnsi="宋体" w:cs="宋体"/>
                <w:kern w:val="0"/>
                <w:szCs w:val="21"/>
              </w:rPr>
              <w:t>磋商保证金：本项目不收取</w:t>
            </w:r>
          </w:p>
        </w:tc>
      </w:tr>
      <w:tr w14:paraId="02E6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5" w:type="dxa"/>
            <w:vAlign w:val="center"/>
          </w:tcPr>
          <w:p w14:paraId="20231F6D">
            <w:pPr>
              <w:jc w:val="center"/>
              <w:rPr>
                <w:rFonts w:ascii="宋体" w:hAnsi="宋体" w:cs="宋体"/>
                <w:kern w:val="0"/>
                <w:szCs w:val="21"/>
              </w:rPr>
            </w:pPr>
            <w:r>
              <w:rPr>
                <w:rFonts w:ascii="宋体" w:hAnsi="宋体" w:cs="宋体"/>
                <w:kern w:val="0"/>
                <w:szCs w:val="21"/>
              </w:rPr>
              <w:t>4</w:t>
            </w:r>
          </w:p>
        </w:tc>
        <w:tc>
          <w:tcPr>
            <w:tcW w:w="7783" w:type="dxa"/>
            <w:vAlign w:val="center"/>
          </w:tcPr>
          <w:p w14:paraId="061393A6">
            <w:pPr>
              <w:rPr>
                <w:rFonts w:ascii="宋体" w:cs="宋体"/>
                <w:kern w:val="0"/>
                <w:szCs w:val="21"/>
              </w:rPr>
            </w:pPr>
            <w:r>
              <w:rPr>
                <w:rFonts w:hint="eastAsia" w:ascii="宋体" w:hAnsi="宋体" w:cs="宋体"/>
                <w:kern w:val="0"/>
                <w:szCs w:val="21"/>
              </w:rPr>
              <w:t>竞争性磋商文件：本项目采用电子化采购方式，采购人、采购代理机构免费提供电子采购文件。</w:t>
            </w:r>
          </w:p>
        </w:tc>
      </w:tr>
      <w:tr w14:paraId="495B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240DC573">
            <w:pPr>
              <w:jc w:val="center"/>
              <w:rPr>
                <w:rFonts w:ascii="宋体" w:hAnsi="宋体" w:cs="宋体"/>
                <w:kern w:val="0"/>
                <w:szCs w:val="21"/>
              </w:rPr>
            </w:pPr>
            <w:r>
              <w:rPr>
                <w:rFonts w:ascii="宋体" w:hAnsi="宋体" w:cs="宋体"/>
                <w:kern w:val="0"/>
                <w:szCs w:val="21"/>
              </w:rPr>
              <w:t>5</w:t>
            </w:r>
          </w:p>
        </w:tc>
        <w:tc>
          <w:tcPr>
            <w:tcW w:w="7783" w:type="dxa"/>
            <w:vAlign w:val="center"/>
          </w:tcPr>
          <w:p w14:paraId="251C3CA0">
            <w:pPr>
              <w:rPr>
                <w:rFonts w:ascii="宋体" w:cs="宋体"/>
                <w:kern w:val="0"/>
                <w:szCs w:val="21"/>
              </w:rPr>
            </w:pPr>
            <w:r>
              <w:rPr>
                <w:rFonts w:hint="eastAsia" w:ascii="宋体" w:hAnsi="宋体" w:cs="宋体"/>
                <w:kern w:val="0"/>
                <w:szCs w:val="21"/>
              </w:rPr>
              <w:t>项目基本情况：项目位于黄浦区大兴街12-22号第2层。</w:t>
            </w:r>
          </w:p>
        </w:tc>
      </w:tr>
      <w:tr w14:paraId="5CB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60199D4">
            <w:pPr>
              <w:jc w:val="center"/>
              <w:rPr>
                <w:rFonts w:ascii="宋体" w:hAnsi="宋体" w:cs="宋体"/>
                <w:kern w:val="0"/>
                <w:szCs w:val="21"/>
              </w:rPr>
            </w:pPr>
            <w:r>
              <w:rPr>
                <w:rFonts w:ascii="宋体" w:hAnsi="宋体" w:cs="宋体"/>
                <w:kern w:val="0"/>
                <w:szCs w:val="21"/>
              </w:rPr>
              <w:t>6</w:t>
            </w:r>
          </w:p>
        </w:tc>
        <w:tc>
          <w:tcPr>
            <w:tcW w:w="7783" w:type="dxa"/>
            <w:vAlign w:val="center"/>
          </w:tcPr>
          <w:p w14:paraId="56A439AA">
            <w:pPr>
              <w:rPr>
                <w:rFonts w:ascii="宋体" w:cs="宋体"/>
                <w:kern w:val="0"/>
                <w:szCs w:val="21"/>
              </w:rPr>
            </w:pPr>
            <w:r>
              <w:rPr>
                <w:rFonts w:hint="eastAsia" w:ascii="宋体" w:hAnsi="宋体" w:cs="宋体"/>
                <w:b/>
                <w:bCs/>
                <w:kern w:val="0"/>
                <w:szCs w:val="21"/>
                <w:highlight w:val="none"/>
              </w:rPr>
              <w:t>预付款担保：</w:t>
            </w:r>
            <w:r>
              <w:rPr>
                <w:rFonts w:hint="eastAsia" w:ascii="宋体" w:hAnsi="宋体" w:cs="宋体"/>
                <w:b/>
                <w:bCs/>
                <w:kern w:val="0"/>
                <w:szCs w:val="21"/>
                <w:highlight w:val="none"/>
                <w:lang w:val="en-US" w:eastAsia="zh-CN"/>
              </w:rPr>
              <w:t>/</w:t>
            </w:r>
            <w:r>
              <w:rPr>
                <w:rFonts w:hint="eastAsia" w:ascii="宋体" w:hAnsi="宋体" w:cs="宋体"/>
                <w:b/>
                <w:bCs/>
                <w:kern w:val="0"/>
                <w:szCs w:val="21"/>
                <w:highlight w:val="none"/>
              </w:rPr>
              <w:t>。</w:t>
            </w:r>
          </w:p>
        </w:tc>
      </w:tr>
      <w:tr w14:paraId="1261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5" w:type="dxa"/>
            <w:vAlign w:val="center"/>
          </w:tcPr>
          <w:p w14:paraId="05442962">
            <w:pPr>
              <w:jc w:val="center"/>
              <w:rPr>
                <w:rFonts w:ascii="宋体" w:hAnsi="宋体" w:cs="宋体"/>
                <w:kern w:val="0"/>
                <w:szCs w:val="21"/>
              </w:rPr>
            </w:pPr>
            <w:r>
              <w:rPr>
                <w:rFonts w:ascii="宋体" w:hAnsi="宋体" w:cs="宋体"/>
                <w:kern w:val="0"/>
                <w:szCs w:val="21"/>
              </w:rPr>
              <w:t>7</w:t>
            </w:r>
          </w:p>
        </w:tc>
        <w:tc>
          <w:tcPr>
            <w:tcW w:w="7783" w:type="dxa"/>
            <w:vAlign w:val="center"/>
          </w:tcPr>
          <w:p w14:paraId="6E6A84C7">
            <w:pPr>
              <w:rPr>
                <w:rFonts w:ascii="宋体" w:cs="宋体"/>
                <w:kern w:val="0"/>
                <w:szCs w:val="21"/>
              </w:rPr>
            </w:pPr>
            <w:r>
              <w:rPr>
                <w:rFonts w:hint="eastAsia" w:ascii="宋体" w:hAnsi="宋体" w:cs="宋体"/>
                <w:kern w:val="0"/>
                <w:szCs w:val="21"/>
              </w:rPr>
              <w:t>磋商有效期：</w:t>
            </w:r>
            <w:r>
              <w:rPr>
                <w:rFonts w:ascii="宋体" w:hAnsi="宋体" w:cs="宋体"/>
                <w:kern w:val="0"/>
                <w:szCs w:val="21"/>
              </w:rPr>
              <w:t>90</w:t>
            </w:r>
            <w:r>
              <w:rPr>
                <w:rFonts w:hint="eastAsia" w:ascii="宋体" w:hAnsi="宋体" w:cs="宋体"/>
                <w:kern w:val="0"/>
                <w:szCs w:val="21"/>
              </w:rPr>
              <w:t>日历天。</w:t>
            </w:r>
          </w:p>
        </w:tc>
      </w:tr>
      <w:tr w14:paraId="1487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5" w:type="dxa"/>
            <w:vAlign w:val="center"/>
          </w:tcPr>
          <w:p w14:paraId="5BEBC2A7">
            <w:pPr>
              <w:jc w:val="center"/>
              <w:rPr>
                <w:rFonts w:ascii="宋体" w:hAnsi="宋体" w:cs="宋体"/>
                <w:kern w:val="0"/>
                <w:szCs w:val="21"/>
              </w:rPr>
            </w:pPr>
            <w:r>
              <w:rPr>
                <w:rFonts w:ascii="宋体" w:hAnsi="宋体" w:cs="宋体"/>
                <w:kern w:val="0"/>
                <w:szCs w:val="21"/>
              </w:rPr>
              <w:t>8</w:t>
            </w:r>
          </w:p>
        </w:tc>
        <w:tc>
          <w:tcPr>
            <w:tcW w:w="7783" w:type="dxa"/>
            <w:vAlign w:val="center"/>
          </w:tcPr>
          <w:p w14:paraId="2907C569">
            <w:pPr>
              <w:rPr>
                <w:rFonts w:ascii="宋体" w:cs="宋体"/>
                <w:kern w:val="0"/>
                <w:szCs w:val="21"/>
              </w:rPr>
            </w:pPr>
            <w:r>
              <w:rPr>
                <w:rFonts w:hint="eastAsia" w:ascii="宋体" w:hAnsi="宋体" w:cs="宋体"/>
                <w:kern w:val="0"/>
                <w:szCs w:val="21"/>
              </w:rPr>
              <w:t>磋商响应文件：正本：</w:t>
            </w:r>
            <w:r>
              <w:rPr>
                <w:rFonts w:ascii="宋体" w:hAnsi="宋体" w:cs="宋体"/>
                <w:kern w:val="0"/>
                <w:szCs w:val="21"/>
              </w:rPr>
              <w:t>1</w:t>
            </w:r>
            <w:r>
              <w:rPr>
                <w:rFonts w:hint="eastAsia" w:ascii="宋体" w:hAnsi="宋体" w:cs="宋体"/>
                <w:kern w:val="0"/>
                <w:szCs w:val="21"/>
              </w:rPr>
              <w:t>份，副本：</w:t>
            </w:r>
            <w:r>
              <w:rPr>
                <w:rFonts w:ascii="宋体" w:hAnsi="宋体" w:cs="宋体"/>
                <w:kern w:val="0"/>
                <w:szCs w:val="21"/>
              </w:rPr>
              <w:t>2</w:t>
            </w:r>
            <w:r>
              <w:rPr>
                <w:rFonts w:hint="eastAsia" w:ascii="宋体" w:hAnsi="宋体" w:cs="宋体"/>
                <w:kern w:val="0"/>
                <w:szCs w:val="21"/>
              </w:rPr>
              <w:t>份，每份文件需清楚的表明“正本”、“副本”。</w:t>
            </w:r>
          </w:p>
        </w:tc>
      </w:tr>
      <w:tr w14:paraId="563C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745" w:type="dxa"/>
            <w:vAlign w:val="center"/>
          </w:tcPr>
          <w:p w14:paraId="355E2E0E">
            <w:pPr>
              <w:jc w:val="center"/>
              <w:rPr>
                <w:rFonts w:ascii="宋体" w:hAnsi="宋体" w:cs="宋体"/>
                <w:kern w:val="0"/>
                <w:szCs w:val="21"/>
              </w:rPr>
            </w:pPr>
            <w:r>
              <w:rPr>
                <w:rFonts w:ascii="宋体" w:hAnsi="宋体" w:cs="宋体"/>
                <w:kern w:val="0"/>
                <w:szCs w:val="21"/>
              </w:rPr>
              <w:t>9</w:t>
            </w:r>
          </w:p>
        </w:tc>
        <w:tc>
          <w:tcPr>
            <w:tcW w:w="7783" w:type="dxa"/>
            <w:vAlign w:val="center"/>
          </w:tcPr>
          <w:p w14:paraId="128A6FAC">
            <w:pPr>
              <w:rPr>
                <w:rFonts w:ascii="宋体" w:cs="宋体"/>
                <w:kern w:val="0"/>
                <w:szCs w:val="21"/>
              </w:rPr>
            </w:pPr>
            <w:r>
              <w:rPr>
                <w:rFonts w:hint="eastAsia" w:ascii="宋体" w:hAnsi="宋体" w:cs="宋体"/>
                <w:kern w:val="0"/>
                <w:szCs w:val="21"/>
              </w:rPr>
              <w:t>踏勘现场：领取竞争性磋商文件后自行踏勘</w:t>
            </w:r>
          </w:p>
          <w:p w14:paraId="2B5017F7">
            <w:pPr>
              <w:rPr>
                <w:rFonts w:ascii="宋体" w:hAnsi="宋体" w:cs="宋体"/>
                <w:kern w:val="0"/>
                <w:szCs w:val="21"/>
              </w:rPr>
            </w:pPr>
            <w:r>
              <w:rPr>
                <w:rFonts w:hint="eastAsia" w:ascii="宋体" w:hAnsi="宋体" w:cs="宋体"/>
                <w:kern w:val="0"/>
                <w:szCs w:val="21"/>
              </w:rPr>
              <w:t>踏勘地址：</w:t>
            </w:r>
            <w:r>
              <w:rPr>
                <w:rFonts w:hint="eastAsia" w:ascii="宋体" w:hAnsi="宋体" w:cs="宋体"/>
                <w:b/>
                <w:bCs/>
                <w:iCs/>
                <w:kern w:val="0"/>
                <w:szCs w:val="21"/>
                <w:lang w:eastAsia="zh-CN"/>
              </w:rPr>
              <w:t>本项目不组织踏勘</w:t>
            </w:r>
            <w:r>
              <w:rPr>
                <w:rFonts w:hint="eastAsia" w:ascii="宋体" w:hAnsi="宋体" w:cs="宋体"/>
                <w:kern w:val="0"/>
                <w:szCs w:val="21"/>
              </w:rPr>
              <w:t>。</w:t>
            </w:r>
          </w:p>
          <w:p w14:paraId="6897A724">
            <w:pPr>
              <w:rPr>
                <w:rFonts w:ascii="宋体" w:cs="宋体"/>
                <w:kern w:val="0"/>
                <w:szCs w:val="21"/>
                <w:highlight w:val="none"/>
              </w:rPr>
            </w:pPr>
            <w:r>
              <w:rPr>
                <w:rFonts w:hint="eastAsia" w:ascii="宋体" w:hAnsi="宋体" w:cs="宋体"/>
                <w:kern w:val="0"/>
                <w:szCs w:val="21"/>
                <w:lang w:eastAsia="zh-CN"/>
              </w:rPr>
              <w:t>响应</w:t>
            </w:r>
            <w:r>
              <w:rPr>
                <w:rFonts w:hint="eastAsia" w:ascii="宋体" w:hAnsi="宋体" w:cs="宋体"/>
                <w:kern w:val="0"/>
                <w:szCs w:val="21"/>
              </w:rPr>
              <w:t>单位递交需答疑问题：各</w:t>
            </w:r>
            <w:r>
              <w:rPr>
                <w:rFonts w:hint="eastAsia" w:ascii="宋体" w:hAnsi="宋体" w:cs="宋体"/>
                <w:kern w:val="0"/>
                <w:szCs w:val="21"/>
                <w:lang w:eastAsia="zh-CN"/>
              </w:rPr>
              <w:t>响应</w:t>
            </w:r>
            <w:r>
              <w:rPr>
                <w:rFonts w:hint="eastAsia" w:ascii="宋体" w:hAnsi="宋体" w:cs="宋体"/>
                <w:kern w:val="0"/>
                <w:szCs w:val="21"/>
              </w:rPr>
              <w:t>单位应以书面形式于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8</w:t>
            </w:r>
            <w:r>
              <w:rPr>
                <w:rFonts w:hint="eastAsia" w:ascii="宋体" w:hAnsi="宋体" w:cs="宋体"/>
                <w:b/>
                <w:bCs/>
                <w:kern w:val="0"/>
                <w:szCs w:val="21"/>
                <w:highlight w:val="none"/>
              </w:rPr>
              <w:t>日</w:t>
            </w:r>
            <w:r>
              <w:rPr>
                <w:rFonts w:hint="eastAsia" w:ascii="宋体" w:hAnsi="宋体" w:cs="宋体"/>
                <w:kern w:val="0"/>
                <w:szCs w:val="21"/>
                <w:highlight w:val="none"/>
              </w:rPr>
              <w:t>下午16</w:t>
            </w:r>
            <w:r>
              <w:rPr>
                <w:rFonts w:ascii="宋体" w:hAnsi="宋体" w:cs="宋体"/>
                <w:kern w:val="0"/>
                <w:szCs w:val="21"/>
                <w:highlight w:val="none"/>
              </w:rPr>
              <w:t>:</w:t>
            </w:r>
            <w:r>
              <w:rPr>
                <w:rFonts w:hint="eastAsia" w:ascii="宋体" w:hAnsi="宋体" w:cs="宋体"/>
                <w:kern w:val="0"/>
                <w:szCs w:val="21"/>
                <w:highlight w:val="none"/>
              </w:rPr>
              <w:t>0</w:t>
            </w:r>
            <w:r>
              <w:rPr>
                <w:rFonts w:ascii="宋体" w:hAnsi="宋体" w:cs="宋体"/>
                <w:kern w:val="0"/>
                <w:szCs w:val="21"/>
                <w:highlight w:val="none"/>
              </w:rPr>
              <w:t>0</w:t>
            </w:r>
            <w:r>
              <w:rPr>
                <w:rFonts w:hint="eastAsia" w:ascii="宋体" w:hAnsi="宋体" w:cs="宋体"/>
                <w:kern w:val="0"/>
                <w:szCs w:val="21"/>
                <w:highlight w:val="none"/>
              </w:rPr>
              <w:t>前送至</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，疑问函需加盖单位公章。</w:t>
            </w:r>
          </w:p>
          <w:p w14:paraId="073B7D98">
            <w:pPr>
              <w:rPr>
                <w:rFonts w:ascii="宋体" w:cs="宋体"/>
                <w:kern w:val="0"/>
                <w:szCs w:val="21"/>
                <w:highlight w:val="none"/>
              </w:rPr>
            </w:pPr>
            <w:r>
              <w:rPr>
                <w:rFonts w:hint="eastAsia" w:ascii="宋体" w:hAnsi="宋体" w:cs="宋体"/>
                <w:kern w:val="0"/>
                <w:szCs w:val="21"/>
                <w:highlight w:val="none"/>
              </w:rPr>
              <w:t>补充文件发放时间：如有另行通知。</w:t>
            </w:r>
          </w:p>
          <w:p w14:paraId="258A466A">
            <w:pPr>
              <w:rPr>
                <w:rFonts w:ascii="宋体" w:cs="宋体"/>
                <w:kern w:val="0"/>
                <w:szCs w:val="21"/>
                <w:highlight w:val="none"/>
              </w:rPr>
            </w:pPr>
            <w:r>
              <w:rPr>
                <w:rFonts w:hint="eastAsia" w:ascii="宋体" w:hAnsi="宋体" w:cs="宋体"/>
                <w:kern w:val="0"/>
                <w:szCs w:val="21"/>
                <w:highlight w:val="none"/>
              </w:rPr>
              <w:t>地点：</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w:t>
            </w:r>
          </w:p>
          <w:p w14:paraId="33D7C980">
            <w:pPr>
              <w:rPr>
                <w:rFonts w:ascii="宋体" w:cs="宋体"/>
                <w:kern w:val="0"/>
                <w:szCs w:val="21"/>
                <w:highlight w:val="none"/>
              </w:rPr>
            </w:pPr>
            <w:r>
              <w:rPr>
                <w:rFonts w:hint="eastAsia" w:ascii="宋体" w:hAnsi="宋体" w:cs="宋体"/>
                <w:kern w:val="0"/>
                <w:szCs w:val="21"/>
                <w:highlight w:val="none"/>
              </w:rPr>
              <w:t>递交</w:t>
            </w:r>
            <w:bookmarkStart w:id="2" w:name="_Hlk5142244"/>
            <w:r>
              <w:rPr>
                <w:rFonts w:hint="eastAsia" w:ascii="宋体" w:hAnsi="宋体" w:cs="宋体"/>
                <w:kern w:val="0"/>
                <w:szCs w:val="21"/>
                <w:highlight w:val="none"/>
              </w:rPr>
              <w:t>磋商响应文件</w:t>
            </w:r>
            <w:bookmarkEnd w:id="2"/>
            <w:r>
              <w:rPr>
                <w:rFonts w:hint="eastAsia" w:ascii="宋体" w:hAnsi="宋体" w:cs="宋体"/>
                <w:kern w:val="0"/>
                <w:szCs w:val="21"/>
                <w:highlight w:val="none"/>
              </w:rPr>
              <w:t>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11</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rPr>
              <w:t>0</w:t>
            </w:r>
            <w:r>
              <w:rPr>
                <w:rFonts w:ascii="宋体" w:hAnsi="宋体" w:cs="宋体"/>
                <w:b/>
                <w:bCs/>
                <w:kern w:val="0"/>
                <w:szCs w:val="21"/>
                <w:highlight w:val="none"/>
              </w:rPr>
              <w:t>0</w:t>
            </w:r>
          </w:p>
          <w:p w14:paraId="5087B3AE">
            <w:pPr>
              <w:rPr>
                <w:rFonts w:ascii="宋体" w:cs="宋体"/>
                <w:kern w:val="0"/>
                <w:szCs w:val="21"/>
              </w:rPr>
            </w:pPr>
            <w:r>
              <w:rPr>
                <w:rFonts w:hint="eastAsia" w:ascii="宋体" w:hAnsi="宋体" w:cs="宋体"/>
                <w:kern w:val="0"/>
                <w:szCs w:val="21"/>
              </w:rPr>
              <w:t>竞争性磋商时间：另行通知（通知会以短信、电话、电子邮件等方式进行通知，因</w:t>
            </w:r>
            <w:r>
              <w:rPr>
                <w:rFonts w:hint="eastAsia" w:ascii="宋体" w:hAnsi="宋体" w:cs="宋体"/>
                <w:kern w:val="0"/>
                <w:szCs w:val="21"/>
                <w:lang w:eastAsia="zh-CN"/>
              </w:rPr>
              <w:t>响应单位</w:t>
            </w:r>
            <w:r>
              <w:rPr>
                <w:rFonts w:hint="eastAsia" w:ascii="宋体" w:hAnsi="宋体" w:cs="宋体"/>
                <w:kern w:val="0"/>
                <w:szCs w:val="21"/>
              </w:rPr>
              <w:t>提供的联系方式有误造成的一切后果由</w:t>
            </w:r>
            <w:r>
              <w:rPr>
                <w:rFonts w:hint="eastAsia" w:ascii="宋体" w:hAnsi="宋体" w:cs="宋体"/>
                <w:kern w:val="0"/>
                <w:szCs w:val="21"/>
                <w:lang w:eastAsia="zh-CN"/>
              </w:rPr>
              <w:t>响应单位</w:t>
            </w:r>
            <w:r>
              <w:rPr>
                <w:rFonts w:hint="eastAsia" w:ascii="宋体" w:hAnsi="宋体" w:cs="宋体"/>
                <w:kern w:val="0"/>
                <w:szCs w:val="21"/>
              </w:rPr>
              <w:t>自行承担）</w:t>
            </w:r>
          </w:p>
          <w:p w14:paraId="6120B38E">
            <w:pPr>
              <w:rPr>
                <w:rFonts w:hint="eastAsia" w:ascii="宋体" w:eastAsia="宋体" w:cs="宋体"/>
                <w:kern w:val="0"/>
                <w:szCs w:val="21"/>
                <w:lang w:eastAsia="zh-CN"/>
              </w:rPr>
            </w:pP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tc>
      </w:tr>
      <w:tr w14:paraId="2F6B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5" w:type="dxa"/>
            <w:vAlign w:val="center"/>
          </w:tcPr>
          <w:p w14:paraId="68566487">
            <w:pPr>
              <w:jc w:val="center"/>
              <w:rPr>
                <w:rFonts w:ascii="宋体" w:hAnsi="宋体" w:cs="宋体"/>
                <w:kern w:val="0"/>
                <w:szCs w:val="21"/>
              </w:rPr>
            </w:pPr>
            <w:r>
              <w:rPr>
                <w:rFonts w:ascii="宋体" w:hAnsi="宋体" w:cs="宋体"/>
                <w:kern w:val="0"/>
                <w:szCs w:val="21"/>
              </w:rPr>
              <w:t>10</w:t>
            </w:r>
          </w:p>
        </w:tc>
        <w:tc>
          <w:tcPr>
            <w:tcW w:w="7783" w:type="dxa"/>
            <w:vAlign w:val="center"/>
          </w:tcPr>
          <w:p w14:paraId="45A1021A">
            <w:pPr>
              <w:rPr>
                <w:rFonts w:ascii="宋体" w:cs="宋体"/>
                <w:kern w:val="0"/>
                <w:szCs w:val="21"/>
              </w:rPr>
            </w:pPr>
            <w:r>
              <w:rPr>
                <w:rFonts w:hint="eastAsia" w:ascii="宋体" w:hAnsi="宋体" w:cs="宋体"/>
                <w:kern w:val="0"/>
                <w:szCs w:val="21"/>
              </w:rPr>
              <w:t>评审方法：综合评分法</w:t>
            </w:r>
          </w:p>
        </w:tc>
      </w:tr>
      <w:tr w14:paraId="278D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DABD86C">
            <w:pPr>
              <w:jc w:val="center"/>
              <w:rPr>
                <w:rFonts w:ascii="宋体" w:hAnsi="宋体" w:cs="宋体"/>
                <w:kern w:val="0"/>
                <w:szCs w:val="21"/>
              </w:rPr>
            </w:pPr>
            <w:r>
              <w:rPr>
                <w:rFonts w:hint="eastAsia" w:ascii="宋体" w:hAnsi="宋体" w:cs="宋体"/>
                <w:kern w:val="0"/>
                <w:szCs w:val="21"/>
              </w:rPr>
              <w:t>11</w:t>
            </w:r>
          </w:p>
        </w:tc>
        <w:tc>
          <w:tcPr>
            <w:tcW w:w="7783" w:type="dxa"/>
            <w:vAlign w:val="center"/>
          </w:tcPr>
          <w:p w14:paraId="56070C95">
            <w:pPr>
              <w:rPr>
                <w:rFonts w:ascii="宋体" w:hAnsi="宋体" w:cs="宋体"/>
                <w:kern w:val="0"/>
                <w:szCs w:val="21"/>
              </w:rPr>
            </w:pPr>
            <w:r>
              <w:rPr>
                <w:rFonts w:hint="eastAsia" w:ascii="宋体" w:hAnsi="宋体" w:cs="宋体"/>
                <w:lang w:eastAsia="zh-CN"/>
              </w:rPr>
              <w:t>响应单位</w:t>
            </w:r>
            <w:r>
              <w:rPr>
                <w:rFonts w:hint="eastAsia" w:ascii="宋体" w:hAnsi="宋体" w:cs="宋体"/>
              </w:rPr>
              <w:t>在磋商过程中有质疑或投拆请按“中华人民共和国财政部令第94号文”相关要求执行，接受质疑函的方式为将书面形式（须签字及盖章）在质疑或投拆规定时限内送至</w:t>
            </w:r>
            <w:r>
              <w:rPr>
                <w:rFonts w:hint="eastAsia" w:ascii="宋体" w:hAnsi="宋体" w:cs="宋体"/>
                <w:kern w:val="0"/>
                <w:szCs w:val="21"/>
                <w:lang w:eastAsia="zh-CN"/>
              </w:rPr>
              <w:t>上海市黄浦区西藏南路831弄2号19楼</w:t>
            </w:r>
            <w:r>
              <w:rPr>
                <w:rFonts w:hint="eastAsia" w:ascii="宋体" w:hAnsi="宋体" w:cs="宋体"/>
              </w:rPr>
              <w:t>，联系人：</w:t>
            </w:r>
            <w:r>
              <w:rPr>
                <w:rFonts w:hint="eastAsia" w:ascii="宋体" w:hAnsi="宋体" w:cs="宋体"/>
                <w:lang w:eastAsia="zh-CN"/>
              </w:rPr>
              <w:t>蔡志翔</w:t>
            </w:r>
            <w:r>
              <w:rPr>
                <w:rFonts w:hint="eastAsia" w:ascii="宋体" w:hAnsi="宋体" w:cs="宋体"/>
              </w:rPr>
              <w:t>，联系电话：</w:t>
            </w:r>
            <w:r>
              <w:rPr>
                <w:rFonts w:hint="eastAsia" w:ascii="宋体" w:hAnsi="宋体" w:cs="宋体"/>
                <w:lang w:eastAsia="zh-CN"/>
              </w:rPr>
              <w:t>13764226886</w:t>
            </w:r>
            <w:r>
              <w:rPr>
                <w:rFonts w:hint="eastAsia" w:ascii="宋体" w:hAnsi="宋体" w:cs="宋体"/>
              </w:rPr>
              <w:t>。</w:t>
            </w:r>
          </w:p>
        </w:tc>
      </w:tr>
      <w:tr w14:paraId="1BF5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7E86CD9F">
            <w:pPr>
              <w:jc w:val="center"/>
              <w:rPr>
                <w:rFonts w:ascii="宋体" w:hAnsi="宋体" w:cs="宋体"/>
                <w:kern w:val="0"/>
                <w:szCs w:val="21"/>
              </w:rPr>
            </w:pPr>
            <w:r>
              <w:rPr>
                <w:rFonts w:hint="eastAsia" w:ascii="宋体" w:hAnsi="宋体" w:cs="宋体"/>
                <w:kern w:val="0"/>
                <w:szCs w:val="21"/>
              </w:rPr>
              <w:t>12</w:t>
            </w:r>
          </w:p>
        </w:tc>
        <w:tc>
          <w:tcPr>
            <w:tcW w:w="7783" w:type="dxa"/>
            <w:vAlign w:val="center"/>
          </w:tcPr>
          <w:p w14:paraId="64427377">
            <w:pPr>
              <w:rPr>
                <w:rFonts w:ascii="宋体" w:hAnsi="宋体" w:cs="宋体"/>
              </w:rPr>
            </w:pPr>
            <w:r>
              <w:rPr>
                <w:rFonts w:hint="eastAsia" w:ascii="宋体" w:hAnsi="宋体" w:cs="宋体"/>
              </w:rPr>
              <w:t>（一）社会保险费由用人单位缴纳，社会保险费</w:t>
            </w:r>
            <w:r>
              <w:rPr>
                <w:rFonts w:hint="eastAsia" w:ascii="宋体" w:hAnsi="宋体" w:cs="宋体"/>
                <w:b/>
                <w:bCs/>
                <w:lang w:val="en-US" w:eastAsia="zh-CN"/>
              </w:rPr>
              <w:t>按</w:t>
            </w:r>
            <w:r>
              <w:rPr>
                <w:rFonts w:hint="eastAsia" w:ascii="宋体" w:hAnsi="宋体" w:cs="宋体"/>
                <w:b/>
                <w:bCs/>
              </w:rPr>
              <w:t>沪建标定联[2023]120号相关规定</w:t>
            </w:r>
            <w:r>
              <w:rPr>
                <w:rFonts w:hint="eastAsia" w:ascii="宋体" w:hAnsi="宋体" w:cs="宋体"/>
                <w:b/>
                <w:bCs/>
                <w:lang w:val="en-US" w:eastAsia="zh-CN"/>
              </w:rPr>
              <w:t>执行</w:t>
            </w:r>
            <w:r>
              <w:rPr>
                <w:rFonts w:hint="eastAsia" w:ascii="宋体" w:hAnsi="宋体" w:cs="宋体"/>
              </w:rPr>
              <w:t>。 （二）本项目严格执行沪建管【2015】23号《关于推进建筑工地安装噪声扬 尘在线监测系统的通知》，</w:t>
            </w:r>
            <w:r>
              <w:rPr>
                <w:rFonts w:hint="eastAsia" w:ascii="宋体" w:hAnsi="宋体" w:cs="宋体"/>
                <w:color w:val="auto"/>
                <w:lang w:eastAsia="zh-CN"/>
              </w:rPr>
              <w:t>安装费用由建设单位负责，在文明施工措施费中列支，施工单位根据有关规章要求负责具体落实</w:t>
            </w:r>
            <w:r>
              <w:rPr>
                <w:rFonts w:hint="eastAsia" w:ascii="宋体" w:hAnsi="宋体" w:cs="宋体"/>
                <w:color w:val="auto"/>
              </w:rPr>
              <w:t>。</w:t>
            </w:r>
            <w:r>
              <w:rPr>
                <w:rFonts w:hint="eastAsia" w:ascii="宋体" w:hAnsi="宋体" w:cs="宋体"/>
              </w:rPr>
              <w:t xml:space="preserve"> （三）中标单位应严格执行沪建建管联（2017）775 号文关于开展建设工程人工费支付台账和工资支付台账登记专项督查的通知。 （四）本项目执行沪薪联办（2018）6 号《关于进一步加强本市工程建设领域 用工管理的若干意见》</w:t>
            </w:r>
          </w:p>
        </w:tc>
      </w:tr>
      <w:tr w14:paraId="0B09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0B5EA85E">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7783" w:type="dxa"/>
            <w:vAlign w:val="center"/>
          </w:tcPr>
          <w:p w14:paraId="52C52005">
            <w:pPr>
              <w:rPr>
                <w:rFonts w:hint="eastAsia" w:ascii="宋体" w:hAnsi="宋体" w:cs="宋体"/>
              </w:rPr>
            </w:pPr>
            <w:r>
              <w:rPr>
                <w:rFonts w:hint="eastAsia" w:ascii="宋体" w:hAnsi="宋体" w:cs="宋体"/>
                <w:sz w:val="21"/>
                <w:szCs w:val="21"/>
                <w:lang w:val="en-US" w:eastAsia="zh-CN"/>
              </w:rPr>
              <w:t>竞争性磋商文件以附件（WORD）版本为准。本项目若图纸与工程量清单不符以图纸</w:t>
            </w:r>
            <w:bookmarkStart w:id="609" w:name="_GoBack"/>
            <w:bookmarkEnd w:id="609"/>
            <w:r>
              <w:rPr>
                <w:rFonts w:hint="eastAsia" w:ascii="宋体" w:hAnsi="宋体" w:cs="宋体"/>
                <w:sz w:val="21"/>
                <w:szCs w:val="21"/>
                <w:lang w:val="en-US" w:eastAsia="zh-CN"/>
              </w:rPr>
              <w:t>为准。本项目所属行业：建筑业。</w:t>
            </w:r>
          </w:p>
        </w:tc>
      </w:tr>
    </w:tbl>
    <w:p w14:paraId="24D29B0E">
      <w:pPr>
        <w:pStyle w:val="2"/>
        <w:spacing w:line="360" w:lineRule="auto"/>
        <w:jc w:val="center"/>
        <w:rPr>
          <w:rFonts w:ascii="宋体"/>
          <w:sz w:val="32"/>
          <w:szCs w:val="32"/>
        </w:rPr>
        <w:sectPr>
          <w:pgSz w:w="11906" w:h="16838"/>
          <w:pgMar w:top="1246" w:right="1555" w:bottom="1246" w:left="1531" w:header="851" w:footer="680" w:gutter="0"/>
          <w:pgNumType w:fmt="numberInDash"/>
          <w:cols w:space="720" w:num="1"/>
          <w:titlePg/>
          <w:docGrid w:linePitch="312" w:charSpace="0"/>
        </w:sectPr>
      </w:pPr>
    </w:p>
    <w:p w14:paraId="78FC8523">
      <w:pPr>
        <w:pStyle w:val="2"/>
        <w:spacing w:line="360" w:lineRule="auto"/>
        <w:jc w:val="center"/>
        <w:rPr>
          <w:rFonts w:ascii="宋体"/>
          <w:sz w:val="32"/>
          <w:szCs w:val="32"/>
        </w:rPr>
      </w:pPr>
      <w:bookmarkStart w:id="3" w:name="_Toc32421"/>
      <w:r>
        <w:rPr>
          <w:rFonts w:hint="eastAsia" w:ascii="宋体" w:hAnsi="宋体"/>
          <w:sz w:val="32"/>
          <w:szCs w:val="32"/>
        </w:rPr>
        <w:t>第三章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w:t>
      </w:r>
      <w:bookmarkEnd w:id="3"/>
    </w:p>
    <w:p w14:paraId="32F84A46">
      <w:pPr>
        <w:pStyle w:val="2"/>
        <w:spacing w:line="360" w:lineRule="auto"/>
        <w:jc w:val="center"/>
        <w:rPr>
          <w:rFonts w:ascii="宋体"/>
          <w:sz w:val="32"/>
          <w:szCs w:val="32"/>
        </w:rPr>
      </w:pPr>
      <w:bookmarkStart w:id="4" w:name="_Toc19079"/>
      <w:r>
        <w:rPr>
          <w:rFonts w:hint="eastAsia" w:ascii="宋体" w:hAnsi="宋体"/>
          <w:sz w:val="32"/>
          <w:szCs w:val="32"/>
        </w:rPr>
        <w:t>第一部分磋商程序</w:t>
      </w:r>
      <w:bookmarkEnd w:id="4"/>
    </w:p>
    <w:p w14:paraId="36E35C4A">
      <w:pPr>
        <w:numPr>
          <w:ilvl w:val="0"/>
          <w:numId w:val="2"/>
        </w:numPr>
        <w:spacing w:line="360" w:lineRule="auto"/>
        <w:ind w:firstLine="420" w:firstLineChars="200"/>
        <w:rPr>
          <w:rFonts w:ascii="宋体" w:cs="宋体"/>
          <w:szCs w:val="21"/>
        </w:rPr>
      </w:pPr>
      <w:r>
        <w:rPr>
          <w:rFonts w:hint="eastAsia" w:ascii="宋体" w:hAnsi="宋体" w:cs="宋体"/>
          <w:szCs w:val="21"/>
        </w:rPr>
        <w:t>采购方式</w:t>
      </w:r>
    </w:p>
    <w:p w14:paraId="671304EC">
      <w:pPr>
        <w:spacing w:line="360" w:lineRule="auto"/>
        <w:ind w:firstLine="420" w:firstLineChars="200"/>
        <w:rPr>
          <w:rFonts w:ascii="宋体" w:cs="宋体"/>
          <w:szCs w:val="21"/>
        </w:rPr>
      </w:pPr>
      <w:r>
        <w:rPr>
          <w:rFonts w:hint="eastAsia" w:ascii="宋体" w:hAnsi="宋体" w:cs="宋体"/>
          <w:szCs w:val="21"/>
        </w:rPr>
        <w:t>本次采购采用竞争性磋商的方式，采购人及其委托代理机构</w:t>
      </w:r>
      <w:r>
        <w:rPr>
          <w:rFonts w:hint="eastAsia" w:ascii="宋体" w:hAnsi="宋体" w:cs="宋体"/>
          <w:szCs w:val="21"/>
          <w:lang w:eastAsia="zh-CN"/>
        </w:rPr>
        <w:t>依据</w:t>
      </w:r>
      <w:r>
        <w:rPr>
          <w:rFonts w:hint="eastAsia" w:ascii="宋体" w:hAnsi="宋体" w:cs="宋体"/>
          <w:kern w:val="0"/>
          <w:szCs w:val="21"/>
        </w:rPr>
        <w:t>《中华人民共和国政府采购法》</w:t>
      </w:r>
      <w:r>
        <w:rPr>
          <w:rFonts w:hint="eastAsia" w:ascii="宋体" w:hAnsi="宋体" w:cs="宋体"/>
          <w:kern w:val="0"/>
          <w:szCs w:val="21"/>
          <w:lang w:eastAsia="zh-CN"/>
        </w:rPr>
        <w:t>及《政府采购竞争性磋商采购方式管理暂行办法》</w:t>
      </w:r>
      <w:r>
        <w:rPr>
          <w:rFonts w:hint="eastAsia" w:ascii="宋体" w:hAnsi="宋体" w:cs="宋体"/>
          <w:szCs w:val="21"/>
        </w:rPr>
        <w:t>确定参加磋商的</w:t>
      </w:r>
      <w:r>
        <w:rPr>
          <w:rFonts w:hint="eastAsia" w:ascii="宋体" w:hAnsi="宋体" w:cs="宋体"/>
          <w:szCs w:val="21"/>
          <w:lang w:eastAsia="zh-CN"/>
        </w:rPr>
        <w:t>响应单位</w:t>
      </w:r>
      <w:r>
        <w:rPr>
          <w:rFonts w:hint="eastAsia" w:ascii="宋体" w:hAnsi="宋体" w:cs="宋体"/>
          <w:szCs w:val="21"/>
        </w:rPr>
        <w:t>。</w:t>
      </w:r>
    </w:p>
    <w:p w14:paraId="01014ECE">
      <w:pPr>
        <w:numPr>
          <w:ilvl w:val="0"/>
          <w:numId w:val="3"/>
        </w:numPr>
        <w:spacing w:line="360" w:lineRule="auto"/>
        <w:ind w:firstLine="420" w:firstLineChars="200"/>
        <w:rPr>
          <w:rFonts w:ascii="宋体" w:cs="宋体"/>
          <w:szCs w:val="21"/>
        </w:rPr>
      </w:pPr>
      <w:r>
        <w:rPr>
          <w:rFonts w:hint="eastAsia" w:ascii="宋体" w:hAnsi="宋体" w:cs="宋体"/>
          <w:szCs w:val="21"/>
        </w:rPr>
        <w:t>磋商程序</w:t>
      </w:r>
    </w:p>
    <w:p w14:paraId="32A2220B">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在规定的时间内由</w:t>
      </w:r>
      <w:r>
        <w:rPr>
          <w:rFonts w:hint="eastAsia" w:ascii="宋体" w:hAnsi="宋体" w:cs="宋体"/>
          <w:szCs w:val="21"/>
          <w:lang w:eastAsia="zh-CN"/>
        </w:rPr>
        <w:t>响应单位</w:t>
      </w:r>
      <w:r>
        <w:rPr>
          <w:rFonts w:hint="eastAsia" w:ascii="宋体" w:hAnsi="宋体" w:cs="宋体"/>
          <w:szCs w:val="21"/>
        </w:rPr>
        <w:t>将磋商响应文件提交给采购代理机构，由评审委员会对磋商响应文件进行评审。</w:t>
      </w:r>
    </w:p>
    <w:p w14:paraId="3305F352">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就工程服务、商务及价格进行磋商，经过评审委员会的评审确定最终成交</w:t>
      </w:r>
      <w:r>
        <w:rPr>
          <w:rFonts w:hint="eastAsia" w:ascii="宋体" w:hAnsi="宋体" w:cs="宋体"/>
          <w:szCs w:val="21"/>
          <w:lang w:eastAsia="zh-CN"/>
        </w:rPr>
        <w:t>响应单位</w:t>
      </w:r>
      <w:r>
        <w:rPr>
          <w:rFonts w:hint="eastAsia" w:ascii="宋体" w:hAnsi="宋体" w:cs="宋体"/>
          <w:szCs w:val="21"/>
        </w:rPr>
        <w:t>。</w:t>
      </w:r>
    </w:p>
    <w:p w14:paraId="53650CFC">
      <w:pPr>
        <w:numPr>
          <w:ilvl w:val="0"/>
          <w:numId w:val="3"/>
        </w:numPr>
        <w:spacing w:line="360" w:lineRule="auto"/>
        <w:ind w:firstLine="420" w:firstLineChars="200"/>
        <w:rPr>
          <w:rFonts w:ascii="宋体" w:cs="宋体"/>
          <w:szCs w:val="21"/>
        </w:rPr>
      </w:pPr>
      <w:r>
        <w:rPr>
          <w:rFonts w:hint="eastAsia" w:ascii="宋体" w:hAnsi="宋体" w:cs="宋体"/>
          <w:szCs w:val="21"/>
        </w:rPr>
        <w:t>合格</w:t>
      </w:r>
      <w:r>
        <w:rPr>
          <w:rFonts w:hint="eastAsia" w:ascii="宋体" w:hAnsi="宋体" w:cs="宋体"/>
          <w:szCs w:val="21"/>
          <w:lang w:eastAsia="zh-CN"/>
        </w:rPr>
        <w:t>响应单位</w:t>
      </w:r>
      <w:r>
        <w:rPr>
          <w:rFonts w:hint="eastAsia" w:ascii="宋体" w:hAnsi="宋体" w:cs="宋体"/>
          <w:szCs w:val="21"/>
        </w:rPr>
        <w:t>的条件</w:t>
      </w:r>
    </w:p>
    <w:p w14:paraId="77415CBD">
      <w:pPr>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具有本项目实施能力，符合、承认并承诺履行本磋商文件各项规定的国内</w:t>
      </w:r>
      <w:r>
        <w:rPr>
          <w:rFonts w:hint="eastAsia" w:ascii="宋体" w:hAnsi="宋体" w:cs="宋体"/>
          <w:szCs w:val="21"/>
          <w:lang w:eastAsia="zh-CN"/>
        </w:rPr>
        <w:t>响应单位</w:t>
      </w:r>
      <w:r>
        <w:rPr>
          <w:rFonts w:hint="eastAsia" w:ascii="宋体" w:hAnsi="宋体" w:cs="宋体"/>
          <w:szCs w:val="21"/>
        </w:rPr>
        <w:t>均可参加</w:t>
      </w:r>
      <w:r>
        <w:rPr>
          <w:rFonts w:hint="eastAsia" w:ascii="宋体" w:hAnsi="宋体" w:cs="宋体"/>
          <w:szCs w:val="21"/>
          <w:lang w:eastAsia="zh-CN"/>
        </w:rPr>
        <w:t>磋商</w:t>
      </w:r>
      <w:r>
        <w:rPr>
          <w:rFonts w:hint="eastAsia" w:ascii="宋体" w:hAnsi="宋体" w:cs="宋体"/>
          <w:szCs w:val="21"/>
        </w:rPr>
        <w:t>。</w:t>
      </w:r>
    </w:p>
    <w:p w14:paraId="7778A4B9">
      <w:pPr>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lang w:eastAsia="zh-CN"/>
        </w:rPr>
        <w:t>响应单位</w:t>
      </w:r>
      <w:r>
        <w:rPr>
          <w:rFonts w:hint="eastAsia" w:ascii="宋体" w:hAnsi="宋体" w:cs="宋体"/>
          <w:szCs w:val="21"/>
        </w:rPr>
        <w:t>必须是已在中国境内依法登记注册并仍有效存续的</w:t>
      </w:r>
      <w:r>
        <w:rPr>
          <w:rFonts w:hint="eastAsia" w:ascii="宋体" w:hAnsi="宋体" w:cs="宋体"/>
          <w:szCs w:val="21"/>
          <w:lang w:eastAsia="zh-CN"/>
        </w:rPr>
        <w:t>响应单位</w:t>
      </w:r>
      <w:r>
        <w:rPr>
          <w:rFonts w:hint="eastAsia" w:ascii="宋体" w:hAnsi="宋体" w:cs="宋体"/>
          <w:szCs w:val="21"/>
        </w:rPr>
        <w:t>，并且其所持有的由工商行政管理局所合法的有效的营业执照上所载明的营业期限余额应当不少于本次采购的相关合同基本义务履行所需期限。否则，评审委员会有权视情况决定是否拒绝其本次</w:t>
      </w:r>
      <w:r>
        <w:rPr>
          <w:rFonts w:hint="eastAsia" w:ascii="宋体" w:hAnsi="宋体" w:cs="宋体"/>
          <w:szCs w:val="21"/>
          <w:lang w:eastAsia="zh-CN"/>
        </w:rPr>
        <w:t>磋商</w:t>
      </w:r>
      <w:r>
        <w:rPr>
          <w:rFonts w:hint="eastAsia" w:ascii="宋体" w:hAnsi="宋体" w:cs="宋体"/>
          <w:szCs w:val="21"/>
        </w:rPr>
        <w:t>。</w:t>
      </w:r>
    </w:p>
    <w:p w14:paraId="0E6EE93B">
      <w:pPr>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应遵守有关的国家法律、法规和条例，具备《中华人民共和国政府采购法》和本文件中规定的条件：</w:t>
      </w:r>
    </w:p>
    <w:p w14:paraId="55344238">
      <w:pPr>
        <w:numPr>
          <w:ilvl w:val="0"/>
          <w:numId w:val="4"/>
        </w:numPr>
        <w:spacing w:line="360" w:lineRule="auto"/>
        <w:ind w:firstLine="420" w:firstLineChars="200"/>
        <w:rPr>
          <w:rFonts w:ascii="宋体" w:cs="宋体"/>
          <w:szCs w:val="21"/>
        </w:rPr>
      </w:pPr>
      <w:r>
        <w:rPr>
          <w:rFonts w:hint="eastAsia" w:ascii="宋体" w:hAnsi="宋体" w:cs="宋体"/>
          <w:szCs w:val="21"/>
        </w:rPr>
        <w:t>具有独立承担民事责任的能力（含各种所有制结构）；</w:t>
      </w:r>
    </w:p>
    <w:p w14:paraId="75D6556E">
      <w:pPr>
        <w:numPr>
          <w:ilvl w:val="0"/>
          <w:numId w:val="4"/>
        </w:numPr>
        <w:spacing w:line="360" w:lineRule="auto"/>
        <w:ind w:firstLine="420" w:firstLineChars="200"/>
        <w:rPr>
          <w:rFonts w:ascii="宋体" w:cs="宋体"/>
          <w:szCs w:val="21"/>
        </w:rPr>
      </w:pPr>
      <w:r>
        <w:rPr>
          <w:rFonts w:hint="eastAsia" w:ascii="宋体" w:hAnsi="宋体" w:cs="宋体"/>
          <w:szCs w:val="21"/>
        </w:rPr>
        <w:t>具有良好的商业信誉和健全的财务会计制度；</w:t>
      </w:r>
    </w:p>
    <w:p w14:paraId="7F834FEB">
      <w:pPr>
        <w:numPr>
          <w:ilvl w:val="0"/>
          <w:numId w:val="4"/>
        </w:numPr>
        <w:spacing w:line="360" w:lineRule="auto"/>
        <w:ind w:firstLine="420" w:firstLineChars="200"/>
        <w:rPr>
          <w:rFonts w:ascii="宋体" w:cs="宋体"/>
          <w:szCs w:val="21"/>
        </w:rPr>
      </w:pPr>
      <w:r>
        <w:rPr>
          <w:rFonts w:hint="eastAsia" w:ascii="宋体" w:hAnsi="宋体" w:cs="宋体"/>
          <w:szCs w:val="21"/>
        </w:rPr>
        <w:t>具有履行合同所必需的服务管理能力；</w:t>
      </w:r>
    </w:p>
    <w:p w14:paraId="78238011">
      <w:pPr>
        <w:numPr>
          <w:ilvl w:val="0"/>
          <w:numId w:val="4"/>
        </w:numPr>
        <w:spacing w:line="360" w:lineRule="auto"/>
        <w:ind w:firstLine="420" w:firstLineChars="200"/>
        <w:rPr>
          <w:rFonts w:ascii="宋体" w:cs="宋体"/>
          <w:szCs w:val="21"/>
        </w:rPr>
      </w:pPr>
      <w:r>
        <w:rPr>
          <w:rFonts w:hint="eastAsia" w:ascii="宋体" w:hAnsi="宋体" w:cs="宋体"/>
          <w:szCs w:val="21"/>
        </w:rPr>
        <w:t>具有依法缴纳税收和社会保障资金的良好记录；</w:t>
      </w:r>
    </w:p>
    <w:p w14:paraId="183B6755">
      <w:pPr>
        <w:numPr>
          <w:ilvl w:val="0"/>
          <w:numId w:val="4"/>
        </w:numPr>
        <w:spacing w:line="360" w:lineRule="auto"/>
        <w:ind w:firstLine="420" w:firstLineChars="200"/>
        <w:rPr>
          <w:rFonts w:ascii="宋体" w:cs="宋体"/>
          <w:szCs w:val="21"/>
        </w:rPr>
      </w:pPr>
      <w:r>
        <w:rPr>
          <w:rFonts w:hint="eastAsia" w:ascii="宋体" w:hAnsi="宋体" w:cs="宋体"/>
          <w:szCs w:val="21"/>
        </w:rPr>
        <w:t>参加此项采购活动前三年内，在经营活动中没有重大违法记录。</w:t>
      </w:r>
    </w:p>
    <w:p w14:paraId="7D9E44C6">
      <w:pPr>
        <w:spacing w:line="360" w:lineRule="auto"/>
        <w:ind w:firstLine="420" w:firstLineChars="200"/>
        <w:rPr>
          <w:rFonts w:ascii="宋体" w:cs="宋体"/>
          <w:szCs w:val="21"/>
        </w:rPr>
      </w:pPr>
      <w:r>
        <w:rPr>
          <w:rFonts w:ascii="宋体" w:hAnsi="宋体" w:cs="宋体"/>
          <w:szCs w:val="21"/>
        </w:rPr>
        <w:t>3.5</w:t>
      </w:r>
      <w:r>
        <w:rPr>
          <w:rFonts w:hint="eastAsia" w:ascii="宋体" w:hAnsi="宋体" w:cs="宋体"/>
          <w:szCs w:val="21"/>
        </w:rPr>
        <w:t>具有法人资格且与其他法人具有控股关联关系的</w:t>
      </w:r>
      <w:r>
        <w:rPr>
          <w:rFonts w:hint="eastAsia" w:ascii="宋体" w:hAnsi="宋体" w:cs="宋体"/>
          <w:szCs w:val="21"/>
          <w:lang w:eastAsia="zh-CN"/>
        </w:rPr>
        <w:t>响应单位</w:t>
      </w:r>
      <w:r>
        <w:rPr>
          <w:rFonts w:hint="eastAsia" w:ascii="宋体" w:hAnsi="宋体" w:cs="宋体"/>
          <w:szCs w:val="21"/>
        </w:rPr>
        <w:t>的特别规则如下：</w:t>
      </w:r>
    </w:p>
    <w:p w14:paraId="7761597A">
      <w:pPr>
        <w:numPr>
          <w:ilvl w:val="0"/>
          <w:numId w:val="5"/>
        </w:numPr>
        <w:spacing w:line="360" w:lineRule="auto"/>
        <w:ind w:firstLine="420" w:firstLineChars="200"/>
        <w:rPr>
          <w:rFonts w:ascii="宋体" w:cs="宋体"/>
          <w:szCs w:val="21"/>
        </w:rPr>
      </w:pPr>
      <w:r>
        <w:rPr>
          <w:rFonts w:hint="eastAsia" w:ascii="宋体" w:hAnsi="宋体" w:cs="宋体"/>
          <w:szCs w:val="21"/>
        </w:rPr>
        <w:t>同一集团、总公司或母公司等，连同其下属的全资子公司或（持股</w:t>
      </w:r>
      <w:r>
        <w:rPr>
          <w:rFonts w:ascii="宋体" w:hAnsi="宋体" w:cs="宋体"/>
          <w:szCs w:val="21"/>
        </w:rPr>
        <w:t>50%</w:t>
      </w:r>
      <w:r>
        <w:rPr>
          <w:rFonts w:hint="eastAsia" w:ascii="宋体" w:hAnsi="宋体" w:cs="宋体"/>
          <w:szCs w:val="21"/>
        </w:rPr>
        <w:t>以上的）绝对控股子公司等（非控股子公司除外），只能由一家参加同意分包的</w:t>
      </w:r>
      <w:r>
        <w:rPr>
          <w:rFonts w:hint="eastAsia" w:ascii="宋体" w:hAnsi="宋体" w:cs="宋体"/>
          <w:szCs w:val="21"/>
          <w:lang w:eastAsia="zh-CN"/>
        </w:rPr>
        <w:t>响应</w:t>
      </w:r>
      <w:r>
        <w:rPr>
          <w:rFonts w:hint="eastAsia" w:ascii="宋体" w:hAnsi="宋体" w:cs="宋体"/>
          <w:szCs w:val="21"/>
        </w:rPr>
        <w:t>，否则评标委员会有权视情况决定是否允许其自行决定撤回部分</w:t>
      </w:r>
      <w:r>
        <w:rPr>
          <w:rFonts w:hint="eastAsia" w:ascii="宋体" w:hAnsi="宋体" w:cs="宋体"/>
          <w:szCs w:val="21"/>
          <w:lang w:eastAsia="zh-CN"/>
        </w:rPr>
        <w:t>响应单位</w:t>
      </w:r>
      <w:r>
        <w:rPr>
          <w:rFonts w:hint="eastAsia" w:ascii="宋体" w:hAnsi="宋体" w:cs="宋体"/>
          <w:szCs w:val="21"/>
        </w:rPr>
        <w:t>只保留其中一家，或径行决定对该集团、总公司、母公司等连同其下属子公司一并拒绝。</w:t>
      </w:r>
    </w:p>
    <w:p w14:paraId="6A9F2FA5">
      <w:pPr>
        <w:numPr>
          <w:ilvl w:val="0"/>
          <w:numId w:val="5"/>
        </w:numPr>
        <w:spacing w:line="360" w:lineRule="auto"/>
        <w:ind w:firstLine="420" w:firstLineChars="200"/>
        <w:rPr>
          <w:rFonts w:ascii="宋体" w:cs="宋体"/>
          <w:szCs w:val="21"/>
        </w:rPr>
      </w:pPr>
      <w:r>
        <w:rPr>
          <w:rFonts w:hint="eastAsia" w:ascii="宋体" w:hAnsi="宋体" w:cs="宋体"/>
          <w:szCs w:val="21"/>
        </w:rPr>
        <w:t>法定代表为同一个人的两个及两个以上法人、或者具有直接管理和被管理关系的母子公司（含子公司的子公司），参加同一项目的</w:t>
      </w:r>
      <w:r>
        <w:rPr>
          <w:rFonts w:hint="eastAsia" w:ascii="宋体" w:hAnsi="宋体" w:cs="宋体"/>
          <w:szCs w:val="21"/>
          <w:lang w:eastAsia="zh-CN"/>
        </w:rPr>
        <w:t>响应</w:t>
      </w:r>
      <w:r>
        <w:rPr>
          <w:rFonts w:hint="eastAsia" w:ascii="宋体" w:hAnsi="宋体" w:cs="宋体"/>
          <w:szCs w:val="21"/>
        </w:rPr>
        <w:t>时，评审委员最多只择优选择一家单位（以最终排名顺序）为排名前三的中标候选人。</w:t>
      </w:r>
    </w:p>
    <w:p w14:paraId="6CC0F474">
      <w:pPr>
        <w:spacing w:line="360" w:lineRule="auto"/>
        <w:ind w:firstLine="420" w:firstLineChars="200"/>
        <w:rPr>
          <w:rFonts w:ascii="宋体" w:cs="宋体"/>
          <w:szCs w:val="21"/>
        </w:rPr>
      </w:pPr>
      <w:r>
        <w:rPr>
          <w:rFonts w:ascii="宋体" w:hAnsi="宋体" w:cs="宋体"/>
          <w:szCs w:val="21"/>
        </w:rPr>
        <w:t>3.6</w:t>
      </w:r>
      <w:r>
        <w:rPr>
          <w:rFonts w:hint="eastAsia" w:ascii="宋体" w:hAnsi="宋体" w:cs="宋体"/>
          <w:szCs w:val="21"/>
        </w:rPr>
        <w:t>、本次磋商不允许联合体；</w:t>
      </w:r>
    </w:p>
    <w:p w14:paraId="1981F847">
      <w:pPr>
        <w:spacing w:line="360" w:lineRule="auto"/>
        <w:ind w:firstLine="420" w:firstLineChars="200"/>
        <w:rPr>
          <w:rFonts w:ascii="宋体" w:cs="宋体"/>
          <w:szCs w:val="21"/>
        </w:rPr>
      </w:pPr>
      <w:r>
        <w:rPr>
          <w:rFonts w:ascii="宋体" w:hAnsi="宋体" w:cs="宋体"/>
          <w:szCs w:val="21"/>
        </w:rPr>
        <w:t>3.7</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领取磋商文件时应登记备案。</w:t>
      </w:r>
    </w:p>
    <w:p w14:paraId="7D2D429B">
      <w:pPr>
        <w:spacing w:line="360" w:lineRule="auto"/>
        <w:ind w:firstLine="420" w:firstLineChars="200"/>
        <w:rPr>
          <w:rFonts w:ascii="宋体" w:cs="宋体"/>
          <w:szCs w:val="21"/>
        </w:rPr>
      </w:pPr>
      <w:r>
        <w:rPr>
          <w:rFonts w:ascii="宋体" w:hAnsi="宋体" w:cs="宋体"/>
          <w:szCs w:val="21"/>
        </w:rPr>
        <w:t>3.8</w:t>
      </w:r>
      <w:r>
        <w:rPr>
          <w:rFonts w:hint="eastAsia" w:ascii="宋体" w:hAnsi="宋体" w:cs="宋体"/>
          <w:szCs w:val="21"/>
        </w:rPr>
        <w:t>、如</w:t>
      </w:r>
      <w:r>
        <w:rPr>
          <w:rFonts w:hint="eastAsia" w:ascii="宋体" w:hAnsi="宋体" w:cs="宋体"/>
          <w:szCs w:val="21"/>
          <w:lang w:eastAsia="zh-CN"/>
        </w:rPr>
        <w:t>响应单位</w:t>
      </w:r>
      <w:r>
        <w:rPr>
          <w:rFonts w:hint="eastAsia" w:ascii="宋体" w:hAnsi="宋体" w:cs="宋体"/>
          <w:szCs w:val="21"/>
        </w:rPr>
        <w:t>代表不是法定代表人，须持有《法定代表人授权委托书》（按磋商文件格式填写）。</w:t>
      </w:r>
    </w:p>
    <w:p w14:paraId="59E5DCA9">
      <w:pPr>
        <w:numPr>
          <w:ilvl w:val="0"/>
          <w:numId w:val="6"/>
        </w:numPr>
        <w:spacing w:line="360" w:lineRule="auto"/>
        <w:ind w:firstLine="420" w:firstLineChars="200"/>
        <w:rPr>
          <w:rFonts w:ascii="宋体" w:cs="宋体"/>
          <w:szCs w:val="21"/>
        </w:rPr>
      </w:pPr>
      <w:r>
        <w:rPr>
          <w:rFonts w:hint="eastAsia" w:ascii="宋体" w:hAnsi="宋体" w:cs="宋体"/>
          <w:szCs w:val="21"/>
        </w:rPr>
        <w:t>磋商费用</w:t>
      </w:r>
    </w:p>
    <w:p w14:paraId="1D8D6371">
      <w:p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应承担所有与准备和参加磋商有关的费用，代理机构和采购人在任何情况下均无义务和责任承担这些费用。</w:t>
      </w:r>
    </w:p>
    <w:p w14:paraId="397E8EBE">
      <w:pPr>
        <w:spacing w:line="360" w:lineRule="auto"/>
        <w:ind w:left="420"/>
        <w:rPr>
          <w:rFonts w:ascii="宋体" w:cs="楷体_GB2312"/>
          <w:szCs w:val="21"/>
        </w:rPr>
      </w:pPr>
    </w:p>
    <w:p w14:paraId="3691DC0E">
      <w:pPr>
        <w:pStyle w:val="2"/>
        <w:spacing w:line="360" w:lineRule="auto"/>
        <w:jc w:val="center"/>
        <w:rPr>
          <w:rFonts w:ascii="宋体"/>
          <w:sz w:val="32"/>
          <w:szCs w:val="32"/>
        </w:rPr>
      </w:pPr>
      <w:bookmarkStart w:id="5" w:name="_Toc15985"/>
      <w:r>
        <w:rPr>
          <w:rFonts w:hint="eastAsia" w:ascii="宋体" w:hAnsi="宋体"/>
          <w:sz w:val="32"/>
          <w:szCs w:val="32"/>
        </w:rPr>
        <w:t>第二部分</w:t>
      </w:r>
      <w:r>
        <w:rPr>
          <w:rFonts w:hint="eastAsia" w:ascii="宋体" w:hAnsi="宋体"/>
          <w:sz w:val="32"/>
          <w:szCs w:val="32"/>
          <w:lang w:val="en-US" w:eastAsia="zh-CN"/>
        </w:rPr>
        <w:t xml:space="preserve">  </w:t>
      </w:r>
      <w:r>
        <w:rPr>
          <w:rFonts w:hint="eastAsia" w:ascii="宋体" w:hAnsi="宋体"/>
          <w:sz w:val="32"/>
          <w:szCs w:val="32"/>
        </w:rPr>
        <w:t>磋商文件</w:t>
      </w:r>
      <w:bookmarkEnd w:id="5"/>
    </w:p>
    <w:p w14:paraId="0CEEF043">
      <w:pPr>
        <w:numPr>
          <w:ilvl w:val="0"/>
          <w:numId w:val="7"/>
        </w:num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应认真阅读竞争性磋商文件所有的事项、格式、条款和技术规格等。如</w:t>
      </w:r>
      <w:r>
        <w:rPr>
          <w:rFonts w:hint="eastAsia" w:ascii="宋体" w:hAnsi="宋体" w:cs="宋体"/>
          <w:szCs w:val="21"/>
          <w:lang w:eastAsia="zh-CN"/>
        </w:rPr>
        <w:t>响应单位</w:t>
      </w:r>
      <w:r>
        <w:rPr>
          <w:rFonts w:hint="eastAsia" w:ascii="宋体" w:hAnsi="宋体" w:cs="宋体"/>
          <w:szCs w:val="21"/>
        </w:rPr>
        <w:t>没有按照磋商文件要求提交全部资料，或者磋商相应文件没有对磋商文件在各方面都作出实质性响应是</w:t>
      </w:r>
      <w:r>
        <w:rPr>
          <w:rFonts w:hint="eastAsia" w:ascii="宋体" w:hAnsi="宋体" w:cs="宋体"/>
          <w:szCs w:val="21"/>
          <w:lang w:eastAsia="zh-CN"/>
        </w:rPr>
        <w:t>响应单位</w:t>
      </w:r>
      <w:r>
        <w:rPr>
          <w:rFonts w:hint="eastAsia" w:ascii="宋体" w:hAnsi="宋体" w:cs="宋体"/>
          <w:szCs w:val="21"/>
        </w:rPr>
        <w:t>的风险，并可能导致其报价被拒绝。</w:t>
      </w:r>
    </w:p>
    <w:p w14:paraId="57972EF5">
      <w:pPr>
        <w:numPr>
          <w:ilvl w:val="0"/>
          <w:numId w:val="7"/>
        </w:numPr>
        <w:spacing w:line="360" w:lineRule="auto"/>
        <w:ind w:firstLine="420" w:firstLineChars="200"/>
        <w:rPr>
          <w:rFonts w:ascii="宋体" w:cs="宋体"/>
          <w:szCs w:val="21"/>
        </w:rPr>
      </w:pPr>
      <w:r>
        <w:rPr>
          <w:rFonts w:hint="eastAsia" w:ascii="宋体" w:hAnsi="宋体" w:cs="宋体"/>
          <w:szCs w:val="21"/>
        </w:rPr>
        <w:t>磋商文件的澄清及修改</w:t>
      </w:r>
    </w:p>
    <w:p w14:paraId="767EB2C2">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任何要求对磋商文件进行澄清的</w:t>
      </w:r>
      <w:r>
        <w:rPr>
          <w:rFonts w:hint="eastAsia" w:ascii="宋体" w:hAnsi="宋体" w:cs="宋体"/>
          <w:szCs w:val="21"/>
          <w:lang w:eastAsia="zh-CN"/>
        </w:rPr>
        <w:t>响应单位</w:t>
      </w:r>
      <w:r>
        <w:rPr>
          <w:rFonts w:hint="eastAsia" w:ascii="宋体" w:hAnsi="宋体" w:cs="宋体"/>
          <w:szCs w:val="21"/>
        </w:rPr>
        <w:t>，磋商截止时间前均应以书面形式通知采购代理机构。采购代理机构应以书面形式予以答复，并将书面答复发给每个购买磋商文件的</w:t>
      </w:r>
      <w:r>
        <w:rPr>
          <w:rFonts w:hint="eastAsia" w:ascii="宋体" w:hAnsi="宋体" w:cs="宋体"/>
          <w:szCs w:val="21"/>
          <w:lang w:eastAsia="zh-CN"/>
        </w:rPr>
        <w:t>响应单位</w:t>
      </w:r>
      <w:r>
        <w:rPr>
          <w:rFonts w:hint="eastAsia" w:ascii="宋体" w:hAnsi="宋体" w:cs="宋体"/>
          <w:szCs w:val="21"/>
        </w:rPr>
        <w:t>（答复中不包括问题的来源）。</w:t>
      </w:r>
    </w:p>
    <w:p w14:paraId="2DF33F69">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采购单位可主动地或在解答</w:t>
      </w:r>
      <w:r>
        <w:rPr>
          <w:rFonts w:hint="eastAsia" w:ascii="宋体" w:hAnsi="宋体" w:cs="宋体"/>
          <w:szCs w:val="21"/>
          <w:lang w:eastAsia="zh-CN"/>
        </w:rPr>
        <w:t>响应单位</w:t>
      </w:r>
      <w:r>
        <w:rPr>
          <w:rFonts w:hint="eastAsia" w:ascii="宋体" w:hAnsi="宋体" w:cs="宋体"/>
          <w:szCs w:val="21"/>
        </w:rPr>
        <w:t>提出的澄清问题时对磋商文件进行修改，磋商文件的修改应以书面形式通知采购代理机构，由采购代理机构通知所有购买磋商文件的</w:t>
      </w:r>
      <w:r>
        <w:rPr>
          <w:rFonts w:hint="eastAsia" w:ascii="宋体" w:hAnsi="宋体" w:cs="宋体"/>
          <w:szCs w:val="21"/>
          <w:lang w:eastAsia="zh-CN"/>
        </w:rPr>
        <w:t>响应单位</w:t>
      </w:r>
      <w:r>
        <w:rPr>
          <w:rFonts w:hint="eastAsia" w:ascii="宋体" w:hAnsi="宋体" w:cs="宋体"/>
          <w:szCs w:val="21"/>
        </w:rPr>
        <w:t>，并对其具有约束力。</w:t>
      </w:r>
      <w:r>
        <w:rPr>
          <w:rFonts w:hint="eastAsia" w:ascii="宋体" w:hAnsi="宋体" w:cs="宋体"/>
          <w:szCs w:val="21"/>
          <w:lang w:eastAsia="zh-CN"/>
        </w:rPr>
        <w:t>响应单位</w:t>
      </w:r>
      <w:r>
        <w:rPr>
          <w:rFonts w:hint="eastAsia" w:ascii="宋体" w:hAnsi="宋体" w:cs="宋体"/>
          <w:szCs w:val="21"/>
        </w:rPr>
        <w:t>在收到上述通知后，应立即向采购代理机构以书面形式回函确认。</w:t>
      </w:r>
    </w:p>
    <w:p w14:paraId="18346A32">
      <w:pPr>
        <w:spacing w:line="360" w:lineRule="auto"/>
        <w:ind w:firstLine="420" w:firstLineChars="200"/>
        <w:rPr>
          <w:rFonts w:ascii="宋体" w:hAnsi="宋体" w:cs="宋体"/>
          <w:szCs w:val="21"/>
        </w:rPr>
      </w:pPr>
      <w:r>
        <w:rPr>
          <w:rFonts w:ascii="宋体" w:hAnsi="宋体" w:cs="宋体"/>
          <w:szCs w:val="21"/>
        </w:rPr>
        <w:t>2.3</w:t>
      </w:r>
      <w:r>
        <w:rPr>
          <w:rFonts w:hint="eastAsia" w:ascii="宋体" w:hAnsi="宋体" w:cs="宋体"/>
          <w:szCs w:val="21"/>
        </w:rPr>
        <w:t>为使</w:t>
      </w:r>
      <w:r>
        <w:rPr>
          <w:rFonts w:hint="eastAsia" w:ascii="宋体" w:hAnsi="宋体" w:cs="宋体"/>
          <w:szCs w:val="21"/>
          <w:lang w:eastAsia="zh-CN"/>
        </w:rPr>
        <w:t>响应单位</w:t>
      </w:r>
      <w:r>
        <w:rPr>
          <w:rFonts w:hint="eastAsia" w:ascii="宋体" w:hAnsi="宋体" w:cs="宋体"/>
          <w:szCs w:val="21"/>
        </w:rPr>
        <w:t>有足够的时间对磋商响应文件的修改部分进行研究，采购单位有权决定是否延长磋商截止期。</w:t>
      </w:r>
    </w:p>
    <w:p w14:paraId="6C6043F7">
      <w:pPr>
        <w:spacing w:line="360" w:lineRule="auto"/>
        <w:ind w:firstLine="420" w:firstLineChars="200"/>
        <w:rPr>
          <w:rFonts w:ascii="宋体" w:cs="宋体"/>
          <w:szCs w:val="21"/>
        </w:rPr>
      </w:pPr>
    </w:p>
    <w:p w14:paraId="54617D3D">
      <w:pPr>
        <w:pStyle w:val="2"/>
        <w:spacing w:line="360" w:lineRule="auto"/>
        <w:jc w:val="center"/>
        <w:rPr>
          <w:rFonts w:ascii="宋体"/>
          <w:sz w:val="32"/>
          <w:szCs w:val="32"/>
        </w:rPr>
      </w:pPr>
      <w:bookmarkStart w:id="6" w:name="_Toc31920"/>
      <w:r>
        <w:rPr>
          <w:rFonts w:hint="eastAsia" w:ascii="宋体" w:hAnsi="宋体"/>
          <w:sz w:val="32"/>
          <w:szCs w:val="32"/>
        </w:rPr>
        <w:t>第三部分</w:t>
      </w:r>
      <w:r>
        <w:rPr>
          <w:rFonts w:hint="eastAsia" w:ascii="宋体" w:hAnsi="宋体"/>
          <w:sz w:val="32"/>
          <w:szCs w:val="32"/>
          <w:lang w:val="en-US" w:eastAsia="zh-CN"/>
        </w:rPr>
        <w:t xml:space="preserve">  </w:t>
      </w:r>
      <w:r>
        <w:rPr>
          <w:rFonts w:hint="eastAsia" w:ascii="宋体" w:hAnsi="宋体"/>
          <w:sz w:val="32"/>
          <w:szCs w:val="32"/>
        </w:rPr>
        <w:t>磋商响应文件的编制</w:t>
      </w:r>
      <w:bookmarkEnd w:id="6"/>
    </w:p>
    <w:p w14:paraId="359EA7EC">
      <w:pPr>
        <w:numPr>
          <w:ilvl w:val="0"/>
          <w:numId w:val="8"/>
        </w:numPr>
        <w:spacing w:line="360" w:lineRule="auto"/>
        <w:ind w:firstLine="420" w:firstLineChars="200"/>
        <w:rPr>
          <w:rFonts w:ascii="宋体" w:cs="宋体"/>
          <w:szCs w:val="21"/>
        </w:rPr>
      </w:pPr>
      <w:r>
        <w:rPr>
          <w:rFonts w:hint="eastAsia" w:ascii="宋体" w:hAnsi="宋体" w:cs="宋体"/>
          <w:szCs w:val="21"/>
        </w:rPr>
        <w:t>磋商范围及磋商相应文件中计量单位的使用</w:t>
      </w:r>
    </w:p>
    <w:p w14:paraId="15A1EE86">
      <w:pPr>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lang w:eastAsia="zh-CN"/>
        </w:rPr>
        <w:t>响应单位</w:t>
      </w:r>
      <w:r>
        <w:rPr>
          <w:rFonts w:hint="eastAsia" w:ascii="宋体" w:hAnsi="宋体" w:cs="宋体"/>
          <w:szCs w:val="21"/>
        </w:rPr>
        <w:t>应对磋商文件中提供的工程量清单进行报价，不能擅自调整磋商文件中的工程量清单，不得出现“</w:t>
      </w:r>
      <w:r>
        <w:rPr>
          <w:rFonts w:ascii="宋体" w:cs="宋体"/>
          <w:szCs w:val="21"/>
        </w:rPr>
        <w:t>0</w:t>
      </w:r>
      <w:r>
        <w:rPr>
          <w:rFonts w:hint="eastAsia" w:ascii="宋体" w:hAnsi="宋体" w:cs="宋体"/>
          <w:szCs w:val="21"/>
        </w:rPr>
        <w:t>”报价，不得就其中一项进行报价。</w:t>
      </w:r>
    </w:p>
    <w:p w14:paraId="15ABB145">
      <w:pPr>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磋商响应文件中所使用的计量单位，除磋商文件中有特殊要求外，应采用中华人民共和国法定计量单位。</w:t>
      </w:r>
    </w:p>
    <w:p w14:paraId="708467D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磋商响应文件构成</w:t>
      </w:r>
    </w:p>
    <w:p w14:paraId="13C8159F">
      <w:pPr>
        <w:spacing w:line="360" w:lineRule="auto"/>
        <w:ind w:firstLine="359" w:firstLineChars="171"/>
        <w:rPr>
          <w:rFonts w:ascii="宋体"/>
          <w:szCs w:val="21"/>
        </w:rPr>
      </w:pPr>
      <w:r>
        <w:rPr>
          <w:rFonts w:hint="eastAsia" w:ascii="宋体" w:hAnsi="宋体" w:cs="宋体"/>
          <w:szCs w:val="21"/>
          <w:lang w:eastAsia="zh-CN"/>
        </w:rPr>
        <w:t>响应单位</w:t>
      </w:r>
      <w:r>
        <w:rPr>
          <w:rFonts w:hint="eastAsia" w:ascii="宋体" w:hAnsi="宋体" w:cs="宋体"/>
          <w:szCs w:val="21"/>
        </w:rPr>
        <w:t>应完整按磋商文件提供的磋商相应文件格式填写磋商响应文件，磋商响应文件应包括以下内容：（磋商响应文件所有内容必须装订成一册；所有文件左侧装订，应牢固、美观，不得采用活页方式装订。所有内容均应采用不褪色的黑色墨粉材料双面打印，封皮可单面打印，不得采用硬</w:t>
      </w:r>
      <w:r>
        <w:rPr>
          <w:rFonts w:hint="eastAsia" w:ascii="宋体" w:hAnsi="宋体"/>
          <w:szCs w:val="21"/>
        </w:rPr>
        <w:t>封面。</w:t>
      </w:r>
      <w:r>
        <w:rPr>
          <w:rFonts w:hint="eastAsia" w:ascii="宋体" w:hAnsi="宋体" w:cs="宋体"/>
          <w:szCs w:val="21"/>
        </w:rPr>
        <w:t>）</w:t>
      </w:r>
    </w:p>
    <w:p w14:paraId="4C9F848C">
      <w:pPr>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情况简介；</w:t>
      </w:r>
    </w:p>
    <w:p w14:paraId="31BFFB6B">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）报价函和磋商报价表</w:t>
      </w:r>
      <w:r>
        <w:rPr>
          <w:rFonts w:ascii="宋体" w:hAnsi="宋体" w:cs="宋体"/>
          <w:szCs w:val="21"/>
        </w:rPr>
        <w:t>(</w:t>
      </w:r>
      <w:r>
        <w:rPr>
          <w:rFonts w:hint="eastAsia" w:ascii="宋体" w:hAnsi="宋体" w:cs="宋体"/>
          <w:szCs w:val="21"/>
        </w:rPr>
        <w:t>工程量清单报价表</w:t>
      </w:r>
      <w:r>
        <w:rPr>
          <w:rFonts w:ascii="宋体" w:hAnsi="宋体" w:cs="宋体"/>
          <w:szCs w:val="21"/>
        </w:rPr>
        <w:t>)</w:t>
      </w:r>
    </w:p>
    <w:p w14:paraId="7F71433F">
      <w:pPr>
        <w:spacing w:line="360" w:lineRule="auto"/>
        <w:rPr>
          <w:rFonts w:ascii="宋体" w:cs="楷体_GB2312"/>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楷体_GB2312"/>
          <w:szCs w:val="21"/>
        </w:rPr>
        <w:t>法定代表人授权委托书（原件）；</w:t>
      </w:r>
    </w:p>
    <w:p w14:paraId="60A33001">
      <w:pPr>
        <w:tabs>
          <w:tab w:val="left" w:pos="360"/>
        </w:tabs>
        <w:spacing w:line="360" w:lineRule="auto"/>
        <w:jc w:val="left"/>
        <w:rPr>
          <w:rFonts w:ascii="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施工组织设计（工程特点、重点与难点描述的准确性及相应针对性措施；质量、安全、文明施工及环境保护管理体系与措施、创优计划；施工总进度计划及保证措施；资源配备计划（劳动力、主要设备、主要原材料）；特殊气候条件下的施工方案；紧急情况的处理措施、预案以及抵抗风险的措施；成品保护和工程保修工作的管理措施和承诺；对总包管理的认识以及对专业分包工程的配合、协调、管理、服务方案；与发包人、项目管理单位、监理（包括财务监理）及设计人的配合；项目管理机构（含项目负责人、技术负责人及其他主要人员的资格与业绩）；施工总平面布置规划。）</w:t>
      </w:r>
    </w:p>
    <w:p w14:paraId="173BA287">
      <w:pPr>
        <w:spacing w:line="360" w:lineRule="auto"/>
        <w:rPr>
          <w:rFonts w:ascii="宋体" w:cs="楷体_GB2312"/>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楷体_GB2312"/>
          <w:szCs w:val="21"/>
          <w:lang w:eastAsia="zh-CN"/>
        </w:rPr>
        <w:t>响应单位</w:t>
      </w:r>
      <w:r>
        <w:rPr>
          <w:rFonts w:hint="eastAsia" w:ascii="宋体" w:hAnsi="宋体" w:cs="楷体_GB2312"/>
          <w:szCs w:val="21"/>
        </w:rPr>
        <w:t>营业执照、</w:t>
      </w:r>
      <w:r>
        <w:rPr>
          <w:rFonts w:hint="eastAsia" w:ascii="宋体" w:hAnsi="宋体" w:cs="楷体_GB2312"/>
          <w:szCs w:val="21"/>
          <w:lang w:eastAsia="zh-CN"/>
        </w:rPr>
        <w:t>响应单位</w:t>
      </w:r>
      <w:r>
        <w:rPr>
          <w:rFonts w:hint="eastAsia" w:ascii="宋体" w:hAnsi="宋体" w:cs="楷体_GB2312"/>
          <w:szCs w:val="21"/>
        </w:rPr>
        <w:t>的组织机构代码证、安全生产许可证、税务登记证、相关资质证书、项目经理证书等（复印件，加盖</w:t>
      </w:r>
      <w:r>
        <w:rPr>
          <w:rFonts w:hint="eastAsia" w:ascii="宋体" w:hAnsi="宋体" w:cs="楷体_GB2312"/>
          <w:szCs w:val="21"/>
          <w:lang w:eastAsia="zh-CN"/>
        </w:rPr>
        <w:t>响应单位</w:t>
      </w:r>
      <w:r>
        <w:rPr>
          <w:rFonts w:hint="eastAsia" w:ascii="宋体" w:hAnsi="宋体" w:cs="楷体_GB2312"/>
          <w:szCs w:val="21"/>
        </w:rPr>
        <w:t>公章）</w:t>
      </w:r>
    </w:p>
    <w:p w14:paraId="4E5CD052">
      <w:pPr>
        <w:spacing w:line="360" w:lineRule="auto"/>
        <w:rPr>
          <w:rFonts w:ascii="宋体" w:cs="楷体_GB2312"/>
          <w:szCs w:val="21"/>
        </w:rPr>
      </w:pPr>
      <w:r>
        <w:rPr>
          <w:rFonts w:hint="eastAsia" w:ascii="宋体" w:hAnsi="宋体" w:cs="宋体"/>
          <w:szCs w:val="21"/>
        </w:rPr>
        <w:t>（</w:t>
      </w:r>
      <w:r>
        <w:rPr>
          <w:rFonts w:ascii="宋体" w:hAnsi="宋体" w:cs="宋体"/>
          <w:szCs w:val="21"/>
        </w:rPr>
        <w:t>6</w:t>
      </w:r>
      <w:r>
        <w:rPr>
          <w:rFonts w:hint="eastAsia" w:ascii="宋体" w:hAnsi="宋体" w:cs="楷体_GB2312"/>
          <w:szCs w:val="21"/>
        </w:rPr>
        <w:t>）质量管理和质量保证体系等方面的认证证书（如有的话）；</w:t>
      </w:r>
    </w:p>
    <w:p w14:paraId="7F12F651">
      <w:pPr>
        <w:spacing w:line="360" w:lineRule="auto"/>
        <w:rPr>
          <w:rFonts w:ascii="宋体" w:hAnsi="宋体" w:cs="宋体"/>
          <w:szCs w:val="21"/>
        </w:rPr>
      </w:pPr>
      <w:r>
        <w:rPr>
          <w:rFonts w:hint="eastAsia" w:ascii="宋体" w:hAnsi="宋体" w:cs="宋体"/>
          <w:szCs w:val="21"/>
        </w:rPr>
        <w:t>（7）同类业绩（以合同文件为准）。</w:t>
      </w:r>
    </w:p>
    <w:p w14:paraId="41F070D9">
      <w:pPr>
        <w:spacing w:line="360" w:lineRule="auto"/>
        <w:rPr>
          <w:rFonts w:ascii="宋体" w:hAnsi="宋体" w:cs="宋体"/>
          <w:szCs w:val="21"/>
        </w:rPr>
      </w:pPr>
      <w:r>
        <w:rPr>
          <w:rFonts w:hint="eastAsia" w:ascii="宋体" w:hAnsi="宋体" w:cs="宋体"/>
          <w:szCs w:val="21"/>
        </w:rPr>
        <w:t>（8）</w:t>
      </w:r>
      <w:r>
        <w:rPr>
          <w:rFonts w:hint="eastAsia" w:ascii="宋体" w:hAnsi="宋体" w:cs="宋体"/>
          <w:szCs w:val="21"/>
          <w:lang w:eastAsia="zh-CN"/>
        </w:rPr>
        <w:t>响应单位</w:t>
      </w:r>
      <w:r>
        <w:rPr>
          <w:rFonts w:hint="eastAsia" w:ascii="宋体" w:hAnsi="宋体" w:cs="宋体"/>
          <w:szCs w:val="21"/>
        </w:rPr>
        <w:t>认为可以证明其能力、信誉和信用的的其他材料；</w:t>
      </w:r>
    </w:p>
    <w:p w14:paraId="427F5186">
      <w:pPr>
        <w:spacing w:line="360" w:lineRule="auto"/>
        <w:rPr>
          <w:rFonts w:ascii="宋体" w:hAnsi="宋体" w:cs="宋体"/>
          <w:szCs w:val="21"/>
        </w:rPr>
      </w:pPr>
      <w:r>
        <w:rPr>
          <w:rFonts w:hint="eastAsia" w:ascii="宋体" w:hAnsi="宋体" w:cs="宋体"/>
          <w:szCs w:val="21"/>
        </w:rPr>
        <w:t>（9）</w:t>
      </w:r>
      <w:r>
        <w:rPr>
          <w:rFonts w:hint="eastAsia" w:ascii="宋体" w:hAnsi="宋体" w:cs="宋体"/>
          <w:szCs w:val="21"/>
          <w:lang w:eastAsia="zh-CN"/>
        </w:rPr>
        <w:t>响应单位</w:t>
      </w:r>
      <w:r>
        <w:rPr>
          <w:rFonts w:hint="eastAsia" w:ascii="宋体" w:hAnsi="宋体" w:cs="宋体"/>
          <w:szCs w:val="21"/>
        </w:rPr>
        <w:t>债务纠纷、违法违规记录等方面的情况；（</w:t>
      </w:r>
      <w:r>
        <w:rPr>
          <w:rFonts w:hint="eastAsia" w:ascii="宋体" w:hAnsi="宋体" w:cs="宋体"/>
          <w:szCs w:val="21"/>
          <w:lang w:eastAsia="zh-CN"/>
        </w:rPr>
        <w:t>响应单位</w:t>
      </w:r>
      <w:r>
        <w:rPr>
          <w:rFonts w:hint="eastAsia" w:ascii="宋体" w:hAnsi="宋体" w:cs="宋体"/>
          <w:szCs w:val="21"/>
        </w:rPr>
        <w:t>自行拟定格式说明情况即可）</w:t>
      </w:r>
    </w:p>
    <w:p w14:paraId="431CDA55">
      <w:pPr>
        <w:spacing w:line="360" w:lineRule="auto"/>
        <w:rPr>
          <w:rFonts w:ascii="宋体" w:cs="楷体_GB2312"/>
          <w:szCs w:val="21"/>
        </w:rPr>
      </w:pPr>
      <w:r>
        <w:rPr>
          <w:rFonts w:hint="eastAsia" w:ascii="宋体" w:hAnsi="宋体" w:cs="楷体_GB2312"/>
          <w:szCs w:val="21"/>
        </w:rPr>
        <w:t>（</w:t>
      </w:r>
      <w:r>
        <w:rPr>
          <w:rFonts w:ascii="宋体" w:hAnsi="宋体" w:cs="楷体_GB2312"/>
          <w:szCs w:val="21"/>
        </w:rPr>
        <w:t>1</w:t>
      </w:r>
      <w:r>
        <w:rPr>
          <w:rFonts w:hint="eastAsia" w:ascii="宋体" w:hAnsi="宋体" w:cs="楷体_GB2312"/>
          <w:szCs w:val="21"/>
        </w:rPr>
        <w:t>0）根据《上海市政府采购</w:t>
      </w:r>
      <w:r>
        <w:rPr>
          <w:rFonts w:hint="eastAsia" w:ascii="宋体" w:hAnsi="宋体" w:cs="楷体_GB2312"/>
          <w:szCs w:val="21"/>
          <w:lang w:eastAsia="zh-CN"/>
        </w:rPr>
        <w:t>响应单位</w:t>
      </w:r>
      <w:r>
        <w:rPr>
          <w:rFonts w:hint="eastAsia" w:ascii="宋体" w:hAnsi="宋体" w:cs="楷体_GB2312"/>
          <w:szCs w:val="21"/>
        </w:rPr>
        <w:t>登记及诚信管理办法》已进行登记并成为会员</w:t>
      </w:r>
      <w:r>
        <w:rPr>
          <w:rFonts w:hint="eastAsia" w:ascii="宋体" w:hAnsi="宋体" w:cs="楷体_GB2312"/>
          <w:szCs w:val="21"/>
          <w:lang w:eastAsia="zh-CN"/>
        </w:rPr>
        <w:t>响应单位</w:t>
      </w:r>
      <w:r>
        <w:rPr>
          <w:rFonts w:hint="eastAsia" w:ascii="宋体" w:hAnsi="宋体" w:cs="楷体_GB2312"/>
          <w:szCs w:val="21"/>
        </w:rPr>
        <w:t>的证明材料（打印上海市政府采购网上已登记成为会员</w:t>
      </w:r>
      <w:r>
        <w:rPr>
          <w:rFonts w:hint="eastAsia" w:ascii="宋体" w:hAnsi="宋体" w:cs="楷体_GB2312"/>
          <w:szCs w:val="21"/>
          <w:lang w:eastAsia="zh-CN"/>
        </w:rPr>
        <w:t>响应单位</w:t>
      </w:r>
      <w:r>
        <w:rPr>
          <w:rFonts w:hint="eastAsia" w:ascii="宋体" w:hAnsi="宋体" w:cs="楷体_GB2312"/>
          <w:szCs w:val="21"/>
        </w:rPr>
        <w:t>的页面截图，并加盖公章）。</w:t>
      </w:r>
    </w:p>
    <w:p w14:paraId="5B0F330B">
      <w:pPr>
        <w:pStyle w:val="17"/>
        <w:spacing w:after="0"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（11）提供财务状况及税收、社会保障资金缴纳情况声明函；</w:t>
      </w:r>
    </w:p>
    <w:p w14:paraId="1BE27B93">
      <w:pPr>
        <w:autoSpaceDE w:val="0"/>
        <w:autoSpaceDN w:val="0"/>
        <w:spacing w:line="360" w:lineRule="auto"/>
        <w:jc w:val="left"/>
        <w:rPr>
          <w:rFonts w:ascii="宋体"/>
          <w:b/>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）提供参与政府采购活动前三年内在经营活动中没有重大违法记录的书面声明函；</w:t>
      </w:r>
    </w:p>
    <w:p w14:paraId="19281942">
      <w:pPr>
        <w:spacing w:line="360" w:lineRule="auto"/>
        <w:rPr>
          <w:rFonts w:hint="eastAsia" w:ascii="宋体" w:eastAsia="宋体" w:cs="宋体"/>
          <w:szCs w:val="21"/>
          <w:lang w:eastAsia="zh-CN"/>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）中小企业声明函</w:t>
      </w:r>
      <w:r>
        <w:rPr>
          <w:rFonts w:hint="eastAsia" w:ascii="宋体" w:hAnsi="宋体" w:cs="宋体"/>
          <w:szCs w:val="21"/>
          <w:lang w:eastAsia="zh-CN"/>
        </w:rPr>
        <w:t>；</w:t>
      </w:r>
    </w:p>
    <w:p w14:paraId="759B7CF5">
      <w:pPr>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认为应提供的其他证明文件：其中应包含未被列入失信被执行人、重大税收违法案件当事人、政府采购严重违法失信行为记录名单的</w:t>
      </w:r>
      <w:r>
        <w:rPr>
          <w:rFonts w:hint="eastAsia" w:ascii="宋体" w:hAnsi="宋体" w:cs="宋体"/>
          <w:szCs w:val="21"/>
          <w:lang w:eastAsia="zh-CN"/>
        </w:rPr>
        <w:t>响应单位</w:t>
      </w:r>
      <w:r>
        <w:rPr>
          <w:rFonts w:hint="eastAsia" w:ascii="宋体" w:hAnsi="宋体" w:cs="宋体"/>
          <w:szCs w:val="21"/>
        </w:rPr>
        <w:t>。（以在“信用中国”网站（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）查询的</w:t>
      </w:r>
      <w:r>
        <w:rPr>
          <w:rFonts w:hint="eastAsia" w:ascii="宋体" w:hAnsi="宋体" w:cs="宋体"/>
          <w:szCs w:val="21"/>
          <w:lang w:eastAsia="zh-CN"/>
        </w:rPr>
        <w:t>磋商</w:t>
      </w:r>
      <w:r>
        <w:rPr>
          <w:rFonts w:hint="eastAsia" w:ascii="宋体" w:hAnsi="宋体" w:cs="宋体"/>
          <w:szCs w:val="21"/>
        </w:rPr>
        <w:t>截止当天前三年内的信用记录为准）</w:t>
      </w:r>
    </w:p>
    <w:p w14:paraId="1F4D3DED">
      <w:pPr>
        <w:spacing w:line="360" w:lineRule="auto"/>
        <w:rPr>
          <w:rFonts w:asci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）报价文件电子文件（</w:t>
      </w:r>
      <w:r>
        <w:rPr>
          <w:rFonts w:hint="eastAsia" w:ascii="宋体" w:hAnsi="宋体" w:cs="宋体"/>
          <w:szCs w:val="21"/>
          <w:lang w:eastAsia="zh-CN"/>
        </w:rPr>
        <w:t>网上投标上传</w:t>
      </w:r>
      <w:r>
        <w:rPr>
          <w:rFonts w:hint="eastAsia" w:ascii="宋体" w:hAnsi="宋体" w:cs="宋体"/>
          <w:szCs w:val="21"/>
        </w:rPr>
        <w:t>）。</w:t>
      </w:r>
    </w:p>
    <w:p w14:paraId="5C44AFE3">
      <w:pPr>
        <w:numPr>
          <w:ilvl w:val="0"/>
          <w:numId w:val="9"/>
        </w:numPr>
        <w:spacing w:line="360" w:lineRule="auto"/>
        <w:ind w:firstLine="420" w:firstLineChars="200"/>
        <w:rPr>
          <w:rFonts w:ascii="宋体" w:cs="宋体"/>
          <w:szCs w:val="21"/>
        </w:rPr>
      </w:pPr>
      <w:r>
        <w:rPr>
          <w:rFonts w:hint="eastAsia" w:ascii="宋体" w:hAnsi="宋体" w:cs="宋体"/>
          <w:szCs w:val="21"/>
        </w:rPr>
        <w:t>报价</w:t>
      </w:r>
    </w:p>
    <w:p w14:paraId="69794795">
      <w:pPr>
        <w:spacing w:line="360" w:lineRule="auto"/>
        <w:ind w:left="420" w:leftChars="200"/>
        <w:rPr>
          <w:rFonts w:ascii="宋体" w:hAnsi="宋体" w:cs="宋体"/>
          <w:color w:val="000000"/>
          <w:szCs w:val="21"/>
          <w:highlight w:val="yellow"/>
        </w:rPr>
      </w:pPr>
      <w:r>
        <w:rPr>
          <w:rFonts w:hint="eastAsia" w:ascii="宋体" w:hAnsi="宋体"/>
        </w:rPr>
        <w:t>3.1报价依据：《建设工程工程量</w:t>
      </w:r>
      <w:r>
        <w:rPr>
          <w:rFonts w:hint="eastAsia" w:ascii="宋体" w:hAnsi="宋体" w:cs="宋体"/>
          <w:color w:val="000000"/>
          <w:szCs w:val="21"/>
        </w:rPr>
        <w:t>清单计价规范》、专业工程工程量清单计价规范（2013）及其上海市建设工程工程量计价应用规则。</w:t>
      </w:r>
    </w:p>
    <w:p w14:paraId="091EFEE4">
      <w:pPr>
        <w:spacing w:line="360" w:lineRule="auto"/>
        <w:ind w:firstLine="420" w:firstLineChars="200"/>
        <w:rPr>
          <w:rFonts w:cs="宋体"/>
        </w:rPr>
      </w:pPr>
      <w:r>
        <w:rPr>
          <w:rFonts w:hint="eastAsia" w:ascii="宋体" w:hAnsi="宋体"/>
          <w:szCs w:val="22"/>
        </w:rPr>
        <w:t xml:space="preserve">3.2 </w:t>
      </w:r>
      <w:r>
        <w:rPr>
          <w:rFonts w:hint="eastAsia" w:cs="宋体"/>
        </w:rPr>
        <w:t>企业管理费和利润：</w:t>
      </w:r>
      <w:r>
        <w:rPr>
          <w:rFonts w:hint="eastAsia"/>
        </w:rPr>
        <w:t>依据沪建标定联〔2023〕120号、沪建标定联〔2023〕486号文规定</w:t>
      </w:r>
      <w:r>
        <w:rPr>
          <w:rFonts w:hint="eastAsia" w:cs="宋体"/>
        </w:rPr>
        <w:t>。</w:t>
      </w:r>
    </w:p>
    <w:p w14:paraId="705DA9EC">
      <w:pPr>
        <w:spacing w:line="360" w:lineRule="auto"/>
        <w:ind w:firstLine="420" w:firstLineChars="200"/>
        <w:rPr>
          <w:rFonts w:ascii="宋体" w:hAnsi="宋体" w:cs="宋体"/>
          <w:color w:val="000000"/>
          <w:szCs w:val="21"/>
        </w:rPr>
      </w:pPr>
      <w:r>
        <w:rPr>
          <w:rFonts w:hint="eastAsia" w:ascii="宋体" w:hAnsi="宋体"/>
          <w:szCs w:val="22"/>
        </w:rPr>
        <w:t>3.</w:t>
      </w:r>
      <w:r>
        <w:rPr>
          <w:rFonts w:hint="eastAsia" w:ascii="宋体" w:hAnsi="宋体"/>
          <w:szCs w:val="22"/>
          <w:lang w:val="en-US" w:eastAsia="zh-CN"/>
        </w:rPr>
        <w:t>3</w:t>
      </w:r>
      <w:r>
        <w:rPr>
          <w:rFonts w:hint="eastAsia"/>
        </w:rPr>
        <w:t>增值税：依据沪建市管〔2016〕42号文、沪建市管〔2019〕19号文规定</w:t>
      </w:r>
      <w:r>
        <w:rPr>
          <w:rFonts w:hint="eastAsia" w:ascii="宋体" w:hAnsi="宋体"/>
        </w:rPr>
        <w:t>。</w:t>
      </w:r>
    </w:p>
    <w:p w14:paraId="7F6E9D3B">
      <w:pPr>
        <w:spacing w:line="360" w:lineRule="auto"/>
        <w:ind w:firstLine="420" w:firstLineChars="200"/>
        <w:rPr>
          <w:rFonts w:ascii="宋体" w:hAnsi="宋体" w:cs="宋体"/>
          <w:szCs w:val="21"/>
        </w:rPr>
      </w:pPr>
      <w:r>
        <w:rPr>
          <w:rFonts w:ascii="宋体" w:hAnsi="宋体"/>
        </w:rPr>
        <w:t>3.</w:t>
      </w:r>
      <w:r>
        <w:rPr>
          <w:rFonts w:hint="eastAsia" w:ascii="宋体" w:hAnsi="宋体"/>
          <w:lang w:val="en-US" w:eastAsia="zh-CN"/>
        </w:rPr>
        <w:t>4</w:t>
      </w:r>
      <w:r>
        <w:rPr>
          <w:rFonts w:hint="eastAsia" w:ascii="宋体" w:hAnsi="宋体" w:cs="宋体"/>
          <w:szCs w:val="21"/>
        </w:rPr>
        <w:t>所有价格均为人民币报价，包括提供本项目规定的全部管理、工程所发生的一切人工、管理等一切费用。</w:t>
      </w:r>
      <w:r>
        <w:rPr>
          <w:rFonts w:hint="eastAsia" w:ascii="宋体" w:hAnsi="宋体" w:cs="宋体"/>
          <w:szCs w:val="21"/>
          <w:lang w:eastAsia="zh-CN"/>
        </w:rPr>
        <w:t>响应单位</w:t>
      </w:r>
      <w:r>
        <w:rPr>
          <w:rFonts w:hint="eastAsia" w:ascii="宋体" w:hAnsi="宋体" w:cs="宋体"/>
          <w:szCs w:val="21"/>
        </w:rPr>
        <w:t>须提供本次采购的全面工程服务管理，保证项目的正常运行。报价单中只允许有一个报价，任何有选择的报价将不予接受。</w:t>
      </w:r>
      <w:r>
        <w:rPr>
          <w:rFonts w:hint="eastAsia" w:ascii="宋体" w:hAnsi="宋体" w:cs="宋体"/>
          <w:szCs w:val="21"/>
          <w:lang w:eastAsia="zh-CN"/>
        </w:rPr>
        <w:t>响应单位</w:t>
      </w:r>
      <w:r>
        <w:rPr>
          <w:rFonts w:hint="eastAsia" w:ascii="宋体" w:hAnsi="宋体" w:cs="宋体"/>
          <w:szCs w:val="21"/>
        </w:rPr>
        <w:t>应根据服务要求、工程量清单进行报价。报价单中不得漏填项目。</w:t>
      </w:r>
    </w:p>
    <w:p w14:paraId="1BA06EE5">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5</w:t>
      </w:r>
      <w:r>
        <w:rPr>
          <w:rFonts w:hint="eastAsia" w:cs="宋体"/>
        </w:rPr>
        <w:t>人工单价：由</w:t>
      </w:r>
      <w:r>
        <w:rPr>
          <w:rFonts w:hint="eastAsia" w:cs="宋体"/>
          <w:lang w:eastAsia="zh-CN"/>
        </w:rPr>
        <w:t>响应</w:t>
      </w:r>
      <w:r>
        <w:rPr>
          <w:rFonts w:hint="eastAsia" w:cs="宋体"/>
        </w:rPr>
        <w:t>单位根据自身情况市场竞争报价。</w:t>
      </w:r>
    </w:p>
    <w:p w14:paraId="261A23F6">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6</w:t>
      </w:r>
      <w:r>
        <w:rPr>
          <w:rFonts w:hint="eastAsia" w:cs="宋体"/>
        </w:rPr>
        <w:t>材料和制品单价：</w:t>
      </w:r>
      <w:r>
        <w:rPr>
          <w:rFonts w:hint="eastAsia" w:cs="宋体"/>
          <w:lang w:eastAsia="zh-CN"/>
        </w:rPr>
        <w:t>响应单位</w:t>
      </w:r>
      <w:r>
        <w:rPr>
          <w:rFonts w:hint="eastAsia" w:cs="宋体"/>
        </w:rPr>
        <w:t>在</w:t>
      </w:r>
      <w:r>
        <w:rPr>
          <w:rFonts w:hint="eastAsia" w:cs="宋体"/>
          <w:lang w:eastAsia="zh-CN"/>
        </w:rPr>
        <w:t>磋商</w:t>
      </w:r>
      <w:r>
        <w:rPr>
          <w:rFonts w:hint="eastAsia" w:cs="宋体"/>
        </w:rPr>
        <w:t>报价时，应按市场价报价；材料、制品的价格应包括包装、运输、仓储、场内驳运、保管、损耗、检验、检测等所有费用。</w:t>
      </w:r>
    </w:p>
    <w:p w14:paraId="039B6AFD">
      <w:pPr>
        <w:spacing w:line="360" w:lineRule="auto"/>
        <w:ind w:firstLine="420" w:firstLineChars="200"/>
      </w:pPr>
      <w:r>
        <w:rPr>
          <w:rFonts w:ascii="宋体" w:hAnsi="宋体" w:cs="宋体"/>
          <w:szCs w:val="21"/>
        </w:rPr>
        <w:t>3.</w:t>
      </w:r>
      <w:r>
        <w:rPr>
          <w:rFonts w:hint="eastAsia" w:ascii="宋体" w:hAnsi="宋体" w:cs="宋体"/>
          <w:szCs w:val="21"/>
          <w:lang w:val="en-US" w:eastAsia="zh-CN"/>
        </w:rPr>
        <w:t>7</w:t>
      </w:r>
      <w:r>
        <w:rPr>
          <w:rFonts w:hint="eastAsia"/>
        </w:rPr>
        <w:t>机械台班单价：</w:t>
      </w:r>
      <w:r>
        <w:rPr>
          <w:rFonts w:hint="eastAsia" w:cs="宋体"/>
        </w:rPr>
        <w:t>由</w:t>
      </w:r>
      <w:r>
        <w:rPr>
          <w:rFonts w:hint="eastAsia" w:cs="宋体"/>
          <w:lang w:eastAsia="zh-CN"/>
        </w:rPr>
        <w:t>响应单位</w:t>
      </w:r>
      <w:r>
        <w:rPr>
          <w:rFonts w:hint="eastAsia" w:cs="宋体"/>
        </w:rPr>
        <w:t>根据自身情况市场竞争报价。</w:t>
      </w:r>
    </w:p>
    <w:p w14:paraId="3FDDAB1C">
      <w:pPr>
        <w:spacing w:line="360" w:lineRule="auto"/>
        <w:ind w:firstLine="420" w:firstLineChars="200"/>
        <w:rPr>
          <w:rFonts w:ascii="宋体" w:hAnsi="宋体"/>
          <w:spacing w:val="-4"/>
        </w:rPr>
      </w:pPr>
      <w:r>
        <w:rPr>
          <w:rFonts w:ascii="宋体" w:hAnsi="宋体" w:cs="宋体"/>
          <w:szCs w:val="21"/>
        </w:rPr>
        <w:t>3.</w:t>
      </w:r>
      <w:r>
        <w:rPr>
          <w:rFonts w:hint="eastAsia" w:ascii="宋体" w:hAnsi="宋体" w:cs="宋体"/>
          <w:szCs w:val="21"/>
          <w:lang w:val="en-US" w:eastAsia="zh-CN"/>
        </w:rPr>
        <w:t>8</w:t>
      </w:r>
      <w:r>
        <w:rPr>
          <w:rFonts w:hint="eastAsia" w:ascii="宋体" w:hAnsi="宋体"/>
          <w:spacing w:val="-4"/>
        </w:rPr>
        <w:t>施工措施报价：</w:t>
      </w:r>
    </w:p>
    <w:p w14:paraId="01F00E38">
      <w:pPr>
        <w:spacing w:line="360" w:lineRule="auto"/>
        <w:ind w:firstLine="404" w:firstLineChars="200"/>
        <w:rPr>
          <w:rFonts w:ascii="宋体" w:hAnsi="宋体"/>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.1</w:t>
      </w:r>
      <w:r>
        <w:rPr>
          <w:rFonts w:hint="eastAsia" w:ascii="宋体" w:hAnsi="宋体"/>
          <w:lang w:eastAsia="zh-CN"/>
        </w:rPr>
        <w:t>响应单位</w:t>
      </w:r>
      <w:r>
        <w:rPr>
          <w:rFonts w:hint="eastAsia" w:ascii="宋体" w:hAnsi="宋体"/>
        </w:rPr>
        <w:t>应根据磋商文件、补充磋商文件，</w:t>
      </w:r>
      <w:r>
        <w:rPr>
          <w:rFonts w:hint="eastAsia" w:ascii="宋体" w:hAnsi="宋体"/>
          <w:lang w:eastAsia="zh-CN"/>
        </w:rPr>
        <w:t>响应单位</w:t>
      </w:r>
      <w:r>
        <w:rPr>
          <w:rFonts w:hint="eastAsia" w:ascii="宋体" w:hAnsi="宋体"/>
        </w:rPr>
        <w:t>编制的本工程施工组织设计、施工方案，工程现场的实际情况，</w:t>
      </w:r>
      <w:r>
        <w:rPr>
          <w:rFonts w:hint="eastAsia" w:ascii="宋体" w:hAnsi="宋体"/>
          <w:lang w:eastAsia="zh-CN"/>
        </w:rPr>
        <w:t>响应单位</w:t>
      </w:r>
      <w:r>
        <w:rPr>
          <w:rFonts w:hint="eastAsia" w:ascii="宋体" w:hAnsi="宋体"/>
        </w:rPr>
        <w:t>的施工经验等竞争报价；措施项目费合计包含本项目需发生的所有措施费用</w:t>
      </w:r>
      <w:r>
        <w:rPr>
          <w:rFonts w:hint="eastAsia" w:ascii="宋体" w:hAnsi="宋体"/>
          <w:lang w:eastAsia="zh-CN"/>
        </w:rPr>
        <w:t>（包含公共区域保护、满足防疫部门需求所产生的防疫物品费以及常态化防疫隔离措施所产生的所有费用、物业管理费及现场恢复费（包括设备及现场设施等））</w:t>
      </w:r>
      <w:r>
        <w:rPr>
          <w:rFonts w:hint="eastAsia" w:ascii="宋体" w:hAnsi="宋体"/>
          <w:b/>
        </w:rPr>
        <w:t>。</w:t>
      </w:r>
      <w:r>
        <w:rPr>
          <w:rFonts w:hint="eastAsia" w:ascii="宋体" w:hAnsi="宋体"/>
        </w:rPr>
        <w:t>请</w:t>
      </w:r>
      <w:r>
        <w:rPr>
          <w:rFonts w:hint="eastAsia" w:ascii="宋体" w:hAnsi="宋体"/>
          <w:lang w:eastAsia="zh-CN"/>
        </w:rPr>
        <w:t>响应单位</w:t>
      </w:r>
      <w:r>
        <w:rPr>
          <w:rFonts w:hint="eastAsia" w:ascii="宋体" w:hAnsi="宋体"/>
        </w:rPr>
        <w:t>结合图纸并踏勘现场后，根据现场实际情况报价。本项目结算时，该项费用闭口包干，不作调整。</w:t>
      </w:r>
    </w:p>
    <w:p w14:paraId="2A5FD037">
      <w:pPr>
        <w:spacing w:line="360" w:lineRule="auto"/>
        <w:ind w:firstLine="404" w:firstLineChars="200"/>
        <w:rPr>
          <w:rFonts w:ascii="宋体" w:hAnsi="宋体"/>
          <w:spacing w:val="-4"/>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.2本工程所有材料的检测费用由</w:t>
      </w:r>
      <w:r>
        <w:rPr>
          <w:rFonts w:hint="eastAsia" w:ascii="宋体" w:hAnsi="宋体"/>
          <w:spacing w:val="-4"/>
          <w:lang w:eastAsia="zh-CN"/>
        </w:rPr>
        <w:t>响应单位</w:t>
      </w:r>
      <w:r>
        <w:rPr>
          <w:rFonts w:hint="eastAsia" w:ascii="宋体" w:hAnsi="宋体"/>
          <w:spacing w:val="-4"/>
        </w:rPr>
        <w:t>自主报价，结算时闭口包干不做调整。</w:t>
      </w:r>
    </w:p>
    <w:p w14:paraId="62C679A8">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9</w:t>
      </w:r>
      <w:r>
        <w:rPr>
          <w:rFonts w:hint="eastAsia" w:cs="宋体"/>
        </w:rPr>
        <w:t>安全防护、文明施工措施报价：</w:t>
      </w:r>
      <w:r>
        <w:rPr>
          <w:rFonts w:hint="eastAsia"/>
        </w:rPr>
        <w:t>依据沪建标定联〔2023〕120号、沪建标定联〔2023〕486号文规定</w:t>
      </w:r>
      <w:r>
        <w:rPr>
          <w:rFonts w:hint="eastAsia" w:cs="宋体"/>
        </w:rPr>
        <w:t>，在</w:t>
      </w:r>
      <w:r>
        <w:rPr>
          <w:rFonts w:hint="eastAsia" w:cs="宋体"/>
          <w:lang w:eastAsia="zh-CN"/>
        </w:rPr>
        <w:t>磋商</w:t>
      </w:r>
      <w:r>
        <w:rPr>
          <w:rFonts w:hint="eastAsia" w:cs="宋体"/>
        </w:rPr>
        <w:t>报价中必须单列。</w:t>
      </w:r>
    </w:p>
    <w:p w14:paraId="22A91D65">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lang w:eastAsia="zh-CN"/>
        </w:rPr>
        <w:t>响应单位</w:t>
      </w:r>
      <w:r>
        <w:rPr>
          <w:rFonts w:hint="eastAsia" w:ascii="宋体" w:hAnsi="宋体" w:cs="宋体"/>
          <w:szCs w:val="21"/>
        </w:rPr>
        <w:t>认为其他将会发生的费用。</w:t>
      </w:r>
    </w:p>
    <w:p w14:paraId="142ED2AC">
      <w:pPr>
        <w:numPr>
          <w:ilvl w:val="0"/>
          <w:numId w:val="9"/>
        </w:numPr>
        <w:spacing w:line="360" w:lineRule="auto"/>
        <w:ind w:firstLine="420" w:firstLineChars="200"/>
        <w:rPr>
          <w:rFonts w:ascii="宋体" w:cs="宋体"/>
          <w:szCs w:val="21"/>
        </w:rPr>
      </w:pPr>
      <w:r>
        <w:rPr>
          <w:rFonts w:hint="eastAsia" w:ascii="宋体" w:hAnsi="宋体" w:cs="宋体"/>
          <w:szCs w:val="21"/>
        </w:rPr>
        <w:t>保证金</w:t>
      </w:r>
    </w:p>
    <w:p w14:paraId="07903564">
      <w:pPr>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本项目不收取保证金</w:t>
      </w:r>
    </w:p>
    <w:p w14:paraId="2C5B5435">
      <w:pPr>
        <w:numPr>
          <w:ilvl w:val="0"/>
          <w:numId w:val="9"/>
        </w:numPr>
        <w:spacing w:line="360" w:lineRule="auto"/>
        <w:ind w:firstLine="420" w:firstLineChars="200"/>
        <w:rPr>
          <w:rFonts w:ascii="宋体" w:cs="宋体"/>
          <w:szCs w:val="21"/>
        </w:rPr>
      </w:pPr>
      <w:r>
        <w:rPr>
          <w:rFonts w:hint="eastAsia" w:ascii="宋体" w:hAnsi="宋体" w:cs="宋体"/>
          <w:szCs w:val="21"/>
        </w:rPr>
        <w:t>有效期</w:t>
      </w:r>
    </w:p>
    <w:p w14:paraId="48E88F30">
      <w:pPr>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lang w:eastAsia="zh-CN"/>
        </w:rPr>
        <w:t>响应单位</w:t>
      </w:r>
      <w:r>
        <w:rPr>
          <w:rFonts w:hint="eastAsia" w:ascii="宋体" w:hAnsi="宋体" w:cs="宋体"/>
          <w:szCs w:val="21"/>
        </w:rPr>
        <w:t>的磋商响应文件应在规定的递交磋商响应文件截止日后</w:t>
      </w:r>
      <w:r>
        <w:rPr>
          <w:rFonts w:ascii="宋体" w:hAnsi="宋体" w:cs="宋体"/>
          <w:szCs w:val="21"/>
          <w:u w:val="single"/>
        </w:rPr>
        <w:t>90</w:t>
      </w:r>
      <w:r>
        <w:rPr>
          <w:rFonts w:hint="eastAsia" w:ascii="宋体" w:hAnsi="宋体" w:cs="宋体"/>
          <w:szCs w:val="21"/>
        </w:rPr>
        <w:t>天内保持有效，有效期不满足要求的磋商响应文件将被视为非实质性响应而予以拒绝。</w:t>
      </w:r>
    </w:p>
    <w:p w14:paraId="5BE085DD">
      <w:pPr>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采购单位可根据实际情况，在原有效期截止之前，要求</w:t>
      </w:r>
      <w:r>
        <w:rPr>
          <w:rFonts w:hint="eastAsia" w:ascii="宋体" w:hAnsi="宋体" w:cs="宋体"/>
          <w:szCs w:val="21"/>
          <w:lang w:eastAsia="zh-CN"/>
        </w:rPr>
        <w:t>响应单位</w:t>
      </w:r>
      <w:r>
        <w:rPr>
          <w:rFonts w:hint="eastAsia" w:ascii="宋体" w:hAnsi="宋体" w:cs="宋体"/>
          <w:szCs w:val="21"/>
        </w:rPr>
        <w:t>同意延长有效期。接受该要求的</w:t>
      </w:r>
      <w:r>
        <w:rPr>
          <w:rFonts w:hint="eastAsia" w:ascii="宋体" w:hAnsi="宋体" w:cs="宋体"/>
          <w:szCs w:val="21"/>
          <w:lang w:eastAsia="zh-CN"/>
        </w:rPr>
        <w:t>响应单位</w:t>
      </w:r>
      <w:r>
        <w:rPr>
          <w:rFonts w:hint="eastAsia" w:ascii="宋体" w:hAnsi="宋体" w:cs="宋体"/>
          <w:szCs w:val="21"/>
        </w:rPr>
        <w:t>将不得要求修正其报价，</w:t>
      </w:r>
      <w:r>
        <w:rPr>
          <w:rFonts w:hint="eastAsia" w:ascii="宋体" w:hAnsi="宋体" w:cs="宋体"/>
          <w:szCs w:val="21"/>
          <w:lang w:eastAsia="zh-CN"/>
        </w:rPr>
        <w:t>响应单位</w:t>
      </w:r>
      <w:r>
        <w:rPr>
          <w:rFonts w:hint="eastAsia" w:ascii="宋体" w:hAnsi="宋体" w:cs="宋体"/>
          <w:szCs w:val="21"/>
        </w:rPr>
        <w:t>可以拒绝采购单位的这种要求。上述要求和答复都应以书面形式提交。</w:t>
      </w:r>
    </w:p>
    <w:p w14:paraId="0D52D580">
      <w:pPr>
        <w:numPr>
          <w:ilvl w:val="0"/>
          <w:numId w:val="9"/>
        </w:numPr>
        <w:spacing w:line="360" w:lineRule="auto"/>
        <w:ind w:firstLine="420" w:firstLineChars="200"/>
        <w:rPr>
          <w:rFonts w:ascii="宋体" w:cs="宋体"/>
          <w:szCs w:val="21"/>
        </w:rPr>
      </w:pPr>
      <w:r>
        <w:rPr>
          <w:rFonts w:hint="eastAsia" w:ascii="宋体" w:hAnsi="宋体" w:cs="宋体"/>
          <w:szCs w:val="21"/>
        </w:rPr>
        <w:t>磋商响应文件的签署及规定</w:t>
      </w:r>
    </w:p>
    <w:p w14:paraId="19D6800A">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lang w:eastAsia="zh-CN"/>
        </w:rPr>
        <w:t>响应单位</w:t>
      </w:r>
      <w:r>
        <w:rPr>
          <w:rFonts w:hint="eastAsia" w:ascii="宋体" w:hAnsi="宋体" w:cs="宋体"/>
          <w:szCs w:val="21"/>
        </w:rPr>
        <w:t>应准备磋商响应文件正本</w:t>
      </w:r>
      <w:r>
        <w:rPr>
          <w:rFonts w:ascii="宋体" w:hAnsi="宋体" w:cs="宋体"/>
          <w:szCs w:val="21"/>
        </w:rPr>
        <w:t>1</w:t>
      </w:r>
      <w:r>
        <w:rPr>
          <w:rFonts w:hint="eastAsia" w:ascii="宋体" w:hAnsi="宋体" w:cs="宋体"/>
          <w:szCs w:val="21"/>
        </w:rPr>
        <w:t>份、副本</w:t>
      </w:r>
      <w:r>
        <w:rPr>
          <w:rFonts w:ascii="宋体" w:hAnsi="宋体" w:cs="宋体"/>
          <w:szCs w:val="21"/>
        </w:rPr>
        <w:t>2</w:t>
      </w:r>
      <w:r>
        <w:rPr>
          <w:rFonts w:hint="eastAsia" w:ascii="宋体" w:hAnsi="宋体" w:cs="宋体"/>
          <w:szCs w:val="21"/>
        </w:rPr>
        <w:t>份，每份文件须清楚地标明“正本”、“副本”。若正本和副本不符，以正本为准。</w:t>
      </w:r>
    </w:p>
    <w:p w14:paraId="4EECC475">
      <w:pPr>
        <w:spacing w:line="360" w:lineRule="auto"/>
        <w:ind w:firstLine="420" w:firstLineChars="200"/>
        <w:rPr>
          <w:rFonts w:ascii="宋体" w:cs="宋体"/>
          <w:szCs w:val="21"/>
        </w:rPr>
      </w:pPr>
      <w:r>
        <w:rPr>
          <w:rFonts w:ascii="宋体" w:hAnsi="宋体" w:cs="宋体"/>
          <w:szCs w:val="21"/>
        </w:rPr>
        <w:t>6.2</w:t>
      </w:r>
      <w:r>
        <w:rPr>
          <w:rFonts w:hint="eastAsia" w:ascii="宋体" w:hAnsi="宋体" w:cs="宋体"/>
          <w:szCs w:val="21"/>
        </w:rPr>
        <w:t>磋商响应文件的正本需打印或用不褪色墨水书写，并由</w:t>
      </w:r>
      <w:r>
        <w:rPr>
          <w:rFonts w:hint="eastAsia" w:ascii="宋体" w:hAnsi="宋体" w:cs="宋体"/>
          <w:szCs w:val="21"/>
          <w:lang w:eastAsia="zh-CN"/>
        </w:rPr>
        <w:t>响应单位</w:t>
      </w:r>
      <w:r>
        <w:rPr>
          <w:rFonts w:hint="eastAsia" w:ascii="宋体" w:hAnsi="宋体" w:cs="宋体"/>
          <w:szCs w:val="21"/>
        </w:rPr>
        <w:t>的法定代表人或经其授权的代表在磋商响应文件上签字并加盖单位印章。授权代表须持有书面的“法定代表人授权书”（标准格式附后），并将其附在磋商响应文件中。如磋商响应文件需进行修改，则应有</w:t>
      </w:r>
      <w:r>
        <w:rPr>
          <w:rFonts w:hint="eastAsia" w:ascii="宋体" w:hAnsi="宋体" w:cs="宋体"/>
          <w:szCs w:val="21"/>
          <w:lang w:eastAsia="zh-CN"/>
        </w:rPr>
        <w:t>响应单位</w:t>
      </w:r>
      <w:r>
        <w:rPr>
          <w:rFonts w:hint="eastAsia" w:ascii="宋体" w:hAnsi="宋体" w:cs="宋体"/>
          <w:szCs w:val="21"/>
        </w:rPr>
        <w:t>的法定代表人或经其授权的代表在修改的每一页上签字。磋商响应文件的副本可以是正本的复印件。</w:t>
      </w:r>
    </w:p>
    <w:p w14:paraId="01C2D3B0">
      <w:pPr>
        <w:spacing w:line="360" w:lineRule="auto"/>
        <w:ind w:firstLine="420" w:firstLineChars="200"/>
        <w:rPr>
          <w:rFonts w:ascii="宋体" w:cs="宋体"/>
          <w:szCs w:val="21"/>
        </w:rPr>
      </w:pPr>
      <w:r>
        <w:rPr>
          <w:rFonts w:ascii="宋体" w:hAnsi="宋体" w:cs="宋体"/>
          <w:szCs w:val="21"/>
        </w:rPr>
        <w:t>6.3</w:t>
      </w:r>
      <w:r>
        <w:rPr>
          <w:rFonts w:hint="eastAsia" w:ascii="宋体" w:hAnsi="宋体" w:cs="宋体"/>
          <w:szCs w:val="21"/>
        </w:rPr>
        <w:t>任何行间插字、涂改和增删，必须由磋商响应按文件签字人签字或盖章后才有效。</w:t>
      </w:r>
    </w:p>
    <w:p w14:paraId="39A216A8">
      <w:pPr>
        <w:spacing w:line="360" w:lineRule="auto"/>
        <w:ind w:firstLine="420" w:firstLineChars="200"/>
        <w:rPr>
          <w:rFonts w:ascii="宋体" w:hAnsi="宋体" w:cs="宋体"/>
          <w:sz w:val="24"/>
          <w:szCs w:val="24"/>
        </w:rPr>
      </w:pPr>
      <w:r>
        <w:rPr>
          <w:rFonts w:ascii="宋体" w:hAnsi="宋体" w:cs="宋体"/>
          <w:szCs w:val="21"/>
        </w:rPr>
        <w:t>6.4</w:t>
      </w:r>
      <w:r>
        <w:rPr>
          <w:rFonts w:hint="eastAsia" w:ascii="宋体" w:hAnsi="宋体" w:cs="宋体"/>
          <w:szCs w:val="21"/>
        </w:rPr>
        <w:t>磋商响应文件因字迹潦草或表达不清所引起的后果由</w:t>
      </w:r>
      <w:r>
        <w:rPr>
          <w:rFonts w:hint="eastAsia" w:ascii="宋体" w:hAnsi="宋体" w:cs="宋体"/>
          <w:szCs w:val="21"/>
          <w:lang w:eastAsia="zh-CN"/>
        </w:rPr>
        <w:t>响应单位</w:t>
      </w:r>
      <w:r>
        <w:rPr>
          <w:rFonts w:hint="eastAsia" w:ascii="宋体" w:hAnsi="宋体" w:cs="宋体"/>
          <w:szCs w:val="21"/>
        </w:rPr>
        <w:t>负责。</w:t>
      </w:r>
    </w:p>
    <w:p w14:paraId="79AFA0A8">
      <w:pPr>
        <w:spacing w:line="360" w:lineRule="auto"/>
        <w:ind w:firstLine="640" w:firstLineChars="200"/>
        <w:rPr>
          <w:rFonts w:ascii="宋体" w:cs="宋体"/>
          <w:sz w:val="32"/>
          <w:szCs w:val="32"/>
        </w:rPr>
      </w:pPr>
    </w:p>
    <w:p w14:paraId="64AAE38E">
      <w:pPr>
        <w:pStyle w:val="2"/>
        <w:spacing w:line="360" w:lineRule="auto"/>
        <w:jc w:val="center"/>
        <w:rPr>
          <w:rFonts w:ascii="宋体"/>
          <w:sz w:val="32"/>
          <w:szCs w:val="32"/>
        </w:rPr>
      </w:pPr>
      <w:bookmarkStart w:id="7" w:name="_Toc20967"/>
      <w:r>
        <w:rPr>
          <w:rFonts w:hint="eastAsia" w:ascii="宋体" w:hAnsi="宋体"/>
          <w:sz w:val="32"/>
          <w:szCs w:val="32"/>
        </w:rPr>
        <w:t>第四部分</w:t>
      </w:r>
      <w:r>
        <w:rPr>
          <w:rFonts w:hint="eastAsia" w:ascii="宋体" w:hAnsi="宋体"/>
          <w:sz w:val="32"/>
          <w:szCs w:val="32"/>
          <w:lang w:val="en-US" w:eastAsia="zh-CN"/>
        </w:rPr>
        <w:t xml:space="preserve">  </w:t>
      </w:r>
      <w:r>
        <w:rPr>
          <w:rFonts w:hint="eastAsia" w:ascii="宋体" w:hAnsi="宋体"/>
          <w:sz w:val="32"/>
          <w:szCs w:val="32"/>
        </w:rPr>
        <w:t>磋商响应文件的递交</w:t>
      </w:r>
      <w:bookmarkEnd w:id="7"/>
    </w:p>
    <w:p w14:paraId="5074FB5E">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磋商响应文件的密封和标记</w:t>
      </w:r>
    </w:p>
    <w:p w14:paraId="03BBB00D">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递交磋商响应文件时，</w:t>
      </w:r>
      <w:r>
        <w:rPr>
          <w:rFonts w:hint="eastAsia" w:ascii="宋体" w:hAnsi="宋体" w:cs="宋体"/>
          <w:szCs w:val="21"/>
          <w:lang w:eastAsia="zh-CN"/>
        </w:rPr>
        <w:t>响应单位</w:t>
      </w:r>
      <w:r>
        <w:rPr>
          <w:rFonts w:hint="eastAsia" w:ascii="宋体" w:hAnsi="宋体" w:cs="宋体"/>
          <w:szCs w:val="21"/>
        </w:rPr>
        <w:t>应将磋商响应文件正本和所有的副本密封装在标袋中。</w:t>
      </w:r>
    </w:p>
    <w:p w14:paraId="052F93C0">
      <w:pPr>
        <w:spacing w:line="360" w:lineRule="auto"/>
        <w:ind w:firstLine="420" w:firstLineChars="200"/>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所有标袋上均应</w:t>
      </w:r>
      <w:r>
        <w:rPr>
          <w:rFonts w:hint="eastAsia" w:ascii="宋体" w:hAnsi="宋体" w:cs="宋体"/>
          <w:color w:val="auto"/>
          <w:szCs w:val="21"/>
          <w:lang w:eastAsia="zh-CN"/>
        </w:rPr>
        <w:t>写明</w:t>
      </w:r>
      <w:r>
        <w:rPr>
          <w:rFonts w:hint="eastAsia" w:ascii="宋体" w:hAnsi="宋体" w:cs="宋体"/>
          <w:color w:val="auto"/>
          <w:szCs w:val="21"/>
        </w:rPr>
        <w:t>：</w:t>
      </w:r>
    </w:p>
    <w:p w14:paraId="00FE129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）采购项目名称、采购编号</w:t>
      </w:r>
    </w:p>
    <w:p w14:paraId="7DA4588A">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名称</w:t>
      </w:r>
    </w:p>
    <w:p w14:paraId="5F3AB52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XXXX</w:t>
      </w:r>
      <w:r>
        <w:rPr>
          <w:rFonts w:hint="eastAsia" w:ascii="宋体" w:hAnsi="宋体" w:cs="宋体"/>
          <w:szCs w:val="21"/>
        </w:rPr>
        <w:t>年</w:t>
      </w:r>
      <w:r>
        <w:rPr>
          <w:rFonts w:ascii="宋体" w:hAnsi="宋体" w:cs="宋体"/>
          <w:szCs w:val="21"/>
        </w:rPr>
        <w:t>XX</w:t>
      </w:r>
      <w:r>
        <w:rPr>
          <w:rFonts w:hint="eastAsia" w:ascii="宋体" w:hAnsi="宋体" w:cs="宋体"/>
          <w:szCs w:val="21"/>
        </w:rPr>
        <w:t>月</w:t>
      </w:r>
      <w:r>
        <w:rPr>
          <w:rFonts w:ascii="宋体" w:hAnsi="宋体" w:cs="宋体"/>
          <w:szCs w:val="21"/>
        </w:rPr>
        <w:t>XX</w:t>
      </w:r>
      <w:r>
        <w:rPr>
          <w:rFonts w:hint="eastAsia" w:ascii="宋体" w:hAnsi="宋体" w:cs="宋体"/>
          <w:szCs w:val="21"/>
        </w:rPr>
        <w:t>日之前不得启封</w:t>
      </w:r>
    </w:p>
    <w:p w14:paraId="0A6C5E35">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）在标袋封口处加盖</w:t>
      </w:r>
      <w:r>
        <w:rPr>
          <w:rFonts w:hint="eastAsia" w:ascii="宋体" w:hAnsi="宋体" w:cs="宋体"/>
          <w:szCs w:val="21"/>
          <w:lang w:eastAsia="zh-CN"/>
        </w:rPr>
        <w:t>响应单位</w:t>
      </w:r>
      <w:r>
        <w:rPr>
          <w:rFonts w:hint="eastAsia" w:ascii="宋体" w:hAnsi="宋体" w:cs="宋体"/>
          <w:szCs w:val="21"/>
        </w:rPr>
        <w:t>公章及法人签章</w:t>
      </w:r>
    </w:p>
    <w:p w14:paraId="623C3E9D">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如果</w:t>
      </w:r>
      <w:r>
        <w:rPr>
          <w:rFonts w:hint="eastAsia" w:ascii="宋体" w:hAnsi="宋体" w:cs="宋体"/>
          <w:szCs w:val="21"/>
          <w:lang w:eastAsia="zh-CN"/>
        </w:rPr>
        <w:t>响应单位</w:t>
      </w:r>
      <w:r>
        <w:rPr>
          <w:rFonts w:hint="eastAsia" w:ascii="宋体" w:hAnsi="宋体" w:cs="宋体"/>
          <w:szCs w:val="21"/>
        </w:rPr>
        <w:t>未按上述要求密封及加写标记，采购单位对磋商响应文件的误投或过早启封概不负责。</w:t>
      </w:r>
    </w:p>
    <w:p w14:paraId="1D32A825">
      <w:pPr>
        <w:spacing w:line="360" w:lineRule="auto"/>
        <w:ind w:firstLine="420" w:firstLineChars="200"/>
        <w:rPr>
          <w:rFonts w:ascii="宋体" w:cs="宋体"/>
          <w:szCs w:val="21"/>
        </w:rPr>
      </w:pPr>
    </w:p>
    <w:p w14:paraId="6581D1F6">
      <w:pPr>
        <w:pStyle w:val="2"/>
        <w:spacing w:line="240" w:lineRule="auto"/>
        <w:jc w:val="center"/>
        <w:rPr>
          <w:rFonts w:ascii="宋体"/>
          <w:sz w:val="32"/>
          <w:szCs w:val="32"/>
        </w:rPr>
      </w:pPr>
      <w:r>
        <w:rPr>
          <w:rFonts w:hint="eastAsia" w:ascii="宋体" w:hAnsi="宋体"/>
          <w:sz w:val="32"/>
          <w:szCs w:val="32"/>
        </w:rPr>
        <w:br w:type="page"/>
      </w:r>
      <w:bookmarkStart w:id="8" w:name="_Toc18583"/>
      <w:r>
        <w:rPr>
          <w:rFonts w:hint="eastAsia" w:ascii="宋体" w:hAnsi="宋体"/>
          <w:sz w:val="32"/>
          <w:szCs w:val="32"/>
        </w:rPr>
        <w:t>第五部分磋商响应文件的评审</w:t>
      </w:r>
      <w:bookmarkEnd w:id="8"/>
    </w:p>
    <w:p w14:paraId="027C3965">
      <w:pPr>
        <w:numPr>
          <w:ilvl w:val="0"/>
          <w:numId w:val="10"/>
        </w:numPr>
        <w:spacing w:line="360" w:lineRule="auto"/>
        <w:rPr>
          <w:rFonts w:ascii="宋体" w:cs="宋体"/>
          <w:szCs w:val="21"/>
        </w:rPr>
      </w:pPr>
      <w:r>
        <w:rPr>
          <w:rFonts w:hint="eastAsia" w:ascii="宋体" w:hAnsi="宋体" w:cs="宋体"/>
          <w:szCs w:val="21"/>
        </w:rPr>
        <w:t>组建磋商小组</w:t>
      </w:r>
    </w:p>
    <w:p w14:paraId="2DA83F12">
      <w:pPr>
        <w:spacing w:line="360" w:lineRule="auto"/>
        <w:rPr>
          <w:rFonts w:ascii="宋体" w:cs="宋体"/>
          <w:szCs w:val="21"/>
        </w:rPr>
      </w:pPr>
      <w:r>
        <w:rPr>
          <w:rFonts w:hint="eastAsia" w:ascii="宋体" w:hAnsi="宋体" w:cs="宋体"/>
          <w:szCs w:val="21"/>
        </w:rPr>
        <w:t>磋商小组根据采购内容的特点进行组建，并负责评审磋商工作。</w:t>
      </w:r>
    </w:p>
    <w:p w14:paraId="35C8845B">
      <w:pPr>
        <w:numPr>
          <w:ilvl w:val="0"/>
          <w:numId w:val="10"/>
        </w:numPr>
        <w:spacing w:line="360" w:lineRule="auto"/>
        <w:rPr>
          <w:rFonts w:ascii="宋体" w:cs="宋体"/>
          <w:szCs w:val="21"/>
        </w:rPr>
      </w:pPr>
      <w:r>
        <w:rPr>
          <w:rFonts w:hint="eastAsia" w:ascii="宋体" w:hAnsi="宋体" w:cs="宋体"/>
          <w:szCs w:val="21"/>
        </w:rPr>
        <w:t>磋商响应文件的初审与澄清</w:t>
      </w:r>
    </w:p>
    <w:p w14:paraId="388D193F">
      <w:pPr>
        <w:spacing w:line="360" w:lineRule="auto"/>
        <w:rPr>
          <w:rFonts w:ascii="宋体" w:cs="宋体"/>
          <w:szCs w:val="21"/>
        </w:rPr>
      </w:pPr>
      <w:r>
        <w:rPr>
          <w:rFonts w:ascii="宋体" w:hAnsi="宋体" w:cs="宋体"/>
          <w:szCs w:val="21"/>
        </w:rPr>
        <w:t>2.1</w:t>
      </w:r>
      <w:r>
        <w:rPr>
          <w:rFonts w:hint="eastAsia" w:ascii="宋体" w:hAnsi="宋体" w:cs="宋体"/>
          <w:szCs w:val="21"/>
        </w:rPr>
        <w:t>磋商响应文件的初审分为资格性检查和符合性检查。</w:t>
      </w:r>
    </w:p>
    <w:p w14:paraId="4E861AF1">
      <w:pPr>
        <w:spacing w:line="360" w:lineRule="auto"/>
        <w:rPr>
          <w:rFonts w:ascii="宋体" w:cs="宋体"/>
          <w:szCs w:val="21"/>
        </w:rPr>
      </w:pPr>
      <w:r>
        <w:rPr>
          <w:rFonts w:ascii="宋体" w:hAnsi="宋体" w:cs="宋体"/>
          <w:szCs w:val="21"/>
        </w:rPr>
        <w:t>2.1.1</w:t>
      </w:r>
      <w:r>
        <w:rPr>
          <w:rFonts w:hint="eastAsia" w:ascii="宋体" w:hAnsi="宋体" w:cs="宋体"/>
          <w:szCs w:val="21"/>
        </w:rPr>
        <w:t>资格性检查依据法律、法规和磋商问价你的规定，对磋商响应文件中的资格证明、磋商保证金等进行审查，以确定</w:t>
      </w:r>
      <w:r>
        <w:rPr>
          <w:rFonts w:hint="eastAsia" w:ascii="宋体" w:hAnsi="宋体" w:cs="宋体"/>
          <w:szCs w:val="21"/>
          <w:lang w:eastAsia="zh-CN"/>
        </w:rPr>
        <w:t>响应单位</w:t>
      </w:r>
      <w:r>
        <w:rPr>
          <w:rFonts w:hint="eastAsia" w:ascii="宋体" w:hAnsi="宋体" w:cs="宋体"/>
          <w:szCs w:val="21"/>
        </w:rPr>
        <w:t>是否具备报价资格。</w:t>
      </w:r>
    </w:p>
    <w:p w14:paraId="6A3DA94E">
      <w:pPr>
        <w:spacing w:line="360" w:lineRule="auto"/>
        <w:rPr>
          <w:rFonts w:ascii="宋体" w:cs="宋体"/>
          <w:szCs w:val="21"/>
        </w:rPr>
      </w:pPr>
      <w:r>
        <w:rPr>
          <w:rFonts w:ascii="宋体" w:hAnsi="宋体" w:cs="宋体"/>
          <w:szCs w:val="21"/>
        </w:rPr>
        <w:t>2.1.2</w:t>
      </w:r>
      <w:r>
        <w:rPr>
          <w:rFonts w:hint="eastAsia" w:ascii="宋体" w:hAnsi="宋体" w:cs="宋体"/>
          <w:szCs w:val="21"/>
        </w:rPr>
        <w:t>符合性检查：依据磋商文件的规定，从磋商响应文件的有效性、完整性和对磋商文件的响应程度进行审查，以确定是否对磋商文件的实质性要求作出响应。</w:t>
      </w:r>
    </w:p>
    <w:p w14:paraId="59D31EA6">
      <w:pPr>
        <w:numPr>
          <w:ilvl w:val="0"/>
          <w:numId w:val="10"/>
        </w:numPr>
        <w:spacing w:line="360" w:lineRule="auto"/>
        <w:rPr>
          <w:rFonts w:ascii="宋体" w:cs="宋体"/>
          <w:szCs w:val="21"/>
        </w:rPr>
      </w:pPr>
      <w:r>
        <w:rPr>
          <w:rFonts w:hint="eastAsia" w:ascii="宋体" w:hAnsi="宋体" w:cs="宋体"/>
          <w:szCs w:val="21"/>
        </w:rPr>
        <w:t>磋商响应文件的澄清</w:t>
      </w:r>
    </w:p>
    <w:p w14:paraId="452F2551">
      <w:pPr>
        <w:spacing w:line="360" w:lineRule="auto"/>
        <w:rPr>
          <w:rFonts w:ascii="宋体" w:cs="宋体"/>
          <w:szCs w:val="21"/>
        </w:rPr>
      </w:pPr>
      <w:r>
        <w:rPr>
          <w:rFonts w:ascii="宋体" w:hAnsi="宋体" w:cs="宋体"/>
          <w:szCs w:val="21"/>
        </w:rPr>
        <w:t>3.1</w:t>
      </w:r>
      <w:r>
        <w:rPr>
          <w:rFonts w:hint="eastAsia" w:ascii="宋体" w:hAnsi="宋体" w:cs="宋体"/>
          <w:szCs w:val="21"/>
        </w:rPr>
        <w:t>在评审期间，评审委员胡有权以书面方式要求</w:t>
      </w:r>
      <w:r>
        <w:rPr>
          <w:rFonts w:hint="eastAsia" w:ascii="宋体" w:hAnsi="宋体" w:cs="宋体"/>
          <w:szCs w:val="21"/>
          <w:lang w:eastAsia="zh-CN"/>
        </w:rPr>
        <w:t>响应单位</w:t>
      </w:r>
      <w:r>
        <w:rPr>
          <w:rFonts w:hint="eastAsia" w:ascii="宋体" w:hAnsi="宋体" w:cs="宋体"/>
          <w:szCs w:val="21"/>
        </w:rPr>
        <w:t>对其磋商响应文件中含义不明确、对同类问题表述不一致或者有明显文字和计算错误的内容做必要的澄清。</w:t>
      </w:r>
      <w:r>
        <w:rPr>
          <w:rFonts w:hint="eastAsia" w:ascii="宋体" w:hAnsi="宋体" w:cs="宋体"/>
          <w:szCs w:val="21"/>
          <w:lang w:eastAsia="zh-CN"/>
        </w:rPr>
        <w:t>响应单位</w:t>
      </w:r>
      <w:r>
        <w:rPr>
          <w:rFonts w:hint="eastAsia" w:ascii="宋体" w:hAnsi="宋体" w:cs="宋体"/>
          <w:szCs w:val="21"/>
        </w:rPr>
        <w:t>澄清应在磋商小组规定的时间内以书面方式进行，并不得超出磋商响应文件范围或者改变磋商响应文件的实质性内容。</w:t>
      </w:r>
    </w:p>
    <w:p w14:paraId="5ABF28E8">
      <w:pPr>
        <w:spacing w:line="360" w:lineRule="auto"/>
        <w:rPr>
          <w:rFonts w:ascii="宋体" w:cs="宋体"/>
          <w:szCs w:val="21"/>
        </w:rPr>
      </w:pPr>
      <w:r>
        <w:rPr>
          <w:rFonts w:ascii="宋体" w:hAnsi="宋体" w:cs="宋体"/>
          <w:szCs w:val="21"/>
        </w:rPr>
        <w:t>3.2</w:t>
      </w:r>
      <w:r>
        <w:rPr>
          <w:rFonts w:hint="eastAsia" w:ascii="宋体" w:hAnsi="宋体" w:cs="宋体"/>
          <w:szCs w:val="21"/>
        </w:rPr>
        <w:t>澄清文件将作为磋商响应文件内容的一部分。</w:t>
      </w:r>
    </w:p>
    <w:p w14:paraId="340AA094">
      <w:pPr>
        <w:numPr>
          <w:ilvl w:val="0"/>
          <w:numId w:val="10"/>
        </w:numPr>
        <w:spacing w:line="360" w:lineRule="auto"/>
        <w:rPr>
          <w:rFonts w:ascii="宋体" w:cs="宋体"/>
          <w:szCs w:val="21"/>
        </w:rPr>
      </w:pPr>
      <w:r>
        <w:rPr>
          <w:rFonts w:hint="eastAsia" w:ascii="宋体" w:hAnsi="宋体" w:cs="宋体"/>
          <w:szCs w:val="21"/>
        </w:rPr>
        <w:t>比较与评价</w:t>
      </w:r>
    </w:p>
    <w:p w14:paraId="74F13E77">
      <w:pPr>
        <w:spacing w:line="360" w:lineRule="auto"/>
        <w:rPr>
          <w:rFonts w:ascii="宋体" w:cs="宋体"/>
          <w:szCs w:val="21"/>
        </w:rPr>
      </w:pPr>
      <w:r>
        <w:rPr>
          <w:rFonts w:ascii="宋体" w:hAnsi="宋体" w:cs="宋体"/>
          <w:szCs w:val="21"/>
        </w:rPr>
        <w:t>4.1</w:t>
      </w:r>
      <w:r>
        <w:rPr>
          <w:rFonts w:hint="eastAsia" w:ascii="宋体" w:hAnsi="宋体" w:cs="宋体"/>
          <w:szCs w:val="21"/>
        </w:rPr>
        <w:t>经审查合格的磋商响应文件，磋商小组将根据磋商文件确定的评审标准和方法、最终报价，对其服务部分和商务部分作进一步的比较和评价。</w:t>
      </w:r>
    </w:p>
    <w:p w14:paraId="221F2AAE">
      <w:pPr>
        <w:spacing w:line="360" w:lineRule="auto"/>
        <w:rPr>
          <w:rFonts w:ascii="宋体" w:cs="宋体"/>
          <w:szCs w:val="21"/>
        </w:rPr>
      </w:pPr>
      <w:r>
        <w:rPr>
          <w:rFonts w:ascii="宋体" w:hAnsi="宋体" w:cs="宋体"/>
          <w:szCs w:val="21"/>
        </w:rPr>
        <w:t>4.2</w:t>
      </w:r>
      <w:r>
        <w:rPr>
          <w:rFonts w:hint="eastAsia" w:ascii="宋体" w:hAnsi="宋体" w:cs="宋体"/>
          <w:szCs w:val="21"/>
        </w:rPr>
        <w:t>评审严格按照磋商文件的要求和条件进行。评审时将考虑以下因素：</w:t>
      </w:r>
    </w:p>
    <w:p w14:paraId="2BBAECDC">
      <w:pPr>
        <w:numPr>
          <w:ilvl w:val="0"/>
          <w:numId w:val="11"/>
        </w:numPr>
        <w:spacing w:line="360" w:lineRule="auto"/>
        <w:rPr>
          <w:rFonts w:ascii="宋体" w:cs="宋体"/>
          <w:szCs w:val="21"/>
        </w:rPr>
      </w:pPr>
      <w:r>
        <w:rPr>
          <w:rFonts w:hint="eastAsia" w:ascii="宋体" w:hAnsi="宋体" w:cs="宋体"/>
          <w:szCs w:val="21"/>
          <w:lang w:eastAsia="zh-CN"/>
        </w:rPr>
        <w:t>响应单位</w:t>
      </w:r>
      <w:r>
        <w:rPr>
          <w:rFonts w:hint="eastAsia" w:ascii="宋体" w:hAnsi="宋体" w:cs="宋体"/>
          <w:szCs w:val="21"/>
        </w:rPr>
        <w:t>资信实力；</w:t>
      </w:r>
    </w:p>
    <w:p w14:paraId="68280D05">
      <w:pPr>
        <w:numPr>
          <w:ilvl w:val="0"/>
          <w:numId w:val="11"/>
        </w:numPr>
        <w:spacing w:line="360" w:lineRule="auto"/>
        <w:rPr>
          <w:rFonts w:ascii="宋体" w:cs="宋体"/>
          <w:szCs w:val="21"/>
        </w:rPr>
      </w:pPr>
      <w:r>
        <w:rPr>
          <w:rFonts w:hint="eastAsia" w:ascii="宋体" w:hAnsi="宋体" w:cs="宋体"/>
          <w:szCs w:val="21"/>
        </w:rPr>
        <w:t>服务总价的合理性；</w:t>
      </w:r>
    </w:p>
    <w:p w14:paraId="29F4E002">
      <w:pPr>
        <w:numPr>
          <w:ilvl w:val="0"/>
          <w:numId w:val="11"/>
        </w:numPr>
        <w:spacing w:line="360" w:lineRule="auto"/>
        <w:rPr>
          <w:rFonts w:ascii="宋体" w:hAnsi="宋体" w:cs="宋体"/>
          <w:szCs w:val="21"/>
        </w:rPr>
      </w:pPr>
      <w:r>
        <w:rPr>
          <w:rFonts w:hint="eastAsia" w:ascii="宋体" w:hAnsi="宋体" w:cs="宋体"/>
          <w:szCs w:val="21"/>
        </w:rPr>
        <w:t>服务措施；</w:t>
      </w:r>
    </w:p>
    <w:p w14:paraId="78EF82D6">
      <w:pPr>
        <w:numPr>
          <w:ilvl w:val="0"/>
          <w:numId w:val="11"/>
        </w:numPr>
        <w:spacing w:line="360" w:lineRule="auto"/>
        <w:rPr>
          <w:rFonts w:ascii="宋体" w:cs="宋体"/>
          <w:szCs w:val="21"/>
        </w:rPr>
      </w:pPr>
      <w:r>
        <w:rPr>
          <w:rFonts w:hint="eastAsia" w:ascii="宋体" w:hAnsi="宋体" w:cs="宋体"/>
          <w:szCs w:val="21"/>
        </w:rPr>
        <w:t>商务响应；</w:t>
      </w:r>
    </w:p>
    <w:p w14:paraId="3E890C8E">
      <w:pPr>
        <w:spacing w:line="360" w:lineRule="auto"/>
        <w:rPr>
          <w:rFonts w:ascii="宋体" w:cs="宋体"/>
          <w:szCs w:val="21"/>
        </w:rPr>
      </w:pPr>
      <w:r>
        <w:rPr>
          <w:rFonts w:ascii="宋体" w:hAnsi="宋体" w:cs="宋体"/>
          <w:szCs w:val="21"/>
        </w:rPr>
        <w:t>4.3</w:t>
      </w:r>
      <w:r>
        <w:rPr>
          <w:rFonts w:hint="eastAsia" w:ascii="宋体" w:hAnsi="宋体" w:cs="宋体"/>
          <w:szCs w:val="21"/>
        </w:rPr>
        <w:t>本次评审将采用下列方法：</w:t>
      </w:r>
    </w:p>
    <w:p w14:paraId="76A33817">
      <w:pPr>
        <w:numPr>
          <w:ilvl w:val="0"/>
          <w:numId w:val="12"/>
        </w:numPr>
        <w:spacing w:line="360" w:lineRule="auto"/>
        <w:rPr>
          <w:rFonts w:ascii="宋体" w:cs="宋体"/>
          <w:szCs w:val="21"/>
        </w:rPr>
      </w:pPr>
      <w:r>
        <w:rPr>
          <w:rFonts w:hint="eastAsia" w:ascii="宋体" w:hAnsi="宋体" w:cs="宋体"/>
          <w:szCs w:val="21"/>
        </w:rPr>
        <w:t>综合评分法：</w:t>
      </w:r>
      <w:bookmarkStart w:id="9" w:name="_Toc420323052"/>
      <w:r>
        <w:rPr>
          <w:rFonts w:hint="eastAsia" w:ascii="宋体" w:hAnsi="宋体" w:cs="宋体"/>
          <w:szCs w:val="21"/>
        </w:rPr>
        <w:t>以百分制计算，设总分为100分(其中技术标满分为70分，商务标30分)。综合得分=技术标得分+商务标得分，最高者为第一名，依此类推确定得分排名顺序。</w:t>
      </w:r>
      <w:bookmarkEnd w:id="9"/>
    </w:p>
    <w:p w14:paraId="12154AEE">
      <w:pPr>
        <w:numPr>
          <w:ilvl w:val="0"/>
          <w:numId w:val="12"/>
        </w:numPr>
        <w:spacing w:line="360" w:lineRule="auto"/>
        <w:rPr>
          <w:rFonts w:ascii="宋体" w:cs="宋体"/>
          <w:szCs w:val="21"/>
        </w:rPr>
      </w:pPr>
      <w:r>
        <w:rPr>
          <w:rFonts w:hint="eastAsia" w:ascii="宋体" w:hAnsi="宋体" w:cs="宋体"/>
          <w:szCs w:val="21"/>
        </w:rPr>
        <w:t>评审因素：详见评分标准。</w:t>
      </w:r>
    </w:p>
    <w:p w14:paraId="59090D53">
      <w:pPr>
        <w:numPr>
          <w:ilvl w:val="0"/>
          <w:numId w:val="13"/>
        </w:numPr>
        <w:spacing w:line="360" w:lineRule="auto"/>
        <w:rPr>
          <w:rFonts w:ascii="宋体" w:cs="宋体"/>
          <w:szCs w:val="21"/>
        </w:rPr>
      </w:pPr>
      <w:r>
        <w:rPr>
          <w:rFonts w:hint="eastAsia" w:ascii="宋体" w:hAnsi="宋体" w:cs="宋体"/>
          <w:szCs w:val="21"/>
        </w:rPr>
        <w:t>评审过程及保密原则</w:t>
      </w:r>
    </w:p>
    <w:p w14:paraId="25C55F81">
      <w:pPr>
        <w:spacing w:line="360" w:lineRule="auto"/>
        <w:rPr>
          <w:rFonts w:ascii="宋体" w:cs="宋体"/>
          <w:szCs w:val="21"/>
        </w:rPr>
      </w:pPr>
      <w:r>
        <w:rPr>
          <w:rFonts w:ascii="宋体" w:hAnsi="宋体" w:cs="宋体"/>
          <w:szCs w:val="21"/>
        </w:rPr>
        <w:t>5.1</w:t>
      </w:r>
      <w:r>
        <w:rPr>
          <w:rFonts w:hint="eastAsia" w:ascii="宋体" w:hAnsi="宋体" w:cs="宋体"/>
          <w:szCs w:val="21"/>
        </w:rPr>
        <w:t>磋商响应文件递交后，直接授予成交</w:t>
      </w:r>
      <w:r>
        <w:rPr>
          <w:rFonts w:hint="eastAsia" w:ascii="宋体" w:hAnsi="宋体" w:cs="宋体"/>
          <w:szCs w:val="21"/>
          <w:lang w:eastAsia="zh-CN"/>
        </w:rPr>
        <w:t>响应单位</w:t>
      </w:r>
      <w:r>
        <w:rPr>
          <w:rFonts w:hint="eastAsia" w:ascii="宋体" w:hAnsi="宋体" w:cs="宋体"/>
          <w:szCs w:val="21"/>
        </w:rPr>
        <w:t>合同止，凡与本次采购有关人员对属于审查、澄清、评价和比较报价的有关资料以及授标意向等，均不得向</w:t>
      </w:r>
      <w:r>
        <w:rPr>
          <w:rFonts w:hint="eastAsia" w:ascii="宋体" w:hAnsi="宋体" w:cs="宋体"/>
          <w:szCs w:val="21"/>
          <w:lang w:eastAsia="zh-CN"/>
        </w:rPr>
        <w:t>响应单位</w:t>
      </w:r>
      <w:r>
        <w:rPr>
          <w:rFonts w:hint="eastAsia" w:ascii="宋体" w:hAnsi="宋体" w:cs="宋体"/>
          <w:szCs w:val="21"/>
        </w:rPr>
        <w:t>或其他无关的人员透露。</w:t>
      </w:r>
    </w:p>
    <w:p w14:paraId="7C78CA8A">
      <w:pPr>
        <w:spacing w:line="360" w:lineRule="auto"/>
        <w:rPr>
          <w:rFonts w:ascii="宋体" w:cs="宋体"/>
          <w:szCs w:val="21"/>
        </w:rPr>
      </w:pPr>
      <w:r>
        <w:rPr>
          <w:rFonts w:ascii="宋体" w:hAnsi="宋体" w:cs="宋体"/>
          <w:szCs w:val="21"/>
        </w:rPr>
        <w:t>5.2</w:t>
      </w:r>
      <w:r>
        <w:rPr>
          <w:rFonts w:hint="eastAsia" w:ascii="宋体" w:hAnsi="宋体" w:cs="宋体"/>
          <w:szCs w:val="21"/>
        </w:rPr>
        <w:t>在磋商评审期间，</w:t>
      </w:r>
      <w:r>
        <w:rPr>
          <w:rFonts w:hint="eastAsia" w:ascii="宋体" w:hAnsi="宋体" w:cs="宋体"/>
          <w:szCs w:val="21"/>
          <w:lang w:eastAsia="zh-CN"/>
        </w:rPr>
        <w:t>响应单位</w:t>
      </w:r>
      <w:r>
        <w:rPr>
          <w:rFonts w:hint="eastAsia" w:ascii="宋体" w:hAnsi="宋体" w:cs="宋体"/>
          <w:szCs w:val="21"/>
        </w:rPr>
        <w:t>试图影响采购单位和磋商小组的任何活动，将导致其报价被拒绝，并承担相应的法律责任。</w:t>
      </w:r>
    </w:p>
    <w:p w14:paraId="4CC25D2E">
      <w:pPr>
        <w:numPr>
          <w:ilvl w:val="0"/>
          <w:numId w:val="13"/>
        </w:numPr>
        <w:spacing w:line="360" w:lineRule="auto"/>
        <w:rPr>
          <w:rFonts w:ascii="宋体" w:hAnsi="宋体" w:cs="宋体"/>
          <w:szCs w:val="21"/>
        </w:rPr>
      </w:pPr>
      <w:r>
        <w:rPr>
          <w:rFonts w:hint="eastAsia" w:ascii="宋体" w:hAnsi="宋体" w:cs="宋体"/>
          <w:szCs w:val="21"/>
        </w:rPr>
        <w:t>磋商标准详见附表《磋商评审细则》。</w:t>
      </w:r>
    </w:p>
    <w:p w14:paraId="320C7063">
      <w:pPr>
        <w:pStyle w:val="2"/>
        <w:spacing w:line="360" w:lineRule="auto"/>
        <w:jc w:val="center"/>
        <w:rPr>
          <w:rFonts w:ascii="宋体"/>
          <w:sz w:val="32"/>
          <w:szCs w:val="32"/>
        </w:rPr>
      </w:pPr>
      <w:bookmarkStart w:id="10" w:name="_Toc20218"/>
      <w:r>
        <w:rPr>
          <w:rFonts w:hint="eastAsia" w:ascii="宋体" w:hAnsi="宋体"/>
          <w:sz w:val="32"/>
          <w:szCs w:val="32"/>
        </w:rPr>
        <w:t>第四章竞争性磋商评审细则</w:t>
      </w:r>
      <w:bookmarkEnd w:id="10"/>
    </w:p>
    <w:p w14:paraId="6EA1EA68">
      <w:pPr>
        <w:spacing w:line="360" w:lineRule="auto"/>
        <w:ind w:right="-261" w:firstLine="482" w:firstLineChars="200"/>
        <w:rPr>
          <w:rFonts w:hAnsi="宋体"/>
          <w:b/>
          <w:bCs/>
          <w:sz w:val="24"/>
          <w:szCs w:val="24"/>
        </w:rPr>
      </w:pPr>
      <w:r>
        <w:rPr>
          <w:rFonts w:hint="eastAsia" w:hAnsi="宋体"/>
          <w:b/>
          <w:bCs/>
          <w:sz w:val="24"/>
          <w:szCs w:val="24"/>
        </w:rPr>
        <w:t>评审小组</w:t>
      </w:r>
    </w:p>
    <w:p w14:paraId="689E77D3">
      <w:pPr>
        <w:spacing w:line="360" w:lineRule="auto"/>
        <w:ind w:firstLine="420" w:firstLineChars="200"/>
        <w:rPr>
          <w:rFonts w:ascii="宋体" w:cs="宋体"/>
          <w:color w:val="auto"/>
          <w:szCs w:val="21"/>
        </w:rPr>
      </w:pPr>
      <w:r>
        <w:rPr>
          <w:rFonts w:hint="eastAsia" w:ascii="宋体" w:hAnsi="宋体" w:cs="宋体"/>
          <w:szCs w:val="21"/>
        </w:rPr>
        <w:t>磋商评审小组由三人组成，其中</w:t>
      </w:r>
      <w:r>
        <w:rPr>
          <w:rFonts w:ascii="宋体" w:hAnsi="宋体" w:cs="宋体"/>
          <w:szCs w:val="21"/>
        </w:rPr>
        <w:t>1</w:t>
      </w:r>
      <w:r>
        <w:rPr>
          <w:rFonts w:hint="eastAsia" w:ascii="宋体" w:hAnsi="宋体" w:cs="宋体"/>
          <w:szCs w:val="21"/>
        </w:rPr>
        <w:t>名采购单位代表（如有），</w:t>
      </w:r>
      <w:r>
        <w:rPr>
          <w:rFonts w:ascii="宋体" w:hAnsi="宋体" w:cs="宋体"/>
          <w:color w:val="auto"/>
          <w:szCs w:val="21"/>
        </w:rPr>
        <w:t>2</w:t>
      </w:r>
      <w:r>
        <w:rPr>
          <w:rFonts w:hint="eastAsia" w:ascii="宋体" w:hAnsi="宋体" w:cs="宋体"/>
          <w:color w:val="auto"/>
          <w:szCs w:val="21"/>
        </w:rPr>
        <w:t>名由</w:t>
      </w:r>
      <w:r>
        <w:rPr>
          <w:rFonts w:hint="eastAsia" w:ascii="宋体" w:hAnsi="宋体" w:cs="宋体"/>
          <w:color w:val="auto"/>
          <w:szCs w:val="21"/>
          <w:lang w:eastAsia="zh-CN"/>
        </w:rPr>
        <w:t>上海</w:t>
      </w:r>
      <w:r>
        <w:rPr>
          <w:rFonts w:hint="eastAsia" w:ascii="宋体" w:hAnsi="宋体" w:cs="宋体"/>
          <w:color w:val="auto"/>
          <w:szCs w:val="21"/>
        </w:rPr>
        <w:t>市政府采购专家库中随机抽取产生（评审前抽取）。</w:t>
      </w:r>
    </w:p>
    <w:p w14:paraId="10493574">
      <w:pPr>
        <w:spacing w:line="360" w:lineRule="auto"/>
        <w:ind w:right="-261" w:firstLine="482" w:firstLineChars="200"/>
        <w:rPr>
          <w:rFonts w:hAnsi="宋体"/>
          <w:b/>
          <w:bCs/>
          <w:sz w:val="24"/>
          <w:szCs w:val="24"/>
        </w:rPr>
      </w:pPr>
      <w:r>
        <w:rPr>
          <w:rFonts w:hint="eastAsia" w:hAnsi="宋体"/>
          <w:b/>
          <w:bCs/>
          <w:sz w:val="24"/>
          <w:szCs w:val="24"/>
        </w:rPr>
        <w:t>评审步骤</w:t>
      </w:r>
    </w:p>
    <w:p w14:paraId="17DFFDDE">
      <w:pPr>
        <w:spacing w:line="360" w:lineRule="auto"/>
        <w:ind w:right="-261" w:firstLine="482" w:firstLineChars="200"/>
        <w:rPr>
          <w:rFonts w:hAnsi="宋体"/>
          <w:sz w:val="24"/>
          <w:szCs w:val="24"/>
        </w:rPr>
      </w:pPr>
      <w:r>
        <w:rPr>
          <w:rFonts w:hint="eastAsia" w:hAnsi="宋体"/>
          <w:b/>
          <w:sz w:val="24"/>
          <w:szCs w:val="24"/>
        </w:rPr>
        <w:t>（一）资格及符合性检查</w:t>
      </w:r>
    </w:p>
    <w:p w14:paraId="3715A904">
      <w:pPr>
        <w:spacing w:line="360" w:lineRule="auto"/>
        <w:ind w:firstLine="420" w:firstLineChars="200"/>
        <w:rPr>
          <w:rFonts w:ascii="宋体" w:hAnsi="宋体" w:cs="宋体"/>
          <w:szCs w:val="21"/>
        </w:rPr>
      </w:pPr>
      <w:r>
        <w:rPr>
          <w:rFonts w:hint="eastAsia" w:ascii="宋体" w:hAnsi="宋体" w:cs="宋体"/>
          <w:szCs w:val="21"/>
        </w:rPr>
        <w:t>根据“资格及符合性检查”条款，对所有</w:t>
      </w:r>
      <w:r>
        <w:rPr>
          <w:rFonts w:hint="eastAsia" w:ascii="宋体" w:hAnsi="宋体" w:cs="宋体"/>
          <w:szCs w:val="21"/>
          <w:lang w:eastAsia="zh-CN"/>
        </w:rPr>
        <w:t>响应单位</w:t>
      </w:r>
      <w:r>
        <w:rPr>
          <w:rFonts w:hint="eastAsia" w:ascii="宋体" w:hAnsi="宋体" w:cs="宋体"/>
          <w:szCs w:val="21"/>
        </w:rPr>
        <w:t>进行资格及符合性检查，通过检查的报价单位进入下一步磋商程序。</w:t>
      </w:r>
    </w:p>
    <w:p w14:paraId="6493153C">
      <w:pPr>
        <w:spacing w:line="360" w:lineRule="auto"/>
        <w:ind w:right="-261" w:firstLine="482" w:firstLineChars="200"/>
        <w:rPr>
          <w:rFonts w:hAnsi="宋体"/>
          <w:sz w:val="24"/>
          <w:szCs w:val="24"/>
        </w:rPr>
      </w:pPr>
      <w:r>
        <w:rPr>
          <w:rFonts w:hint="eastAsia" w:hAnsi="宋体"/>
          <w:b/>
          <w:sz w:val="24"/>
          <w:szCs w:val="24"/>
        </w:rPr>
        <w:t>（二）磋商</w:t>
      </w:r>
    </w:p>
    <w:p w14:paraId="0390A61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、磋商先后顺序由政府采购平台系统（以下简称“系统”）随机产生。</w:t>
      </w:r>
    </w:p>
    <w:p w14:paraId="3BDB1DF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、磋商小组与进入磋商程序的</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队伍）进行磋商。包括</w:t>
      </w:r>
      <w:r>
        <w:rPr>
          <w:rFonts w:hint="eastAsia" w:ascii="宋体" w:hAnsi="宋体" w:cs="宋体"/>
          <w:szCs w:val="21"/>
          <w:lang w:eastAsia="zh-CN"/>
        </w:rPr>
        <w:t>响应单位</w:t>
      </w:r>
      <w:r>
        <w:rPr>
          <w:rFonts w:hint="eastAsia" w:ascii="宋体" w:hAnsi="宋体" w:cs="宋体"/>
          <w:szCs w:val="21"/>
        </w:rPr>
        <w:t>代表</w:t>
      </w:r>
      <w:r>
        <w:rPr>
          <w:rFonts w:hint="eastAsia" w:ascii="宋体" w:hAnsi="宋体" w:cs="宋体"/>
          <w:szCs w:val="21"/>
          <w:lang w:eastAsia="zh-CN"/>
        </w:rPr>
        <w:t>，</w:t>
      </w:r>
      <w:r>
        <w:rPr>
          <w:rFonts w:hint="eastAsia" w:ascii="宋体" w:hAnsi="宋体" w:cs="宋体"/>
          <w:szCs w:val="21"/>
        </w:rPr>
        <w:t>对项目进行陈述。</w:t>
      </w:r>
    </w:p>
    <w:p w14:paraId="1465D88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、磋商结束后，</w:t>
      </w:r>
      <w:r>
        <w:rPr>
          <w:rFonts w:hint="eastAsia" w:ascii="宋体" w:hAnsi="宋体" w:cs="宋体"/>
          <w:szCs w:val="21"/>
          <w:lang w:eastAsia="zh-CN"/>
        </w:rPr>
        <w:t>响应单位</w:t>
      </w:r>
      <w:r>
        <w:rPr>
          <w:rFonts w:hint="eastAsia" w:ascii="宋体" w:hAnsi="宋体" w:cs="宋体"/>
          <w:szCs w:val="21"/>
        </w:rPr>
        <w:t>将作最终报价。</w:t>
      </w:r>
    </w:p>
    <w:p w14:paraId="2C98EDE0">
      <w:pPr>
        <w:spacing w:line="360" w:lineRule="auto"/>
        <w:ind w:right="-261" w:firstLine="482" w:firstLineChars="200"/>
        <w:rPr>
          <w:rFonts w:hAnsi="宋体"/>
          <w:b/>
          <w:sz w:val="24"/>
          <w:szCs w:val="24"/>
        </w:rPr>
      </w:pPr>
      <w:r>
        <w:rPr>
          <w:rFonts w:hint="eastAsia" w:hAnsi="宋体"/>
          <w:b/>
          <w:sz w:val="24"/>
          <w:szCs w:val="24"/>
        </w:rPr>
        <w:t>（三）评分</w:t>
      </w:r>
    </w:p>
    <w:p w14:paraId="36F404CB">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、商务标评分，由“系统”进行打分。</w:t>
      </w:r>
    </w:p>
    <w:p w14:paraId="28256327">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、技术标详细评审，由评审专家各自在“系统”上进行打分。</w:t>
      </w:r>
    </w:p>
    <w:p w14:paraId="47A58511">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、“系统”自动汇总，产生各家单位的总得分。</w:t>
      </w:r>
    </w:p>
    <w:p w14:paraId="42C07E2A">
      <w:pPr>
        <w:spacing w:line="360" w:lineRule="auto"/>
        <w:ind w:right="-261" w:firstLine="482" w:firstLineChars="200"/>
        <w:rPr>
          <w:rFonts w:hAnsi="宋体"/>
          <w:b/>
          <w:sz w:val="24"/>
          <w:szCs w:val="24"/>
        </w:rPr>
      </w:pPr>
      <w:r>
        <w:rPr>
          <w:rFonts w:hint="eastAsia" w:hAnsi="宋体"/>
          <w:b/>
          <w:sz w:val="24"/>
          <w:szCs w:val="24"/>
        </w:rPr>
        <w:t>（四）确定中标单位</w:t>
      </w:r>
    </w:p>
    <w:p w14:paraId="7068AA8F">
      <w:pPr>
        <w:spacing w:line="360" w:lineRule="auto"/>
        <w:ind w:firstLine="420" w:firstLineChars="200"/>
        <w:rPr>
          <w:rFonts w:ascii="宋体" w:cs="宋体"/>
          <w:sz w:val="24"/>
          <w:szCs w:val="24"/>
        </w:rPr>
      </w:pPr>
      <w:r>
        <w:rPr>
          <w:rFonts w:hint="eastAsia" w:ascii="宋体" w:hAnsi="宋体" w:cs="宋体"/>
          <w:szCs w:val="21"/>
        </w:rPr>
        <w:t>按总得分从高到低排序，推荐前三名作为中标候选人，确定排名第一的为中标单位。</w:t>
      </w:r>
    </w:p>
    <w:p w14:paraId="375102B2">
      <w:pPr>
        <w:spacing w:line="360" w:lineRule="auto"/>
        <w:ind w:right="-261" w:firstLine="482" w:firstLineChars="200"/>
        <w:rPr>
          <w:rFonts w:hAnsi="宋体"/>
          <w:b/>
          <w:bCs/>
          <w:sz w:val="24"/>
          <w:szCs w:val="24"/>
        </w:rPr>
      </w:pPr>
    </w:p>
    <w:p w14:paraId="04B0021C">
      <w:pPr>
        <w:spacing w:line="360" w:lineRule="auto"/>
        <w:ind w:right="-261"/>
        <w:jc w:val="center"/>
        <w:rPr>
          <w:rFonts w:hAnsi="宋体"/>
          <w:b/>
          <w:bCs/>
          <w:sz w:val="24"/>
          <w:szCs w:val="24"/>
        </w:rPr>
      </w:pPr>
      <w:r>
        <w:rPr>
          <w:rFonts w:hAnsi="宋体"/>
          <w:b/>
          <w:bCs/>
          <w:sz w:val="24"/>
          <w:szCs w:val="24"/>
        </w:rPr>
        <w:br w:type="page"/>
      </w:r>
    </w:p>
    <w:p w14:paraId="768FDDF5">
      <w:pPr>
        <w:spacing w:line="360" w:lineRule="auto"/>
        <w:ind w:right="-261"/>
        <w:jc w:val="center"/>
        <w:rPr>
          <w:rFonts w:hAnsi="宋体"/>
          <w:b/>
          <w:bCs/>
          <w:sz w:val="32"/>
          <w:szCs w:val="32"/>
        </w:rPr>
      </w:pPr>
      <w:r>
        <w:rPr>
          <w:rFonts w:hint="eastAsia" w:hAnsi="宋体"/>
          <w:b/>
          <w:bCs/>
          <w:sz w:val="32"/>
          <w:szCs w:val="32"/>
        </w:rPr>
        <w:t>评审细则</w:t>
      </w:r>
    </w:p>
    <w:p w14:paraId="3BE99F57">
      <w:pPr>
        <w:spacing w:line="360" w:lineRule="auto"/>
        <w:ind w:right="-261" w:firstLine="482" w:firstLineChars="200"/>
        <w:rPr>
          <w:rFonts w:hAnsi="宋体"/>
          <w:b/>
          <w:sz w:val="24"/>
          <w:szCs w:val="24"/>
        </w:rPr>
      </w:pPr>
      <w:r>
        <w:rPr>
          <w:rFonts w:hint="eastAsia" w:ascii="宋体" w:hAnsi="宋体"/>
          <w:b/>
          <w:sz w:val="24"/>
          <w:szCs w:val="24"/>
        </w:rPr>
        <w:t>（一）</w:t>
      </w:r>
      <w:r>
        <w:rPr>
          <w:rFonts w:hint="eastAsia" w:hAnsi="宋体"/>
          <w:b/>
          <w:sz w:val="24"/>
          <w:szCs w:val="24"/>
        </w:rPr>
        <w:t>资格及符合性检查</w:t>
      </w:r>
    </w:p>
    <w:p w14:paraId="368FC3C2">
      <w:pPr>
        <w:spacing w:line="360" w:lineRule="auto"/>
        <w:ind w:right="-261" w:firstLine="482" w:firstLineChars="200"/>
        <w:rPr>
          <w:rFonts w:ascii="宋体"/>
          <w:b/>
          <w:sz w:val="24"/>
          <w:szCs w:val="24"/>
        </w:rPr>
      </w:pPr>
      <w:r>
        <w:rPr>
          <w:rFonts w:hint="eastAsia" w:ascii="宋体" w:hAnsi="宋体"/>
          <w:b/>
          <w:sz w:val="24"/>
          <w:szCs w:val="24"/>
          <w:lang w:eastAsia="zh-CN"/>
        </w:rPr>
        <w:t>响应单位</w:t>
      </w:r>
      <w:r>
        <w:rPr>
          <w:rFonts w:hint="eastAsia" w:ascii="宋体" w:hAnsi="宋体"/>
          <w:b/>
          <w:sz w:val="24"/>
          <w:szCs w:val="24"/>
        </w:rPr>
        <w:t>（</w:t>
      </w:r>
      <w:r>
        <w:rPr>
          <w:rFonts w:hint="eastAsia" w:ascii="宋体" w:hAnsi="宋体"/>
          <w:b/>
          <w:sz w:val="24"/>
          <w:szCs w:val="24"/>
          <w:lang w:eastAsia="zh-CN"/>
        </w:rPr>
        <w:t>响应单位</w:t>
      </w:r>
      <w:r>
        <w:rPr>
          <w:rFonts w:hint="eastAsia" w:ascii="宋体" w:hAnsi="宋体"/>
          <w:b/>
          <w:sz w:val="24"/>
          <w:szCs w:val="24"/>
        </w:rPr>
        <w:t>）有以下情况之一的，将作无效响应处理：</w:t>
      </w:r>
    </w:p>
    <w:p w14:paraId="4524F40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、未按照《上海市政府采购</w:t>
      </w:r>
      <w:r>
        <w:rPr>
          <w:rFonts w:hint="eastAsia" w:ascii="宋体" w:hAnsi="宋体" w:cs="宋体"/>
          <w:szCs w:val="21"/>
          <w:lang w:eastAsia="zh-CN"/>
        </w:rPr>
        <w:t>响应单位</w:t>
      </w:r>
      <w:r>
        <w:rPr>
          <w:rFonts w:hint="eastAsia" w:ascii="宋体" w:hAnsi="宋体" w:cs="宋体"/>
          <w:szCs w:val="21"/>
        </w:rPr>
        <w:t>登记及诚信管理（暂行）办法》规定在上海政府采购云平台完成</w:t>
      </w:r>
      <w:r>
        <w:rPr>
          <w:rFonts w:hint="eastAsia" w:ascii="宋体" w:hAnsi="宋体" w:cs="宋体"/>
          <w:szCs w:val="21"/>
          <w:lang w:eastAsia="zh-CN"/>
        </w:rPr>
        <w:t>响应单位</w:t>
      </w:r>
      <w:r>
        <w:rPr>
          <w:rFonts w:hint="eastAsia" w:ascii="宋体" w:hAnsi="宋体" w:cs="宋体"/>
          <w:szCs w:val="21"/>
        </w:rPr>
        <w:t>登记的；</w:t>
      </w:r>
    </w:p>
    <w:p w14:paraId="3C347F5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、不具备竞争性磋商文件中规定的</w:t>
      </w:r>
      <w:r>
        <w:rPr>
          <w:rFonts w:hint="eastAsia" w:ascii="宋体" w:hAnsi="宋体" w:cs="宋体"/>
          <w:szCs w:val="21"/>
          <w:lang w:eastAsia="zh-CN"/>
        </w:rPr>
        <w:t>响应单位</w:t>
      </w:r>
      <w:r>
        <w:rPr>
          <w:rFonts w:hint="eastAsia" w:ascii="宋体" w:hAnsi="宋体" w:cs="宋体"/>
          <w:szCs w:val="21"/>
        </w:rPr>
        <w:t>资格要求的，或未提供下列资格证明文件的，或虽提供了下列资格证明文件但系伪造的或不符合要求的；</w:t>
      </w:r>
    </w:p>
    <w:p w14:paraId="087C35D2">
      <w:pPr>
        <w:spacing w:line="360" w:lineRule="auto"/>
        <w:ind w:firstLine="420" w:firstLineChars="200"/>
        <w:rPr>
          <w:rFonts w:ascii="宋体" w:cs="宋体"/>
          <w:szCs w:val="21"/>
        </w:rPr>
      </w:pPr>
      <w:r>
        <w:rPr>
          <w:rFonts w:hint="eastAsia" w:ascii="宋体" w:hAnsi="宋体" w:cs="宋体"/>
          <w:szCs w:val="21"/>
        </w:rPr>
        <w:t>组织机构代码证书、营业执照、税务登记证、法人代表委托书、</w:t>
      </w:r>
      <w:r>
        <w:rPr>
          <w:rFonts w:hint="eastAsia" w:ascii="宋体" w:hAnsi="宋体" w:cs="宋体"/>
          <w:szCs w:val="21"/>
          <w:lang w:eastAsia="zh-CN"/>
        </w:rPr>
        <w:t>响应单位</w:t>
      </w:r>
      <w:r>
        <w:rPr>
          <w:rFonts w:hint="eastAsia" w:ascii="宋体" w:hAnsi="宋体" w:cs="宋体"/>
          <w:szCs w:val="21"/>
        </w:rPr>
        <w:t>资质资格证明等；</w:t>
      </w:r>
    </w:p>
    <w:p w14:paraId="41CA655B">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递交两份或多份内容不同的</w:t>
      </w:r>
      <w:r>
        <w:rPr>
          <w:rFonts w:hint="eastAsia" w:ascii="宋体" w:hAnsi="宋体" w:cs="宋体"/>
          <w:szCs w:val="21"/>
          <w:lang w:eastAsia="zh-CN"/>
        </w:rPr>
        <w:t>响应</w:t>
      </w:r>
      <w:r>
        <w:rPr>
          <w:rFonts w:hint="eastAsia" w:ascii="宋体" w:hAnsi="宋体" w:cs="宋体"/>
          <w:szCs w:val="21"/>
        </w:rPr>
        <w:t>文件，或在一份</w:t>
      </w:r>
      <w:r>
        <w:rPr>
          <w:rFonts w:hint="eastAsia" w:ascii="宋体" w:hAnsi="宋体" w:cs="宋体"/>
          <w:szCs w:val="21"/>
          <w:lang w:eastAsia="zh-CN"/>
        </w:rPr>
        <w:t>响应</w:t>
      </w:r>
      <w:r>
        <w:rPr>
          <w:rFonts w:hint="eastAsia" w:ascii="宋体" w:hAnsi="宋体" w:cs="宋体"/>
          <w:szCs w:val="21"/>
        </w:rPr>
        <w:t>文件中对同一</w:t>
      </w:r>
      <w:r>
        <w:rPr>
          <w:rFonts w:hint="eastAsia" w:ascii="宋体" w:hAnsi="宋体" w:cs="宋体"/>
          <w:szCs w:val="21"/>
          <w:lang w:eastAsia="zh-CN"/>
        </w:rPr>
        <w:t>响应</w:t>
      </w:r>
      <w:r>
        <w:rPr>
          <w:rFonts w:hint="eastAsia" w:ascii="宋体" w:hAnsi="宋体" w:cs="宋体"/>
          <w:szCs w:val="21"/>
        </w:rPr>
        <w:t>项目报有两个或多个报价，且未声明哪一个有效，按竞争性磋商文件规定提交备选</w:t>
      </w:r>
      <w:r>
        <w:rPr>
          <w:rFonts w:hint="eastAsia" w:ascii="宋体" w:hAnsi="宋体" w:cs="宋体"/>
          <w:szCs w:val="21"/>
          <w:lang w:eastAsia="zh-CN"/>
        </w:rPr>
        <w:t>磋商</w:t>
      </w:r>
      <w:r>
        <w:rPr>
          <w:rFonts w:hint="eastAsia" w:ascii="宋体" w:hAnsi="宋体" w:cs="宋体"/>
          <w:szCs w:val="21"/>
        </w:rPr>
        <w:t>方案的除外；</w:t>
      </w:r>
    </w:p>
    <w:p w14:paraId="1DDD858F">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w:t>
      </w:r>
      <w:r>
        <w:rPr>
          <w:rFonts w:hint="eastAsia" w:ascii="宋体" w:hAnsi="宋体" w:cs="宋体"/>
          <w:szCs w:val="21"/>
        </w:rPr>
        <w:t>文件未按以下要求签署的：必须签署的张页必须按竞争性磋商文件附件格式要求签署（含</w:t>
      </w:r>
      <w:r>
        <w:rPr>
          <w:rFonts w:hint="eastAsia" w:ascii="宋体" w:hAnsi="宋体" w:cs="宋体"/>
          <w:szCs w:val="21"/>
          <w:lang w:eastAsia="zh-CN"/>
        </w:rPr>
        <w:t>报价</w:t>
      </w:r>
      <w:r>
        <w:rPr>
          <w:rFonts w:hint="eastAsia" w:ascii="宋体" w:hAnsi="宋体" w:cs="宋体"/>
          <w:szCs w:val="21"/>
        </w:rPr>
        <w:t>函、磋商报价表、法定代表人身份证明、法定代表授权委托书、</w:t>
      </w:r>
      <w:r>
        <w:rPr>
          <w:rFonts w:hint="eastAsia" w:ascii="宋体" w:hAnsi="宋体" w:cs="宋体"/>
          <w:szCs w:val="21"/>
          <w:lang w:eastAsia="zh-CN"/>
        </w:rPr>
        <w:t>磋商</w:t>
      </w:r>
      <w:r>
        <w:rPr>
          <w:rFonts w:hint="eastAsia" w:ascii="宋体" w:hAnsi="宋体" w:cs="宋体"/>
          <w:szCs w:val="21"/>
        </w:rPr>
        <w:t>承诺书等）；</w:t>
      </w:r>
    </w:p>
    <w:p w14:paraId="05DAD16B">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、未提供参与政府采购活动前三年内在经营活动中没有重大违法记录的书面声明函；</w:t>
      </w:r>
    </w:p>
    <w:p w14:paraId="3EC007E0">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、投标有效期不满足竞争性磋商文件要求的；</w:t>
      </w:r>
    </w:p>
    <w:p w14:paraId="5538224D">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报价超过最高投标限价的；</w:t>
      </w:r>
    </w:p>
    <w:p w14:paraId="395A0CE1">
      <w:pPr>
        <w:spacing w:line="360" w:lineRule="auto"/>
        <w:ind w:firstLine="420" w:firstLineChars="200"/>
        <w:rPr>
          <w:rFonts w:ascii="宋体" w:cs="宋体"/>
          <w:szCs w:val="21"/>
        </w:rPr>
      </w:pPr>
      <w:r>
        <w:rPr>
          <w:rFonts w:hint="eastAsia" w:ascii="宋体" w:hAnsi="宋体" w:cs="宋体"/>
          <w:szCs w:val="21"/>
        </w:rPr>
        <w:t>8、</w:t>
      </w:r>
      <w:r>
        <w:rPr>
          <w:rFonts w:hint="eastAsia" w:ascii="宋体" w:hAnsi="宋体" w:cs="宋体"/>
          <w:szCs w:val="21"/>
          <w:lang w:eastAsia="zh-CN"/>
        </w:rPr>
        <w:t>响应</w:t>
      </w:r>
      <w:r>
        <w:rPr>
          <w:rFonts w:hint="eastAsia" w:ascii="宋体" w:hAnsi="宋体" w:cs="宋体"/>
          <w:szCs w:val="21"/>
        </w:rPr>
        <w:t>文件载明的工期、质量不满足竞争性磋商文件要求的；</w:t>
      </w:r>
    </w:p>
    <w:p w14:paraId="5208AAD8">
      <w:pPr>
        <w:spacing w:line="360" w:lineRule="auto"/>
        <w:ind w:firstLine="420" w:firstLineChars="200"/>
        <w:rPr>
          <w:rFonts w:hint="eastAsia" w:ascii="宋体" w:hAnsi="宋体" w:cs="宋体"/>
          <w:szCs w:val="21"/>
        </w:rPr>
      </w:pPr>
      <w:r>
        <w:rPr>
          <w:rFonts w:hint="eastAsia" w:ascii="宋体" w:hAnsi="宋体" w:cs="宋体"/>
          <w:szCs w:val="21"/>
        </w:rPr>
        <w:t>9、</w:t>
      </w:r>
      <w:r>
        <w:rPr>
          <w:rFonts w:hint="eastAsia" w:ascii="宋体" w:hAnsi="宋体" w:cs="宋体"/>
          <w:szCs w:val="21"/>
          <w:lang w:eastAsia="zh-CN"/>
        </w:rPr>
        <w:t>未</w:t>
      </w:r>
      <w:r>
        <w:rPr>
          <w:rFonts w:hint="eastAsia" w:ascii="宋体" w:hAnsi="宋体" w:cs="宋体"/>
          <w:szCs w:val="21"/>
          <w:lang w:val="en-US" w:eastAsia="zh-CN"/>
        </w:rPr>
        <w:t>提供</w:t>
      </w:r>
      <w:r>
        <w:rPr>
          <w:rFonts w:hint="eastAsia" w:ascii="宋体" w:hAnsi="宋体" w:cs="宋体"/>
          <w:szCs w:val="21"/>
        </w:rPr>
        <w:t>财务状况及税收、社会保障资金缴纳情况声明函；</w:t>
      </w:r>
    </w:p>
    <w:p w14:paraId="5070D727">
      <w:pPr>
        <w:spacing w:line="360" w:lineRule="auto"/>
        <w:ind w:firstLine="420" w:firstLineChars="200"/>
        <w:rPr>
          <w:rFonts w:ascii="宋体" w:hAnsi="宋体" w:cs="宋体"/>
          <w:szCs w:val="21"/>
        </w:rPr>
      </w:pPr>
      <w:r>
        <w:rPr>
          <w:rFonts w:hint="eastAsia" w:ascii="宋体" w:hAnsi="宋体" w:cs="宋体"/>
          <w:szCs w:val="21"/>
          <w:lang w:val="en-US" w:eastAsia="zh-CN"/>
        </w:rPr>
        <w:t>10、未提供</w:t>
      </w:r>
      <w:r>
        <w:rPr>
          <w:rFonts w:hint="eastAsia"/>
          <w:lang w:eastAsia="zh-CN"/>
        </w:rPr>
        <w:t>关于保障农民工工资不拖欠的承诺函；</w:t>
      </w:r>
    </w:p>
    <w:p w14:paraId="118F535F">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）提供的上述资料存在虚假、伪造等情况的；</w:t>
      </w:r>
    </w:p>
    <w:p w14:paraId="6AABCB1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、其他未实质性相应竞争性磋商文件情况的；</w:t>
      </w:r>
    </w:p>
    <w:p w14:paraId="470884DD">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、有违反《中华人民共和国政府采购法》等相关法律、法规及行业有关规定的。</w:t>
      </w:r>
    </w:p>
    <w:p w14:paraId="2F5EFFFA">
      <w:pPr>
        <w:spacing w:line="360" w:lineRule="auto"/>
        <w:ind w:right="-261" w:firstLine="482" w:firstLineChars="200"/>
        <w:rPr>
          <w:rFonts w:ascii="宋体"/>
          <w:b/>
          <w:sz w:val="24"/>
          <w:szCs w:val="24"/>
        </w:rPr>
      </w:pPr>
      <w:r>
        <w:rPr>
          <w:rFonts w:hint="eastAsia" w:ascii="宋体" w:hAnsi="宋体"/>
          <w:b/>
          <w:sz w:val="24"/>
          <w:szCs w:val="24"/>
        </w:rPr>
        <w:t>（二）评分细则</w:t>
      </w:r>
    </w:p>
    <w:p w14:paraId="0FF3BEB7">
      <w:pPr>
        <w:spacing w:line="360" w:lineRule="auto"/>
        <w:ind w:right="-261" w:firstLine="482" w:firstLineChars="200"/>
        <w:rPr>
          <w:rFonts w:ascii="宋体"/>
          <w:b/>
          <w:sz w:val="24"/>
          <w:szCs w:val="24"/>
        </w:rPr>
      </w:pPr>
      <w:r>
        <w:rPr>
          <w:rFonts w:ascii="宋体" w:hAnsi="宋体"/>
          <w:b/>
          <w:sz w:val="24"/>
          <w:szCs w:val="24"/>
        </w:rPr>
        <w:t>1</w:t>
      </w:r>
      <w:r>
        <w:rPr>
          <w:rFonts w:hint="eastAsia" w:ascii="宋体" w:hAnsi="宋体"/>
          <w:b/>
          <w:sz w:val="24"/>
          <w:szCs w:val="24"/>
        </w:rPr>
        <w:t>、商务部分（</w:t>
      </w:r>
      <w:r>
        <w:rPr>
          <w:rFonts w:hint="eastAsia" w:ascii="宋体" w:hAnsi="宋体"/>
          <w:b/>
          <w:sz w:val="24"/>
          <w:szCs w:val="24"/>
          <w:lang w:eastAsia="zh-CN"/>
        </w:rPr>
        <w:t>磋商</w:t>
      </w:r>
      <w:r>
        <w:rPr>
          <w:rFonts w:hint="eastAsia" w:ascii="宋体" w:hAnsi="宋体"/>
          <w:b/>
          <w:sz w:val="24"/>
          <w:szCs w:val="24"/>
        </w:rPr>
        <w:t>报价）总分</w:t>
      </w:r>
      <w:r>
        <w:rPr>
          <w:rFonts w:ascii="宋体" w:hAnsi="宋体"/>
          <w:b/>
          <w:sz w:val="24"/>
          <w:szCs w:val="24"/>
        </w:rPr>
        <w:t>30</w:t>
      </w:r>
      <w:r>
        <w:rPr>
          <w:rFonts w:hint="eastAsia" w:ascii="宋体" w:hAnsi="宋体"/>
          <w:b/>
          <w:sz w:val="24"/>
          <w:szCs w:val="24"/>
        </w:rPr>
        <w:t>分</w:t>
      </w:r>
    </w:p>
    <w:p w14:paraId="2882445D">
      <w:pPr>
        <w:spacing w:line="360" w:lineRule="auto"/>
        <w:ind w:firstLine="420" w:firstLineChars="200"/>
        <w:rPr>
          <w:rFonts w:ascii="宋体" w:cs="宋体"/>
          <w:szCs w:val="21"/>
        </w:rPr>
      </w:pPr>
      <w:r>
        <w:rPr>
          <w:rFonts w:hint="eastAsia" w:ascii="宋体" w:hAnsi="宋体" w:cs="宋体"/>
          <w:szCs w:val="21"/>
        </w:rPr>
        <w:t>依据财库【</w:t>
      </w:r>
      <w:r>
        <w:rPr>
          <w:rFonts w:ascii="宋体" w:hAnsi="宋体" w:cs="宋体"/>
          <w:szCs w:val="21"/>
        </w:rPr>
        <w:t>2014</w:t>
      </w:r>
      <w:r>
        <w:rPr>
          <w:rFonts w:hint="eastAsia" w:ascii="宋体" w:hAnsi="宋体" w:cs="宋体"/>
          <w:szCs w:val="21"/>
        </w:rPr>
        <w:t>】</w:t>
      </w:r>
      <w:r>
        <w:rPr>
          <w:rFonts w:ascii="宋体" w:hAnsi="宋体" w:cs="宋体"/>
          <w:szCs w:val="21"/>
        </w:rPr>
        <w:t>214</w:t>
      </w:r>
      <w:r>
        <w:rPr>
          <w:rFonts w:hint="eastAsia" w:ascii="宋体" w:hAnsi="宋体" w:cs="宋体"/>
          <w:szCs w:val="21"/>
        </w:rPr>
        <w:t>号文，采用低价优先法计算，即满足竞争性磋商文件要求的最低的最终报价为磋商基准价，其价格分为满分。其他</w:t>
      </w:r>
      <w:r>
        <w:rPr>
          <w:rFonts w:hint="eastAsia" w:ascii="宋体" w:hAnsi="宋体" w:cs="宋体"/>
          <w:szCs w:val="21"/>
          <w:lang w:eastAsia="zh-CN"/>
        </w:rPr>
        <w:t>供应</w:t>
      </w:r>
      <w:r>
        <w:rPr>
          <w:rFonts w:hint="eastAsia" w:ascii="宋体" w:hAnsi="宋体" w:cs="宋体"/>
          <w:szCs w:val="21"/>
        </w:rPr>
        <w:t>商的得分统一按照下列公式计算：</w:t>
      </w:r>
    </w:p>
    <w:p w14:paraId="25C1A341">
      <w:pPr>
        <w:spacing w:line="360" w:lineRule="auto"/>
        <w:ind w:firstLine="420" w:firstLineChars="200"/>
        <w:rPr>
          <w:rFonts w:ascii="宋体" w:cs="宋体"/>
          <w:szCs w:val="21"/>
        </w:rPr>
      </w:pPr>
      <w:r>
        <w:rPr>
          <w:rFonts w:hint="eastAsia" w:ascii="宋体" w:hAnsi="宋体" w:cs="宋体"/>
          <w:szCs w:val="21"/>
        </w:rPr>
        <w:t>磋商报价得分</w:t>
      </w:r>
      <w:r>
        <w:rPr>
          <w:rFonts w:ascii="宋体" w:hAnsi="宋体" w:cs="宋体"/>
          <w:szCs w:val="21"/>
        </w:rPr>
        <w:t>=</w:t>
      </w:r>
      <w:r>
        <w:rPr>
          <w:rFonts w:hint="eastAsia" w:ascii="宋体" w:hAnsi="宋体" w:cs="宋体"/>
          <w:szCs w:val="21"/>
        </w:rPr>
        <w:t>（磋商基准价</w:t>
      </w:r>
      <w:r>
        <w:rPr>
          <w:rFonts w:ascii="宋体" w:hAnsi="宋体" w:cs="宋体"/>
          <w:szCs w:val="21"/>
        </w:rPr>
        <w:t>/</w:t>
      </w:r>
      <w:r>
        <w:rPr>
          <w:rFonts w:hint="eastAsia" w:ascii="宋体" w:hAnsi="宋体" w:cs="宋体"/>
          <w:szCs w:val="21"/>
        </w:rPr>
        <w:t>各</w:t>
      </w:r>
      <w:r>
        <w:rPr>
          <w:rFonts w:hint="eastAsia" w:ascii="宋体" w:hAnsi="宋体" w:cs="宋体"/>
          <w:szCs w:val="21"/>
          <w:lang w:eastAsia="zh-CN"/>
        </w:rPr>
        <w:t>响应单位</w:t>
      </w:r>
      <w:r>
        <w:rPr>
          <w:rFonts w:hint="eastAsia" w:ascii="宋体" w:hAnsi="宋体" w:cs="宋体"/>
          <w:szCs w:val="21"/>
        </w:rPr>
        <w:t>最终报价）</w:t>
      </w:r>
      <w:r>
        <w:rPr>
          <w:rFonts w:ascii="宋体" w:hAnsi="宋体" w:cs="宋体"/>
          <w:szCs w:val="21"/>
        </w:rPr>
        <w:t>*30</w:t>
      </w:r>
    </w:p>
    <w:p w14:paraId="6ED2B91B">
      <w:pPr>
        <w:spacing w:line="360" w:lineRule="auto"/>
        <w:ind w:firstLine="420" w:firstLineChars="200"/>
        <w:rPr>
          <w:rFonts w:ascii="宋体" w:cs="宋体"/>
          <w:szCs w:val="21"/>
        </w:rPr>
      </w:pPr>
      <w:r>
        <w:rPr>
          <w:rFonts w:hint="eastAsia" w:ascii="宋体" w:hAnsi="宋体" w:cs="宋体"/>
          <w:szCs w:val="21"/>
        </w:rPr>
        <w:t>计算分数时四舍五入取小数点后两位。</w:t>
      </w:r>
    </w:p>
    <w:p w14:paraId="4F6DF0F5">
      <w:pPr>
        <w:spacing w:line="360" w:lineRule="auto"/>
        <w:ind w:firstLine="420" w:firstLineChars="200"/>
        <w:rPr>
          <w:rFonts w:ascii="宋体" w:hAnsi="宋体" w:cs="宋体"/>
          <w:szCs w:val="21"/>
        </w:rPr>
      </w:pPr>
      <w:r>
        <w:rPr>
          <w:rFonts w:hint="eastAsia" w:ascii="宋体" w:hAnsi="宋体" w:cs="宋体"/>
          <w:szCs w:val="21"/>
        </w:rPr>
        <w:t>根据上海市财政局沪财库﹝2020﹞46号“</w:t>
      </w:r>
      <w:r>
        <w:rPr>
          <w:rFonts w:hint="eastAsia"/>
        </w:rPr>
        <w:t>政府采购促进中小企业发展管理办法</w:t>
      </w:r>
      <w:r>
        <w:rPr>
          <w:rFonts w:hint="eastAsia" w:ascii="宋体" w:hAnsi="宋体" w:cs="宋体"/>
          <w:szCs w:val="21"/>
        </w:rPr>
        <w:t>”要求，本项目在同等条件下优先采购福利企业的产品和服务。同时项目采购应当符合采购价格低于市场平均价格、采购质量优良和服务良好的要求。本项目专门面向中小企业，对小型和微型企业</w:t>
      </w:r>
      <w:r>
        <w:rPr>
          <w:rFonts w:hint="eastAsia" w:ascii="宋体" w:hAnsi="宋体" w:cs="宋体"/>
          <w:szCs w:val="21"/>
          <w:lang w:eastAsia="zh-CN"/>
        </w:rPr>
        <w:t>响应单位</w:t>
      </w:r>
      <w:r>
        <w:rPr>
          <w:rFonts w:hint="eastAsia" w:ascii="宋体" w:hAnsi="宋体" w:cs="宋体"/>
          <w:szCs w:val="21"/>
        </w:rPr>
        <w:t>产品的价格给予</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的扣除，用扣除后的价格参与评审</w:t>
      </w:r>
      <w:r>
        <w:rPr>
          <w:rFonts w:hint="eastAsia" w:ascii="宋体" w:hAnsi="宋体" w:cs="宋体"/>
          <w:szCs w:val="21"/>
          <w:lang w:eastAsia="zh-CN"/>
        </w:rPr>
        <w:t>（本项目不适用）</w:t>
      </w:r>
      <w:r>
        <w:rPr>
          <w:rFonts w:hint="eastAsia" w:ascii="宋体" w:hAnsi="宋体" w:cs="宋体"/>
          <w:szCs w:val="21"/>
        </w:rPr>
        <w:t>。</w:t>
      </w:r>
    </w:p>
    <w:p w14:paraId="1962209E">
      <w:pPr>
        <w:spacing w:line="360" w:lineRule="auto"/>
        <w:ind w:right="-261" w:firstLine="482" w:firstLineChars="200"/>
        <w:rPr>
          <w:rFonts w:ascii="宋体"/>
          <w:b/>
          <w:sz w:val="24"/>
          <w:szCs w:val="24"/>
        </w:rPr>
      </w:pPr>
      <w:r>
        <w:rPr>
          <w:rFonts w:ascii="宋体" w:hAnsi="宋体"/>
          <w:b/>
          <w:sz w:val="24"/>
          <w:szCs w:val="24"/>
        </w:rPr>
        <w:t>2</w:t>
      </w:r>
      <w:r>
        <w:rPr>
          <w:rFonts w:hint="eastAsia" w:ascii="宋体" w:hAnsi="宋体"/>
          <w:b/>
          <w:sz w:val="24"/>
          <w:szCs w:val="24"/>
        </w:rPr>
        <w:t>、技术部分总分</w:t>
      </w:r>
      <w:r>
        <w:rPr>
          <w:rFonts w:ascii="宋体" w:hAnsi="宋体"/>
          <w:b/>
          <w:sz w:val="24"/>
          <w:szCs w:val="24"/>
        </w:rPr>
        <w:t>7</w:t>
      </w:r>
      <w:r>
        <w:rPr>
          <w:rFonts w:ascii="宋体"/>
          <w:b/>
          <w:sz w:val="24"/>
          <w:szCs w:val="24"/>
        </w:rPr>
        <w:t>0</w:t>
      </w:r>
      <w:r>
        <w:rPr>
          <w:rFonts w:hint="eastAsia" w:ascii="宋体" w:hAnsi="宋体"/>
          <w:b/>
          <w:sz w:val="24"/>
          <w:szCs w:val="24"/>
        </w:rPr>
        <w:t>分</w:t>
      </w:r>
    </w:p>
    <w:tbl>
      <w:tblPr>
        <w:tblStyle w:val="4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002"/>
        <w:gridCol w:w="1098"/>
      </w:tblGrid>
      <w:tr w14:paraId="31A0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14:paraId="24E1AB02">
            <w:pPr>
              <w:adjustRightInd w:val="0"/>
              <w:jc w:val="center"/>
              <w:rPr>
                <w:rFonts w:ascii="宋体"/>
                <w:bCs/>
                <w:szCs w:val="21"/>
              </w:rPr>
            </w:pPr>
            <w:r>
              <w:rPr>
                <w:rFonts w:hint="eastAsia" w:ascii="宋体" w:hAnsi="宋体"/>
                <w:bCs/>
                <w:szCs w:val="21"/>
              </w:rPr>
              <w:t>序号</w:t>
            </w:r>
          </w:p>
        </w:tc>
        <w:tc>
          <w:tcPr>
            <w:tcW w:w="7002" w:type="dxa"/>
            <w:vAlign w:val="center"/>
          </w:tcPr>
          <w:p w14:paraId="2F0093B1">
            <w:pPr>
              <w:adjustRightInd w:val="0"/>
              <w:jc w:val="center"/>
              <w:rPr>
                <w:rFonts w:ascii="宋体"/>
                <w:bCs/>
                <w:szCs w:val="21"/>
              </w:rPr>
            </w:pPr>
            <w:r>
              <w:rPr>
                <w:rFonts w:hint="eastAsia" w:ascii="宋体" w:hAnsi="宋体"/>
                <w:bCs/>
                <w:szCs w:val="21"/>
              </w:rPr>
              <w:t>评审内容</w:t>
            </w:r>
          </w:p>
        </w:tc>
        <w:tc>
          <w:tcPr>
            <w:tcW w:w="1098" w:type="dxa"/>
            <w:vAlign w:val="center"/>
          </w:tcPr>
          <w:p w14:paraId="11911728">
            <w:pPr>
              <w:adjustRightInd w:val="0"/>
              <w:jc w:val="center"/>
              <w:rPr>
                <w:rFonts w:ascii="宋体"/>
                <w:bCs/>
                <w:szCs w:val="21"/>
              </w:rPr>
            </w:pPr>
            <w:r>
              <w:rPr>
                <w:rFonts w:hint="eastAsia" w:ascii="宋体" w:hAnsi="宋体"/>
                <w:bCs/>
                <w:szCs w:val="21"/>
              </w:rPr>
              <w:t>分值</w:t>
            </w:r>
          </w:p>
        </w:tc>
      </w:tr>
      <w:tr w14:paraId="6F01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 w:type="dxa"/>
            <w:vAlign w:val="center"/>
          </w:tcPr>
          <w:p w14:paraId="24FA0B5F">
            <w:pPr>
              <w:adjustRightInd w:val="0"/>
              <w:jc w:val="center"/>
              <w:rPr>
                <w:rFonts w:ascii="宋体"/>
                <w:bCs/>
                <w:szCs w:val="21"/>
              </w:rPr>
            </w:pPr>
            <w:r>
              <w:rPr>
                <w:rFonts w:ascii="宋体" w:hAnsi="宋体"/>
                <w:bCs/>
                <w:szCs w:val="21"/>
              </w:rPr>
              <w:t>1</w:t>
            </w:r>
          </w:p>
        </w:tc>
        <w:tc>
          <w:tcPr>
            <w:tcW w:w="7002" w:type="dxa"/>
            <w:vAlign w:val="center"/>
          </w:tcPr>
          <w:p w14:paraId="3456AD73">
            <w:pPr>
              <w:adjustRightInd w:val="0"/>
              <w:rPr>
                <w:rFonts w:ascii="宋体"/>
                <w:bCs/>
                <w:szCs w:val="21"/>
              </w:rPr>
            </w:pPr>
            <w:r>
              <w:rPr>
                <w:rFonts w:hint="eastAsia" w:ascii="宋体" w:hAnsi="宋体"/>
              </w:rPr>
              <w:t>项目重点难点分析是否正确，应对措施是否正确、有效、有针对性</w:t>
            </w:r>
          </w:p>
        </w:tc>
        <w:tc>
          <w:tcPr>
            <w:tcW w:w="1098" w:type="dxa"/>
            <w:vAlign w:val="center"/>
          </w:tcPr>
          <w:p w14:paraId="0910F1D9">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E2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8" w:type="dxa"/>
            <w:vAlign w:val="center"/>
          </w:tcPr>
          <w:p w14:paraId="30BC7B63">
            <w:pPr>
              <w:adjustRightInd w:val="0"/>
              <w:jc w:val="center"/>
              <w:rPr>
                <w:rFonts w:ascii="宋体"/>
                <w:bCs/>
                <w:szCs w:val="21"/>
              </w:rPr>
            </w:pPr>
            <w:r>
              <w:rPr>
                <w:rFonts w:ascii="宋体" w:hAnsi="宋体"/>
                <w:bCs/>
                <w:szCs w:val="21"/>
              </w:rPr>
              <w:t>2</w:t>
            </w:r>
          </w:p>
        </w:tc>
        <w:tc>
          <w:tcPr>
            <w:tcW w:w="7002" w:type="dxa"/>
            <w:vAlign w:val="center"/>
          </w:tcPr>
          <w:p w14:paraId="7436699F">
            <w:pPr>
              <w:adjustRightInd w:val="0"/>
              <w:rPr>
                <w:rFonts w:ascii="宋体"/>
                <w:bCs/>
                <w:szCs w:val="21"/>
              </w:rPr>
            </w:pPr>
            <w:r>
              <w:rPr>
                <w:rFonts w:hint="eastAsia" w:ascii="宋体" w:hAnsi="宋体"/>
              </w:rPr>
              <w:t>工程施工方案及方法的正确性、合理性、先进性</w:t>
            </w:r>
          </w:p>
        </w:tc>
        <w:tc>
          <w:tcPr>
            <w:tcW w:w="1098" w:type="dxa"/>
            <w:vAlign w:val="center"/>
          </w:tcPr>
          <w:p w14:paraId="0874C9AD">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70DA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48" w:type="dxa"/>
            <w:vAlign w:val="center"/>
          </w:tcPr>
          <w:p w14:paraId="283AF8CC">
            <w:pPr>
              <w:adjustRightInd w:val="0"/>
              <w:jc w:val="center"/>
              <w:rPr>
                <w:rFonts w:ascii="宋体"/>
                <w:bCs/>
                <w:szCs w:val="21"/>
              </w:rPr>
            </w:pPr>
            <w:r>
              <w:rPr>
                <w:rFonts w:ascii="宋体" w:hAnsi="宋体"/>
                <w:bCs/>
                <w:szCs w:val="21"/>
              </w:rPr>
              <w:t>3</w:t>
            </w:r>
          </w:p>
        </w:tc>
        <w:tc>
          <w:tcPr>
            <w:tcW w:w="7002" w:type="dxa"/>
            <w:vAlign w:val="center"/>
          </w:tcPr>
          <w:p w14:paraId="1CB1EEF0">
            <w:pPr>
              <w:adjustRightInd w:val="0"/>
              <w:rPr>
                <w:rFonts w:ascii="宋体"/>
                <w:bCs/>
                <w:szCs w:val="21"/>
              </w:rPr>
            </w:pPr>
            <w:r>
              <w:rPr>
                <w:rFonts w:hint="eastAsia" w:ascii="宋体" w:hAnsi="宋体"/>
              </w:rPr>
              <w:t>施工现场平面布置合理性，施工进度计划的可行性、合理性、正确性</w:t>
            </w:r>
          </w:p>
        </w:tc>
        <w:tc>
          <w:tcPr>
            <w:tcW w:w="1098" w:type="dxa"/>
            <w:vAlign w:val="center"/>
          </w:tcPr>
          <w:p w14:paraId="671152BF">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72D8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14245628">
            <w:pPr>
              <w:adjustRightInd w:val="0"/>
              <w:jc w:val="center"/>
              <w:rPr>
                <w:rFonts w:ascii="宋体"/>
                <w:bCs/>
                <w:szCs w:val="21"/>
              </w:rPr>
            </w:pPr>
            <w:r>
              <w:rPr>
                <w:rFonts w:hint="eastAsia" w:ascii="宋体" w:hAnsi="宋体"/>
                <w:bCs/>
                <w:szCs w:val="21"/>
              </w:rPr>
              <w:t>4</w:t>
            </w:r>
          </w:p>
        </w:tc>
        <w:tc>
          <w:tcPr>
            <w:tcW w:w="7002" w:type="dxa"/>
            <w:vAlign w:val="center"/>
          </w:tcPr>
          <w:p w14:paraId="0513B7CD">
            <w:pPr>
              <w:pStyle w:val="41"/>
              <w:rPr>
                <w:kern w:val="2"/>
                <w:sz w:val="21"/>
                <w:szCs w:val="22"/>
              </w:rPr>
            </w:pPr>
            <w:r>
              <w:rPr>
                <w:rFonts w:hint="eastAsia"/>
                <w:kern w:val="2"/>
                <w:sz w:val="21"/>
                <w:szCs w:val="22"/>
              </w:rPr>
              <w:t>为确保实现工期目标、质量目标，做到文明、安全施工所采取的各项保障措施是否完整、正确、有针对性</w:t>
            </w:r>
          </w:p>
        </w:tc>
        <w:tc>
          <w:tcPr>
            <w:tcW w:w="1098" w:type="dxa"/>
            <w:vAlign w:val="center"/>
          </w:tcPr>
          <w:p w14:paraId="3DDCB252">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69D5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8" w:type="dxa"/>
            <w:vAlign w:val="center"/>
          </w:tcPr>
          <w:p w14:paraId="4FFE346C">
            <w:pPr>
              <w:adjustRightInd w:val="0"/>
              <w:jc w:val="center"/>
              <w:rPr>
                <w:rFonts w:ascii="宋体"/>
                <w:bCs/>
                <w:szCs w:val="21"/>
              </w:rPr>
            </w:pPr>
            <w:r>
              <w:rPr>
                <w:rFonts w:hint="eastAsia" w:ascii="宋体" w:hAnsi="宋体"/>
                <w:bCs/>
                <w:szCs w:val="21"/>
              </w:rPr>
              <w:t>5</w:t>
            </w:r>
          </w:p>
        </w:tc>
        <w:tc>
          <w:tcPr>
            <w:tcW w:w="7002" w:type="dxa"/>
            <w:vAlign w:val="center"/>
          </w:tcPr>
          <w:p w14:paraId="692EFBF0">
            <w:pPr>
              <w:pStyle w:val="41"/>
              <w:rPr>
                <w:kern w:val="2"/>
                <w:sz w:val="21"/>
                <w:szCs w:val="22"/>
              </w:rPr>
            </w:pPr>
            <w:r>
              <w:rPr>
                <w:rFonts w:hint="eastAsia"/>
                <w:kern w:val="2"/>
                <w:sz w:val="21"/>
                <w:szCs w:val="22"/>
              </w:rPr>
              <w:t>施工机械、周转材料、劳动力配置计划是否合理并能满足施工需要</w:t>
            </w:r>
          </w:p>
        </w:tc>
        <w:tc>
          <w:tcPr>
            <w:tcW w:w="1098" w:type="dxa"/>
            <w:vAlign w:val="center"/>
          </w:tcPr>
          <w:p w14:paraId="7783BB99">
            <w:pPr>
              <w:adjustRightInd w:val="0"/>
              <w:jc w:val="center"/>
              <w:rPr>
                <w:rFonts w:ascii="宋体"/>
                <w:szCs w:val="21"/>
              </w:rPr>
            </w:pPr>
            <w:r>
              <w:rPr>
                <w:rFonts w:hint="eastAsia" w:ascii="宋体" w:hAnsi="宋体"/>
                <w:bCs/>
                <w:szCs w:val="21"/>
              </w:rPr>
              <w:t>3</w:t>
            </w:r>
            <w:r>
              <w:rPr>
                <w:rFonts w:ascii="宋体" w:hAnsi="宋体"/>
                <w:bCs/>
                <w:szCs w:val="21"/>
              </w:rPr>
              <w:t>-</w:t>
            </w:r>
            <w:r>
              <w:rPr>
                <w:rFonts w:hint="eastAsia" w:ascii="宋体" w:hAnsi="宋体"/>
                <w:bCs/>
                <w:szCs w:val="21"/>
              </w:rPr>
              <w:t>10分</w:t>
            </w:r>
          </w:p>
        </w:tc>
      </w:tr>
      <w:tr w14:paraId="6E25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31F50EF9">
            <w:pPr>
              <w:adjustRightInd w:val="0"/>
              <w:jc w:val="center"/>
              <w:rPr>
                <w:rFonts w:ascii="宋体"/>
                <w:bCs/>
                <w:szCs w:val="21"/>
              </w:rPr>
            </w:pPr>
            <w:r>
              <w:rPr>
                <w:rFonts w:hint="eastAsia" w:ascii="宋体" w:hAnsi="宋体"/>
                <w:bCs/>
                <w:szCs w:val="21"/>
              </w:rPr>
              <w:t>6</w:t>
            </w:r>
          </w:p>
        </w:tc>
        <w:tc>
          <w:tcPr>
            <w:tcW w:w="7002" w:type="dxa"/>
            <w:vAlign w:val="center"/>
          </w:tcPr>
          <w:p w14:paraId="5BD3FAC9">
            <w:pPr>
              <w:pStyle w:val="41"/>
              <w:rPr>
                <w:kern w:val="2"/>
                <w:sz w:val="21"/>
                <w:szCs w:val="22"/>
              </w:rPr>
            </w:pPr>
            <w:r>
              <w:rPr>
                <w:rFonts w:hint="eastAsia"/>
                <w:kern w:val="2"/>
                <w:sz w:val="21"/>
                <w:szCs w:val="22"/>
              </w:rPr>
              <w:t>项目管理班子人员配置是否合理并能满足施工需要，主要负责人是否有类似工程项目管理经验</w:t>
            </w:r>
          </w:p>
        </w:tc>
        <w:tc>
          <w:tcPr>
            <w:tcW w:w="1098" w:type="dxa"/>
            <w:vAlign w:val="center"/>
          </w:tcPr>
          <w:p w14:paraId="49132B14">
            <w:pPr>
              <w:adjustRightInd w:val="0"/>
              <w:jc w:val="center"/>
              <w:rPr>
                <w:rFonts w:ascii="宋体"/>
                <w:szCs w:val="21"/>
              </w:rPr>
            </w:pPr>
            <w:r>
              <w:rPr>
                <w:rFonts w:hint="eastAsia" w:ascii="宋体" w:hAnsi="宋体"/>
                <w:bCs/>
                <w:szCs w:val="21"/>
              </w:rPr>
              <w:t>2</w:t>
            </w:r>
            <w:r>
              <w:rPr>
                <w:rFonts w:ascii="宋体" w:hAnsi="宋体"/>
                <w:bCs/>
                <w:szCs w:val="21"/>
              </w:rPr>
              <w:t>-</w:t>
            </w:r>
            <w:r>
              <w:rPr>
                <w:rFonts w:hint="eastAsia" w:ascii="宋体" w:hAnsi="宋体"/>
                <w:bCs/>
                <w:szCs w:val="21"/>
              </w:rPr>
              <w:t>5分</w:t>
            </w:r>
          </w:p>
        </w:tc>
      </w:tr>
      <w:tr w14:paraId="183D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8" w:type="dxa"/>
            <w:vAlign w:val="center"/>
          </w:tcPr>
          <w:p w14:paraId="4C2DB578">
            <w:pPr>
              <w:adjustRightInd w:val="0"/>
              <w:jc w:val="center"/>
              <w:rPr>
                <w:rFonts w:ascii="宋体" w:hAnsi="宋体"/>
                <w:bCs/>
                <w:szCs w:val="21"/>
              </w:rPr>
            </w:pPr>
            <w:r>
              <w:rPr>
                <w:rFonts w:hint="eastAsia" w:ascii="宋体" w:hAnsi="宋体"/>
                <w:bCs/>
                <w:szCs w:val="21"/>
              </w:rPr>
              <w:t>7</w:t>
            </w:r>
          </w:p>
        </w:tc>
        <w:tc>
          <w:tcPr>
            <w:tcW w:w="7002" w:type="dxa"/>
            <w:vAlign w:val="center"/>
          </w:tcPr>
          <w:p w14:paraId="1E5EEC07">
            <w:pPr>
              <w:pStyle w:val="41"/>
              <w:rPr>
                <w:kern w:val="2"/>
                <w:sz w:val="21"/>
                <w:szCs w:val="22"/>
              </w:rPr>
            </w:pPr>
            <w:r>
              <w:rPr>
                <w:rFonts w:hint="eastAsia"/>
                <w:kern w:val="2"/>
                <w:sz w:val="21"/>
                <w:szCs w:val="22"/>
              </w:rPr>
              <w:t>提供类似业绩要求：近三年内（包括当年度）案例，须提供合同正本封面、合同金额页和签字页的复印件（一个有效业绩得0.5分，满分5分，无业绩不得分）</w:t>
            </w:r>
          </w:p>
        </w:tc>
        <w:tc>
          <w:tcPr>
            <w:tcW w:w="1098" w:type="dxa"/>
            <w:vAlign w:val="center"/>
          </w:tcPr>
          <w:p w14:paraId="64DB5A34">
            <w:pPr>
              <w:adjustRightInd w:val="0"/>
              <w:jc w:val="center"/>
              <w:rPr>
                <w:rFonts w:ascii="宋体" w:hAnsi="宋体"/>
                <w:bCs/>
                <w:szCs w:val="21"/>
              </w:rPr>
            </w:pPr>
            <w:r>
              <w:rPr>
                <w:rFonts w:ascii="宋体" w:hAnsi="宋体"/>
                <w:bCs/>
                <w:szCs w:val="21"/>
              </w:rPr>
              <w:t>0-</w:t>
            </w:r>
            <w:r>
              <w:rPr>
                <w:rFonts w:hint="eastAsia" w:ascii="宋体" w:hAnsi="宋体"/>
                <w:bCs/>
                <w:szCs w:val="21"/>
              </w:rPr>
              <w:t>5分</w:t>
            </w:r>
          </w:p>
        </w:tc>
      </w:tr>
    </w:tbl>
    <w:p w14:paraId="32D4D3DD">
      <w:pPr>
        <w:spacing w:beforeLines="50" w:line="360" w:lineRule="auto"/>
        <w:ind w:firstLine="420" w:firstLineChars="200"/>
        <w:rPr>
          <w:rFonts w:ascii="宋体" w:cs="宋体"/>
          <w:szCs w:val="21"/>
        </w:rPr>
      </w:pPr>
      <w:r>
        <w:rPr>
          <w:rFonts w:hint="eastAsia" w:ascii="宋体" w:hAnsi="宋体" w:cs="宋体"/>
          <w:szCs w:val="21"/>
        </w:rPr>
        <w:t>最小评分单位为</w:t>
      </w:r>
      <w:r>
        <w:rPr>
          <w:rFonts w:ascii="宋体" w:hAnsi="宋体" w:cs="宋体"/>
          <w:szCs w:val="21"/>
        </w:rPr>
        <w:t>0.5</w:t>
      </w:r>
      <w:r>
        <w:rPr>
          <w:rFonts w:hint="eastAsia" w:ascii="宋体" w:hAnsi="宋体" w:cs="宋体"/>
          <w:szCs w:val="21"/>
        </w:rPr>
        <w:t>分（如有缺项的，则该项得“</w:t>
      </w:r>
      <w:r>
        <w:rPr>
          <w:rFonts w:ascii="宋体" w:cs="宋体"/>
          <w:szCs w:val="21"/>
        </w:rPr>
        <w:t>0</w:t>
      </w:r>
      <w:r>
        <w:rPr>
          <w:rFonts w:hint="eastAsia" w:ascii="宋体" w:hAnsi="宋体" w:cs="宋体"/>
          <w:szCs w:val="21"/>
        </w:rPr>
        <w:t>”分）。</w:t>
      </w:r>
    </w:p>
    <w:p w14:paraId="43C8D069">
      <w:pPr>
        <w:spacing w:line="360" w:lineRule="auto"/>
        <w:rPr>
          <w:rFonts w:ascii="宋体" w:hAnsi="宋体" w:cs="宋体"/>
          <w:szCs w:val="21"/>
        </w:rPr>
      </w:pPr>
    </w:p>
    <w:p w14:paraId="02F86B5C">
      <w:pPr>
        <w:spacing w:line="360" w:lineRule="auto"/>
        <w:ind w:firstLine="482" w:firstLineChars="200"/>
        <w:rPr>
          <w:rFonts w:ascii="宋体"/>
          <w:b/>
          <w:sz w:val="24"/>
          <w:szCs w:val="24"/>
        </w:rPr>
      </w:pPr>
      <w:r>
        <w:rPr>
          <w:rFonts w:hint="eastAsia" w:ascii="宋体" w:hAnsi="宋体"/>
          <w:b/>
          <w:sz w:val="24"/>
          <w:szCs w:val="24"/>
        </w:rPr>
        <w:t>根据《政府采购竞争性磋商采购方式管理暂行办法》第三十四条的规定，本项目</w:t>
      </w:r>
      <w:r>
        <w:rPr>
          <w:rFonts w:hint="eastAsia" w:ascii="宋体" w:hAnsi="宋体"/>
          <w:b/>
          <w:sz w:val="24"/>
          <w:szCs w:val="24"/>
          <w:lang w:eastAsia="zh-CN"/>
        </w:rPr>
        <w:t>磋商</w:t>
      </w:r>
      <w:r>
        <w:rPr>
          <w:rFonts w:hint="eastAsia" w:ascii="宋体" w:hAnsi="宋体"/>
          <w:b/>
          <w:sz w:val="24"/>
          <w:szCs w:val="24"/>
        </w:rPr>
        <w:t>出现下列情形之一的，采购人或者采购代理机构应当终止竞争性磋商采购活动，发布项目终止公告并说明原因，重新开展采购活动：</w:t>
      </w:r>
    </w:p>
    <w:p w14:paraId="17FB47FC">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）因情况变化，不再符合规定的竞争性磋商采购方式适用情形的；</w:t>
      </w:r>
    </w:p>
    <w:p w14:paraId="5E9FAFD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）出现影响采购公正的违法、违规行为的；</w:t>
      </w:r>
    </w:p>
    <w:p w14:paraId="483E4647">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）在采购过程中符合要求的</w:t>
      </w:r>
      <w:r>
        <w:rPr>
          <w:rFonts w:hint="eastAsia" w:ascii="宋体" w:hAnsi="宋体" w:cs="宋体"/>
          <w:szCs w:val="21"/>
          <w:lang w:eastAsia="zh-CN"/>
        </w:rPr>
        <w:t>响应单位</w:t>
      </w:r>
      <w:r>
        <w:rPr>
          <w:rFonts w:hint="eastAsia" w:ascii="宋体" w:hAnsi="宋体" w:cs="宋体"/>
          <w:szCs w:val="21"/>
        </w:rPr>
        <w:t>或者报价未超过采购预算的</w:t>
      </w:r>
      <w:r>
        <w:rPr>
          <w:rFonts w:hint="eastAsia" w:ascii="宋体" w:hAnsi="宋体" w:cs="宋体"/>
          <w:szCs w:val="21"/>
          <w:lang w:eastAsia="zh-CN"/>
        </w:rPr>
        <w:t>响应单位</w:t>
      </w:r>
      <w:r>
        <w:rPr>
          <w:rFonts w:hint="eastAsia" w:ascii="宋体" w:hAnsi="宋体" w:cs="宋体"/>
          <w:szCs w:val="21"/>
        </w:rPr>
        <w:t>不足</w:t>
      </w:r>
      <w:r>
        <w:rPr>
          <w:rFonts w:ascii="宋体" w:hAnsi="宋体" w:cs="宋体"/>
          <w:szCs w:val="21"/>
        </w:rPr>
        <w:t>3</w:t>
      </w:r>
      <w:r>
        <w:rPr>
          <w:rFonts w:hint="eastAsia" w:ascii="宋体" w:hAnsi="宋体" w:cs="宋体"/>
          <w:szCs w:val="21"/>
        </w:rPr>
        <w:t>家的；</w:t>
      </w:r>
    </w:p>
    <w:p w14:paraId="3AC06EDD">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的报价均超过了采购预算，</w:t>
      </w:r>
      <w:r>
        <w:rPr>
          <w:rFonts w:hint="eastAsia" w:ascii="宋体" w:hAnsi="宋体" w:cs="宋体"/>
          <w:szCs w:val="21"/>
          <w:lang w:eastAsia="zh-CN"/>
        </w:rPr>
        <w:t>采购</w:t>
      </w:r>
      <w:r>
        <w:rPr>
          <w:rFonts w:hint="eastAsia" w:ascii="宋体" w:hAnsi="宋体" w:cs="宋体"/>
          <w:szCs w:val="21"/>
        </w:rPr>
        <w:t>人不能支付的；</w:t>
      </w:r>
    </w:p>
    <w:p w14:paraId="54CCF353">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）因重大变故，采购任务取消的。</w:t>
      </w:r>
    </w:p>
    <w:p w14:paraId="01DB8A3B">
      <w:pPr>
        <w:spacing w:line="360" w:lineRule="auto"/>
        <w:ind w:firstLine="562" w:firstLineChars="200"/>
        <w:rPr>
          <w:rFonts w:ascii="宋体" w:cs="宋体"/>
          <w:b/>
          <w:bCs/>
          <w:sz w:val="28"/>
          <w:szCs w:val="28"/>
        </w:rPr>
      </w:pPr>
    </w:p>
    <w:p w14:paraId="582FA65B">
      <w:pPr>
        <w:spacing w:line="360" w:lineRule="auto"/>
        <w:rPr>
          <w:rFonts w:ascii="宋体" w:cs="宋体"/>
          <w:b/>
          <w:bCs/>
          <w:sz w:val="28"/>
          <w:szCs w:val="28"/>
        </w:rPr>
        <w:sectPr>
          <w:pgSz w:w="11906" w:h="16838"/>
          <w:pgMar w:top="1246" w:right="1555" w:bottom="1246" w:left="1531" w:header="851" w:footer="680" w:gutter="0"/>
          <w:pgNumType w:fmt="numberInDash"/>
          <w:cols w:space="720" w:num="1"/>
          <w:titlePg/>
          <w:docGrid w:linePitch="312" w:charSpace="0"/>
        </w:sectPr>
      </w:pPr>
    </w:p>
    <w:p w14:paraId="244F4726">
      <w:pPr>
        <w:pStyle w:val="2"/>
        <w:spacing w:line="240" w:lineRule="auto"/>
        <w:jc w:val="center"/>
        <w:rPr>
          <w:rFonts w:ascii="宋体"/>
          <w:sz w:val="32"/>
          <w:szCs w:val="32"/>
        </w:rPr>
      </w:pPr>
      <w:bookmarkStart w:id="11" w:name="_Toc21547"/>
      <w:r>
        <w:rPr>
          <w:rFonts w:hint="eastAsia" w:ascii="宋体" w:hAnsi="宋体"/>
          <w:sz w:val="32"/>
          <w:szCs w:val="32"/>
        </w:rPr>
        <w:t>第五章</w:t>
      </w:r>
      <w:r>
        <w:rPr>
          <w:rFonts w:hint="eastAsia" w:ascii="宋体" w:hAnsi="宋体"/>
          <w:sz w:val="32"/>
          <w:szCs w:val="32"/>
          <w:lang w:val="en-US" w:eastAsia="zh-CN"/>
        </w:rPr>
        <w:t xml:space="preserve">  </w:t>
      </w:r>
      <w:r>
        <w:rPr>
          <w:rFonts w:hint="eastAsia" w:ascii="宋体" w:hAnsi="宋体"/>
          <w:sz w:val="32"/>
          <w:szCs w:val="32"/>
        </w:rPr>
        <w:t>合同条款及格式</w:t>
      </w:r>
      <w:bookmarkEnd w:id="11"/>
    </w:p>
    <w:p w14:paraId="748B0519">
      <w:pPr>
        <w:jc w:val="left"/>
        <w:rPr>
          <w:rFonts w:ascii="宋体" w:hAnsi="宋体"/>
          <w:bCs/>
          <w:sz w:val="32"/>
          <w:szCs w:val="32"/>
        </w:rPr>
      </w:pPr>
      <w:r>
        <w:rPr>
          <w:rFonts w:ascii="宋体" w:hAnsi="宋体"/>
          <w:bCs/>
          <w:sz w:val="32"/>
          <w:szCs w:val="32"/>
        </w:rPr>
        <w:t>（GF—201</w:t>
      </w:r>
      <w:r>
        <w:rPr>
          <w:rFonts w:hint="eastAsia" w:ascii="宋体" w:hAnsi="宋体"/>
          <w:bCs/>
          <w:sz w:val="32"/>
          <w:szCs w:val="32"/>
        </w:rPr>
        <w:t>7</w:t>
      </w:r>
      <w:r>
        <w:rPr>
          <w:rFonts w:ascii="宋体" w:hAnsi="宋体"/>
          <w:bCs/>
          <w:sz w:val="32"/>
          <w:szCs w:val="32"/>
        </w:rPr>
        <w:t>—</w:t>
      </w:r>
      <w:r>
        <w:rPr>
          <w:rFonts w:hint="eastAsia" w:ascii="宋体" w:hAnsi="宋体"/>
          <w:bCs/>
          <w:sz w:val="32"/>
          <w:szCs w:val="32"/>
        </w:rPr>
        <w:t>0201）</w:t>
      </w:r>
    </w:p>
    <w:p w14:paraId="7E99BA21">
      <w:pPr>
        <w:jc w:val="both"/>
        <w:rPr>
          <w:rFonts w:ascii="宋体" w:hAnsi="宋体"/>
          <w:b/>
          <w:sz w:val="52"/>
          <w:szCs w:val="52"/>
        </w:rPr>
      </w:pPr>
    </w:p>
    <w:p w14:paraId="5D61008B">
      <w:pPr>
        <w:jc w:val="center"/>
        <w:rPr>
          <w:rFonts w:ascii="宋体" w:hAnsi="宋体"/>
          <w:b/>
          <w:sz w:val="52"/>
          <w:szCs w:val="52"/>
        </w:rPr>
      </w:pPr>
    </w:p>
    <w:p w14:paraId="029F2A10">
      <w:pPr>
        <w:jc w:val="center"/>
        <w:rPr>
          <w:rFonts w:ascii="宋体" w:hAnsi="宋体"/>
          <w:b/>
          <w:sz w:val="52"/>
          <w:szCs w:val="52"/>
        </w:rPr>
      </w:pPr>
    </w:p>
    <w:p w14:paraId="67EDD03F">
      <w:pPr>
        <w:jc w:val="center"/>
        <w:rPr>
          <w:rFonts w:ascii="宋体" w:hAnsi="宋体"/>
          <w:b/>
          <w:sz w:val="52"/>
          <w:szCs w:val="52"/>
        </w:rPr>
      </w:pPr>
      <w:r>
        <w:rPr>
          <w:rFonts w:hint="eastAsia" w:ascii="宋体" w:hAnsi="宋体"/>
          <w:b/>
          <w:bCs w:val="0"/>
          <w:sz w:val="44"/>
          <w:szCs w:val="44"/>
          <w:u w:val="none"/>
          <w:lang w:eastAsia="zh-CN"/>
        </w:rPr>
        <w:t>黄浦区老西门街道市民健身中心装修工程</w:t>
      </w:r>
      <w:r>
        <w:rPr>
          <w:rFonts w:ascii="宋体" w:hAnsi="宋体"/>
          <w:b/>
          <w:bCs w:val="0"/>
          <w:sz w:val="44"/>
          <w:szCs w:val="44"/>
          <w:u w:val="none"/>
        </w:rPr>
        <w:t>施工合同</w:t>
      </w:r>
      <w:r>
        <w:rPr>
          <w:rFonts w:ascii="宋体" w:hAnsi="宋体"/>
          <w:b/>
          <w:bCs w:val="0"/>
          <w:sz w:val="44"/>
          <w:szCs w:val="44"/>
          <w:u w:val="none"/>
        </w:rPr>
        <w:br w:type="textWrapping"/>
      </w:r>
      <w:r>
        <w:rPr>
          <w:rFonts w:ascii="宋体" w:hAnsi="宋体"/>
          <w:b/>
          <w:sz w:val="52"/>
          <w:szCs w:val="52"/>
        </w:rPr>
        <w:t>（示范文本）</w:t>
      </w:r>
    </w:p>
    <w:p w14:paraId="0B29E3A2">
      <w:pPr>
        <w:jc w:val="center"/>
        <w:rPr>
          <w:rFonts w:ascii="宋体" w:hAnsi="宋体"/>
          <w:b/>
          <w:sz w:val="52"/>
          <w:szCs w:val="52"/>
        </w:rPr>
      </w:pPr>
    </w:p>
    <w:p w14:paraId="5AEB7A12">
      <w:pPr>
        <w:jc w:val="center"/>
        <w:rPr>
          <w:rFonts w:ascii="宋体" w:hAnsi="宋体"/>
          <w:b/>
          <w:sz w:val="72"/>
          <w:szCs w:val="72"/>
        </w:rPr>
      </w:pPr>
    </w:p>
    <w:p w14:paraId="1E66E908">
      <w:pPr>
        <w:jc w:val="center"/>
        <w:rPr>
          <w:rFonts w:ascii="宋体" w:hAnsi="宋体"/>
          <w:b/>
          <w:sz w:val="52"/>
          <w:szCs w:val="52"/>
        </w:rPr>
      </w:pPr>
    </w:p>
    <w:p w14:paraId="24BD3ABF">
      <w:pPr>
        <w:rPr>
          <w:rFonts w:ascii="宋体" w:hAnsi="宋体"/>
          <w:b/>
          <w:sz w:val="28"/>
          <w:szCs w:val="28"/>
        </w:rPr>
      </w:pPr>
    </w:p>
    <w:p w14:paraId="6458E846">
      <w:pPr>
        <w:pStyle w:val="2"/>
      </w:pPr>
    </w:p>
    <w:p w14:paraId="25986456">
      <w:pPr>
        <w:ind w:right="2719" w:rightChars="1295" w:firstLine="2738" w:firstLineChars="1304"/>
        <w:jc w:val="center"/>
        <w:rPr>
          <w:rFonts w:ascii="宋体" w:hAnsi="宋体"/>
          <w:b/>
          <w:sz w:val="32"/>
          <w:szCs w:val="28"/>
        </w:rPr>
      </w:pPr>
      <w:r>
        <w:rPr>
          <w:rFonts w:ascii="宋体" w:hAnsi="宋体"/>
        </w:rPr>
        <w:pict>
          <v:shape id="_x0000_s2050" o:spid="_x0000_s2050" o:spt="202" type="#_x0000_t202" style="position:absolute;left:0pt;margin-left:319.45pt;margin-top:9.45pt;height:36pt;width:50.15pt;z-index:251659264;mso-width-relative:page;mso-height-relative:page;" filled="f" stroked="t" coordsize="21600,21600">
            <v:path/>
            <v:fill on="f" focussize="0,0"/>
            <v:stroke color="#FFFFFF" joinstyle="miter"/>
            <v:imagedata o:title=""/>
            <o:lock v:ext="edit" aspectratio="f"/>
            <v:textbox>
              <w:txbxContent>
                <w:p w14:paraId="6E15DE5E">
                  <w:pPr>
                    <w:rPr>
                      <w:rFonts w:hint="eastAsia"/>
                      <w:b/>
                      <w:bCs/>
                      <w:sz w:val="32"/>
                    </w:rPr>
                  </w:pPr>
                  <w:r>
                    <w:rPr>
                      <w:rFonts w:hint="eastAsia"/>
                      <w:b/>
                      <w:bCs/>
                      <w:sz w:val="32"/>
                    </w:rPr>
                    <w:t>制定</w:t>
                  </w:r>
                </w:p>
              </w:txbxContent>
            </v:textbox>
          </v:shape>
        </w:pict>
      </w:r>
      <w:r>
        <w:rPr>
          <w:rFonts w:ascii="宋体" w:hAnsi="宋体"/>
          <w:b/>
          <w:sz w:val="32"/>
          <w:szCs w:val="28"/>
        </w:rPr>
        <w:t>住房城乡建设部</w:t>
      </w:r>
    </w:p>
    <w:p w14:paraId="38BBA168">
      <w:pPr>
        <w:ind w:right="2048" w:rightChars="975"/>
        <w:jc w:val="center"/>
        <w:rPr>
          <w:rFonts w:ascii="宋体" w:hAnsi="宋体"/>
          <w:b/>
          <w:sz w:val="32"/>
          <w:szCs w:val="28"/>
        </w:rPr>
      </w:pPr>
      <w:r>
        <w:rPr>
          <w:rFonts w:hint="eastAsia" w:ascii="宋体" w:hAnsi="宋体"/>
          <w:b/>
          <w:sz w:val="32"/>
          <w:szCs w:val="28"/>
          <w:lang w:val="en-US" w:eastAsia="zh-CN"/>
        </w:rPr>
        <w:t xml:space="preserve">                   </w:t>
      </w:r>
      <w:r>
        <w:rPr>
          <w:rFonts w:hint="eastAsia" w:ascii="宋体" w:hAnsi="宋体"/>
          <w:b/>
          <w:color w:val="auto"/>
          <w:sz w:val="32"/>
          <w:szCs w:val="28"/>
        </w:rPr>
        <w:t>国家市场监督管理总局</w:t>
      </w:r>
    </w:p>
    <w:p w14:paraId="08C19B1D">
      <w:pPr>
        <w:pStyle w:val="159"/>
        <w:spacing w:before="0" w:after="0" w:line="240" w:lineRule="auto"/>
        <w:jc w:val="center"/>
        <w:outlineLvl w:val="0"/>
        <w:rPr>
          <w:rFonts w:hint="eastAsia" w:ascii="仿宋" w:hAnsi="仿宋" w:eastAsia="仿宋"/>
          <w:lang w:val="zh-CN"/>
        </w:rPr>
      </w:pPr>
      <w:r>
        <w:rPr>
          <w:rFonts w:ascii="Times New Roman" w:hAnsi="Times New Roman"/>
          <w:b w:val="0"/>
        </w:rPr>
        <w:br w:type="page"/>
      </w:r>
      <w:bookmarkStart w:id="12" w:name="_Toc296503025"/>
      <w:bookmarkStart w:id="13" w:name="_Toc296890982"/>
      <w:r>
        <w:rPr>
          <w:rFonts w:hint="eastAsia" w:ascii="仿宋" w:hAnsi="仿宋" w:eastAsia="仿宋"/>
          <w:sz w:val="32"/>
          <w:szCs w:val="32"/>
          <w:lang w:val="zh-CN"/>
        </w:rPr>
        <w:t>说  明</w:t>
      </w:r>
    </w:p>
    <w:p w14:paraId="59F985A0">
      <w:pPr>
        <w:ind w:firstLine="480" w:firstLineChars="200"/>
        <w:rPr>
          <w:rFonts w:ascii="仿宋_GB2312" w:eastAsia="仿宋_GB2312"/>
          <w:sz w:val="24"/>
          <w:szCs w:val="24"/>
        </w:rPr>
      </w:pPr>
      <w:r>
        <w:rPr>
          <w:rFonts w:hint="eastAsia" w:ascii="仿宋_GB2312" w:eastAsia="仿宋_GB2312"/>
          <w:sz w:val="24"/>
          <w:szCs w:val="24"/>
        </w:rPr>
        <w:t>为了指导建设工程施工合同当事人的签约行为，维护合同当事人的合法权益，依据《</w:t>
      </w:r>
      <w:r>
        <w:rPr>
          <w:rFonts w:hint="eastAsia" w:ascii="仿宋_GB2312" w:eastAsia="仿宋_GB2312"/>
          <w:sz w:val="24"/>
          <w:szCs w:val="24"/>
          <w:lang w:eastAsia="zh-CN"/>
        </w:rPr>
        <w:t>中华人民共和国民法典</w:t>
      </w:r>
      <w:r>
        <w:rPr>
          <w:rFonts w:hint="eastAsia" w:ascii="仿宋_GB2312" w:eastAsia="仿宋_GB2312"/>
          <w:sz w:val="24"/>
          <w:szCs w:val="24"/>
        </w:rPr>
        <w:t>》、《中华人民共和国建筑法》、《中华人民共和国招标投标法》以及相关法律法规，住房城乡建设部、</w:t>
      </w:r>
      <w:r>
        <w:rPr>
          <w:rFonts w:hint="eastAsia" w:ascii="仿宋_GB2312" w:eastAsia="仿宋_GB2312"/>
          <w:color w:val="auto"/>
          <w:sz w:val="24"/>
          <w:szCs w:val="24"/>
        </w:rPr>
        <w:t>国家市场监督管理总局</w:t>
      </w:r>
      <w:r>
        <w:rPr>
          <w:rFonts w:hint="eastAsia" w:ascii="仿宋_GB2312" w:eastAsia="仿宋_GB2312"/>
          <w:sz w:val="24"/>
          <w:szCs w:val="24"/>
        </w:rPr>
        <w:t>对《建设工程施工合同（示范文本）》（GF-2013-0201）进行了修订，制定了《建设工程施工合同（示范文本）》（GF-2017-0201）（以下简称《示范文本》）。为了便于合同当事人使用《示范文本》，现就有关问题说明如下：</w:t>
      </w:r>
    </w:p>
    <w:p w14:paraId="0AFC0567">
      <w:pPr>
        <w:ind w:firstLine="480" w:firstLineChars="200"/>
        <w:outlineLvl w:val="0"/>
        <w:rPr>
          <w:rFonts w:hint="eastAsia" w:ascii="黑体" w:hAnsi="黑体" w:eastAsia="黑体"/>
          <w:bCs/>
          <w:sz w:val="24"/>
          <w:szCs w:val="24"/>
        </w:rPr>
      </w:pPr>
      <w:r>
        <w:rPr>
          <w:rFonts w:hint="eastAsia" w:ascii="黑体" w:hAnsi="黑体" w:eastAsia="黑体"/>
          <w:bCs/>
          <w:sz w:val="24"/>
          <w:szCs w:val="24"/>
        </w:rPr>
        <w:t>一、《示范文本》的组成</w:t>
      </w:r>
    </w:p>
    <w:p w14:paraId="7D4F239C">
      <w:pPr>
        <w:ind w:firstLine="480" w:firstLineChars="200"/>
        <w:rPr>
          <w:rFonts w:hint="eastAsia" w:ascii="仿宋_GB2312" w:eastAsia="仿宋_GB2312"/>
          <w:sz w:val="24"/>
          <w:szCs w:val="24"/>
        </w:rPr>
      </w:pPr>
      <w:r>
        <w:rPr>
          <w:rFonts w:hint="eastAsia" w:ascii="仿宋_GB2312" w:eastAsia="仿宋_GB2312"/>
          <w:sz w:val="24"/>
          <w:szCs w:val="24"/>
        </w:rPr>
        <w:t>《示范文本》由合同协议书、通用合同条款和专用合同条款三部分组成。</w:t>
      </w:r>
    </w:p>
    <w:p w14:paraId="2E143A5C">
      <w:pPr>
        <w:ind w:firstLine="480" w:firstLineChars="200"/>
        <w:outlineLvl w:val="0"/>
        <w:rPr>
          <w:rFonts w:hint="eastAsia" w:ascii="仿宋_GB2312" w:eastAsia="仿宋_GB2312"/>
          <w:sz w:val="24"/>
          <w:szCs w:val="24"/>
        </w:rPr>
      </w:pPr>
      <w:r>
        <w:rPr>
          <w:rFonts w:hint="eastAsia" w:ascii="仿宋_GB2312" w:eastAsia="仿宋_GB2312"/>
          <w:sz w:val="24"/>
          <w:szCs w:val="24"/>
        </w:rPr>
        <w:t>（一）合同协议书</w:t>
      </w:r>
    </w:p>
    <w:p w14:paraId="4E7A4A7F">
      <w:pPr>
        <w:ind w:firstLine="480" w:firstLineChars="200"/>
        <w:rPr>
          <w:rFonts w:hint="eastAsia" w:ascii="仿宋_GB2312" w:eastAsia="仿宋_GB2312"/>
          <w:sz w:val="24"/>
          <w:szCs w:val="24"/>
        </w:rPr>
      </w:pPr>
      <w:r>
        <w:rPr>
          <w:rFonts w:hint="eastAsia" w:ascii="仿宋_GB2312" w:eastAsia="仿宋_GB2312"/>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BD23EDF">
      <w:pPr>
        <w:ind w:firstLine="480" w:firstLineChars="200"/>
        <w:outlineLvl w:val="0"/>
        <w:rPr>
          <w:rFonts w:hint="eastAsia" w:ascii="仿宋_GB2312" w:eastAsia="仿宋_GB2312"/>
          <w:sz w:val="24"/>
          <w:szCs w:val="24"/>
        </w:rPr>
      </w:pPr>
      <w:r>
        <w:rPr>
          <w:rFonts w:hint="eastAsia" w:ascii="仿宋_GB2312" w:eastAsia="仿宋_GB2312"/>
          <w:sz w:val="24"/>
          <w:szCs w:val="24"/>
        </w:rPr>
        <w:t>（二）通用合同条款</w:t>
      </w:r>
    </w:p>
    <w:p w14:paraId="7FDB8489">
      <w:pPr>
        <w:ind w:firstLine="480" w:firstLineChars="200"/>
        <w:rPr>
          <w:rFonts w:hint="eastAsia" w:ascii="仿宋_GB2312" w:eastAsia="仿宋_GB2312"/>
          <w:sz w:val="24"/>
          <w:szCs w:val="24"/>
        </w:rPr>
      </w:pPr>
      <w:r>
        <w:rPr>
          <w:rFonts w:hint="eastAsia" w:ascii="仿宋_GB2312" w:eastAsia="仿宋_GB2312"/>
          <w:sz w:val="24"/>
          <w:szCs w:val="24"/>
        </w:rPr>
        <w:t>通用合同条款是合同当事人根据《中华人民共和国建筑法》、《</w:t>
      </w:r>
      <w:r>
        <w:rPr>
          <w:rFonts w:hint="eastAsia" w:ascii="仿宋_GB2312" w:eastAsia="仿宋_GB2312"/>
          <w:sz w:val="24"/>
          <w:szCs w:val="24"/>
          <w:lang w:eastAsia="zh-CN"/>
        </w:rPr>
        <w:t>中华人民共和国民法典</w:t>
      </w:r>
      <w:r>
        <w:rPr>
          <w:rFonts w:hint="eastAsia" w:ascii="仿宋_GB2312" w:eastAsia="仿宋_GB2312"/>
          <w:sz w:val="24"/>
          <w:szCs w:val="24"/>
        </w:rPr>
        <w:t>》等法律法规的规定，就工程建设的实施及相关事项，对合同当事人的权利义务作出的原则性约定。</w:t>
      </w:r>
    </w:p>
    <w:p w14:paraId="7291D391">
      <w:pPr>
        <w:ind w:firstLine="480" w:firstLineChars="200"/>
        <w:rPr>
          <w:rFonts w:hint="eastAsia" w:ascii="仿宋_GB2312" w:eastAsia="仿宋_GB2312"/>
          <w:sz w:val="24"/>
          <w:szCs w:val="24"/>
        </w:rPr>
      </w:pPr>
      <w:r>
        <w:rPr>
          <w:rFonts w:hint="eastAsia" w:ascii="仿宋_GB2312" w:eastAsia="仿宋_GB2312"/>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B211913">
      <w:pPr>
        <w:ind w:firstLine="480" w:firstLineChars="200"/>
        <w:outlineLvl w:val="0"/>
        <w:rPr>
          <w:rFonts w:hint="eastAsia" w:ascii="仿宋_GB2312" w:eastAsia="仿宋_GB2312"/>
          <w:sz w:val="24"/>
          <w:szCs w:val="24"/>
        </w:rPr>
      </w:pPr>
      <w:r>
        <w:rPr>
          <w:rFonts w:hint="eastAsia" w:ascii="仿宋_GB2312" w:eastAsia="仿宋_GB2312"/>
          <w:sz w:val="24"/>
          <w:szCs w:val="24"/>
        </w:rPr>
        <w:t>（三）专用合同条款</w:t>
      </w:r>
    </w:p>
    <w:p w14:paraId="5EC0CC50">
      <w:pPr>
        <w:ind w:firstLine="480" w:firstLineChars="200"/>
        <w:rPr>
          <w:rFonts w:hint="eastAsia" w:ascii="仿宋_GB2312" w:eastAsia="仿宋_GB2312"/>
          <w:sz w:val="24"/>
          <w:szCs w:val="24"/>
        </w:rPr>
      </w:pPr>
      <w:r>
        <w:rPr>
          <w:rFonts w:hint="eastAsia" w:ascii="仿宋_GB2312" w:eastAsia="仿宋_GB2312"/>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621E175">
      <w:pPr>
        <w:ind w:right="25" w:rightChars="12" w:firstLine="480" w:firstLineChars="200"/>
        <w:rPr>
          <w:rFonts w:hint="eastAsia" w:ascii="仿宋_GB2312" w:eastAsia="仿宋_GB2312"/>
          <w:sz w:val="24"/>
          <w:szCs w:val="24"/>
        </w:rPr>
      </w:pPr>
      <w:r>
        <w:rPr>
          <w:rFonts w:hint="eastAsia" w:ascii="仿宋_GB2312" w:eastAsia="仿宋_GB2312"/>
          <w:sz w:val="24"/>
          <w:szCs w:val="24"/>
        </w:rPr>
        <w:t>1.专用合同条款的编号应与相应的通用合同条款的编号一致；</w:t>
      </w:r>
    </w:p>
    <w:p w14:paraId="0A4740A0">
      <w:pPr>
        <w:ind w:firstLine="480" w:firstLineChars="200"/>
        <w:rPr>
          <w:rFonts w:hint="eastAsia" w:ascii="仿宋_GB2312" w:eastAsia="仿宋_GB2312"/>
          <w:sz w:val="24"/>
          <w:szCs w:val="24"/>
        </w:rPr>
      </w:pPr>
      <w:r>
        <w:rPr>
          <w:rFonts w:hint="eastAsia" w:ascii="仿宋_GB2312" w:eastAsia="仿宋_GB2312"/>
          <w:sz w:val="24"/>
          <w:szCs w:val="24"/>
        </w:rPr>
        <w:t>2.合同当事人可以通过对专用合同条款的修改，满足具体建设工程的特殊要求，避免直接修改通用合同条款；</w:t>
      </w:r>
    </w:p>
    <w:p w14:paraId="7D0ABAA9">
      <w:pPr>
        <w:ind w:firstLine="480" w:firstLineChars="200"/>
        <w:rPr>
          <w:rFonts w:hint="eastAsia" w:ascii="仿宋_GB2312" w:eastAsia="仿宋_GB2312"/>
          <w:sz w:val="24"/>
          <w:szCs w:val="24"/>
        </w:rPr>
      </w:pPr>
      <w:r>
        <w:rPr>
          <w:rFonts w:hint="eastAsia" w:ascii="仿宋_GB2312" w:eastAsia="仿宋_GB2312"/>
          <w:sz w:val="24"/>
          <w:szCs w:val="24"/>
        </w:rPr>
        <w:t>3.在专用合同条款中有横道线的地方，合同当事人可针对相应的通用合同条款进行细化、完善、补充、修改或另行约定；如无细化、完善、补充、修改或另行约定，则填写“无”或划“/”。</w:t>
      </w:r>
    </w:p>
    <w:p w14:paraId="1AF7B3C5">
      <w:pPr>
        <w:ind w:firstLine="480" w:firstLineChars="200"/>
        <w:outlineLvl w:val="0"/>
        <w:rPr>
          <w:rFonts w:hint="eastAsia" w:ascii="仿宋_GB2312" w:eastAsia="仿宋_GB2312"/>
          <w:b/>
          <w:sz w:val="24"/>
          <w:szCs w:val="24"/>
        </w:rPr>
      </w:pPr>
      <w:r>
        <w:rPr>
          <w:rFonts w:hint="eastAsia" w:ascii="黑体" w:hAnsi="黑体" w:eastAsia="黑体"/>
          <w:bCs/>
          <w:sz w:val="24"/>
          <w:szCs w:val="24"/>
        </w:rPr>
        <w:t>二、《示范文本》的性质和适用范围</w:t>
      </w:r>
    </w:p>
    <w:p w14:paraId="26730FA7">
      <w:pPr>
        <w:ind w:firstLine="480" w:firstLineChars="200"/>
        <w:rPr>
          <w:rFonts w:ascii="仿宋_GB2312" w:eastAsia="仿宋_GB2312"/>
          <w:sz w:val="24"/>
          <w:szCs w:val="24"/>
        </w:rPr>
        <w:sectPr>
          <w:footerReference r:id="rId5"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24"/>
          <w:szCs w:val="24"/>
        </w:rPr>
        <w:t>《示范文本》为非强制性使用文本。《示范文本》适用于房屋</w:t>
      </w:r>
      <w:r>
        <w:rPr>
          <w:rFonts w:hint="eastAsia" w:ascii="仿宋_GB2312" w:eastAsia="仿宋_GB2312"/>
          <w:sz w:val="24"/>
          <w:szCs w:val="24"/>
          <w:lang w:eastAsia="zh-CN"/>
        </w:rPr>
        <w:t>机电工程</w:t>
      </w:r>
      <w:r>
        <w:rPr>
          <w:rFonts w:hint="eastAsia" w:ascii="仿宋_GB2312" w:eastAsia="仿宋_GB2312"/>
          <w:sz w:val="24"/>
          <w:szCs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10435FF">
      <w:pPr>
        <w:pStyle w:val="159"/>
        <w:spacing w:before="120" w:after="120"/>
        <w:jc w:val="center"/>
        <w:rPr>
          <w:rFonts w:ascii="仿宋" w:hAnsi="仿宋" w:eastAsia="仿宋"/>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录</w:t>
      </w:r>
    </w:p>
    <w:p w14:paraId="19EB3BB9">
      <w:pPr>
        <w:pStyle w:val="24"/>
        <w:tabs>
          <w:tab w:val="right" w:leader="dot" w:pos="8810"/>
          <w:tab w:val="clear" w:pos="8494"/>
        </w:tabs>
        <w:ind w:left="0" w:leftChars="0" w:firstLine="420" w:firstLineChars="150"/>
        <w:rPr>
          <w:rFonts w:ascii="Times New Roman" w:hAnsi="Times New Roman" w:eastAsia="仿宋_GB2312"/>
          <w:b/>
          <w:sz w:val="24"/>
          <w:szCs w:val="24"/>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第一部分 合同协议书</w:t>
      </w:r>
      <w:r>
        <w:rPr>
          <w:rFonts w:ascii="Times New Roman" w:hAnsi="Times New Roman" w:eastAsia="仿宋_GB2312"/>
          <w:sz w:val="24"/>
          <w:szCs w:val="24"/>
        </w:rPr>
        <w:t>……………………</w:t>
      </w:r>
      <w:r>
        <w:rPr>
          <w:rFonts w:ascii="Times New Roman" w:hAnsi="Times New Roman" w:eastAsia="仿宋_GB2312"/>
          <w:spacing w:val="34"/>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_Toc351203480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34FC14D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一、工程概况</w:t>
      </w:r>
      <w:r>
        <w:rPr>
          <w:rFonts w:ascii="Times New Roman" w:hAnsi="Times New Roman" w:eastAsia="仿宋_GB2312"/>
          <w:sz w:val="24"/>
          <w:szCs w:val="24"/>
        </w:rPr>
        <w:tab/>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_Toc351203481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D41ADC3">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二、合同工期</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_Toc351203482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1B0A95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三、质量标准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_Toc351203483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77CE80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四、签约合同价与合同价格形式</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_Toc351203484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978B05">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五、项目经理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_Toc351203485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14447D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六、合同文件构成</w:t>
      </w:r>
      <w:r>
        <w:rPr>
          <w:rFonts w:ascii="Times New Roman" w:hAnsi="Times New Roman" w:eastAsia="仿宋_GB2312"/>
          <w:sz w:val="24"/>
          <w:szCs w:val="24"/>
        </w:rPr>
        <w:tab/>
      </w:r>
      <w:r>
        <w:rPr>
          <w:rFonts w:hint="eastAsia" w:ascii="Times New Roman" w:hAnsi="Times New Roman" w:eastAsia="仿宋_GB2312"/>
          <w:sz w:val="24"/>
          <w:szCs w:val="24"/>
        </w:rPr>
        <w:t>2</w:t>
      </w:r>
      <w:r>
        <w:rPr>
          <w:rFonts w:ascii="Times New Roman" w:hAnsi="Times New Roman" w:eastAsia="仿宋_GB2312"/>
          <w:sz w:val="24"/>
          <w:szCs w:val="24"/>
        </w:rPr>
        <w:fldChar w:fldCharType="end"/>
      </w:r>
    </w:p>
    <w:p w14:paraId="359759A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七、承诺</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_Toc351203487 \h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3DABDD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八、词语含义</w:t>
      </w:r>
      <w:r>
        <w:rPr>
          <w:rFonts w:ascii="Times New Roman" w:hAnsi="Times New Roman" w:eastAsia="仿宋_GB2312"/>
          <w:sz w:val="24"/>
          <w:szCs w:val="24"/>
        </w:rPr>
        <w:tab/>
      </w:r>
      <w:r>
        <w:rPr>
          <w:rFonts w:hint="eastAsia" w:ascii="Times New Roman" w:hAnsi="Times New Roman" w:eastAsia="仿宋_GB2312"/>
          <w:sz w:val="24"/>
          <w:szCs w:val="24"/>
        </w:rPr>
        <w:t>3</w:t>
      </w:r>
      <w:r>
        <w:rPr>
          <w:rFonts w:ascii="Times New Roman" w:hAnsi="Times New Roman" w:eastAsia="仿宋_GB2312"/>
          <w:sz w:val="24"/>
          <w:szCs w:val="24"/>
        </w:rPr>
        <w:fldChar w:fldCharType="end"/>
      </w:r>
    </w:p>
    <w:p w14:paraId="1D149FFA">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九、签订时间</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_Toc351203489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2160CE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十、签订地点</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_Toc351203490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A88B662">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十一、补充协议</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_Toc351203491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C68206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十二、合同生效</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_Toc351203492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5A2144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十三、合同份数</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_Toc351203493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DBE2128">
      <w:pPr>
        <w:pStyle w:val="24"/>
        <w:tabs>
          <w:tab w:val="right" w:leader="dot" w:pos="8810"/>
          <w:tab w:val="clear" w:pos="8494"/>
        </w:tabs>
        <w:ind w:left="0" w:leftChars="0" w:firstLine="238" w:firstLineChars="99"/>
        <w:rPr>
          <w:rFonts w:ascii="Times New Roman" w:hAnsi="Times New Roman" w:eastAsia="仿宋_GB2312"/>
          <w:b/>
          <w:sz w:val="24"/>
          <w:szCs w:val="24"/>
        </w:rPr>
      </w:pPr>
      <w:r>
        <w:rPr>
          <w:rFonts w:ascii="Times New Roman" w:hAnsi="Times New Roman" w:eastAsia="仿宋_GB2312"/>
          <w:b/>
          <w:sz w:val="24"/>
          <w:szCs w:val="24"/>
        </w:rPr>
        <w:fldChar w:fldCharType="begin"/>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instrText xml:space="preserve">HYPERLINK \l "_Toc351203494"</w:instrText>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fldChar w:fldCharType="separate"/>
      </w:r>
      <w:r>
        <w:rPr>
          <w:rStyle w:val="52"/>
          <w:rFonts w:ascii="Times New Roman" w:hAnsi="Times New Roman" w:eastAsia="仿宋_GB2312"/>
          <w:b/>
          <w:color w:val="auto"/>
          <w:sz w:val="24"/>
          <w:szCs w:val="24"/>
        </w:rPr>
        <w:t>第二部分 通用合同条款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_Toc351203494 \h </w:instrText>
      </w:r>
      <w:r>
        <w:rPr>
          <w:rFonts w:ascii="Times New Roman" w:hAnsi="Times New Roman" w:eastAsia="仿宋_GB2312"/>
          <w:sz w:val="24"/>
          <w:szCs w:val="24"/>
        </w:rPr>
        <w:fldChar w:fldCharType="separate"/>
      </w:r>
      <w:r>
        <w:rPr>
          <w:rFonts w:ascii="Times New Roman" w:hAnsi="Times New Roman" w:eastAsia="仿宋_GB2312"/>
          <w:sz w:val="24"/>
          <w:szCs w:val="24"/>
        </w:rPr>
        <w:t>5</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2DAE1A85">
      <w:pPr>
        <w:pStyle w:val="24"/>
        <w:tabs>
          <w:tab w:val="right" w:leader="dot" w:pos="8810"/>
          <w:tab w:val="clear" w:pos="8494"/>
        </w:tabs>
        <w:rPr>
          <w:rStyle w:val="52"/>
          <w:rFonts w:hint="eastAsia" w:ascii="Times New Roman" w:hAnsi="Times New Roman" w:eastAsia="仿宋_GB2312"/>
          <w:b/>
          <w:color w:val="auto"/>
          <w:sz w:val="24"/>
          <w:szCs w:val="24"/>
        </w:rPr>
      </w:pPr>
    </w:p>
    <w:p w14:paraId="05B6825B">
      <w:pPr>
        <w:pStyle w:val="24"/>
        <w:tabs>
          <w:tab w:val="right" w:leader="dot" w:pos="8810"/>
          <w:tab w:val="clear" w:pos="8494"/>
        </w:tabs>
        <w:ind w:left="0" w:leftChars="0"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第三部分 专用合同条款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end"/>
      </w:r>
      <w:r>
        <w:rPr>
          <w:rFonts w:hint="eastAsia" w:ascii="Times New Roman" w:hAnsi="Times New Roman" w:eastAsia="仿宋_GB2312"/>
          <w:sz w:val="24"/>
          <w:szCs w:val="24"/>
        </w:rPr>
        <w:t>104</w:t>
      </w:r>
    </w:p>
    <w:p w14:paraId="508CD9B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 一般约定</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04</w:t>
      </w:r>
    </w:p>
    <w:p w14:paraId="160CBDF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 发包人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08</w:t>
      </w:r>
    </w:p>
    <w:p w14:paraId="789C3009">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3. 承包人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09</w:t>
      </w:r>
    </w:p>
    <w:p w14:paraId="388EB75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4. 监理人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12</w:t>
      </w:r>
    </w:p>
    <w:p w14:paraId="642F420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5. 工程质量</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13</w:t>
      </w:r>
    </w:p>
    <w:p w14:paraId="3B0A9A7D">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6. 安全文明施工与环境保护</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36A9FD8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7. 工期和进度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28C9AFD6">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8. 材料与设备</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16</w:t>
      </w:r>
    </w:p>
    <w:p w14:paraId="4C1EEF9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9. 试验与检验</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17</w:t>
      </w:r>
    </w:p>
    <w:p w14:paraId="47DAEEAC">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10. 变</w:t>
      </w:r>
      <w:bookmarkStart w:id="14" w:name="_Hlt19623498"/>
      <w:bookmarkStart w:id="15" w:name="_Hlt19623499"/>
      <w:r>
        <w:rPr>
          <w:rStyle w:val="52"/>
          <w:rFonts w:ascii="Times New Roman" w:hAnsi="Times New Roman" w:eastAsia="仿宋_GB2312"/>
          <w:color w:val="auto"/>
          <w:sz w:val="24"/>
          <w:szCs w:val="24"/>
        </w:rPr>
        <w:t>更</w:t>
      </w:r>
      <w:bookmarkEnd w:id="14"/>
      <w:bookmarkEnd w:id="15"/>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18</w:t>
      </w:r>
    </w:p>
    <w:p w14:paraId="3FCEF19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11. 价格调整</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19</w:t>
      </w:r>
    </w:p>
    <w:p w14:paraId="47345AE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12. 合同价格、计量与支付</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20</w:t>
      </w:r>
    </w:p>
    <w:p w14:paraId="1CF6B2F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13.</w:t>
      </w:r>
      <w:r>
        <w:rPr>
          <w:rStyle w:val="52"/>
          <w:rFonts w:hint="eastAsia" w:ascii="Times New Roman" w:hAnsi="Times New Roman" w:eastAsia="仿宋_GB2312"/>
          <w:color w:val="auto"/>
          <w:sz w:val="24"/>
          <w:szCs w:val="24"/>
        </w:rPr>
        <w:t xml:space="preserve"> </w:t>
      </w:r>
      <w:r>
        <w:rPr>
          <w:rStyle w:val="52"/>
          <w:rFonts w:ascii="Times New Roman" w:hAnsi="Times New Roman" w:eastAsia="仿宋_GB2312"/>
          <w:color w:val="auto"/>
          <w:sz w:val="24"/>
          <w:szCs w:val="24"/>
        </w:rPr>
        <w:t>验收和工程试车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23</w:t>
      </w:r>
    </w:p>
    <w:p w14:paraId="4645E5D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14. 竣工结算</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24</w:t>
      </w:r>
    </w:p>
    <w:p w14:paraId="4ADB178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15. 缺陷责任期与保修</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25</w:t>
      </w:r>
    </w:p>
    <w:p w14:paraId="1BCD06F8">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16. 违约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26</w:t>
      </w:r>
    </w:p>
    <w:p w14:paraId="27F07D4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17. 不可抗力</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28</w:t>
      </w:r>
    </w:p>
    <w:p w14:paraId="309A548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18. 保险</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E016B3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20. 争议解决</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3499DCF">
      <w:pPr>
        <w:pStyle w:val="33"/>
        <w:tabs>
          <w:tab w:val="left" w:pos="1890"/>
          <w:tab w:val="right" w:leader="dot" w:pos="8296"/>
        </w:tabs>
        <w:ind w:left="1260" w:leftChars="600" w:firstLine="0" w:firstLineChars="0"/>
        <w:rPr>
          <w:rFonts w:hint="eastAsia" w:ascii="Times New Roman" w:hAnsi="Times New Roman" w:eastAsia="仿宋_GB2312"/>
          <w:sz w:val="28"/>
          <w:szCs w:val="28"/>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附件</w:t>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31</w:t>
      </w:r>
    </w:p>
    <w:p w14:paraId="281ED4BD">
      <w:pPr>
        <w:pStyle w:val="4"/>
        <w:jc w:val="center"/>
        <w:rPr>
          <w:rFonts w:ascii="Times New Roman" w:hAnsi="Times New Roman" w:eastAsia="仿宋_GB2312"/>
          <w:sz w:val="28"/>
          <w:szCs w:val="28"/>
        </w:rPr>
        <w:sectPr>
          <w:footerReference r:id="rId6"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sz w:val="28"/>
          <w:szCs w:val="28"/>
        </w:rPr>
        <w:fldChar w:fldCharType="end"/>
      </w:r>
      <w:bookmarkStart w:id="16" w:name="_Toc351203480"/>
    </w:p>
    <w:p w14:paraId="0CD84FCD">
      <w:pPr>
        <w:pStyle w:val="4"/>
        <w:jc w:val="center"/>
        <w:rPr>
          <w:rFonts w:ascii="仿宋" w:hAnsi="仿宋" w:eastAsia="仿宋"/>
          <w:b w:val="0"/>
          <w:sz w:val="44"/>
          <w:szCs w:val="44"/>
        </w:rPr>
      </w:pPr>
      <w:r>
        <w:rPr>
          <w:rFonts w:ascii="仿宋" w:hAnsi="仿宋" w:eastAsia="仿宋"/>
          <w:sz w:val="32"/>
          <w:szCs w:val="32"/>
        </w:rPr>
        <w:t>第一部分 合同协议书</w:t>
      </w:r>
      <w:bookmarkEnd w:id="12"/>
      <w:bookmarkEnd w:id="13"/>
      <w:bookmarkEnd w:id="16"/>
    </w:p>
    <w:p w14:paraId="12C1A8A6">
      <w:pPr>
        <w:spacing w:line="360" w:lineRule="auto"/>
        <w:rPr>
          <w:rFonts w:hint="eastAsia" w:ascii="Times New Roman" w:hAnsi="Times New Roman" w:eastAsia="仿宋_GB2312"/>
          <w:b/>
          <w:sz w:val="24"/>
          <w:szCs w:val="24"/>
          <w:u w:val="single"/>
          <w:lang w:eastAsia="zh-CN"/>
        </w:rPr>
      </w:pPr>
      <w:r>
        <w:rPr>
          <w:rFonts w:ascii="Times New Roman" w:hAnsi="Times New Roman" w:eastAsia="仿宋_GB2312"/>
          <w:b/>
          <w:sz w:val="24"/>
          <w:szCs w:val="24"/>
        </w:rPr>
        <w:t>发包人（全称）：</w:t>
      </w:r>
    </w:p>
    <w:p w14:paraId="10EC492F">
      <w:pPr>
        <w:spacing w:line="360" w:lineRule="auto"/>
        <w:rPr>
          <w:rFonts w:hint="default" w:ascii="Times New Roman" w:hAnsi="Times New Roman" w:eastAsia="仿宋_GB2312"/>
          <w:b/>
          <w:sz w:val="24"/>
          <w:szCs w:val="24"/>
          <w:u w:val="single"/>
          <w:lang w:val="en-US" w:eastAsia="zh-CN"/>
        </w:rPr>
      </w:pPr>
      <w:r>
        <w:rPr>
          <w:rFonts w:ascii="Times New Roman" w:hAnsi="Times New Roman" w:eastAsia="仿宋_GB2312"/>
          <w:b/>
          <w:sz w:val="24"/>
          <w:szCs w:val="24"/>
        </w:rPr>
        <w:t>承包人（全称）：</w:t>
      </w:r>
      <w:r>
        <w:rPr>
          <w:rFonts w:hint="eastAsia" w:ascii="Times New Roman" w:hAnsi="Times New Roman" w:eastAsia="仿宋_GB2312"/>
          <w:b/>
          <w:sz w:val="24"/>
          <w:szCs w:val="24"/>
          <w:u w:val="single"/>
          <w:lang w:val="en-US" w:eastAsia="zh-CN"/>
        </w:rPr>
        <w:t xml:space="preserve">  </w:t>
      </w:r>
    </w:p>
    <w:p w14:paraId="00BCCA97">
      <w:pPr>
        <w:keepNext w:val="0"/>
        <w:keepLines w:val="0"/>
        <w:widowControl/>
        <w:suppressLineNumbers w:val="0"/>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根据《</w:t>
      </w:r>
      <w:r>
        <w:rPr>
          <w:rFonts w:hint="eastAsia" w:ascii="Times New Roman" w:hAnsi="Times New Roman" w:eastAsia="仿宋_GB2312"/>
          <w:sz w:val="24"/>
          <w:szCs w:val="24"/>
          <w:lang w:val="en-US" w:eastAsia="zh-CN"/>
        </w:rPr>
        <w:t>中华人民共和国民法典</w:t>
      </w:r>
      <w:r>
        <w:rPr>
          <w:rFonts w:ascii="Times New Roman" w:hAnsi="Times New Roman" w:eastAsia="仿宋_GB2312"/>
          <w:sz w:val="24"/>
          <w:szCs w:val="24"/>
        </w:rPr>
        <w:t>》及有关法律规定，遵循平等、自愿、公平和诚实信用的原则，双方就</w:t>
      </w:r>
    </w:p>
    <w:p w14:paraId="37B0B556">
      <w:pPr>
        <w:spacing w:line="360" w:lineRule="auto"/>
        <w:rPr>
          <w:rFonts w:ascii="Times New Roman" w:hAnsi="Times New Roman" w:eastAsia="仿宋_GB2312"/>
          <w:sz w:val="24"/>
          <w:szCs w:val="24"/>
        </w:rPr>
      </w:pPr>
      <w:r>
        <w:rPr>
          <w:rFonts w:hint="eastAsia" w:eastAsia="仿宋_GB2312"/>
          <w:b/>
          <w:sz w:val="24"/>
          <w:szCs w:val="24"/>
          <w:u w:val="single"/>
          <w:lang w:eastAsia="zh-CN"/>
        </w:rPr>
        <w:t>黄浦区老西门街道市民健身中心装修工程</w:t>
      </w:r>
      <w:r>
        <w:rPr>
          <w:rFonts w:ascii="Times New Roman" w:hAnsi="Times New Roman" w:eastAsia="仿宋_GB2312"/>
          <w:sz w:val="24"/>
          <w:szCs w:val="24"/>
        </w:rPr>
        <w:t>施工及有关事项协商一致</w:t>
      </w:r>
      <w:r>
        <w:rPr>
          <w:rFonts w:hint="eastAsia" w:ascii="Times New Roman" w:hAnsi="Times New Roman" w:eastAsia="仿宋_GB2312"/>
          <w:sz w:val="24"/>
          <w:szCs w:val="24"/>
        </w:rPr>
        <w:t>，</w:t>
      </w:r>
      <w:r>
        <w:rPr>
          <w:rFonts w:ascii="Times New Roman" w:hAnsi="Times New Roman" w:eastAsia="仿宋_GB2312"/>
          <w:sz w:val="24"/>
          <w:szCs w:val="24"/>
        </w:rPr>
        <w:t>共同达成如下协议：</w:t>
      </w:r>
    </w:p>
    <w:p w14:paraId="75F3B867">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Cs w:val="0"/>
          <w:sz w:val="24"/>
          <w:szCs w:val="24"/>
        </w:rPr>
        <w:t xml:space="preserve">   </w:t>
      </w:r>
      <w:r>
        <w:rPr>
          <w:rFonts w:ascii="Times New Roman" w:hAnsi="Times New Roman" w:eastAsia="黑体"/>
          <w:b w:val="0"/>
          <w:sz w:val="24"/>
          <w:szCs w:val="24"/>
        </w:rPr>
        <w:t xml:space="preserve"> </w:t>
      </w:r>
      <w:bookmarkStart w:id="17" w:name="_Toc351203481"/>
      <w:r>
        <w:rPr>
          <w:rFonts w:ascii="Times New Roman" w:hAnsi="Times New Roman" w:eastAsia="黑体"/>
          <w:b w:val="0"/>
          <w:sz w:val="24"/>
          <w:szCs w:val="24"/>
        </w:rPr>
        <w:t>一、工程概况</w:t>
      </w:r>
      <w:bookmarkEnd w:id="17"/>
    </w:p>
    <w:p w14:paraId="4B0BDA08">
      <w:pPr>
        <w:spacing w:line="360" w:lineRule="auto"/>
        <w:ind w:firstLine="470" w:firstLineChars="196"/>
        <w:rPr>
          <w:rFonts w:ascii="Times New Roman" w:hAnsi="Times New Roman" w:eastAsia="仿宋_GB2312"/>
          <w:b w:val="0"/>
          <w:bCs/>
          <w:sz w:val="24"/>
          <w:szCs w:val="24"/>
          <w:u w:val="single"/>
        </w:rPr>
      </w:pPr>
      <w:r>
        <w:rPr>
          <w:rFonts w:ascii="Times New Roman" w:hAnsi="Times New Roman" w:eastAsia="仿宋_GB2312"/>
          <w:bCs/>
          <w:sz w:val="24"/>
          <w:szCs w:val="24"/>
        </w:rPr>
        <w:t>1.工程名称</w:t>
      </w:r>
      <w:r>
        <w:rPr>
          <w:rFonts w:ascii="Times New Roman" w:hAnsi="Times New Roman" w:eastAsia="仿宋_GB2312"/>
          <w:sz w:val="24"/>
          <w:szCs w:val="24"/>
        </w:rPr>
        <w:t>：</w:t>
      </w:r>
      <w:r>
        <w:rPr>
          <w:rFonts w:hint="eastAsia" w:eastAsia="仿宋_GB2312"/>
          <w:b w:val="0"/>
          <w:bCs/>
          <w:sz w:val="24"/>
          <w:szCs w:val="24"/>
          <w:u w:val="single"/>
          <w:lang w:eastAsia="zh-CN"/>
        </w:rPr>
        <w:t>黄浦区老西门街道市民健身中心装修工程</w:t>
      </w:r>
    </w:p>
    <w:p w14:paraId="54078015">
      <w:pPr>
        <w:spacing w:line="360" w:lineRule="auto"/>
        <w:ind w:firstLine="470" w:firstLineChars="196"/>
        <w:rPr>
          <w:rFonts w:hint="eastAsia" w:eastAsia="仿宋_GB2312"/>
          <w:b w:val="0"/>
          <w:bCs/>
          <w:sz w:val="24"/>
          <w:szCs w:val="24"/>
          <w:u w:val="single"/>
          <w:lang w:eastAsia="zh-CN"/>
        </w:rPr>
      </w:pPr>
      <w:r>
        <w:rPr>
          <w:rFonts w:ascii="Times New Roman" w:hAnsi="Times New Roman" w:eastAsia="仿宋_GB2312"/>
          <w:b w:val="0"/>
          <w:bCs/>
          <w:sz w:val="24"/>
          <w:szCs w:val="24"/>
        </w:rPr>
        <w:t>2.工程地点：</w:t>
      </w:r>
      <w:r>
        <w:rPr>
          <w:rFonts w:hint="eastAsia" w:eastAsia="仿宋_GB2312"/>
          <w:b w:val="0"/>
          <w:bCs/>
          <w:sz w:val="24"/>
          <w:szCs w:val="24"/>
          <w:u w:val="single"/>
          <w:lang w:eastAsia="zh-CN"/>
        </w:rPr>
        <w:t>上海市黄浦区大兴街12-22号第2层。</w:t>
      </w:r>
    </w:p>
    <w:p w14:paraId="417B10B7">
      <w:pPr>
        <w:spacing w:line="360" w:lineRule="auto"/>
        <w:ind w:firstLine="470" w:firstLineChars="196"/>
        <w:rPr>
          <w:rFonts w:ascii="Times New Roman" w:hAnsi="Times New Roman" w:eastAsia="仿宋_GB2312"/>
          <w:bCs/>
          <w:sz w:val="24"/>
          <w:szCs w:val="24"/>
        </w:rPr>
      </w:pPr>
      <w:r>
        <w:rPr>
          <w:rFonts w:ascii="Times New Roman" w:hAnsi="Times New Roman" w:eastAsia="仿宋_GB2312"/>
          <w:bCs/>
          <w:sz w:val="24"/>
          <w:szCs w:val="24"/>
        </w:rPr>
        <w:t>3.工程立项批准文号：</w:t>
      </w:r>
      <w:r>
        <w:rPr>
          <w:rFonts w:ascii="Times New Roman" w:hAnsi="Times New Roman" w:eastAsia="仿宋_GB2312"/>
          <w:sz w:val="24"/>
          <w:szCs w:val="24"/>
          <w:u w:val="single"/>
        </w:rPr>
        <w:t>/</w:t>
      </w:r>
      <w:r>
        <w:rPr>
          <w:rFonts w:ascii="Times New Roman" w:hAnsi="Times New Roman" w:eastAsia="仿宋_GB2312"/>
          <w:bCs/>
          <w:sz w:val="24"/>
          <w:szCs w:val="24"/>
        </w:rPr>
        <w:t>。</w:t>
      </w:r>
    </w:p>
    <w:p w14:paraId="211E7587">
      <w:pPr>
        <w:spacing w:line="360" w:lineRule="auto"/>
        <w:ind w:firstLine="470" w:firstLineChars="196"/>
        <w:rPr>
          <w:rFonts w:hint="eastAsia" w:ascii="Times New Roman" w:hAnsi="Times New Roman" w:eastAsia="仿宋_GB2312"/>
          <w:bCs/>
          <w:sz w:val="24"/>
          <w:szCs w:val="24"/>
        </w:rPr>
      </w:pPr>
      <w:r>
        <w:rPr>
          <w:rFonts w:ascii="Times New Roman" w:hAnsi="Times New Roman" w:eastAsia="仿宋_GB2312"/>
          <w:bCs/>
          <w:sz w:val="24"/>
          <w:szCs w:val="24"/>
        </w:rPr>
        <w:t>4.资金来源：</w:t>
      </w:r>
      <w:r>
        <w:rPr>
          <w:rFonts w:hint="eastAsia" w:ascii="Times New Roman" w:hAnsi="Times New Roman" w:eastAsia="仿宋_GB2312"/>
          <w:sz w:val="24"/>
          <w:szCs w:val="24"/>
          <w:u w:val="single"/>
          <w:lang w:eastAsia="zh-CN"/>
        </w:rPr>
        <w:t>区财政资金</w:t>
      </w:r>
      <w:r>
        <w:rPr>
          <w:rFonts w:ascii="Times New Roman" w:hAnsi="Times New Roman" w:eastAsia="仿宋_GB2312"/>
          <w:bCs/>
          <w:sz w:val="24"/>
          <w:szCs w:val="24"/>
        </w:rPr>
        <w:t>。</w:t>
      </w:r>
    </w:p>
    <w:p w14:paraId="5AE7A07E">
      <w:pPr>
        <w:spacing w:line="360" w:lineRule="auto"/>
        <w:ind w:firstLine="470" w:firstLineChars="196"/>
        <w:rPr>
          <w:rFonts w:hint="eastAsia" w:eastAsia="仿宋_GB2312"/>
          <w:b w:val="0"/>
          <w:bCs/>
          <w:sz w:val="24"/>
          <w:szCs w:val="24"/>
          <w:u w:val="single"/>
          <w:lang w:eastAsia="zh-CN"/>
        </w:rPr>
      </w:pPr>
      <w:r>
        <w:rPr>
          <w:rFonts w:hint="eastAsia" w:ascii="Times New Roman" w:hAnsi="Times New Roman" w:eastAsia="仿宋_GB2312"/>
          <w:bCs/>
          <w:sz w:val="24"/>
          <w:szCs w:val="24"/>
        </w:rPr>
        <w:t>5.工程内容：</w:t>
      </w:r>
      <w:r>
        <w:rPr>
          <w:rFonts w:hint="eastAsia" w:eastAsia="仿宋_GB2312"/>
          <w:b w:val="0"/>
          <w:bCs/>
          <w:sz w:val="24"/>
          <w:szCs w:val="24"/>
          <w:u w:val="single"/>
          <w:lang w:eastAsia="zh-CN"/>
        </w:rPr>
        <w:t>本项目拟在不改变建筑主体承重结构和建筑面积的基础上，对黄浦区大兴街12-22号第2层房屋进行装修，主要包括：房屋功能布局调整，室内装修工程和安装工程等。项目实施总建筑面积为1634.1平方米。</w:t>
      </w:r>
    </w:p>
    <w:p w14:paraId="3E7E0001">
      <w:pPr>
        <w:spacing w:line="360" w:lineRule="auto"/>
        <w:ind w:firstLine="470" w:firstLineChars="196"/>
        <w:rPr>
          <w:rFonts w:ascii="Times New Roman" w:hAnsi="Times New Roman" w:eastAsia="仿宋_GB2312"/>
          <w:bCs/>
          <w:sz w:val="24"/>
          <w:szCs w:val="24"/>
        </w:rPr>
      </w:pPr>
      <w:r>
        <w:rPr>
          <w:rFonts w:hint="eastAsia" w:ascii="Times New Roman" w:hAnsi="Times New Roman" w:eastAsia="仿宋_GB2312"/>
          <w:sz w:val="24"/>
          <w:szCs w:val="24"/>
        </w:rPr>
        <w:t>群体工程应附《</w:t>
      </w:r>
      <w:r>
        <w:rPr>
          <w:rFonts w:ascii="Times New Roman" w:hAnsi="Times New Roman" w:eastAsia="仿宋_GB2312"/>
          <w:sz w:val="24"/>
          <w:szCs w:val="24"/>
        </w:rPr>
        <w:t>承包人承揽工程项目一览表</w:t>
      </w:r>
      <w:r>
        <w:rPr>
          <w:rFonts w:hint="eastAsia" w:ascii="Times New Roman" w:hAnsi="Times New Roman" w:eastAsia="仿宋_GB2312"/>
          <w:sz w:val="24"/>
          <w:szCs w:val="24"/>
        </w:rPr>
        <w:t>》（附件1）。</w:t>
      </w:r>
    </w:p>
    <w:p w14:paraId="6D5C6953">
      <w:pPr>
        <w:spacing w:line="360" w:lineRule="auto"/>
        <w:ind w:firstLine="470" w:firstLineChars="196"/>
        <w:rPr>
          <w:rFonts w:ascii="Times New Roman" w:hAnsi="Times New Roman" w:eastAsia="仿宋_GB2312"/>
          <w:sz w:val="24"/>
          <w:szCs w:val="24"/>
        </w:rPr>
      </w:pPr>
      <w:r>
        <w:rPr>
          <w:rFonts w:hint="eastAsia" w:ascii="Times New Roman" w:hAnsi="Times New Roman" w:eastAsia="仿宋_GB2312"/>
          <w:bCs/>
          <w:sz w:val="24"/>
          <w:szCs w:val="24"/>
        </w:rPr>
        <w:t>6</w:t>
      </w:r>
      <w:r>
        <w:rPr>
          <w:rFonts w:ascii="Times New Roman" w:hAnsi="Times New Roman" w:eastAsia="仿宋_GB2312"/>
          <w:bCs/>
          <w:sz w:val="24"/>
          <w:szCs w:val="24"/>
        </w:rPr>
        <w:t>.工程承包范围：</w:t>
      </w:r>
      <w:r>
        <w:rPr>
          <w:rFonts w:hint="eastAsia" w:ascii="Times New Roman" w:hAnsi="Times New Roman" w:eastAsia="仿宋_GB2312"/>
          <w:b/>
          <w:sz w:val="24"/>
          <w:szCs w:val="24"/>
          <w:u w:val="single"/>
        </w:rPr>
        <w:t>总承包</w:t>
      </w:r>
      <w:r>
        <w:rPr>
          <w:rFonts w:ascii="Times New Roman" w:hAnsi="Times New Roman" w:eastAsia="仿宋_GB2312"/>
          <w:sz w:val="24"/>
          <w:szCs w:val="24"/>
        </w:rPr>
        <w:t>。</w:t>
      </w:r>
    </w:p>
    <w:p w14:paraId="4248E2F4">
      <w:pPr>
        <w:pStyle w:val="5"/>
        <w:spacing w:before="120" w:after="120" w:line="360" w:lineRule="auto"/>
        <w:ind w:left="0" w:leftChars="0" w:firstLine="0" w:firstLineChars="0"/>
        <w:rPr>
          <w:rFonts w:ascii="Times New Roman" w:hAnsi="Times New Roman" w:eastAsia="黑体"/>
          <w:b w:val="0"/>
          <w:sz w:val="24"/>
          <w:szCs w:val="24"/>
        </w:rPr>
      </w:pPr>
      <w:bookmarkStart w:id="18" w:name="_Toc351203482"/>
      <w:r>
        <w:rPr>
          <w:rFonts w:ascii="Times New Roman" w:hAnsi="Times New Roman" w:eastAsia="黑体"/>
          <w:b w:val="0"/>
          <w:sz w:val="24"/>
          <w:szCs w:val="24"/>
        </w:rPr>
        <w:t>二、合同工期</w:t>
      </w:r>
      <w:bookmarkEnd w:id="18"/>
    </w:p>
    <w:p w14:paraId="44F42CA2">
      <w:pPr>
        <w:spacing w:line="360" w:lineRule="auto"/>
        <w:ind w:firstLine="459"/>
        <w:rPr>
          <w:rFonts w:ascii="Times New Roman" w:hAnsi="Times New Roman" w:eastAsia="仿宋_GB2312"/>
          <w:sz w:val="24"/>
          <w:szCs w:val="24"/>
          <w:highlight w:val="none"/>
        </w:rPr>
      </w:pPr>
      <w:r>
        <w:rPr>
          <w:rFonts w:ascii="Times New Roman" w:hAnsi="Times New Roman" w:eastAsia="仿宋_GB2312"/>
          <w:sz w:val="24"/>
          <w:szCs w:val="24"/>
          <w:highlight w:val="none"/>
        </w:rPr>
        <w:t>计划开工日期：</w:t>
      </w:r>
      <w:r>
        <w:rPr>
          <w:rFonts w:hint="eastAsia" w:ascii="Times New Roman" w:hAnsi="Times New Roman" w:eastAsia="仿宋_GB2312"/>
          <w:b/>
          <w:sz w:val="24"/>
          <w:szCs w:val="24"/>
          <w:highlight w:val="none"/>
          <w:u w:val="single"/>
        </w:rPr>
        <w:t>20</w:t>
      </w:r>
      <w:r>
        <w:rPr>
          <w:rFonts w:hint="eastAsia" w:ascii="Times New Roman" w:hAnsi="Times New Roman" w:eastAsia="仿宋_GB2312"/>
          <w:b/>
          <w:sz w:val="24"/>
          <w:szCs w:val="24"/>
          <w:highlight w:val="none"/>
          <w:u w:val="single"/>
          <w:lang w:val="en-US" w:eastAsia="zh-CN"/>
        </w:rPr>
        <w:t>2</w:t>
      </w:r>
      <w:r>
        <w:rPr>
          <w:rFonts w:hint="eastAsia" w:eastAsia="仿宋_GB2312"/>
          <w:b/>
          <w:sz w:val="24"/>
          <w:szCs w:val="24"/>
          <w:highlight w:val="none"/>
          <w:u w:val="single"/>
          <w:lang w:val="en-US" w:eastAsia="zh-CN"/>
        </w:rPr>
        <w:t>5</w:t>
      </w:r>
      <w:r>
        <w:rPr>
          <w:rFonts w:ascii="Times New Roman" w:hAnsi="Times New Roman" w:eastAsia="仿宋_GB2312"/>
          <w:sz w:val="24"/>
          <w:szCs w:val="24"/>
          <w:highlight w:val="none"/>
        </w:rPr>
        <w:t>年</w:t>
      </w:r>
      <w:r>
        <w:rPr>
          <w:rFonts w:hint="eastAsia" w:eastAsia="仿宋_GB2312"/>
          <w:b/>
          <w:sz w:val="24"/>
          <w:szCs w:val="24"/>
          <w:highlight w:val="none"/>
          <w:u w:val="single"/>
          <w:lang w:val="en-US" w:eastAsia="zh-CN"/>
        </w:rPr>
        <w:t>7</w:t>
      </w:r>
      <w:r>
        <w:rPr>
          <w:rFonts w:ascii="Times New Roman" w:hAnsi="Times New Roman" w:eastAsia="仿宋_GB2312"/>
          <w:sz w:val="24"/>
          <w:szCs w:val="24"/>
          <w:highlight w:val="none"/>
        </w:rPr>
        <w:t>月</w:t>
      </w:r>
      <w:r>
        <w:rPr>
          <w:rFonts w:hint="eastAsia" w:eastAsia="仿宋_GB2312"/>
          <w:b/>
          <w:sz w:val="24"/>
          <w:szCs w:val="24"/>
          <w:highlight w:val="none"/>
          <w:u w:val="single"/>
          <w:lang w:val="en-US" w:eastAsia="zh-CN"/>
        </w:rPr>
        <w:t xml:space="preserve"> 20 </w:t>
      </w:r>
      <w:r>
        <w:rPr>
          <w:rFonts w:ascii="Times New Roman" w:hAnsi="Times New Roman" w:eastAsia="仿宋_GB2312"/>
          <w:sz w:val="24"/>
          <w:szCs w:val="24"/>
          <w:highlight w:val="none"/>
        </w:rPr>
        <w:t>日。</w:t>
      </w:r>
    </w:p>
    <w:p w14:paraId="67EC6412">
      <w:pPr>
        <w:spacing w:line="360" w:lineRule="auto"/>
        <w:ind w:firstLine="459"/>
        <w:rPr>
          <w:rFonts w:ascii="Times New Roman" w:hAnsi="Times New Roman" w:eastAsia="仿宋_GB2312"/>
          <w:sz w:val="24"/>
          <w:szCs w:val="24"/>
        </w:rPr>
      </w:pPr>
      <w:r>
        <w:rPr>
          <w:rFonts w:ascii="Times New Roman" w:hAnsi="Times New Roman" w:eastAsia="仿宋_GB2312"/>
          <w:sz w:val="24"/>
          <w:szCs w:val="24"/>
          <w:highlight w:val="none"/>
        </w:rPr>
        <w:t>工期总日历天数：</w:t>
      </w:r>
      <w:r>
        <w:rPr>
          <w:rFonts w:hint="eastAsia" w:ascii="Times New Roman" w:hAnsi="Times New Roman" w:eastAsia="仿宋_GB2312"/>
          <w:b/>
          <w:sz w:val="24"/>
          <w:szCs w:val="24"/>
          <w:highlight w:val="none"/>
          <w:u w:val="single"/>
          <w:lang w:val="en-US" w:eastAsia="zh-CN"/>
        </w:rPr>
        <w:t xml:space="preserve"> </w:t>
      </w:r>
      <w:r>
        <w:rPr>
          <w:rFonts w:hint="eastAsia" w:eastAsia="仿宋_GB2312"/>
          <w:b/>
          <w:sz w:val="24"/>
          <w:szCs w:val="24"/>
          <w:highlight w:val="none"/>
          <w:u w:val="single"/>
          <w:lang w:val="en-US" w:eastAsia="zh-CN"/>
        </w:rPr>
        <w:t xml:space="preserve">   </w:t>
      </w:r>
      <w:r>
        <w:rPr>
          <w:rFonts w:hint="eastAsia" w:ascii="Times New Roman" w:hAnsi="Times New Roman" w:eastAsia="仿宋_GB2312"/>
          <w:b/>
          <w:sz w:val="24"/>
          <w:szCs w:val="24"/>
          <w:highlight w:val="none"/>
          <w:u w:val="single"/>
          <w:lang w:val="en-US" w:eastAsia="zh-CN"/>
        </w:rPr>
        <w:t xml:space="preserve"> </w:t>
      </w:r>
      <w:r>
        <w:rPr>
          <w:rFonts w:ascii="Times New Roman" w:hAnsi="Times New Roman" w:eastAsia="仿宋_GB2312"/>
          <w:sz w:val="24"/>
          <w:szCs w:val="24"/>
          <w:highlight w:val="none"/>
        </w:rPr>
        <w:t>天。</w:t>
      </w:r>
      <w:r>
        <w:rPr>
          <w:rFonts w:ascii="Times New Roman" w:hAnsi="Times New Roman" w:eastAsia="仿宋_GB2312"/>
          <w:sz w:val="24"/>
          <w:szCs w:val="24"/>
        </w:rPr>
        <w:t>工期总日历天数与根据前述计划开竣工日期计算的工期天数不一致的，以工期总日历天数为准。</w:t>
      </w:r>
    </w:p>
    <w:p w14:paraId="4D0C3374">
      <w:pPr>
        <w:spacing w:line="360" w:lineRule="auto"/>
        <w:rPr>
          <w:rFonts w:ascii="Times New Roman" w:hAnsi="Times New Roman" w:eastAsia="黑体"/>
          <w:bCs w:val="0"/>
          <w:sz w:val="24"/>
          <w:szCs w:val="24"/>
        </w:rPr>
      </w:pPr>
      <w:r>
        <w:rPr>
          <w:rFonts w:ascii="Times New Roman" w:hAnsi="Times New Roman" w:eastAsia="黑体"/>
          <w:bCs w:val="0"/>
          <w:sz w:val="24"/>
          <w:szCs w:val="24"/>
        </w:rPr>
        <w:t xml:space="preserve"> </w:t>
      </w:r>
      <w:bookmarkStart w:id="19" w:name="_Toc351203483"/>
      <w:r>
        <w:rPr>
          <w:rFonts w:ascii="Times New Roman" w:hAnsi="Times New Roman" w:eastAsia="黑体"/>
          <w:b w:val="0"/>
          <w:sz w:val="24"/>
          <w:szCs w:val="24"/>
        </w:rPr>
        <w:t>三、质量标准</w:t>
      </w:r>
      <w:bookmarkEnd w:id="19"/>
    </w:p>
    <w:p w14:paraId="3F13F4D0">
      <w:pPr>
        <w:spacing w:line="360" w:lineRule="auto"/>
        <w:ind w:firstLine="459"/>
        <w:rPr>
          <w:rFonts w:ascii="Times New Roman" w:hAnsi="Times New Roman" w:eastAsia="仿宋_GB2312"/>
          <w:sz w:val="24"/>
          <w:szCs w:val="24"/>
        </w:rPr>
      </w:pPr>
      <w:r>
        <w:rPr>
          <w:rFonts w:ascii="Times New Roman" w:hAnsi="Times New Roman" w:eastAsia="仿宋_GB2312"/>
          <w:sz w:val="24"/>
          <w:szCs w:val="24"/>
        </w:rPr>
        <w:t>工程质量符合</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b w:val="0"/>
          <w:bCs w:val="0"/>
          <w:sz w:val="24"/>
          <w:szCs w:val="24"/>
          <w:u w:val="single"/>
          <w:lang w:eastAsia="zh-CN"/>
        </w:rPr>
        <w:t>一次验收合格</w:t>
      </w:r>
      <w:r>
        <w:rPr>
          <w:rFonts w:hint="eastAsia" w:ascii="Times New Roman" w:hAnsi="Times New Roman" w:eastAsia="仿宋_GB2312"/>
          <w:b w:val="0"/>
          <w:bCs w:val="0"/>
          <w:sz w:val="24"/>
          <w:szCs w:val="24"/>
          <w:u w:val="single"/>
          <w:lang w:val="en-US" w:eastAsia="zh-CN"/>
        </w:rPr>
        <w:t xml:space="preserve"> </w:t>
      </w:r>
      <w:r>
        <w:rPr>
          <w:rFonts w:ascii="Times New Roman" w:hAnsi="Times New Roman" w:eastAsia="仿宋_GB2312"/>
          <w:sz w:val="24"/>
          <w:szCs w:val="24"/>
        </w:rPr>
        <w:t>标准。</w:t>
      </w:r>
    </w:p>
    <w:p w14:paraId="216C319D">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 w:val="0"/>
          <w:sz w:val="24"/>
          <w:szCs w:val="24"/>
        </w:rPr>
        <w:t xml:space="preserve"> </w:t>
      </w:r>
      <w:bookmarkStart w:id="20" w:name="_Toc351203484"/>
      <w:r>
        <w:rPr>
          <w:rFonts w:ascii="Times New Roman" w:hAnsi="Times New Roman" w:eastAsia="黑体"/>
          <w:b w:val="0"/>
          <w:sz w:val="24"/>
          <w:szCs w:val="24"/>
        </w:rPr>
        <w:t>四、签约合同价与合同价格形式</w:t>
      </w:r>
      <w:bookmarkEnd w:id="20"/>
      <w:r>
        <w:rPr>
          <w:rFonts w:ascii="Times New Roman" w:hAnsi="Times New Roman" w:eastAsia="黑体"/>
          <w:b w:val="0"/>
          <w:sz w:val="24"/>
          <w:szCs w:val="24"/>
        </w:rPr>
        <w:tab/>
      </w:r>
    </w:p>
    <w:p w14:paraId="0BCC6A13">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1.签约合同价为：</w:t>
      </w:r>
    </w:p>
    <w:p w14:paraId="0F30CEBF">
      <w:pPr>
        <w:spacing w:line="360" w:lineRule="auto"/>
        <w:ind w:left="596" w:leftChars="284" w:firstLine="120" w:firstLineChars="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w:t>
      </w:r>
    </w:p>
    <w:p w14:paraId="43CBC779">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其中：</w:t>
      </w:r>
    </w:p>
    <w:p w14:paraId="437415C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（1）安全文明施工费：</w:t>
      </w:r>
    </w:p>
    <w:p w14:paraId="348B1165">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b/>
          <w:bCs/>
          <w:sz w:val="24"/>
          <w:szCs w:val="24"/>
          <w:u w:val="single"/>
          <w:lang w:val="en-US" w:eastAsia="zh-CN"/>
        </w:rPr>
        <w:t xml:space="preserve">             </w:t>
      </w:r>
      <w:r>
        <w:rPr>
          <w:rFonts w:ascii="Times New Roman" w:hAnsi="Times New Roman" w:eastAsia="仿宋_GB2312"/>
          <w:sz w:val="24"/>
          <w:szCs w:val="24"/>
        </w:rPr>
        <w:t xml:space="preserve"> (¥</w:t>
      </w:r>
      <w:r>
        <w:rPr>
          <w:rFonts w:hint="eastAsia" w:ascii="Times New Roman" w:hAnsi="Times New Roman" w:eastAsia="仿宋_GB2312"/>
          <w:b/>
          <w:sz w:val="24"/>
          <w:szCs w:val="24"/>
          <w:u w:val="single"/>
          <w:lang w:val="en-US" w:eastAsia="zh-CN"/>
        </w:rPr>
        <w:t xml:space="preserve">            </w:t>
      </w:r>
      <w:r>
        <w:rPr>
          <w:rFonts w:ascii="Times New Roman" w:hAnsi="Times New Roman" w:eastAsia="仿宋_GB2312"/>
          <w:sz w:val="24"/>
          <w:szCs w:val="24"/>
        </w:rPr>
        <w:t>元)；</w:t>
      </w:r>
    </w:p>
    <w:p w14:paraId="3C46EE2B">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（2）材料和工程设备暂估价金额：</w:t>
      </w:r>
    </w:p>
    <w:p w14:paraId="5AF25CFF">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u w:val="single"/>
        </w:rPr>
        <w:t>/</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u w:val="single"/>
        </w:rPr>
        <w:t>/</w:t>
      </w:r>
      <w:r>
        <w:rPr>
          <w:rFonts w:ascii="Times New Roman" w:hAnsi="Times New Roman" w:eastAsia="仿宋_GB2312"/>
          <w:sz w:val="24"/>
          <w:szCs w:val="24"/>
        </w:rPr>
        <w:t>元)；</w:t>
      </w:r>
    </w:p>
    <w:p w14:paraId="2B8A6E9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（3）专业工程暂估价金额：</w:t>
      </w:r>
    </w:p>
    <w:p w14:paraId="6D7052D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元)；</w:t>
      </w:r>
    </w:p>
    <w:p w14:paraId="20BD799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（4）暂列金额：</w:t>
      </w:r>
    </w:p>
    <w:p w14:paraId="4A56CA6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元)。</w:t>
      </w:r>
    </w:p>
    <w:p w14:paraId="36AAEB9A">
      <w:pPr>
        <w:spacing w:line="360" w:lineRule="auto"/>
        <w:ind w:firstLine="480" w:firstLineChars="200"/>
        <w:rPr>
          <w:rFonts w:hint="eastAsia" w:ascii="Times New Roman" w:hAnsi="Times New Roman" w:eastAsia="仿宋_GB2312"/>
          <w:sz w:val="24"/>
          <w:szCs w:val="24"/>
          <w:highlight w:val="yellow"/>
        </w:rPr>
      </w:pPr>
      <w:r>
        <w:rPr>
          <w:rFonts w:hint="eastAsia" w:ascii="Times New Roman" w:hAnsi="Times New Roman" w:eastAsia="仿宋_GB2312"/>
          <w:sz w:val="24"/>
          <w:szCs w:val="24"/>
          <w:highlight w:val="none"/>
          <w:lang w:val="en-US" w:eastAsia="zh-CN"/>
        </w:rPr>
        <w:t>（5）外来从业者</w:t>
      </w:r>
      <w:r>
        <w:rPr>
          <w:rFonts w:hint="eastAsia" w:ascii="Times New Roman" w:hAnsi="Times New Roman" w:eastAsia="仿宋_GB2312"/>
          <w:sz w:val="24"/>
          <w:szCs w:val="24"/>
          <w:highlight w:val="none"/>
        </w:rPr>
        <w:t>工资</w:t>
      </w:r>
      <w:r>
        <w:rPr>
          <w:rFonts w:hint="eastAsia" w:ascii="Times New Roman" w:hAnsi="Times New Roman" w:eastAsia="仿宋_GB2312"/>
          <w:sz w:val="24"/>
          <w:szCs w:val="24"/>
          <w:highlight w:val="none"/>
          <w:lang w:val="en-US" w:eastAsia="zh-CN"/>
        </w:rPr>
        <w:t>金额及</w:t>
      </w:r>
      <w:r>
        <w:rPr>
          <w:rFonts w:hint="eastAsia" w:ascii="Times New Roman" w:hAnsi="Times New Roman" w:eastAsia="仿宋_GB2312"/>
          <w:sz w:val="24"/>
          <w:szCs w:val="24"/>
          <w:highlight w:val="none"/>
        </w:rPr>
        <w:t>专户</w:t>
      </w:r>
      <w:r>
        <w:rPr>
          <w:rFonts w:hint="eastAsia" w:ascii="Times New Roman" w:hAnsi="Times New Roman" w:eastAsia="仿宋_GB2312"/>
          <w:sz w:val="24"/>
          <w:szCs w:val="24"/>
          <w:highlight w:val="none"/>
          <w:lang w:val="en-US" w:eastAsia="zh-CN"/>
        </w:rPr>
        <w:t>账户</w:t>
      </w:r>
      <w:r>
        <w:rPr>
          <w:rFonts w:hint="eastAsia" w:ascii="Times New Roman" w:hAnsi="Times New Roman" w:eastAsia="仿宋_GB2312"/>
          <w:sz w:val="24"/>
          <w:szCs w:val="24"/>
          <w:highlight w:val="none"/>
        </w:rPr>
        <w:t>，具体要求参照</w:t>
      </w:r>
      <w:r>
        <w:rPr>
          <w:rFonts w:hint="eastAsia" w:ascii="Times New Roman" w:hAnsi="Times New Roman" w:eastAsia="仿宋_GB2312"/>
          <w:sz w:val="24"/>
          <w:szCs w:val="24"/>
          <w:highlight w:val="none"/>
          <w:lang w:val="en-US" w:eastAsia="zh-CN"/>
        </w:rPr>
        <w:t>保障</w:t>
      </w:r>
      <w:r>
        <w:rPr>
          <w:rFonts w:hint="eastAsia" w:ascii="Times New Roman" w:hAnsi="Times New Roman" w:eastAsia="仿宋_GB2312"/>
          <w:sz w:val="24"/>
          <w:szCs w:val="24"/>
          <w:highlight w:val="none"/>
        </w:rPr>
        <w:t>农民工工资支付条例(中华人民共和国国务院令第7</w:t>
      </w:r>
      <w:r>
        <w:rPr>
          <w:rFonts w:ascii="Times New Roman" w:hAnsi="Times New Roman" w:eastAsia="仿宋_GB2312"/>
          <w:sz w:val="24"/>
          <w:szCs w:val="24"/>
          <w:highlight w:val="none"/>
        </w:rPr>
        <w:t>24</w:t>
      </w:r>
      <w:r>
        <w:rPr>
          <w:rFonts w:hint="eastAsia" w:ascii="Times New Roman" w:hAnsi="Times New Roman" w:eastAsia="仿宋_GB2312"/>
          <w:sz w:val="24"/>
          <w:szCs w:val="24"/>
          <w:highlight w:val="none"/>
        </w:rPr>
        <w:t>号，2020年5月1日起执行)</w:t>
      </w:r>
    </w:p>
    <w:p w14:paraId="4ECA4063">
      <w:pPr>
        <w:spacing w:line="360" w:lineRule="auto"/>
        <w:ind w:firstLine="480" w:firstLineChars="200"/>
        <w:rPr>
          <w:rFonts w:hint="eastAsia" w:ascii="Times New Roman" w:hAnsi="Times New Roman" w:eastAsia="仿宋_GB2312"/>
          <w:color w:val="auto"/>
          <w:sz w:val="24"/>
          <w:szCs w:val="24"/>
          <w:u w:val="single"/>
          <w:lang w:eastAsia="zh-CN"/>
        </w:rPr>
      </w:pPr>
      <w:r>
        <w:rPr>
          <w:rFonts w:ascii="Times New Roman" w:hAnsi="Times New Roman" w:eastAsia="仿宋_GB2312"/>
          <w:color w:val="auto"/>
          <w:sz w:val="24"/>
          <w:szCs w:val="24"/>
        </w:rPr>
        <w:t>2.合同价格形式：</w:t>
      </w:r>
      <w:r>
        <w:rPr>
          <w:rFonts w:hint="eastAsia" w:eastAsia="仿宋_GB2312"/>
          <w:color w:val="auto"/>
          <w:sz w:val="24"/>
          <w:szCs w:val="24"/>
          <w:u w:val="single"/>
          <w:lang w:eastAsia="zh-CN"/>
        </w:rPr>
        <w:t>综合</w:t>
      </w:r>
      <w:r>
        <w:rPr>
          <w:rFonts w:hint="eastAsia" w:ascii="Times New Roman" w:hAnsi="Times New Roman" w:eastAsia="仿宋_GB2312"/>
          <w:color w:val="auto"/>
          <w:sz w:val="24"/>
          <w:szCs w:val="24"/>
          <w:u w:val="single"/>
        </w:rPr>
        <w:t>单价</w:t>
      </w:r>
      <w:r>
        <w:rPr>
          <w:rFonts w:ascii="Times New Roman" w:hAnsi="Times New Roman" w:eastAsia="仿宋_GB2312"/>
          <w:color w:val="auto"/>
          <w:sz w:val="24"/>
          <w:szCs w:val="24"/>
          <w:u w:val="single"/>
        </w:rPr>
        <w:t>。</w:t>
      </w:r>
      <w:r>
        <w:rPr>
          <w:rFonts w:hint="eastAsia" w:ascii="Times New Roman" w:hAnsi="Times New Roman" w:eastAsia="仿宋_GB2312"/>
          <w:color w:val="auto"/>
          <w:sz w:val="24"/>
          <w:szCs w:val="24"/>
          <w:u w:val="single"/>
          <w:lang w:eastAsia="zh-CN"/>
        </w:rPr>
        <w:t>其中：施工措施费用和安全防护、文明施工措施不因任何因素做调整，合同包干。</w:t>
      </w:r>
    </w:p>
    <w:p w14:paraId="2674A71C">
      <w:pPr>
        <w:pStyle w:val="149"/>
        <w:numPr>
          <w:ilvl w:val="0"/>
          <w:numId w:val="0"/>
        </w:numPr>
        <w:snapToGrid w:val="0"/>
        <w:spacing w:line="362" w:lineRule="auto"/>
        <w:ind w:left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3.关于</w:t>
      </w:r>
      <w:r>
        <w:rPr>
          <w:rFonts w:ascii="Times New Roman" w:hAnsi="Times New Roman" w:eastAsia="仿宋_GB2312" w:cs="Times New Roman"/>
          <w:color w:val="auto"/>
          <w:kern w:val="2"/>
          <w:sz w:val="24"/>
          <w:szCs w:val="24"/>
          <w:lang w:val="en-US" w:eastAsia="zh-CN" w:bidi="ar-SA"/>
        </w:rPr>
        <w:t>结算方式的约定</w:t>
      </w:r>
      <w:r>
        <w:rPr>
          <w:rFonts w:hint="eastAsia" w:ascii="Times New Roman" w:hAnsi="Times New Roman" w:eastAsia="仿宋_GB2312" w:cs="Times New Roman"/>
          <w:color w:val="auto"/>
          <w:kern w:val="2"/>
          <w:sz w:val="24"/>
          <w:szCs w:val="24"/>
          <w:lang w:val="en-US" w:eastAsia="zh-CN" w:bidi="ar-SA"/>
        </w:rPr>
        <w:t>：</w:t>
      </w:r>
    </w:p>
    <w:p w14:paraId="2D9F0F27">
      <w:pPr>
        <w:pStyle w:val="149"/>
        <w:numPr>
          <w:ilvl w:val="0"/>
          <w:numId w:val="0"/>
        </w:numPr>
        <w:snapToGrid w:val="0"/>
        <w:spacing w:line="362" w:lineRule="auto"/>
        <w:ind w:leftChars="0" w:firstLine="480" w:firstLineChars="20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按市场信息价①合同中已有适用于变更工程的价格，按合同已有的价格变更合同价款；②合同中只有类似于变更工程的价格，可以参照类似价格变更合同价款； ③合同中没有适用或者类似于变更工程的价格，由承包人重新按市场价，套用相关清单定额，企业管理费及利润按</w:t>
      </w:r>
      <w:r>
        <w:rPr>
          <w:rFonts w:ascii="Times New Roman" w:hAnsi="Times New Roman" w:eastAsia="仿宋_GB2312" w:cs="Times New Roman"/>
          <w:color w:val="auto"/>
          <w:kern w:val="2"/>
          <w:sz w:val="24"/>
          <w:szCs w:val="24"/>
          <w:lang w:val="en-US" w:eastAsia="zh-CN" w:bidi="ar-SA"/>
        </w:rPr>
        <w:t>投标时的费率计取</w:t>
      </w:r>
      <w:r>
        <w:rPr>
          <w:rFonts w:hint="eastAsia" w:ascii="Times New Roman" w:hAnsi="Times New Roman" w:eastAsia="仿宋_GB2312" w:cs="Times New Roman"/>
          <w:color w:val="auto"/>
          <w:kern w:val="2"/>
          <w:sz w:val="24"/>
          <w:szCs w:val="24"/>
          <w:lang w:val="en-US" w:eastAsia="zh-CN" w:bidi="ar-SA"/>
        </w:rPr>
        <w:t>。组价后提出适当的变更价格，经投资监理审核确认后执行；工程量</w:t>
      </w:r>
      <w:r>
        <w:rPr>
          <w:rFonts w:ascii="Times New Roman" w:hAnsi="Times New Roman" w:eastAsia="仿宋_GB2312" w:cs="Times New Roman"/>
          <w:color w:val="auto"/>
          <w:kern w:val="2"/>
          <w:sz w:val="24"/>
          <w:szCs w:val="24"/>
          <w:lang w:val="en-US" w:eastAsia="zh-CN" w:bidi="ar-SA"/>
        </w:rPr>
        <w:t>按实结算</w:t>
      </w:r>
      <w:r>
        <w:rPr>
          <w:rFonts w:hint="eastAsia" w:ascii="Times New Roman" w:hAnsi="Times New Roman" w:eastAsia="仿宋_GB2312" w:cs="Times New Roman"/>
          <w:color w:val="auto"/>
          <w:kern w:val="2"/>
          <w:sz w:val="24"/>
          <w:szCs w:val="24"/>
          <w:lang w:val="en-US" w:eastAsia="zh-CN" w:bidi="ar-SA"/>
        </w:rPr>
        <w:t>，未</w:t>
      </w:r>
      <w:r>
        <w:rPr>
          <w:rFonts w:ascii="Times New Roman" w:hAnsi="Times New Roman" w:eastAsia="仿宋_GB2312" w:cs="Times New Roman"/>
          <w:color w:val="auto"/>
          <w:kern w:val="2"/>
          <w:sz w:val="24"/>
          <w:szCs w:val="24"/>
          <w:lang w:val="en-US" w:eastAsia="zh-CN" w:bidi="ar-SA"/>
        </w:rPr>
        <w:t>经</w:t>
      </w:r>
      <w:r>
        <w:rPr>
          <w:rFonts w:hint="eastAsia" w:ascii="Times New Roman" w:hAnsi="Times New Roman" w:eastAsia="仿宋_GB2312" w:cs="Times New Roman"/>
          <w:color w:val="auto"/>
          <w:kern w:val="2"/>
          <w:sz w:val="24"/>
          <w:szCs w:val="24"/>
          <w:lang w:val="en-US" w:eastAsia="zh-CN" w:bidi="ar-SA"/>
        </w:rPr>
        <w:t>建设</w:t>
      </w:r>
      <w:r>
        <w:rPr>
          <w:rFonts w:ascii="Times New Roman" w:hAnsi="Times New Roman" w:eastAsia="仿宋_GB2312" w:cs="Times New Roman"/>
          <w:color w:val="auto"/>
          <w:kern w:val="2"/>
          <w:sz w:val="24"/>
          <w:szCs w:val="24"/>
          <w:lang w:val="en-US" w:eastAsia="zh-CN" w:bidi="ar-SA"/>
        </w:rPr>
        <w:t>单位</w:t>
      </w:r>
      <w:r>
        <w:rPr>
          <w:rFonts w:hint="eastAsia" w:ascii="Times New Roman" w:hAnsi="Times New Roman" w:eastAsia="仿宋_GB2312" w:cs="Times New Roman"/>
          <w:color w:val="auto"/>
          <w:kern w:val="2"/>
          <w:sz w:val="24"/>
          <w:szCs w:val="24"/>
          <w:lang w:val="en-US" w:eastAsia="zh-CN" w:bidi="ar-SA"/>
        </w:rPr>
        <w:t>或</w:t>
      </w:r>
      <w:r>
        <w:rPr>
          <w:rFonts w:ascii="Times New Roman" w:hAnsi="Times New Roman" w:eastAsia="仿宋_GB2312" w:cs="Times New Roman"/>
          <w:color w:val="auto"/>
          <w:kern w:val="2"/>
          <w:sz w:val="24"/>
          <w:szCs w:val="24"/>
          <w:lang w:val="en-US" w:eastAsia="zh-CN" w:bidi="ar-SA"/>
        </w:rPr>
        <w:t>委托的监理</w:t>
      </w:r>
      <w:r>
        <w:rPr>
          <w:rFonts w:hint="eastAsia" w:ascii="Times New Roman" w:hAnsi="Times New Roman" w:eastAsia="仿宋_GB2312" w:cs="Times New Roman"/>
          <w:color w:val="auto"/>
          <w:kern w:val="2"/>
          <w:sz w:val="24"/>
          <w:szCs w:val="24"/>
          <w:lang w:val="en-US" w:eastAsia="zh-CN" w:bidi="ar-SA"/>
        </w:rPr>
        <w:t>单位</w:t>
      </w:r>
      <w:r>
        <w:rPr>
          <w:rFonts w:ascii="Times New Roman" w:hAnsi="Times New Roman" w:eastAsia="仿宋_GB2312" w:cs="Times New Roman"/>
          <w:color w:val="auto"/>
          <w:kern w:val="2"/>
          <w:sz w:val="24"/>
          <w:szCs w:val="24"/>
          <w:lang w:val="en-US" w:eastAsia="zh-CN" w:bidi="ar-SA"/>
        </w:rPr>
        <w:t>同意私自变更的</w:t>
      </w:r>
      <w:r>
        <w:rPr>
          <w:rFonts w:hint="eastAsia" w:ascii="Times New Roman" w:hAnsi="Times New Roman" w:eastAsia="仿宋_GB2312" w:cs="Times New Roman"/>
          <w:color w:val="auto"/>
          <w:kern w:val="2"/>
          <w:sz w:val="24"/>
          <w:szCs w:val="24"/>
          <w:lang w:val="en-US" w:eastAsia="zh-CN" w:bidi="ar-SA"/>
        </w:rPr>
        <w:t>，变更</w:t>
      </w:r>
      <w:r>
        <w:rPr>
          <w:rFonts w:ascii="Times New Roman" w:hAnsi="Times New Roman" w:eastAsia="仿宋_GB2312" w:cs="Times New Roman"/>
          <w:color w:val="auto"/>
          <w:kern w:val="2"/>
          <w:sz w:val="24"/>
          <w:szCs w:val="24"/>
          <w:lang w:val="en-US" w:eastAsia="zh-CN" w:bidi="ar-SA"/>
        </w:rPr>
        <w:t>费用自行承担</w:t>
      </w:r>
      <w:r>
        <w:rPr>
          <w:rFonts w:hint="eastAsia" w:ascii="Times New Roman" w:hAnsi="Times New Roman" w:eastAsia="仿宋_GB2312" w:cs="Times New Roman"/>
          <w:color w:val="auto"/>
          <w:kern w:val="2"/>
          <w:sz w:val="24"/>
          <w:szCs w:val="24"/>
          <w:lang w:val="en-US" w:eastAsia="zh-CN" w:bidi="ar-SA"/>
        </w:rPr>
        <w:t>。</w:t>
      </w:r>
    </w:p>
    <w:p w14:paraId="05460385">
      <w:pPr>
        <w:pStyle w:val="149"/>
        <w:numPr>
          <w:ilvl w:val="0"/>
          <w:numId w:val="10"/>
        </w:numPr>
        <w:snapToGrid w:val="0"/>
        <w:spacing w:line="362" w:lineRule="auto"/>
        <w:ind w:left="0" w:leftChars="0" w:firstLine="0" w:firstLineChars="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关于</w:t>
      </w:r>
      <w:r>
        <w:rPr>
          <w:rFonts w:ascii="Times New Roman" w:hAnsi="Times New Roman" w:eastAsia="仿宋_GB2312" w:cs="Times New Roman"/>
          <w:color w:val="auto"/>
          <w:kern w:val="2"/>
          <w:sz w:val="24"/>
          <w:szCs w:val="24"/>
          <w:lang w:val="en-US" w:eastAsia="zh-CN" w:bidi="ar-SA"/>
        </w:rPr>
        <w:t>社保的结算方式：</w:t>
      </w:r>
      <w:r>
        <w:rPr>
          <w:rFonts w:hint="eastAsia" w:ascii="Times New Roman" w:hAnsi="Times New Roman" w:eastAsia="仿宋_GB2312" w:cs="Times New Roman"/>
          <w:color w:val="auto"/>
          <w:kern w:val="2"/>
          <w:sz w:val="24"/>
          <w:szCs w:val="24"/>
          <w:lang w:val="en-US" w:eastAsia="zh-CN" w:bidi="ar-SA"/>
        </w:rPr>
        <w:t>按沪建标定联[2023]120号相关规定执行</w:t>
      </w:r>
      <w:r>
        <w:rPr>
          <w:rFonts w:ascii="Times New Roman" w:hAnsi="Times New Roman" w:eastAsia="仿宋_GB2312" w:cs="Times New Roman"/>
          <w:color w:val="auto"/>
          <w:kern w:val="2"/>
          <w:sz w:val="24"/>
          <w:szCs w:val="24"/>
          <w:lang w:val="en-US" w:eastAsia="zh-CN" w:bidi="ar-SA"/>
        </w:rPr>
        <w:t>。</w:t>
      </w:r>
    </w:p>
    <w:p w14:paraId="30F899A1">
      <w:pPr>
        <w:pStyle w:val="5"/>
        <w:spacing w:before="120" w:after="120" w:line="360" w:lineRule="auto"/>
        <w:ind w:left="0" w:leftChars="0" w:firstLine="0" w:firstLineChars="0"/>
        <w:rPr>
          <w:rFonts w:ascii="Times New Roman" w:hAnsi="Times New Roman" w:eastAsia="黑体"/>
          <w:b w:val="0"/>
          <w:color w:val="auto"/>
          <w:sz w:val="24"/>
          <w:szCs w:val="24"/>
        </w:rPr>
      </w:pPr>
      <w:bookmarkStart w:id="21" w:name="_Toc351203485"/>
      <w:r>
        <w:rPr>
          <w:rFonts w:ascii="Times New Roman" w:hAnsi="Times New Roman" w:eastAsia="黑体"/>
          <w:b w:val="0"/>
          <w:color w:val="auto"/>
          <w:sz w:val="24"/>
          <w:szCs w:val="24"/>
        </w:rPr>
        <w:t>五、</w:t>
      </w:r>
      <w:bookmarkEnd w:id="21"/>
      <w:r>
        <w:rPr>
          <w:rFonts w:ascii="Times New Roman" w:hAnsi="Times New Roman" w:eastAsia="黑体"/>
          <w:b w:val="0"/>
          <w:color w:val="auto"/>
          <w:sz w:val="24"/>
          <w:szCs w:val="24"/>
        </w:rPr>
        <w:t>项目经理</w:t>
      </w:r>
    </w:p>
    <w:p w14:paraId="499114A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承包人项目经理：</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待合同签订时约定</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w:t>
      </w:r>
    </w:p>
    <w:p w14:paraId="6BD10BC0">
      <w:pPr>
        <w:pStyle w:val="5"/>
        <w:spacing w:before="120" w:after="120" w:line="360" w:lineRule="auto"/>
        <w:ind w:left="0" w:leftChars="0" w:firstLine="0" w:firstLineChars="0"/>
        <w:rPr>
          <w:rFonts w:ascii="Times New Roman" w:hAnsi="Times New Roman" w:eastAsia="黑体"/>
          <w:bCs w:val="0"/>
          <w:color w:val="auto"/>
          <w:sz w:val="24"/>
          <w:szCs w:val="24"/>
        </w:rPr>
      </w:pPr>
      <w:r>
        <w:rPr>
          <w:rFonts w:ascii="Times New Roman" w:hAnsi="Times New Roman" w:eastAsia="黑体"/>
          <w:b w:val="0"/>
          <w:color w:val="auto"/>
          <w:sz w:val="24"/>
          <w:szCs w:val="24"/>
        </w:rPr>
        <w:t xml:space="preserve"> </w:t>
      </w:r>
      <w:bookmarkStart w:id="22" w:name="_Toc351203486"/>
      <w:r>
        <w:rPr>
          <w:rFonts w:ascii="Times New Roman" w:hAnsi="Times New Roman" w:eastAsia="黑体"/>
          <w:b w:val="0"/>
          <w:color w:val="auto"/>
          <w:sz w:val="24"/>
          <w:szCs w:val="24"/>
        </w:rPr>
        <w:t>六、合同文件构成</w:t>
      </w:r>
      <w:bookmarkEnd w:id="22"/>
    </w:p>
    <w:p w14:paraId="3CE6FB10">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本协议书与下列文件一起构成合同文件：</w:t>
      </w:r>
    </w:p>
    <w:p w14:paraId="0A85BEF0">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（1）中标通知书（如果有）；</w:t>
      </w:r>
    </w:p>
    <w:p w14:paraId="2383438B">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 xml:space="preserve">（2）投标函及其附录（如果有）； </w:t>
      </w:r>
    </w:p>
    <w:p w14:paraId="20AB1D3C">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（3）专用合同条款及其附件；</w:t>
      </w:r>
    </w:p>
    <w:p w14:paraId="23CDCC4E">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（4）通用合同条款；</w:t>
      </w:r>
    </w:p>
    <w:p w14:paraId="37402554">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（5）技术标准和要求；</w:t>
      </w:r>
    </w:p>
    <w:p w14:paraId="2D083B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（6）图纸；</w:t>
      </w:r>
    </w:p>
    <w:p w14:paraId="221F92B7">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（7）已标价工程量清单或预算书；</w:t>
      </w:r>
    </w:p>
    <w:p w14:paraId="3EDF5165">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（8）其他合同文件。</w:t>
      </w:r>
    </w:p>
    <w:p w14:paraId="5E640D2A">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在合同订立及履行过程中形成的与合同有关的文件均构成合同文件组成部分。</w:t>
      </w:r>
    </w:p>
    <w:p w14:paraId="19BC816D">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rPr>
        <w:t>专用合同条款及其附件须经合同当事人签字或盖章。</w:t>
      </w:r>
    </w:p>
    <w:p w14:paraId="22911149">
      <w:pPr>
        <w:pStyle w:val="5"/>
        <w:spacing w:before="120" w:after="120" w:line="360" w:lineRule="auto"/>
        <w:ind w:left="0" w:leftChars="0" w:firstLine="0" w:firstLineChars="0"/>
        <w:rPr>
          <w:rFonts w:ascii="Times New Roman" w:hAnsi="Times New Roman" w:eastAsia="黑体"/>
          <w:b w:val="0"/>
          <w:bCs w:val="0"/>
          <w:color w:val="auto"/>
          <w:sz w:val="24"/>
          <w:szCs w:val="24"/>
        </w:rPr>
      </w:pPr>
      <w:bookmarkStart w:id="23" w:name="_Toc351203487"/>
      <w:r>
        <w:rPr>
          <w:rFonts w:ascii="Times New Roman" w:hAnsi="Times New Roman" w:eastAsia="黑体"/>
          <w:b w:val="0"/>
          <w:color w:val="auto"/>
          <w:sz w:val="24"/>
          <w:szCs w:val="24"/>
        </w:rPr>
        <w:t>七、承诺</w:t>
      </w:r>
      <w:bookmarkEnd w:id="23"/>
    </w:p>
    <w:p w14:paraId="7DFC9065">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1.发包人承诺按照法律规定履行项目审批手续、筹集工程建设资金并按照合同约定的期限和方式支付合同价款。</w:t>
      </w:r>
    </w:p>
    <w:p w14:paraId="376CBCB9">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17F348D7">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3.发包人和承包人通过招投标形式签订合同的，双方理解并</w:t>
      </w:r>
      <w:r>
        <w:rPr>
          <w:rFonts w:hint="eastAsia" w:ascii="Times New Roman" w:hAnsi="Times New Roman" w:eastAsia="仿宋_GB2312"/>
          <w:bCs/>
          <w:color w:val="auto"/>
          <w:sz w:val="24"/>
          <w:szCs w:val="24"/>
        </w:rPr>
        <w:t>承诺</w:t>
      </w:r>
      <w:r>
        <w:rPr>
          <w:rFonts w:ascii="Times New Roman" w:hAnsi="Times New Roman" w:eastAsia="仿宋_GB2312"/>
          <w:bCs/>
          <w:color w:val="auto"/>
          <w:sz w:val="24"/>
          <w:szCs w:val="24"/>
        </w:rPr>
        <w:t>不再就同一工程另行签订与合同实质性内容相背离的协议。</w:t>
      </w:r>
    </w:p>
    <w:p w14:paraId="1A1150ED">
      <w:pPr>
        <w:spacing w:line="360" w:lineRule="auto"/>
        <w:rPr>
          <w:rFonts w:ascii="Times New Roman" w:hAnsi="Times New Roman" w:eastAsia="黑体"/>
          <w:b w:val="0"/>
          <w:bCs/>
          <w:color w:val="auto"/>
          <w:sz w:val="24"/>
          <w:szCs w:val="24"/>
        </w:rPr>
      </w:pPr>
      <w:bookmarkStart w:id="24" w:name="_Toc351203488"/>
      <w:r>
        <w:rPr>
          <w:rFonts w:ascii="Times New Roman" w:hAnsi="Times New Roman" w:eastAsia="黑体"/>
          <w:b w:val="0"/>
          <w:bCs/>
          <w:color w:val="auto"/>
          <w:sz w:val="24"/>
          <w:szCs w:val="24"/>
        </w:rPr>
        <w:t>八、词语含义</w:t>
      </w:r>
      <w:bookmarkEnd w:id="24"/>
    </w:p>
    <w:p w14:paraId="3109479D">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本协议书中词语含义与第二部分通用合同条款中赋予的含义相同。</w:t>
      </w:r>
    </w:p>
    <w:p w14:paraId="74BC74C2">
      <w:pPr>
        <w:pStyle w:val="5"/>
        <w:spacing w:before="120" w:after="120" w:line="360" w:lineRule="auto"/>
        <w:ind w:left="0" w:leftChars="0" w:firstLine="0" w:firstLineChars="0"/>
        <w:rPr>
          <w:rFonts w:ascii="Times New Roman" w:hAnsi="Times New Roman" w:eastAsia="黑体"/>
          <w:bCs w:val="0"/>
          <w:color w:val="auto"/>
          <w:sz w:val="24"/>
          <w:szCs w:val="24"/>
        </w:rPr>
      </w:pPr>
      <w:bookmarkStart w:id="25" w:name="_Toc351203489"/>
      <w:r>
        <w:rPr>
          <w:rFonts w:ascii="Times New Roman" w:hAnsi="Times New Roman" w:eastAsia="黑体"/>
          <w:b w:val="0"/>
          <w:color w:val="auto"/>
          <w:sz w:val="24"/>
          <w:szCs w:val="24"/>
        </w:rPr>
        <w:t>九、签订时间</w:t>
      </w:r>
      <w:bookmarkEnd w:id="25"/>
    </w:p>
    <w:p w14:paraId="1535B99C">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本合同于</w:t>
      </w:r>
      <w:r>
        <w:rPr>
          <w:rFonts w:hint="eastAsia" w:ascii="Times New Roman" w:hAnsi="Times New Roman" w:eastAsia="仿宋_GB2312"/>
          <w:b/>
          <w:color w:val="auto"/>
          <w:sz w:val="24"/>
          <w:szCs w:val="24"/>
          <w:u w:val="single"/>
        </w:rPr>
        <w:t>20</w:t>
      </w:r>
      <w:r>
        <w:rPr>
          <w:rFonts w:hint="eastAsia" w:ascii="Times New Roman" w:hAnsi="Times New Roman" w:eastAsia="仿宋_GB2312"/>
          <w:b/>
          <w:color w:val="auto"/>
          <w:sz w:val="24"/>
          <w:szCs w:val="24"/>
          <w:u w:val="single"/>
          <w:lang w:val="en-US" w:eastAsia="zh-CN"/>
        </w:rPr>
        <w:t>2</w:t>
      </w:r>
      <w:r>
        <w:rPr>
          <w:rFonts w:hint="eastAsia" w:eastAsia="仿宋_GB2312"/>
          <w:b/>
          <w:color w:val="auto"/>
          <w:sz w:val="24"/>
          <w:szCs w:val="24"/>
          <w:u w:val="single"/>
          <w:lang w:val="en-US" w:eastAsia="zh-CN"/>
        </w:rPr>
        <w:t>5</w:t>
      </w:r>
      <w:r>
        <w:rPr>
          <w:rFonts w:ascii="Times New Roman" w:hAnsi="Times New Roman" w:eastAsia="仿宋_GB2312"/>
          <w:bCs/>
          <w:color w:val="auto"/>
          <w:sz w:val="24"/>
          <w:szCs w:val="24"/>
        </w:rPr>
        <w:t>年</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月</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日签订。</w:t>
      </w:r>
      <w:bookmarkStart w:id="26" w:name="_Toc351203490"/>
    </w:p>
    <w:p w14:paraId="4590F2EF">
      <w:pPr>
        <w:spacing w:line="360" w:lineRule="auto"/>
        <w:rPr>
          <w:rFonts w:ascii="Times New Roman" w:hAnsi="Times New Roman" w:eastAsia="黑体"/>
          <w:bCs w:val="0"/>
          <w:color w:val="auto"/>
          <w:sz w:val="24"/>
          <w:szCs w:val="24"/>
        </w:rPr>
      </w:pPr>
      <w:r>
        <w:rPr>
          <w:rFonts w:ascii="Times New Roman" w:hAnsi="Times New Roman" w:eastAsia="黑体"/>
          <w:b w:val="0"/>
          <w:color w:val="auto"/>
          <w:sz w:val="24"/>
          <w:szCs w:val="24"/>
        </w:rPr>
        <w:t>十、签订地点</w:t>
      </w:r>
      <w:bookmarkEnd w:id="26"/>
    </w:p>
    <w:p w14:paraId="7770518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本合同在</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上海</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签订。</w:t>
      </w:r>
    </w:p>
    <w:p w14:paraId="1A38F30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7" w:name="_Toc351203491"/>
      <w:r>
        <w:rPr>
          <w:rFonts w:ascii="Times New Roman" w:hAnsi="Times New Roman" w:eastAsia="黑体"/>
          <w:b w:val="0"/>
          <w:color w:val="auto"/>
          <w:sz w:val="24"/>
          <w:szCs w:val="24"/>
        </w:rPr>
        <w:t>十一、补充协议</w:t>
      </w:r>
      <w:bookmarkEnd w:id="27"/>
    </w:p>
    <w:p w14:paraId="19FA36A0">
      <w:pPr>
        <w:spacing w:line="360" w:lineRule="auto"/>
        <w:ind w:firstLine="480" w:firstLineChars="200"/>
        <w:rPr>
          <w:rFonts w:ascii="Times New Roman" w:hAnsi="Times New Roman" w:eastAsia="仿宋_GB2312"/>
          <w:b/>
          <w:bCs/>
          <w:color w:val="auto"/>
          <w:sz w:val="24"/>
          <w:szCs w:val="24"/>
        </w:rPr>
      </w:pPr>
      <w:r>
        <w:rPr>
          <w:rFonts w:ascii="Times New Roman" w:hAnsi="Times New Roman" w:eastAsia="仿宋_GB2312"/>
          <w:bCs/>
          <w:color w:val="auto"/>
          <w:sz w:val="24"/>
          <w:szCs w:val="24"/>
        </w:rPr>
        <w:t>合同未尽事宜，合同当事人另行签订补充协议</w:t>
      </w:r>
      <w:r>
        <w:rPr>
          <w:rFonts w:hint="eastAsia" w:ascii="Times New Roman" w:hAnsi="Times New Roman" w:eastAsia="仿宋_GB2312"/>
          <w:bCs/>
          <w:color w:val="auto"/>
          <w:sz w:val="24"/>
          <w:szCs w:val="24"/>
        </w:rPr>
        <w:t>，</w:t>
      </w:r>
      <w:r>
        <w:rPr>
          <w:rFonts w:ascii="Times New Roman" w:hAnsi="Times New Roman" w:eastAsia="仿宋_GB2312"/>
          <w:bCs/>
          <w:color w:val="auto"/>
          <w:sz w:val="24"/>
          <w:szCs w:val="24"/>
        </w:rPr>
        <w:t>补充协议是合同的组成部分。</w:t>
      </w:r>
    </w:p>
    <w:p w14:paraId="1F7C3B99">
      <w:pPr>
        <w:pStyle w:val="5"/>
        <w:spacing w:before="120" w:after="120" w:line="360" w:lineRule="auto"/>
        <w:ind w:left="0" w:leftChars="0" w:firstLine="0" w:firstLineChars="0"/>
        <w:rPr>
          <w:rFonts w:ascii="Times New Roman" w:hAnsi="Times New Roman" w:eastAsia="黑体"/>
          <w:bCs w:val="0"/>
          <w:color w:val="auto"/>
          <w:sz w:val="24"/>
          <w:szCs w:val="24"/>
        </w:rPr>
      </w:pPr>
      <w:bookmarkStart w:id="28" w:name="_Toc351203492"/>
      <w:r>
        <w:rPr>
          <w:rFonts w:ascii="Times New Roman" w:hAnsi="Times New Roman" w:eastAsia="黑体"/>
          <w:b w:val="0"/>
          <w:color w:val="auto"/>
          <w:sz w:val="24"/>
          <w:szCs w:val="24"/>
        </w:rPr>
        <w:t>十二、合同生效</w:t>
      </w:r>
      <w:bookmarkEnd w:id="28"/>
    </w:p>
    <w:p w14:paraId="7A40F18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本合同自</w:t>
      </w:r>
      <w:r>
        <w:rPr>
          <w:rFonts w:hint="eastAsia" w:ascii="Times New Roman" w:hAnsi="Times New Roman" w:eastAsia="仿宋_GB2312"/>
          <w:bCs/>
          <w:color w:val="auto"/>
          <w:sz w:val="24"/>
          <w:szCs w:val="24"/>
          <w:u w:val="single"/>
        </w:rPr>
        <w:t>签订之日起</w:t>
      </w:r>
      <w:r>
        <w:rPr>
          <w:rFonts w:ascii="Times New Roman" w:hAnsi="Times New Roman" w:eastAsia="仿宋_GB2312"/>
          <w:bCs/>
          <w:color w:val="auto"/>
          <w:sz w:val="24"/>
          <w:szCs w:val="24"/>
        </w:rPr>
        <w:t>生效。</w:t>
      </w:r>
    </w:p>
    <w:p w14:paraId="111ED2F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9" w:name="_Toc351203493"/>
      <w:r>
        <w:rPr>
          <w:rFonts w:ascii="Times New Roman" w:hAnsi="Times New Roman" w:eastAsia="黑体"/>
          <w:b w:val="0"/>
          <w:color w:val="auto"/>
          <w:sz w:val="24"/>
          <w:szCs w:val="24"/>
        </w:rPr>
        <w:t>十三、合同份数</w:t>
      </w:r>
      <w:bookmarkEnd w:id="29"/>
    </w:p>
    <w:p w14:paraId="21E11CB4">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本合同一式</w:t>
      </w:r>
      <w:r>
        <w:rPr>
          <w:rFonts w:ascii="Times New Roman" w:hAnsi="Times New Roman" w:eastAsia="仿宋_GB2312"/>
          <w:b/>
          <w:color w:val="auto"/>
          <w:sz w:val="24"/>
          <w:szCs w:val="24"/>
          <w:u w:val="single"/>
        </w:rPr>
        <w:t>6</w:t>
      </w:r>
      <w:r>
        <w:rPr>
          <w:rFonts w:ascii="Times New Roman" w:hAnsi="Times New Roman" w:eastAsia="仿宋_GB2312"/>
          <w:bCs/>
          <w:color w:val="auto"/>
          <w:sz w:val="24"/>
          <w:szCs w:val="24"/>
        </w:rPr>
        <w:t>份，均具有同等法律效力，发包人执</w:t>
      </w:r>
      <w:r>
        <w:rPr>
          <w:rFonts w:ascii="Times New Roman" w:hAnsi="Times New Roman" w:eastAsia="仿宋_GB2312"/>
          <w:b/>
          <w:color w:val="auto"/>
          <w:sz w:val="24"/>
          <w:szCs w:val="24"/>
          <w:u w:val="single"/>
        </w:rPr>
        <w:t>3</w:t>
      </w:r>
      <w:r>
        <w:rPr>
          <w:rFonts w:ascii="Times New Roman" w:hAnsi="Times New Roman" w:eastAsia="仿宋_GB2312"/>
          <w:bCs/>
          <w:color w:val="auto"/>
          <w:sz w:val="24"/>
          <w:szCs w:val="24"/>
        </w:rPr>
        <w:t>份，承包人执</w:t>
      </w:r>
      <w:r>
        <w:rPr>
          <w:rFonts w:ascii="Times New Roman" w:hAnsi="Times New Roman" w:eastAsia="仿宋_GB2312"/>
          <w:bCs/>
          <w:color w:val="auto"/>
          <w:sz w:val="24"/>
          <w:szCs w:val="24"/>
          <w:u w:val="single"/>
        </w:rPr>
        <w:t>3</w:t>
      </w:r>
      <w:r>
        <w:rPr>
          <w:rFonts w:ascii="Times New Roman" w:hAnsi="Times New Roman" w:eastAsia="仿宋_GB2312"/>
          <w:bCs/>
          <w:color w:val="auto"/>
          <w:sz w:val="24"/>
          <w:szCs w:val="24"/>
        </w:rPr>
        <w:t>份。</w:t>
      </w:r>
    </w:p>
    <w:p w14:paraId="4D1BB340">
      <w:pPr>
        <w:spacing w:line="360" w:lineRule="auto"/>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承包人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p>
    <w:p w14:paraId="557DC5B9">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 xml:space="preserve">                                 </w:t>
      </w:r>
    </w:p>
    <w:p w14:paraId="54CF109F">
      <w:pPr>
        <w:spacing w:line="360" w:lineRule="auto"/>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法定代表人或其委托代理人：  法定代表人或其委托代理人：</w:t>
      </w:r>
    </w:p>
    <w:p w14:paraId="4A8211A2">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（签字）                    （签字）</w:t>
      </w:r>
    </w:p>
    <w:p w14:paraId="19749A4A">
      <w:pPr>
        <w:keepNext w:val="0"/>
        <w:keepLines w:val="0"/>
        <w:widowControl/>
        <w:suppressLineNumbers w:val="0"/>
        <w:jc w:val="left"/>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p>
    <w:p w14:paraId="1712B80C">
      <w:pPr>
        <w:keepNext w:val="0"/>
        <w:keepLines w:val="0"/>
        <w:widowControl/>
        <w:suppressLineNumbers w:val="0"/>
        <w:ind w:left="5700" w:hanging="4560" w:hangingChars="1900"/>
        <w:jc w:val="left"/>
        <w:rPr>
          <w:color w:val="auto"/>
          <w:sz w:val="24"/>
          <w:szCs w:val="24"/>
        </w:rPr>
      </w:pP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lang w:eastAsia="zh-CN"/>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lang w:eastAsia="zh-CN"/>
        </w:rPr>
        <w:t xml:space="preserve">  </w:t>
      </w:r>
      <w:r>
        <w:rPr>
          <w:rFonts w:hint="eastAsia" w:ascii="Times New Roman" w:hAnsi="Times New Roman" w:eastAsia="仿宋_GB2312"/>
          <w:color w:val="auto"/>
          <w:sz w:val="24"/>
          <w:szCs w:val="24"/>
          <w:u w:val="single"/>
          <w:lang w:val="en-US" w:eastAsia="zh-CN"/>
        </w:rPr>
        <w:t xml:space="preserve">  </w:t>
      </w:r>
    </w:p>
    <w:p w14:paraId="0396384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76556A50">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7A84F04">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8EEDA6C">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FB7615D">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0CB609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237220A">
      <w:pPr>
        <w:spacing w:line="360" w:lineRule="auto"/>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开户银行：</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开户银行：</w:t>
      </w:r>
    </w:p>
    <w:p w14:paraId="0BBE2CC8">
      <w:pPr>
        <w:keepNext w:val="0"/>
        <w:keepLines w:val="0"/>
        <w:widowControl/>
        <w:suppressLineNumbers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账  号：</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账</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 xml:space="preserve"> 号：</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p>
    <w:p w14:paraId="287524F3">
      <w:pPr>
        <w:pStyle w:val="4"/>
        <w:jc w:val="center"/>
        <w:rPr>
          <w:rFonts w:hint="eastAsia" w:ascii="仿宋" w:hAnsi="仿宋" w:eastAsia="仿宋"/>
          <w:color w:val="auto"/>
          <w:sz w:val="44"/>
          <w:szCs w:val="44"/>
        </w:rPr>
      </w:pPr>
      <w:r>
        <w:rPr>
          <w:rFonts w:eastAsia="仿宋_GB2312"/>
          <w:color w:val="auto"/>
        </w:rPr>
        <w:br w:type="page"/>
      </w:r>
      <w:bookmarkStart w:id="30" w:name="_Toc351203494"/>
      <w:r>
        <w:rPr>
          <w:rFonts w:ascii="仿宋" w:hAnsi="仿宋" w:eastAsia="仿宋"/>
          <w:color w:val="auto"/>
          <w:sz w:val="32"/>
          <w:szCs w:val="32"/>
        </w:rPr>
        <w:t>第二部分 通用合同条款</w:t>
      </w:r>
      <w:bookmarkEnd w:id="30"/>
      <w:bookmarkStart w:id="31" w:name="_Toc337558727"/>
    </w:p>
    <w:bookmarkEnd w:id="31"/>
    <w:p w14:paraId="4BB57997">
      <w:pPr>
        <w:pStyle w:val="4"/>
        <w:jc w:val="center"/>
        <w:rPr>
          <w:rFonts w:ascii="仿宋" w:hAnsi="仿宋" w:eastAsia="仿宋"/>
          <w:color w:val="auto"/>
          <w:sz w:val="44"/>
          <w:szCs w:val="44"/>
        </w:rPr>
      </w:pPr>
      <w:bookmarkStart w:id="32" w:name="_Toc351203632"/>
      <w:r>
        <w:rPr>
          <w:rFonts w:hint="eastAsia" w:ascii="Times New Roman" w:hAnsi="Times New Roman" w:eastAsia="仿宋_GB2312"/>
          <w:b w:val="0"/>
          <w:color w:val="auto"/>
          <w:sz w:val="28"/>
          <w:szCs w:val="28"/>
        </w:rPr>
        <w:t>详见通用合同条款格式版本。</w:t>
      </w:r>
      <w:r>
        <w:rPr>
          <w:rFonts w:ascii="华文中宋" w:hAnsi="华文中宋" w:eastAsia="华文中宋"/>
          <w:color w:val="auto"/>
          <w:sz w:val="44"/>
          <w:szCs w:val="44"/>
        </w:rPr>
        <w:br w:type="page"/>
      </w:r>
      <w:r>
        <w:rPr>
          <w:rFonts w:ascii="仿宋" w:hAnsi="仿宋" w:eastAsia="仿宋"/>
          <w:color w:val="auto"/>
          <w:sz w:val="32"/>
          <w:szCs w:val="32"/>
        </w:rPr>
        <w:t xml:space="preserve">第三部分 </w:t>
      </w:r>
      <w:r>
        <w:rPr>
          <w:rFonts w:hint="eastAsia" w:ascii="仿宋" w:hAnsi="仿宋" w:eastAsia="仿宋"/>
          <w:color w:val="auto"/>
          <w:sz w:val="32"/>
          <w:szCs w:val="32"/>
        </w:rPr>
        <w:t>专用合同条款</w:t>
      </w:r>
      <w:bookmarkEnd w:id="32"/>
    </w:p>
    <w:p w14:paraId="354C4CA2">
      <w:pPr>
        <w:pStyle w:val="5"/>
        <w:spacing w:before="120" w:after="120" w:line="360" w:lineRule="auto"/>
        <w:ind w:left="0" w:leftChars="0" w:firstLine="0" w:firstLineChars="0"/>
        <w:rPr>
          <w:rFonts w:ascii="Times New Roman" w:hAnsi="Times New Roman" w:eastAsia="黑体"/>
          <w:b w:val="0"/>
          <w:color w:val="auto"/>
          <w:sz w:val="24"/>
          <w:szCs w:val="24"/>
        </w:rPr>
      </w:pPr>
      <w:bookmarkStart w:id="33" w:name="_Toc351203633"/>
      <w:r>
        <w:rPr>
          <w:rFonts w:ascii="Times New Roman" w:hAnsi="Times New Roman" w:eastAsia="黑体"/>
          <w:b w:val="0"/>
          <w:color w:val="auto"/>
          <w:sz w:val="24"/>
          <w:szCs w:val="24"/>
        </w:rPr>
        <w:t>1</w:t>
      </w:r>
      <w:bookmarkStart w:id="34" w:name="_Toc296944495"/>
      <w:bookmarkStart w:id="35" w:name="_Toc296347155"/>
      <w:bookmarkStart w:id="36" w:name="_Toc292559866"/>
      <w:bookmarkStart w:id="37" w:name="_Toc297048342"/>
      <w:bookmarkStart w:id="38" w:name="_Toc296346657"/>
      <w:bookmarkStart w:id="39" w:name="_Toc296891196"/>
      <w:bookmarkStart w:id="40" w:name="_Toc297120456"/>
      <w:bookmarkStart w:id="41" w:name="_Toc296503156"/>
      <w:bookmarkStart w:id="42" w:name="_Toc292559361"/>
      <w:bookmarkStart w:id="43" w:name="_Toc296890984"/>
      <w:r>
        <w:rPr>
          <w:rFonts w:ascii="Times New Roman" w:hAnsi="Times New Roman" w:eastAsia="黑体"/>
          <w:b w:val="0"/>
          <w:color w:val="auto"/>
          <w:sz w:val="24"/>
          <w:szCs w:val="24"/>
        </w:rPr>
        <w:t>. 一般约定</w:t>
      </w:r>
      <w:bookmarkEnd w:id="33"/>
    </w:p>
    <w:bookmarkEnd w:id="34"/>
    <w:bookmarkEnd w:id="35"/>
    <w:bookmarkEnd w:id="36"/>
    <w:bookmarkEnd w:id="37"/>
    <w:bookmarkEnd w:id="38"/>
    <w:bookmarkEnd w:id="39"/>
    <w:bookmarkEnd w:id="40"/>
    <w:bookmarkEnd w:id="41"/>
    <w:bookmarkEnd w:id="42"/>
    <w:bookmarkEnd w:id="43"/>
    <w:p w14:paraId="16586F3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 词语定义</w:t>
      </w:r>
    </w:p>
    <w:p w14:paraId="491166FC">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1.1.1合同</w:t>
      </w:r>
    </w:p>
    <w:p w14:paraId="615916F8">
      <w:pPr>
        <w:spacing w:line="360" w:lineRule="auto"/>
        <w:ind w:left="1650" w:hanging="1320" w:hangingChars="55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1.1.1.10其他合同文件包括：</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B586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 合同当事人及其他相关方</w:t>
      </w:r>
    </w:p>
    <w:p w14:paraId="10ECE8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1.1.2.4监理人：</w:t>
      </w:r>
    </w:p>
    <w:p w14:paraId="343BD59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5B55FE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290A82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bCs/>
          <w:color w:val="auto"/>
          <w:sz w:val="24"/>
          <w:szCs w:val="24"/>
          <w:u w:val="single"/>
        </w:rPr>
        <w:t xml:space="preserve">                      </w:t>
      </w:r>
      <w:r>
        <w:rPr>
          <w:rFonts w:ascii="Times New Roman" w:hAnsi="Times New Roman" w:eastAsia="仿宋_GB2312"/>
          <w:color w:val="auto"/>
          <w:sz w:val="24"/>
          <w:szCs w:val="24"/>
        </w:rPr>
        <w:t>；</w:t>
      </w:r>
    </w:p>
    <w:p w14:paraId="71F75F4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38079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w:t>
      </w:r>
    </w:p>
    <w:p w14:paraId="639BFB6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1.1.2.5 设计人：</w:t>
      </w:r>
    </w:p>
    <w:p w14:paraId="7537F38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FDC818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06CFE8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578AED2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733D5F0">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4068D9F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1.1.3 工程和设备</w:t>
      </w:r>
    </w:p>
    <w:p w14:paraId="01A7B431">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1.1.3.7 作为施工现场组成部分的其他场所包括：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F666A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1.1.3.9 永久占地包括：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3567BCE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1.1.3.10 临时占地包括：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0839CF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 xml:space="preserve">1.3法律 </w:t>
      </w:r>
    </w:p>
    <w:p w14:paraId="463A4520">
      <w:pPr>
        <w:autoSpaceDE w:val="0"/>
        <w:autoSpaceDN w:val="0"/>
        <w:adjustRightInd w:val="0"/>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适用于合同的其他规范性文件：</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11E21D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 标准和规范</w:t>
      </w:r>
    </w:p>
    <w:p w14:paraId="1E10D6CA">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1.4.1适用于工程的标准规范包括：</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B97AF37">
      <w:pPr>
        <w:spacing w:line="360" w:lineRule="auto"/>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1.4.2 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6055E2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发包人提供国外标准、规范的份数：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5128CB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58160F9D">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1.4.3发包人对工程的技术标准和功能要求的特殊要求：</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70D0076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 合同文件的优先顺序</w:t>
      </w:r>
    </w:p>
    <w:p w14:paraId="3ABEFE34">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合同文件组成及优先顺序为：</w:t>
      </w:r>
      <w:r>
        <w:rPr>
          <w:rFonts w:hint="eastAsia" w:ascii="Times New Roman" w:hAnsi="Times New Roman" w:eastAsia="仿宋_GB2312"/>
          <w:color w:val="auto"/>
          <w:sz w:val="24"/>
          <w:szCs w:val="24"/>
          <w:u w:val="single"/>
        </w:rPr>
        <w:t>专用条款、通用条款、协议书</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8E8EE3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 图纸和承包人文件</w:t>
      </w:r>
      <w:r>
        <w:rPr>
          <w:rFonts w:ascii="Times New Roman" w:hAnsi="Times New Roman" w:eastAsia="黑体"/>
          <w:color w:val="auto"/>
          <w:sz w:val="24"/>
          <w:szCs w:val="24"/>
        </w:rPr>
        <w:tab/>
      </w:r>
    </w:p>
    <w:p w14:paraId="3301B14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1.6.1 图纸的提供</w:t>
      </w:r>
    </w:p>
    <w:p w14:paraId="15A672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发包人向承包人提供图纸的期限：</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52354A3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发包人向承包人提供图纸的数量：</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2158D7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发包人向承包人提供图纸的内容：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1FFD3A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1.6.4 承包人文件</w:t>
      </w:r>
    </w:p>
    <w:p w14:paraId="581E09E3">
      <w:pPr>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需要由承包人提供的文件，包括：</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4710A14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承包人提供的文件的期限为：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F584F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承包人提供的文件的数量为：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737FC38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承包人提供的文件的形式为：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24911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承包人文件的期限：</w:t>
      </w:r>
      <w:r>
        <w:rPr>
          <w:rFonts w:hint="eastAsia" w:ascii="Times New Roman" w:hAnsi="Times New Roman" w:eastAsia="仿宋_GB2312"/>
          <w:color w:val="auto"/>
          <w:sz w:val="24"/>
          <w:szCs w:val="24"/>
          <w:u w:val="single"/>
        </w:rPr>
        <w:t>按国家相关规定</w:t>
      </w:r>
      <w:r>
        <w:rPr>
          <w:rFonts w:ascii="Times New Roman" w:hAnsi="Times New Roman" w:eastAsia="仿宋_GB2312"/>
          <w:color w:val="auto"/>
          <w:sz w:val="24"/>
          <w:szCs w:val="24"/>
        </w:rPr>
        <w:t>。</w:t>
      </w:r>
    </w:p>
    <w:p w14:paraId="25581B4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1.6.5 现场图纸准备</w:t>
      </w:r>
    </w:p>
    <w:p w14:paraId="75B42F3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关于现场图纸准备的约定：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A92DDF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 联络</w:t>
      </w:r>
    </w:p>
    <w:p w14:paraId="76DD2E7E">
      <w:pPr>
        <w:spacing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1.7.1发包人和承包人应当在</w:t>
      </w:r>
      <w:r>
        <w:rPr>
          <w:rFonts w:ascii="Times New Roman" w:hAnsi="Times New Roman" w:eastAsia="仿宋_GB2312"/>
          <w:color w:val="auto"/>
          <w:sz w:val="24"/>
          <w:szCs w:val="24"/>
          <w:u w:val="single"/>
        </w:rPr>
        <w:t>7</w:t>
      </w:r>
      <w:r>
        <w:rPr>
          <w:rFonts w:ascii="Times New Roman" w:hAnsi="Times New Roman" w:eastAsia="仿宋_GB2312"/>
          <w:color w:val="auto"/>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rPr>
        <w:t>。</w:t>
      </w:r>
    </w:p>
    <w:p w14:paraId="29302FB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1.7.2 发包人接收文件的地点：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65103CA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7E9C7D5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承包人接收文件的地点：</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kern w:val="0"/>
          <w:sz w:val="24"/>
          <w:szCs w:val="24"/>
        </w:rPr>
        <w:t>；</w:t>
      </w:r>
    </w:p>
    <w:p w14:paraId="3EA72192">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22FD76FB">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472D29D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3A06C64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1.10 交通运输</w:t>
      </w:r>
    </w:p>
    <w:p w14:paraId="65C06C8E">
      <w:pPr>
        <w:spacing w:line="360" w:lineRule="auto"/>
        <w:ind w:firstLine="480" w:firstLineChars="200"/>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4" w:name="_Toc303539100"/>
      <w:bookmarkStart w:id="45" w:name="_Toc300934943"/>
      <w:bookmarkStart w:id="46" w:name="_Toc318581155"/>
      <w:bookmarkStart w:id="47" w:name="_Toc304295521"/>
      <w:bookmarkStart w:id="48" w:name="_Toc312677986"/>
      <w:r>
        <w:rPr>
          <w:rFonts w:ascii="Times New Roman" w:hAnsi="Times New Roman" w:eastAsia="仿宋_GB2312"/>
          <w:color w:val="auto"/>
          <w:sz w:val="24"/>
          <w:szCs w:val="24"/>
        </w:rPr>
        <w:t>.10.1 出入现场的权利</w:t>
      </w:r>
    </w:p>
    <w:p w14:paraId="425F62F6">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关于出入现场的权利的约定：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44"/>
    <w:bookmarkEnd w:id="45"/>
    <w:bookmarkEnd w:id="46"/>
    <w:bookmarkEnd w:id="47"/>
    <w:bookmarkEnd w:id="48"/>
    <w:p w14:paraId="40D41827">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9" w:name="_Toc303539101"/>
      <w:bookmarkStart w:id="50" w:name="_Toc312677987"/>
      <w:bookmarkStart w:id="51" w:name="_Toc300934944"/>
      <w:bookmarkStart w:id="52" w:name="_Toc318581156"/>
      <w:bookmarkStart w:id="53" w:name="_Toc304295522"/>
      <w:r>
        <w:rPr>
          <w:rFonts w:ascii="Times New Roman" w:hAnsi="Times New Roman" w:eastAsia="仿宋_GB2312"/>
          <w:color w:val="auto"/>
          <w:sz w:val="24"/>
          <w:szCs w:val="24"/>
        </w:rPr>
        <w:t>.10.3 场内交通</w:t>
      </w:r>
    </w:p>
    <w:p w14:paraId="47F3808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关于场外交通和场内交通的边界的约定：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C9D2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关于发包人向承包人免费提供满足工程施工需要的场内道路和交通设施的约定：</w:t>
      </w:r>
      <w:r>
        <w:rPr>
          <w:rFonts w:hint="eastAsia" w:ascii="Times New Roman" w:hAnsi="Times New Roman" w:eastAsia="仿宋_GB2312"/>
          <w:color w:val="auto"/>
          <w:sz w:val="24"/>
          <w:szCs w:val="24"/>
          <w:u w:val="single"/>
        </w:rPr>
        <w:t>双方协商</w:t>
      </w:r>
      <w:r>
        <w:rPr>
          <w:rFonts w:ascii="Times New Roman" w:hAnsi="Times New Roman" w:eastAsia="仿宋_GB2312"/>
          <w:color w:val="auto"/>
          <w:sz w:val="24"/>
          <w:szCs w:val="24"/>
        </w:rPr>
        <w:t>。</w:t>
      </w:r>
      <w:bookmarkEnd w:id="49"/>
      <w:bookmarkEnd w:id="50"/>
      <w:bookmarkEnd w:id="51"/>
      <w:bookmarkEnd w:id="52"/>
      <w:bookmarkEnd w:id="53"/>
      <w:r>
        <w:rPr>
          <w:rFonts w:ascii="Times New Roman" w:hAnsi="Times New Roman" w:eastAsia="仿宋_GB2312"/>
          <w:color w:val="auto"/>
          <w:sz w:val="24"/>
          <w:szCs w:val="24"/>
        </w:rPr>
        <w:t xml:space="preserve">  </w:t>
      </w:r>
      <w:bookmarkStart w:id="54" w:name="_Toc318581157"/>
    </w:p>
    <w:p w14:paraId="3E1E066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1.10.4超大件和超重件的运输</w:t>
      </w:r>
    </w:p>
    <w:p w14:paraId="248B7C1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运输超大件或超重件所需的道路和桥梁临时加固改造费用和其他有关费用由</w:t>
      </w:r>
      <w:r>
        <w:rPr>
          <w:rFonts w:hint="eastAsia" w:ascii="Times New Roman" w:hAnsi="Times New Roman" w:eastAsia="仿宋_GB2312"/>
          <w:color w:val="auto"/>
          <w:sz w:val="24"/>
          <w:szCs w:val="24"/>
          <w:u w:val="single"/>
        </w:rPr>
        <w:t>乙方</w:t>
      </w:r>
      <w:r>
        <w:rPr>
          <w:rFonts w:ascii="Times New Roman" w:hAnsi="Times New Roman" w:eastAsia="仿宋_GB2312"/>
          <w:color w:val="auto"/>
          <w:sz w:val="24"/>
          <w:szCs w:val="24"/>
        </w:rPr>
        <w:t>承担。</w:t>
      </w:r>
    </w:p>
    <w:bookmarkEnd w:id="54"/>
    <w:p w14:paraId="60462BC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1.11 知识产权</w:t>
      </w:r>
    </w:p>
    <w:p w14:paraId="0AA181E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DFDDE26">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关于发包人提供的上述文件的使用限制的要求：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0701D78">
      <w:pPr>
        <w:spacing w:line="360" w:lineRule="auto"/>
        <w:ind w:left="596" w:leftChars="284"/>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1.11.2 关于承包人为实施工程所编制文件的著作权的归属：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CC158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关于承包人提供的上述文件的使用限制的要求：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43AF2E">
      <w:pPr>
        <w:spacing w:line="360" w:lineRule="auto"/>
        <w:ind w:firstLine="480" w:firstLineChars="200"/>
        <w:outlineLvl w:val="0"/>
        <w:rPr>
          <w:rFonts w:ascii="Times New Roman" w:hAnsi="Times New Roman" w:eastAsia="仿宋_GB2312"/>
          <w:color w:val="auto"/>
          <w:kern w:val="0"/>
          <w:sz w:val="24"/>
          <w:szCs w:val="24"/>
        </w:rPr>
      </w:pPr>
      <w:r>
        <w:rPr>
          <w:rFonts w:ascii="Times New Roman" w:hAnsi="Times New Roman" w:eastAsia="仿宋_GB2312"/>
          <w:color w:val="auto"/>
          <w:sz w:val="24"/>
          <w:szCs w:val="24"/>
        </w:rPr>
        <w:t>1.11.4 承包人在施工过程中所采用的专利、专有技术、技术秘密的使用费的承担方式：</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kern w:val="0"/>
          <w:sz w:val="24"/>
          <w:szCs w:val="24"/>
        </w:rPr>
        <w:t>。</w:t>
      </w:r>
    </w:p>
    <w:p w14:paraId="6123FBC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1.13工程量清单错误的修正</w:t>
      </w:r>
    </w:p>
    <w:p w14:paraId="1F33062A">
      <w:pPr>
        <w:spacing w:line="360" w:lineRule="auto"/>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出现工程量清单错误时，是否调整合同价格：</w:t>
      </w:r>
      <w:r>
        <w:rPr>
          <w:rFonts w:hint="eastAsia" w:ascii="Times New Roman" w:hAnsi="Times New Roman" w:eastAsia="仿宋_GB2312"/>
          <w:color w:val="auto"/>
          <w:sz w:val="24"/>
          <w:szCs w:val="24"/>
          <w:u w:val="single"/>
          <w:lang w:val="en-US" w:eastAsia="zh-CN"/>
        </w:rPr>
        <w:t>根据实际调整。</w:t>
      </w:r>
    </w:p>
    <w:p w14:paraId="09877B5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允许调整合同价格的工程量偏差范围：</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DCFCDF6">
      <w:pPr>
        <w:pStyle w:val="5"/>
        <w:spacing w:before="120" w:after="120" w:line="360" w:lineRule="auto"/>
        <w:ind w:left="0" w:leftChars="0" w:firstLine="0" w:firstLineChars="0"/>
        <w:rPr>
          <w:rFonts w:ascii="Times New Roman" w:hAnsi="Times New Roman" w:eastAsia="黑体"/>
          <w:b w:val="0"/>
          <w:color w:val="auto"/>
          <w:sz w:val="24"/>
          <w:szCs w:val="24"/>
        </w:rPr>
      </w:pPr>
      <w:bookmarkStart w:id="55" w:name="_Toc351203634"/>
      <w:r>
        <w:rPr>
          <w:rFonts w:ascii="Times New Roman" w:hAnsi="Times New Roman" w:eastAsia="黑体"/>
          <w:b w:val="0"/>
          <w:color w:val="auto"/>
          <w:sz w:val="24"/>
          <w:szCs w:val="24"/>
        </w:rPr>
        <w:t>2</w:t>
      </w:r>
      <w:bookmarkStart w:id="56" w:name="_Toc296347156"/>
      <w:bookmarkStart w:id="57" w:name="_Toc296890985"/>
      <w:bookmarkStart w:id="58" w:name="_Toc296346658"/>
      <w:bookmarkStart w:id="59" w:name="_Toc297048343"/>
      <w:bookmarkStart w:id="60" w:name="_Toc296891197"/>
      <w:bookmarkStart w:id="61" w:name="_Toc296503157"/>
      <w:bookmarkStart w:id="62" w:name="_Toc297120457"/>
      <w:bookmarkStart w:id="63" w:name="_Toc296944496"/>
      <w:bookmarkStart w:id="64" w:name="_Toc292559362"/>
      <w:bookmarkStart w:id="65" w:name="_Toc292559867"/>
      <w:r>
        <w:rPr>
          <w:rFonts w:ascii="Times New Roman" w:hAnsi="Times New Roman" w:eastAsia="黑体"/>
          <w:b w:val="0"/>
          <w:color w:val="auto"/>
          <w:sz w:val="24"/>
          <w:szCs w:val="24"/>
        </w:rPr>
        <w:t>. 发包人</w:t>
      </w:r>
      <w:bookmarkEnd w:id="55"/>
    </w:p>
    <w:bookmarkEnd w:id="56"/>
    <w:bookmarkEnd w:id="57"/>
    <w:bookmarkEnd w:id="58"/>
    <w:bookmarkEnd w:id="59"/>
    <w:bookmarkEnd w:id="60"/>
    <w:bookmarkEnd w:id="61"/>
    <w:bookmarkEnd w:id="62"/>
    <w:bookmarkEnd w:id="63"/>
    <w:bookmarkEnd w:id="64"/>
    <w:bookmarkEnd w:id="65"/>
    <w:p w14:paraId="1F16681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2.2 发包人代表</w:t>
      </w:r>
    </w:p>
    <w:p w14:paraId="0B58339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发包人代表：</w:t>
      </w:r>
    </w:p>
    <w:p w14:paraId="409F7A0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6E5EE4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3E3581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F30855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9C1A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1D867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20CC1BAB">
      <w:pPr>
        <w:spacing w:line="360" w:lineRule="auto"/>
        <w:ind w:firstLine="480" w:firstLineChars="200"/>
        <w:rPr>
          <w:rFonts w:ascii="Times New Roman" w:hAnsi="Times New Roman" w:eastAsia="仿宋_GB2312"/>
          <w:b/>
          <w:color w:val="auto"/>
          <w:sz w:val="24"/>
          <w:szCs w:val="24"/>
        </w:rPr>
      </w:pPr>
      <w:r>
        <w:rPr>
          <w:rFonts w:ascii="Times New Roman" w:hAnsi="Times New Roman" w:eastAsia="仿宋_GB2312"/>
          <w:color w:val="auto"/>
          <w:sz w:val="24"/>
          <w:szCs w:val="24"/>
        </w:rPr>
        <w:t>发包人对发包人代表的授权范围如下：</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EEA72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2.4 施工现场、施工条件和基础资料的提供</w:t>
      </w:r>
    </w:p>
    <w:p w14:paraId="132CEE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2.4.1 提供施工现场</w:t>
      </w:r>
    </w:p>
    <w:p w14:paraId="1C7D779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关于发包人移交施工现场的期限要求：</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6FB39A9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2.4.2 提供施工条件</w:t>
      </w:r>
    </w:p>
    <w:p w14:paraId="6F4307A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关于发包人应负责提供施工</w:t>
      </w:r>
      <w:r>
        <w:rPr>
          <w:rFonts w:hint="eastAsia" w:ascii="Times New Roman" w:hAnsi="Times New Roman" w:eastAsia="仿宋_GB2312"/>
          <w:color w:val="auto"/>
          <w:sz w:val="24"/>
          <w:szCs w:val="24"/>
        </w:rPr>
        <w:t>所需要的条件，</w:t>
      </w:r>
      <w:r>
        <w:rPr>
          <w:rFonts w:ascii="Times New Roman" w:hAnsi="Times New Roman" w:eastAsia="仿宋_GB2312"/>
          <w:color w:val="auto"/>
          <w:sz w:val="24"/>
          <w:szCs w:val="24"/>
        </w:rPr>
        <w:t>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CBCCA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2.5 资金来源证明及支付担保</w:t>
      </w:r>
    </w:p>
    <w:p w14:paraId="3714A44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发包人提供资金来源证明的期限要求：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95E0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发包人是否提供支付担保：</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4CCFC4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发包人提供支付担保的形式：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9B3041E">
      <w:pPr>
        <w:pStyle w:val="5"/>
        <w:spacing w:before="120" w:after="120" w:line="360" w:lineRule="auto"/>
        <w:ind w:left="0" w:leftChars="0" w:firstLine="0" w:firstLineChars="0"/>
        <w:rPr>
          <w:rFonts w:ascii="Times New Roman" w:hAnsi="Times New Roman" w:eastAsia="黑体"/>
          <w:b w:val="0"/>
          <w:color w:val="auto"/>
          <w:sz w:val="24"/>
          <w:szCs w:val="24"/>
        </w:rPr>
      </w:pPr>
      <w:bookmarkStart w:id="66" w:name="_Toc351203635"/>
      <w:r>
        <w:rPr>
          <w:rFonts w:ascii="Times New Roman" w:hAnsi="Times New Roman" w:eastAsia="黑体"/>
          <w:b w:val="0"/>
          <w:color w:val="auto"/>
          <w:sz w:val="24"/>
          <w:szCs w:val="24"/>
        </w:rPr>
        <w:t>3</w:t>
      </w:r>
      <w:bookmarkStart w:id="67" w:name="_Toc297120458"/>
      <w:bookmarkStart w:id="68" w:name="_Toc296346659"/>
      <w:bookmarkStart w:id="69" w:name="_Toc296944497"/>
      <w:bookmarkStart w:id="70" w:name="_Toc292559363"/>
      <w:bookmarkStart w:id="71" w:name="_Toc296890986"/>
      <w:bookmarkStart w:id="72" w:name="_Toc297048344"/>
      <w:bookmarkStart w:id="73" w:name="_Toc292559868"/>
      <w:bookmarkStart w:id="74" w:name="_Toc296891198"/>
      <w:bookmarkStart w:id="75" w:name="_Toc296347157"/>
      <w:bookmarkStart w:id="76" w:name="_Toc296503158"/>
      <w:r>
        <w:rPr>
          <w:rFonts w:ascii="Times New Roman" w:hAnsi="Times New Roman" w:eastAsia="黑体"/>
          <w:b w:val="0"/>
          <w:color w:val="auto"/>
          <w:sz w:val="24"/>
          <w:szCs w:val="24"/>
        </w:rPr>
        <w:t>. 承包人</w:t>
      </w:r>
      <w:bookmarkEnd w:id="66"/>
    </w:p>
    <w:bookmarkEnd w:id="67"/>
    <w:bookmarkEnd w:id="68"/>
    <w:bookmarkEnd w:id="69"/>
    <w:bookmarkEnd w:id="70"/>
    <w:bookmarkEnd w:id="71"/>
    <w:bookmarkEnd w:id="72"/>
    <w:bookmarkEnd w:id="73"/>
    <w:bookmarkEnd w:id="74"/>
    <w:bookmarkEnd w:id="75"/>
    <w:bookmarkEnd w:id="76"/>
    <w:p w14:paraId="7E6BA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3.1 承包人的一般义务</w:t>
      </w:r>
    </w:p>
    <w:p w14:paraId="144F574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9</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承包人提交的竣工资料的内容：</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5CB6B6D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承包人需要提交的竣工资料套数：</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7CB645E">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承包人提交的竣工资料的费用承担：</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sz w:val="24"/>
          <w:szCs w:val="24"/>
        </w:rPr>
        <w:t>。</w:t>
      </w:r>
    </w:p>
    <w:p w14:paraId="584F7E37">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承包人提交的竣工资料移交时间：</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802A1E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承包人提交的竣工资料形式要求：</w:t>
      </w:r>
      <w:r>
        <w:rPr>
          <w:rFonts w:hint="eastAsia" w:ascii="Times New Roman" w:hAnsi="Times New Roman" w:eastAsia="仿宋_GB2312"/>
          <w:color w:val="auto"/>
          <w:sz w:val="24"/>
          <w:szCs w:val="24"/>
          <w:u w:val="single"/>
        </w:rPr>
        <w:t>书面及电子文件</w:t>
      </w:r>
      <w:r>
        <w:rPr>
          <w:rFonts w:ascii="Times New Roman" w:hAnsi="Times New Roman" w:eastAsia="仿宋_GB2312"/>
          <w:color w:val="auto"/>
          <w:sz w:val="24"/>
          <w:szCs w:val="24"/>
        </w:rPr>
        <w:t>。</w:t>
      </w:r>
    </w:p>
    <w:p w14:paraId="0577966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10</w:t>
      </w:r>
      <w:r>
        <w:rPr>
          <w:rFonts w:ascii="Times New Roman" w:hAnsi="Times New Roman" w:eastAsia="仿宋_GB2312"/>
          <w:color w:val="auto"/>
          <w:kern w:val="0"/>
          <w:sz w:val="24"/>
          <w:szCs w:val="24"/>
        </w:rPr>
        <w:t>）承包人应履行的其他义务：</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7AF7DF7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3.2 项目经理</w:t>
      </w:r>
    </w:p>
    <w:p w14:paraId="232606F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 xml:space="preserve">3.2.1 </w:t>
      </w:r>
      <w:r>
        <w:rPr>
          <w:rFonts w:ascii="Times New Roman" w:hAnsi="Times New Roman" w:eastAsia="仿宋_GB2312"/>
          <w:color w:val="auto"/>
          <w:sz w:val="24"/>
          <w:szCs w:val="24"/>
        </w:rPr>
        <w:t>项目经理：</w:t>
      </w:r>
    </w:p>
    <w:p w14:paraId="47ECA3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70ED2AC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4158E6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建造师执业资格等级：</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4421B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建造师注册证书号：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37A49F3">
      <w:pPr>
        <w:spacing w:line="360" w:lineRule="auto"/>
        <w:ind w:firstLine="480" w:firstLineChars="200"/>
        <w:rPr>
          <w:rFonts w:hint="eastAsia" w:ascii="Times New Roman" w:hAnsi="Times New Roman" w:eastAsia="仿宋_GB2312"/>
          <w:color w:val="auto"/>
          <w:kern w:val="0"/>
          <w:sz w:val="24"/>
          <w:szCs w:val="24"/>
          <w:u w:val="single"/>
          <w:lang w:val="en-US" w:eastAsia="zh-CN"/>
        </w:rPr>
      </w:pPr>
      <w:r>
        <w:rPr>
          <w:rFonts w:ascii="Times New Roman" w:hAnsi="Times New Roman" w:eastAsia="仿宋_GB2312"/>
          <w:color w:val="auto"/>
          <w:sz w:val="24"/>
          <w:szCs w:val="24"/>
        </w:rPr>
        <w:t>建造师执业印章号：</w:t>
      </w:r>
      <w:r>
        <w:rPr>
          <w:rFonts w:hint="eastAsia" w:ascii="Times New Roman" w:hAnsi="Times New Roman" w:eastAsia="仿宋_GB2312"/>
          <w:color w:val="auto"/>
          <w:kern w:val="0"/>
          <w:sz w:val="24"/>
          <w:szCs w:val="24"/>
          <w:u w:val="single"/>
          <w:lang w:val="en-US" w:eastAsia="zh-CN"/>
        </w:rPr>
        <w:t xml:space="preserve">                 ；</w:t>
      </w:r>
    </w:p>
    <w:p w14:paraId="0FA1189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安全生产考核合格证书号：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8D3AF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CE9753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61C6869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D110C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承包人对项目经理的授权范围如下：</w:t>
      </w:r>
      <w:r>
        <w:rPr>
          <w:rFonts w:hint="eastAsia" w:ascii="Times New Roman" w:hAnsi="Times New Roman" w:eastAsia="仿宋_GB2312"/>
          <w:color w:val="auto"/>
          <w:sz w:val="24"/>
          <w:szCs w:val="24"/>
          <w:u w:val="single"/>
        </w:rPr>
        <w:t>处理与相关相关的所有事务</w:t>
      </w:r>
      <w:r>
        <w:rPr>
          <w:rFonts w:ascii="Times New Roman" w:hAnsi="Times New Roman" w:eastAsia="仿宋_GB2312"/>
          <w:color w:val="auto"/>
          <w:sz w:val="24"/>
          <w:szCs w:val="24"/>
        </w:rPr>
        <w:t>。</w:t>
      </w:r>
    </w:p>
    <w:p w14:paraId="60C7BCD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关于项目经理每月在施工现场的时间要求：</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4F7CB4E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承包人未提交劳动合同，以及没有为项目经理缴纳社会保险证明的违约责任：</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3A924EE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项目经理未经批准，擅自离开施工现场的违约责任：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2B4F11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3.2.3 承包人擅自更换项目经理的违约责任：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4A436A0B">
      <w:pPr>
        <w:spacing w:line="360" w:lineRule="auto"/>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3.2.4 承包人无正当理由拒绝更换项目经理的违约责任：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6F7B4D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3.3 承包人人员</w:t>
      </w:r>
    </w:p>
    <w:p w14:paraId="3DB0C42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3.3.1 承包人提交项目管理机构及施工现场管理人员安排报告的期限：</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63B9882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3.3.3 承包人无正当理由拒绝撤换主要施工管理人员的违约责任：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86E892E">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3.3.4 承包人主要施工管理人员离开施工现场的批准要求：   </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61E3C3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3.3.5承包人擅自更换主要施工管理人员的违约责任：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B622A6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承包人主要施工管理人员擅自离开施工现场的违约责任：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EF0908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w:t>
      </w:r>
      <w:bookmarkStart w:id="77" w:name="_Toc296346660"/>
      <w:bookmarkStart w:id="78" w:name="_Toc312677988"/>
      <w:bookmarkStart w:id="79" w:name="_Toc296503159"/>
      <w:bookmarkStart w:id="80" w:name="_Toc304295523"/>
      <w:bookmarkStart w:id="81" w:name="_Toc300934945"/>
      <w:bookmarkStart w:id="82" w:name="_Toc303539102"/>
      <w:bookmarkStart w:id="83" w:name="_Toc296891199"/>
      <w:bookmarkStart w:id="84" w:name="_Toc296944498"/>
      <w:bookmarkStart w:id="85" w:name="_Toc296347158"/>
      <w:bookmarkStart w:id="86" w:name="_Toc292559869"/>
      <w:bookmarkStart w:id="87" w:name="_Toc297048345"/>
      <w:bookmarkStart w:id="88" w:name="_Toc297120459"/>
      <w:bookmarkStart w:id="89" w:name="_Toc292559364"/>
      <w:bookmarkStart w:id="90" w:name="_Toc297123492"/>
      <w:bookmarkStart w:id="91" w:name="_Toc296890987"/>
      <w:bookmarkStart w:id="92" w:name="_Toc297216151"/>
      <w:r>
        <w:rPr>
          <w:rFonts w:ascii="Times New Roman" w:hAnsi="Times New Roman" w:eastAsia="黑体"/>
          <w:color w:val="auto"/>
          <w:sz w:val="24"/>
          <w:szCs w:val="24"/>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4AA72C1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w:t>
      </w:r>
      <w:bookmarkStart w:id="93" w:name="_Toc297120460"/>
      <w:bookmarkStart w:id="94" w:name="_Toc296346661"/>
      <w:bookmarkStart w:id="95" w:name="_Toc296890988"/>
      <w:bookmarkStart w:id="96" w:name="_Toc296347159"/>
      <w:bookmarkStart w:id="97" w:name="_Toc296944499"/>
      <w:bookmarkStart w:id="98" w:name="_Toc300934946"/>
      <w:bookmarkStart w:id="99" w:name="_Toc292559365"/>
      <w:bookmarkStart w:id="100" w:name="_Toc296891200"/>
      <w:bookmarkStart w:id="101" w:name="_Toc292559870"/>
      <w:bookmarkStart w:id="102" w:name="_Toc296503160"/>
      <w:bookmarkStart w:id="103" w:name="_Toc304295524"/>
      <w:bookmarkStart w:id="104" w:name="_Toc297123493"/>
      <w:bookmarkStart w:id="105" w:name="_Toc297048346"/>
      <w:bookmarkStart w:id="106" w:name="_Toc303539103"/>
      <w:bookmarkStart w:id="107" w:name="_Toc297216152"/>
      <w:bookmarkStart w:id="108" w:name="_Toc312677989"/>
      <w:bookmarkStart w:id="109" w:name="_Toc318581158"/>
      <w:r>
        <w:rPr>
          <w:rFonts w:ascii="Times New Roman" w:hAnsi="Times New Roman" w:eastAsia="仿宋_GB2312"/>
          <w:color w:val="auto"/>
          <w:sz w:val="24"/>
          <w:szCs w:val="24"/>
        </w:rPr>
        <w:t>.5.1 分包的一般约定</w:t>
      </w:r>
    </w:p>
    <w:p w14:paraId="1A95BC2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禁止分包的工程包括：</w:t>
      </w:r>
      <w:r>
        <w:rPr>
          <w:rFonts w:hint="eastAsia" w:ascii="Times New Roman" w:hAnsi="Times New Roman" w:eastAsia="仿宋_GB2312"/>
          <w:color w:val="auto"/>
          <w:kern w:val="0"/>
          <w:sz w:val="24"/>
          <w:szCs w:val="24"/>
          <w:u w:val="single"/>
          <w:lang w:val="en-US" w:eastAsia="zh-CN"/>
        </w:rPr>
        <w:t>根据国家和本市有关法律法规要求</w:t>
      </w:r>
      <w:r>
        <w:rPr>
          <w:rFonts w:hint="eastAsia" w:ascii="Times New Roman" w:hAnsi="Times New Roman" w:eastAsia="仿宋_GB2312"/>
          <w:color w:val="auto"/>
          <w:kern w:val="0"/>
          <w:sz w:val="24"/>
          <w:szCs w:val="24"/>
          <w:u w:val="single"/>
        </w:rPr>
        <w:t>。</w:t>
      </w:r>
    </w:p>
    <w:p w14:paraId="49F5976D">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主体结构、关键性工作的范围：</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7048347"/>
      <w:bookmarkStart w:id="111" w:name="_Toc297216153"/>
      <w:bookmarkStart w:id="112" w:name="_Toc303539104"/>
      <w:bookmarkStart w:id="113" w:name="_Toc296891201"/>
      <w:bookmarkStart w:id="114" w:name="_Toc296346662"/>
      <w:bookmarkStart w:id="115" w:name="_Toc297123494"/>
      <w:bookmarkStart w:id="116" w:name="_Toc297120461"/>
      <w:bookmarkStart w:id="117" w:name="_Toc296347160"/>
      <w:bookmarkStart w:id="118" w:name="_Toc296944500"/>
      <w:bookmarkStart w:id="119" w:name="_Toc296890989"/>
      <w:bookmarkStart w:id="120" w:name="_Toc296503161"/>
      <w:bookmarkStart w:id="121" w:name="_Toc300934947"/>
      <w:bookmarkStart w:id="122" w:name="_Toc304295525"/>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2493C169">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w:t>
      </w:r>
      <w:bookmarkStart w:id="123" w:name="_Toc318581159"/>
      <w:bookmarkStart w:id="124" w:name="_Toc312677990"/>
      <w:r>
        <w:rPr>
          <w:rFonts w:ascii="Times New Roman" w:hAnsi="Times New Roman" w:eastAsia="仿宋_GB2312"/>
          <w:color w:val="auto"/>
          <w:sz w:val="24"/>
          <w:szCs w:val="24"/>
        </w:rPr>
        <w:t>.5.2分包的确定</w:t>
      </w:r>
    </w:p>
    <w:p w14:paraId="1CBA29B7">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允许分包的专业工程包括：</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12C2A0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其他关于分包的约定：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CE3227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3.5.4 分包合同价款</w:t>
      </w:r>
    </w:p>
    <w:p w14:paraId="4DDFA6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关于分包合同价款支付的约定：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23"/>
    <w:bookmarkEnd w:id="124"/>
    <w:p w14:paraId="3B341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3.6 工程照管与成品、半成品保护</w:t>
      </w:r>
    </w:p>
    <w:p w14:paraId="32DFE081">
      <w:pPr>
        <w:spacing w:before="120" w:after="120" w:line="360" w:lineRule="auto"/>
        <w:ind w:firstLine="480" w:firstLineChars="200"/>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承包人负责照管工程及工程相关的材料、工程设备的起始时间：</w:t>
      </w:r>
      <w:r>
        <w:rPr>
          <w:rFonts w:hint="eastAsia" w:ascii="Times New Roman" w:hAnsi="Times New Roman" w:eastAsia="仿宋_GB2312"/>
          <w:color w:val="auto"/>
          <w:kern w:val="0"/>
          <w:sz w:val="24"/>
          <w:szCs w:val="24"/>
          <w:u w:val="single"/>
        </w:rPr>
        <w:t>正式开工后</w:t>
      </w:r>
      <w:r>
        <w:rPr>
          <w:rFonts w:ascii="Times New Roman" w:hAnsi="Times New Roman" w:eastAsia="仿宋_GB2312"/>
          <w:color w:val="auto"/>
          <w:kern w:val="0"/>
          <w:sz w:val="24"/>
          <w:szCs w:val="24"/>
        </w:rPr>
        <w:t>。</w:t>
      </w:r>
    </w:p>
    <w:p w14:paraId="2A84342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3.7 履约担保</w:t>
      </w:r>
    </w:p>
    <w:p w14:paraId="7A8DE8BC">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承包人是否提供履约担保：</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CD43B4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承包人提供履约担保的形式</w:t>
      </w:r>
      <w:r>
        <w:rPr>
          <w:rFonts w:hint="eastAsia" w:ascii="Times New Roman" w:hAnsi="Times New Roman" w:eastAsia="仿宋_GB2312"/>
          <w:color w:val="auto"/>
          <w:sz w:val="24"/>
          <w:szCs w:val="24"/>
        </w:rPr>
        <w:t>、金额及期限的</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6B1FC80">
      <w:pPr>
        <w:pStyle w:val="5"/>
        <w:spacing w:before="120" w:after="120" w:line="360" w:lineRule="auto"/>
        <w:ind w:left="0" w:leftChars="0" w:firstLine="0" w:firstLineChars="0"/>
        <w:rPr>
          <w:rFonts w:ascii="Times New Roman" w:hAnsi="Times New Roman" w:eastAsia="黑体"/>
          <w:b w:val="0"/>
          <w:color w:val="auto"/>
          <w:sz w:val="24"/>
          <w:szCs w:val="24"/>
        </w:rPr>
      </w:pPr>
      <w:bookmarkStart w:id="125" w:name="_Toc351203636"/>
      <w:r>
        <w:rPr>
          <w:rFonts w:ascii="Times New Roman" w:hAnsi="Times New Roman" w:eastAsia="黑体"/>
          <w:b w:val="0"/>
          <w:color w:val="auto"/>
          <w:sz w:val="24"/>
          <w:szCs w:val="24"/>
        </w:rPr>
        <w:t>4</w:t>
      </w:r>
      <w:bookmarkStart w:id="126" w:name="_Toc296944501"/>
      <w:bookmarkStart w:id="127" w:name="_Toc267251413"/>
      <w:bookmarkStart w:id="128" w:name="_Toc292559871"/>
      <w:bookmarkStart w:id="129" w:name="_Toc296503162"/>
      <w:bookmarkStart w:id="130" w:name="_Toc296346663"/>
      <w:bookmarkStart w:id="131" w:name="_Toc297048348"/>
      <w:bookmarkStart w:id="132" w:name="_Toc296890990"/>
      <w:bookmarkStart w:id="133" w:name="_Toc297120462"/>
      <w:bookmarkStart w:id="134" w:name="_Toc292559366"/>
      <w:bookmarkStart w:id="135" w:name="_Toc296347161"/>
      <w:bookmarkStart w:id="136" w:name="_Toc296891202"/>
      <w:r>
        <w:rPr>
          <w:rFonts w:ascii="Times New Roman" w:hAnsi="Times New Roman" w:eastAsia="黑体"/>
          <w:b w:val="0"/>
          <w:color w:val="auto"/>
          <w:sz w:val="24"/>
          <w:szCs w:val="24"/>
        </w:rPr>
        <w:t>. 监</w:t>
      </w:r>
      <w:bookmarkEnd w:id="126"/>
      <w:bookmarkEnd w:id="127"/>
      <w:bookmarkEnd w:id="128"/>
      <w:bookmarkEnd w:id="129"/>
      <w:bookmarkEnd w:id="130"/>
      <w:bookmarkEnd w:id="131"/>
      <w:bookmarkEnd w:id="132"/>
      <w:bookmarkEnd w:id="133"/>
      <w:bookmarkEnd w:id="134"/>
      <w:bookmarkEnd w:id="135"/>
      <w:bookmarkEnd w:id="136"/>
      <w:r>
        <w:rPr>
          <w:rFonts w:ascii="Times New Roman" w:hAnsi="Times New Roman" w:eastAsia="黑体"/>
          <w:b w:val="0"/>
          <w:color w:val="auto"/>
          <w:sz w:val="24"/>
          <w:szCs w:val="24"/>
        </w:rPr>
        <w:t>理人</w:t>
      </w:r>
      <w:bookmarkEnd w:id="125"/>
    </w:p>
    <w:p w14:paraId="4B93ADC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4.1监理人的一般规定</w:t>
      </w:r>
    </w:p>
    <w:p w14:paraId="454900E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关于监理人的监理内容：</w:t>
      </w:r>
      <w:r>
        <w:rPr>
          <w:rFonts w:hint="eastAsia" w:ascii="Times New Roman" w:hAnsi="Times New Roman" w:eastAsia="仿宋_GB2312"/>
          <w:color w:val="auto"/>
          <w:sz w:val="24"/>
          <w:szCs w:val="24"/>
          <w:u w:val="single"/>
        </w:rPr>
        <w:t>甲方委托、图纸及招标清单涉及的范围</w:t>
      </w:r>
      <w:r>
        <w:rPr>
          <w:rFonts w:ascii="Times New Roman" w:hAnsi="Times New Roman" w:eastAsia="仿宋_GB2312"/>
          <w:color w:val="auto"/>
          <w:sz w:val="24"/>
          <w:szCs w:val="24"/>
        </w:rPr>
        <w:t>。</w:t>
      </w:r>
    </w:p>
    <w:p w14:paraId="13C2637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关于监理人的监理权限：</w:t>
      </w:r>
      <w:r>
        <w:rPr>
          <w:rFonts w:hint="eastAsia" w:ascii="Times New Roman" w:hAnsi="Times New Roman" w:eastAsia="仿宋_GB2312"/>
          <w:color w:val="auto"/>
          <w:sz w:val="24"/>
          <w:szCs w:val="24"/>
          <w:u w:val="single"/>
        </w:rPr>
        <w:t>按</w:t>
      </w:r>
      <w:r>
        <w:rPr>
          <w:rFonts w:hint="eastAsia" w:ascii="Times New Roman" w:hAnsi="Times New Roman" w:eastAsia="仿宋_GB2312"/>
          <w:color w:val="auto"/>
          <w:sz w:val="24"/>
          <w:szCs w:val="24"/>
          <w:u w:val="single"/>
          <w:lang w:eastAsia="zh-CN"/>
        </w:rPr>
        <w:t>通用条款</w:t>
      </w:r>
      <w:r>
        <w:rPr>
          <w:rFonts w:ascii="Times New Roman" w:hAnsi="Times New Roman" w:eastAsia="仿宋_GB2312"/>
          <w:color w:val="auto"/>
          <w:sz w:val="24"/>
          <w:szCs w:val="24"/>
        </w:rPr>
        <w:t xml:space="preserve">。 </w:t>
      </w:r>
    </w:p>
    <w:p w14:paraId="27011FFA">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关于监理人在施工现场的办公场所、生活场所的提供和费用承担的约定：</w:t>
      </w:r>
      <w:r>
        <w:rPr>
          <w:rFonts w:hint="eastAsia" w:ascii="Times New Roman" w:hAnsi="Times New Roman" w:eastAsia="仿宋_GB2312"/>
          <w:color w:val="auto"/>
          <w:sz w:val="24"/>
          <w:szCs w:val="24"/>
          <w:u w:val="single"/>
        </w:rPr>
        <w:t>按相关约定</w:t>
      </w:r>
      <w:r>
        <w:rPr>
          <w:rFonts w:ascii="Times New Roman" w:hAnsi="Times New Roman" w:eastAsia="仿宋_GB2312"/>
          <w:color w:val="auto"/>
          <w:sz w:val="24"/>
          <w:szCs w:val="24"/>
        </w:rPr>
        <w:t>。</w:t>
      </w:r>
    </w:p>
    <w:p w14:paraId="03FEECA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4.2 监理人员</w:t>
      </w:r>
    </w:p>
    <w:p w14:paraId="6A7FB67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总监理工程师：</w:t>
      </w:r>
    </w:p>
    <w:p w14:paraId="148EB5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3EA6D4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F114AF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监理工程师执业资格证书号：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45FE9E4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3E10BC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4167875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756B74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关于监理人的其他约定：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E92359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4.4 商定或确定</w:t>
      </w:r>
    </w:p>
    <w:p w14:paraId="141122EB">
      <w:pPr>
        <w:spacing w:line="360" w:lineRule="auto"/>
        <w:ind w:firstLine="480" w:firstLineChars="200"/>
        <w:rPr>
          <w:rFonts w:ascii="Times New Roman" w:hAnsi="Times New Roman" w:eastAsia="仿宋_GB2312"/>
          <w:color w:val="auto"/>
          <w:sz w:val="24"/>
          <w:szCs w:val="24"/>
        </w:rPr>
      </w:pPr>
      <w:bookmarkStart w:id="137" w:name="_Toc267251418"/>
      <w:r>
        <w:rPr>
          <w:rFonts w:ascii="Times New Roman" w:hAnsi="Times New Roman" w:eastAsia="仿宋_GB2312"/>
          <w:color w:val="auto"/>
          <w:sz w:val="24"/>
          <w:szCs w:val="24"/>
        </w:rPr>
        <w:t>在发包人和承包人不能通过协商达成一致意见时，发包人授权监理人对以下事项进行确定：</w:t>
      </w:r>
    </w:p>
    <w:p w14:paraId="18F67A06">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2B9925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60805C">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D7ECD3D">
      <w:pPr>
        <w:pStyle w:val="5"/>
        <w:spacing w:before="120" w:after="120" w:line="360" w:lineRule="auto"/>
        <w:ind w:left="0" w:leftChars="0" w:firstLine="0" w:firstLineChars="0"/>
        <w:rPr>
          <w:rFonts w:ascii="Times New Roman" w:hAnsi="Times New Roman" w:eastAsia="黑体"/>
          <w:b w:val="0"/>
          <w:color w:val="auto"/>
          <w:sz w:val="24"/>
          <w:szCs w:val="24"/>
        </w:rPr>
      </w:pPr>
      <w:bookmarkStart w:id="138" w:name="_Toc351203637"/>
      <w:r>
        <w:rPr>
          <w:rFonts w:ascii="Times New Roman" w:hAnsi="Times New Roman" w:eastAsia="黑体"/>
          <w:b w:val="0"/>
          <w:color w:val="auto"/>
          <w:sz w:val="24"/>
          <w:szCs w:val="24"/>
        </w:rPr>
        <w:t>5</w:t>
      </w:r>
      <w:bookmarkEnd w:id="137"/>
      <w:bookmarkStart w:id="139" w:name="_Toc297120463"/>
      <w:bookmarkStart w:id="140" w:name="_Toc296891203"/>
      <w:bookmarkStart w:id="141" w:name="_Toc292559367"/>
      <w:bookmarkStart w:id="142" w:name="_Toc296503163"/>
      <w:bookmarkStart w:id="143" w:name="_Toc296944502"/>
      <w:bookmarkStart w:id="144" w:name="_Toc296890991"/>
      <w:bookmarkStart w:id="145" w:name="_Toc296346664"/>
      <w:bookmarkStart w:id="146" w:name="_Toc296347162"/>
      <w:bookmarkStart w:id="147" w:name="_Toc297048349"/>
      <w:bookmarkStart w:id="148" w:name="_Toc292559872"/>
      <w:r>
        <w:rPr>
          <w:rFonts w:ascii="Times New Roman" w:hAnsi="Times New Roman" w:eastAsia="黑体"/>
          <w:b w:val="0"/>
          <w:color w:val="auto"/>
          <w:sz w:val="24"/>
          <w:szCs w:val="24"/>
        </w:rPr>
        <w:t>. 工程质量</w:t>
      </w:r>
      <w:bookmarkEnd w:id="138"/>
    </w:p>
    <w:p w14:paraId="724C9A8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5.1 质量要求</w:t>
      </w:r>
    </w:p>
    <w:p w14:paraId="45AA57A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5</w:t>
      </w:r>
      <w:bookmarkStart w:id="149" w:name="_Toc300934949"/>
      <w:bookmarkStart w:id="150" w:name="_Toc297123496"/>
      <w:bookmarkStart w:id="151" w:name="_Toc297216155"/>
      <w:bookmarkStart w:id="152" w:name="_Toc318581164"/>
      <w:bookmarkStart w:id="153" w:name="_Toc303539106"/>
      <w:bookmarkStart w:id="154" w:name="_Toc312677997"/>
      <w:bookmarkStart w:id="155" w:name="_Toc304295527"/>
      <w:r>
        <w:rPr>
          <w:rFonts w:ascii="Times New Roman" w:hAnsi="Times New Roman" w:eastAsia="仿宋_GB2312"/>
          <w:color w:val="auto"/>
          <w:sz w:val="24"/>
          <w:szCs w:val="24"/>
        </w:rPr>
        <w:t>.1.1 特殊质量标准和要求：</w:t>
      </w:r>
      <w:r>
        <w:rPr>
          <w:rFonts w:hint="eastAsia" w:ascii="Times New Roman" w:hAnsi="Times New Roman" w:eastAsia="仿宋_GB2312"/>
          <w:color w:val="auto"/>
          <w:sz w:val="24"/>
          <w:szCs w:val="24"/>
          <w:u w:val="single"/>
        </w:rPr>
        <w:t>国家相关规范规定</w:t>
      </w:r>
      <w:r>
        <w:rPr>
          <w:rFonts w:ascii="Times New Roman" w:hAnsi="Times New Roman" w:eastAsia="仿宋_GB2312"/>
          <w:color w:val="auto"/>
          <w:sz w:val="24"/>
          <w:szCs w:val="24"/>
        </w:rPr>
        <w:t>。</w:t>
      </w:r>
    </w:p>
    <w:p w14:paraId="7B3EA038">
      <w:pPr>
        <w:spacing w:line="360" w:lineRule="auto"/>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关于工程奖项的约定：</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w:t>
      </w:r>
    </w:p>
    <w:p w14:paraId="48EBD3C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5.3 隐蔽工程检查</w:t>
      </w:r>
    </w:p>
    <w:p w14:paraId="76DEE2D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5.3.2承包人提前通知监理人隐蔽工程检查的期限的约定：</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62B36E2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监理人不能按时进行检查时，应提前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15D2A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3BF6BC14">
      <w:pPr>
        <w:pStyle w:val="5"/>
        <w:spacing w:before="120" w:after="120" w:line="360" w:lineRule="auto"/>
        <w:ind w:left="0" w:leftChars="0" w:firstLine="0" w:firstLineChars="0"/>
        <w:rPr>
          <w:rFonts w:ascii="Times New Roman" w:hAnsi="Times New Roman" w:eastAsia="黑体"/>
          <w:b w:val="0"/>
          <w:color w:val="auto"/>
          <w:sz w:val="24"/>
          <w:szCs w:val="24"/>
        </w:rPr>
      </w:pPr>
      <w:bookmarkStart w:id="156" w:name="_Toc351203638"/>
      <w:r>
        <w:rPr>
          <w:rFonts w:ascii="Times New Roman" w:hAnsi="Times New Roman" w:eastAsia="黑体"/>
          <w:b w:val="0"/>
          <w:color w:val="auto"/>
          <w:sz w:val="24"/>
          <w:szCs w:val="24"/>
        </w:rPr>
        <w:t>6. 安全文明施工与环境保护</w:t>
      </w:r>
      <w:bookmarkEnd w:id="156"/>
    </w:p>
    <w:p w14:paraId="51834AA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6.1安全文明施工</w:t>
      </w:r>
    </w:p>
    <w:p w14:paraId="3E7847FC">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6.1.1 项目安全生产的达标目标及相应事项的约定：</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u w:val="single"/>
        </w:rPr>
        <w:t>10</w:t>
      </w:r>
      <w:r>
        <w:rPr>
          <w:rFonts w:ascii="Times New Roman" w:hAnsi="Times New Roman" w:eastAsia="仿宋_GB2312"/>
          <w:color w:val="auto"/>
          <w:sz w:val="24"/>
          <w:szCs w:val="24"/>
          <w:u w:val="single"/>
        </w:rPr>
        <w:t>0</w:t>
      </w:r>
      <w:r>
        <w:rPr>
          <w:rFonts w:hint="eastAsia" w:ascii="Times New Roman" w:hAnsi="Times New Roman" w:eastAsia="仿宋_GB2312"/>
          <w:color w:val="auto"/>
          <w:sz w:val="24"/>
          <w:szCs w:val="24"/>
          <w:u w:val="single"/>
        </w:rPr>
        <w:t>%达标</w:t>
      </w:r>
      <w:r>
        <w:rPr>
          <w:rFonts w:ascii="Times New Roman" w:hAnsi="Times New Roman" w:eastAsia="仿宋_GB2312"/>
          <w:color w:val="auto"/>
          <w:sz w:val="24"/>
          <w:szCs w:val="24"/>
        </w:rPr>
        <w:t>。</w:t>
      </w:r>
    </w:p>
    <w:p w14:paraId="50DF821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6.1.4 关于治安保卫的特别约定：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89D43A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关于编制施工场地治安管理计划的约定：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578CA">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6.1.5 文明施工</w:t>
      </w:r>
    </w:p>
    <w:p w14:paraId="265FB4EF">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合同当事人对文明施工的要求：</w:t>
      </w:r>
      <w:r>
        <w:rPr>
          <w:rFonts w:hint="eastAsia" w:ascii="Times New Roman" w:hAnsi="Times New Roman" w:eastAsia="仿宋_GB2312"/>
          <w:color w:val="auto"/>
          <w:sz w:val="24"/>
          <w:szCs w:val="24"/>
          <w:u w:val="single"/>
        </w:rPr>
        <w:t>满足各监管方要求</w:t>
      </w:r>
      <w:r>
        <w:rPr>
          <w:rFonts w:hint="eastAsia" w:ascii="Times New Roman" w:hAnsi="Times New Roman" w:eastAsia="仿宋_GB2312"/>
          <w:color w:val="auto"/>
          <w:sz w:val="24"/>
          <w:szCs w:val="24"/>
        </w:rPr>
        <w:t>。</w:t>
      </w:r>
    </w:p>
    <w:p w14:paraId="2B50C6B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6.1.6 关于安全文明施工费支付比例和支付期限的约定：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49"/>
    <w:bookmarkEnd w:id="150"/>
    <w:bookmarkEnd w:id="151"/>
    <w:bookmarkEnd w:id="152"/>
    <w:bookmarkEnd w:id="153"/>
    <w:bookmarkEnd w:id="154"/>
    <w:bookmarkEnd w:id="155"/>
    <w:p w14:paraId="371B5094">
      <w:pPr>
        <w:pStyle w:val="5"/>
        <w:spacing w:before="120" w:after="120" w:line="360" w:lineRule="auto"/>
        <w:ind w:left="0" w:leftChars="0" w:firstLine="0" w:firstLineChars="0"/>
        <w:rPr>
          <w:rFonts w:ascii="Times New Roman" w:hAnsi="Times New Roman" w:eastAsia="黑体"/>
          <w:b w:val="0"/>
          <w:color w:val="auto"/>
          <w:sz w:val="24"/>
          <w:szCs w:val="24"/>
        </w:rPr>
      </w:pPr>
      <w:bookmarkStart w:id="157" w:name="_Toc351203639"/>
      <w:r>
        <w:rPr>
          <w:rFonts w:ascii="Times New Roman" w:hAnsi="Times New Roman" w:eastAsia="黑体"/>
          <w:b w:val="0"/>
          <w:color w:val="auto"/>
          <w:sz w:val="24"/>
          <w:szCs w:val="24"/>
        </w:rPr>
        <w:t>7. 工期和进度</w:t>
      </w:r>
      <w:bookmarkEnd w:id="157"/>
    </w:p>
    <w:p w14:paraId="1D4C97D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7.1 施工组织设计</w:t>
      </w:r>
    </w:p>
    <w:p w14:paraId="6BC2A30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7.1.</w:t>
      </w:r>
      <w:r>
        <w:rPr>
          <w:rFonts w:hint="eastAsia" w:ascii="Times New Roman" w:hAnsi="Times New Roman" w:eastAsia="仿宋_GB2312"/>
          <w:color w:val="auto"/>
          <w:sz w:val="24"/>
          <w:szCs w:val="24"/>
        </w:rPr>
        <w:t>1 合</w:t>
      </w:r>
      <w:r>
        <w:rPr>
          <w:rFonts w:hint="eastAsia" w:ascii="Times New Roman" w:hAnsi="Times New Roman" w:eastAsia="仿宋_GB2312"/>
          <w:color w:val="auto"/>
          <w:kern w:val="0"/>
          <w:sz w:val="24"/>
          <w:szCs w:val="24"/>
        </w:rPr>
        <w:t>同当事人约定的</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应包括的其他内容</w:t>
      </w:r>
      <w:r>
        <w:rPr>
          <w:rFonts w:ascii="Times New Roman" w:hAnsi="Times New Roman" w:eastAsia="仿宋_GB2312"/>
          <w:color w:val="auto"/>
          <w:kern w:val="0"/>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5694E">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7.1.2 </w:t>
      </w:r>
      <w:r>
        <w:rPr>
          <w:rFonts w:ascii="Times New Roman" w:hAnsi="Times New Roman" w:eastAsia="仿宋_GB2312"/>
          <w:color w:val="auto"/>
          <w:kern w:val="0"/>
          <w:sz w:val="24"/>
          <w:szCs w:val="24"/>
        </w:rPr>
        <w:t>施工组织设计的提交和修改</w:t>
      </w:r>
    </w:p>
    <w:p w14:paraId="109070A4">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承包人提交详细施工组织设计的期限的约定：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7EF80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w:t>
      </w:r>
      <w:r>
        <w:rPr>
          <w:rFonts w:hint="eastAsia" w:ascii="Times New Roman" w:hAnsi="Times New Roman" w:eastAsia="仿宋_GB2312"/>
          <w:color w:val="auto"/>
          <w:sz w:val="24"/>
          <w:szCs w:val="24"/>
        </w:rPr>
        <w:t>详细的施工组织设计</w:t>
      </w:r>
      <w:r>
        <w:rPr>
          <w:rFonts w:ascii="Times New Roman" w:hAnsi="Times New Roman" w:eastAsia="仿宋_GB2312"/>
          <w:color w:val="auto"/>
          <w:sz w:val="24"/>
          <w:szCs w:val="24"/>
        </w:rPr>
        <w:t>后确认或提出修改意见的期限：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5265A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58" w:name="_Toc297123514"/>
      <w:bookmarkStart w:id="159" w:name="_Toc303539123"/>
      <w:bookmarkStart w:id="160" w:name="_Toc312677479"/>
      <w:bookmarkStart w:id="161" w:name="_Toc300934966"/>
      <w:bookmarkStart w:id="162" w:name="_Toc304295541"/>
      <w:bookmarkStart w:id="163" w:name="_Toc297216173"/>
      <w:bookmarkStart w:id="164" w:name="_Toc312678005"/>
      <w:r>
        <w:rPr>
          <w:rFonts w:ascii="Times New Roman" w:hAnsi="Times New Roman" w:eastAsia="黑体"/>
          <w:color w:val="auto"/>
          <w:sz w:val="24"/>
          <w:szCs w:val="24"/>
        </w:rPr>
        <w:t>.2 施工进度计划</w:t>
      </w:r>
    </w:p>
    <w:p w14:paraId="741E385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7.2.2 施工进度计划的修订</w:t>
      </w:r>
    </w:p>
    <w:p w14:paraId="667F544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发包人和监理人在收到修订的施工进度计划后确认或提出修改意见的期限：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3515966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7.3 开工</w:t>
      </w:r>
    </w:p>
    <w:p w14:paraId="6FECD2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7.3.1 开工准备</w:t>
      </w:r>
    </w:p>
    <w:p w14:paraId="2C5E9D8E">
      <w:pPr>
        <w:spacing w:line="360" w:lineRule="auto"/>
        <w:ind w:firstLine="645"/>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关于承包人提交</w:t>
      </w:r>
      <w:r>
        <w:rPr>
          <w:rFonts w:ascii="Times New Roman" w:hAnsi="Times New Roman" w:eastAsia="仿宋_GB2312"/>
          <w:color w:val="auto"/>
          <w:kern w:val="0"/>
          <w:sz w:val="24"/>
          <w:szCs w:val="24"/>
        </w:rPr>
        <w:t>工程开工报审表的期限：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1D80B85">
      <w:pPr>
        <w:spacing w:line="360" w:lineRule="auto"/>
        <w:ind w:firstLine="645"/>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16120A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关于承包人应完成的其他开工准备工作及期限：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0B6628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7.3.2开工通知</w:t>
      </w:r>
    </w:p>
    <w:p w14:paraId="18FC83D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因发包人原因造成监理人未能在计划开工日期之日起</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天内发出开工通知的，承包人有权提出价格调整要求，或者解除合同。</w:t>
      </w:r>
    </w:p>
    <w:bookmarkEnd w:id="158"/>
    <w:bookmarkEnd w:id="159"/>
    <w:bookmarkEnd w:id="160"/>
    <w:bookmarkEnd w:id="161"/>
    <w:bookmarkEnd w:id="162"/>
    <w:bookmarkEnd w:id="163"/>
    <w:bookmarkEnd w:id="164"/>
    <w:p w14:paraId="4613F9F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7.4 测量放线</w:t>
      </w:r>
    </w:p>
    <w:p w14:paraId="02119296">
      <w:pPr>
        <w:spacing w:line="360" w:lineRule="auto"/>
        <w:ind w:firstLine="480" w:firstLineChars="200"/>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7.4.1发包人通过监理人向承包人提供测量基准点、基准线和水准点及其书面资料的期限：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CBAE98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65" w:name="_Toc312677484"/>
      <w:bookmarkStart w:id="166" w:name="_Toc300934968"/>
      <w:bookmarkStart w:id="167" w:name="_Toc297123516"/>
      <w:bookmarkStart w:id="168" w:name="_Toc303539125"/>
      <w:bookmarkStart w:id="169" w:name="_Toc297216175"/>
      <w:bookmarkStart w:id="170" w:name="_Toc304295546"/>
      <w:bookmarkStart w:id="171" w:name="_Toc312678010"/>
      <w:r>
        <w:rPr>
          <w:rFonts w:ascii="Times New Roman" w:hAnsi="Times New Roman" w:eastAsia="黑体"/>
          <w:color w:val="auto"/>
          <w:sz w:val="24"/>
          <w:szCs w:val="24"/>
        </w:rPr>
        <w:t>.5 工期延误</w:t>
      </w:r>
    </w:p>
    <w:bookmarkEnd w:id="165"/>
    <w:bookmarkEnd w:id="166"/>
    <w:bookmarkEnd w:id="167"/>
    <w:bookmarkEnd w:id="168"/>
    <w:bookmarkEnd w:id="169"/>
    <w:bookmarkEnd w:id="170"/>
    <w:bookmarkEnd w:id="171"/>
    <w:p w14:paraId="14D1948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7.5.1 因发包人原因导致工期延误</w:t>
      </w:r>
    </w:p>
    <w:p w14:paraId="7278A4D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（7）因发包人原因导致工期延误的其他情形：</w:t>
      </w:r>
      <w:r>
        <w:rPr>
          <w:rFonts w:hint="eastAsia" w:ascii="Times New Roman" w:hAnsi="Times New Roman" w:eastAsia="仿宋_GB2312"/>
          <w:color w:val="auto"/>
          <w:sz w:val="24"/>
          <w:szCs w:val="24"/>
          <w:u w:val="single"/>
        </w:rPr>
        <w:t>工期顺延</w:t>
      </w:r>
      <w:r>
        <w:rPr>
          <w:rFonts w:ascii="Times New Roman" w:hAnsi="Times New Roman" w:eastAsia="仿宋_GB2312"/>
          <w:color w:val="auto"/>
          <w:sz w:val="24"/>
          <w:szCs w:val="24"/>
        </w:rPr>
        <w:t>。</w:t>
      </w:r>
    </w:p>
    <w:p w14:paraId="3ED90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w:t>
      </w:r>
      <w:bookmarkStart w:id="172" w:name="_Toc312678012"/>
      <w:bookmarkStart w:id="173" w:name="_Toc312677486"/>
      <w:bookmarkStart w:id="174" w:name="_Toc318581169"/>
      <w:bookmarkStart w:id="175" w:name="_Toc304295548"/>
      <w:bookmarkStart w:id="176" w:name="_Toc297123518"/>
      <w:bookmarkStart w:id="177" w:name="_Toc303539127"/>
      <w:bookmarkStart w:id="178" w:name="_Toc300934970"/>
      <w:bookmarkStart w:id="179" w:name="_Toc297216177"/>
      <w:r>
        <w:rPr>
          <w:rFonts w:ascii="Times New Roman" w:hAnsi="Times New Roman" w:eastAsia="仿宋_GB2312"/>
          <w:color w:val="auto"/>
          <w:sz w:val="24"/>
          <w:szCs w:val="24"/>
        </w:rPr>
        <w:t>.5.2 因承包人原因导致工期延误</w:t>
      </w:r>
    </w:p>
    <w:bookmarkEnd w:id="172"/>
    <w:bookmarkEnd w:id="173"/>
    <w:bookmarkEnd w:id="174"/>
    <w:p w14:paraId="3A19D07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因</w:t>
      </w:r>
      <w:bookmarkStart w:id="180" w:name="_Toc312677487"/>
      <w:bookmarkStart w:id="181" w:name="_Toc312678013"/>
      <w:bookmarkStart w:id="182" w:name="_Toc318581170"/>
      <w:r>
        <w:rPr>
          <w:rFonts w:ascii="Times New Roman" w:hAnsi="Times New Roman" w:eastAsia="仿宋_GB2312"/>
          <w:color w:val="auto"/>
          <w:sz w:val="24"/>
          <w:szCs w:val="24"/>
        </w:rPr>
        <w:t>承包人原因造成工期延误，逾期竣工违约金的计算方法为：</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bookmarkEnd w:id="175"/>
      <w:bookmarkEnd w:id="176"/>
      <w:bookmarkEnd w:id="177"/>
      <w:bookmarkEnd w:id="178"/>
      <w:bookmarkEnd w:id="179"/>
      <w:bookmarkEnd w:id="180"/>
      <w:bookmarkEnd w:id="181"/>
    </w:p>
    <w:bookmarkEnd w:id="182"/>
    <w:p w14:paraId="2872DC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因承包人原因造成工期延误，逾</w:t>
      </w:r>
      <w:bookmarkStart w:id="183" w:name="_Toc312678014"/>
      <w:bookmarkStart w:id="184" w:name="_Toc318581171"/>
      <w:r>
        <w:rPr>
          <w:rFonts w:ascii="Times New Roman" w:hAnsi="Times New Roman" w:eastAsia="仿宋_GB2312"/>
          <w:color w:val="auto"/>
          <w:sz w:val="24"/>
          <w:szCs w:val="24"/>
        </w:rPr>
        <w:t>期竣工违约金的上限：</w:t>
      </w:r>
      <w:r>
        <w:rPr>
          <w:rFonts w:hint="eastAsia" w:ascii="Times New Roman" w:hAnsi="Times New Roman" w:eastAsia="仿宋_GB2312"/>
          <w:color w:val="auto"/>
          <w:sz w:val="24"/>
          <w:szCs w:val="24"/>
          <w:u w:val="single"/>
          <w:lang w:eastAsia="zh-CN"/>
        </w:rPr>
        <w:t>无</w:t>
      </w:r>
      <w:r>
        <w:rPr>
          <w:rFonts w:ascii="Times New Roman" w:hAnsi="Times New Roman" w:eastAsia="仿宋_GB2312"/>
          <w:color w:val="auto"/>
          <w:sz w:val="24"/>
          <w:szCs w:val="24"/>
        </w:rPr>
        <w:t>。</w:t>
      </w:r>
    </w:p>
    <w:bookmarkEnd w:id="183"/>
    <w:bookmarkEnd w:id="184"/>
    <w:p w14:paraId="2DCF3C5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85" w:name="_Toc297123519"/>
      <w:bookmarkStart w:id="186" w:name="_Toc312678015"/>
      <w:bookmarkStart w:id="187" w:name="_Toc304295549"/>
      <w:bookmarkStart w:id="188" w:name="_Toc300934971"/>
      <w:bookmarkStart w:id="189" w:name="_Toc297216178"/>
      <w:bookmarkStart w:id="190" w:name="_Toc303539128"/>
      <w:r>
        <w:rPr>
          <w:rFonts w:ascii="Times New Roman" w:hAnsi="Times New Roman" w:eastAsia="黑体"/>
          <w:color w:val="auto"/>
          <w:sz w:val="24"/>
          <w:szCs w:val="24"/>
        </w:rPr>
        <w:t>.6 不</w:t>
      </w:r>
      <w:bookmarkEnd w:id="185"/>
      <w:bookmarkEnd w:id="186"/>
      <w:bookmarkEnd w:id="187"/>
      <w:bookmarkEnd w:id="188"/>
      <w:bookmarkEnd w:id="189"/>
      <w:bookmarkEnd w:id="190"/>
      <w:r>
        <w:rPr>
          <w:rFonts w:ascii="Times New Roman" w:hAnsi="Times New Roman" w:eastAsia="黑体"/>
          <w:color w:val="auto"/>
          <w:sz w:val="24"/>
          <w:szCs w:val="24"/>
        </w:rPr>
        <w:t>利物质条件</w:t>
      </w:r>
    </w:p>
    <w:p w14:paraId="5324F7AD">
      <w:pPr>
        <w:spacing w:line="360" w:lineRule="auto"/>
        <w:ind w:firstLine="480" w:firstLineChars="200"/>
        <w:jc w:val="left"/>
        <w:rPr>
          <w:rFonts w:ascii="Times New Roman" w:hAnsi="Times New Roman" w:eastAsia="仿宋_GB2312"/>
          <w:color w:val="auto"/>
          <w:sz w:val="24"/>
          <w:szCs w:val="24"/>
        </w:rPr>
      </w:pPr>
      <w:bookmarkStart w:id="191" w:name="_Toc312678016"/>
      <w:bookmarkStart w:id="192" w:name="_Toc300934972"/>
      <w:bookmarkStart w:id="193" w:name="_Toc304295550"/>
      <w:bookmarkStart w:id="194" w:name="_Toc318581172"/>
      <w:bookmarkStart w:id="195" w:name="_Toc297216179"/>
      <w:bookmarkStart w:id="196" w:name="_Toc297123520"/>
      <w:bookmarkStart w:id="197" w:name="_Toc303539129"/>
      <w:r>
        <w:rPr>
          <w:rFonts w:ascii="Times New Roman" w:hAnsi="Times New Roman" w:eastAsia="仿宋_GB2312"/>
          <w:color w:val="auto"/>
          <w:sz w:val="24"/>
          <w:szCs w:val="24"/>
        </w:rPr>
        <w:t>不利物质条件的其他情形和有关约定：</w:t>
      </w:r>
      <w:r>
        <w:rPr>
          <w:rFonts w:hint="eastAsia" w:ascii="Times New Roman" w:hAnsi="Times New Roman" w:eastAsia="仿宋_GB2312"/>
          <w:color w:val="auto"/>
          <w:sz w:val="24"/>
          <w:szCs w:val="24"/>
          <w:u w:val="single"/>
        </w:rPr>
        <w:t>双方另行协商</w:t>
      </w:r>
      <w:r>
        <w:rPr>
          <w:rFonts w:ascii="Times New Roman" w:hAnsi="Times New Roman" w:eastAsia="仿宋_GB2312"/>
          <w:color w:val="auto"/>
          <w:sz w:val="24"/>
          <w:szCs w:val="24"/>
        </w:rPr>
        <w:t>。</w:t>
      </w:r>
    </w:p>
    <w:bookmarkEnd w:id="191"/>
    <w:bookmarkEnd w:id="192"/>
    <w:bookmarkEnd w:id="193"/>
    <w:bookmarkEnd w:id="194"/>
    <w:bookmarkEnd w:id="195"/>
    <w:bookmarkEnd w:id="196"/>
    <w:bookmarkEnd w:id="197"/>
    <w:p w14:paraId="43B936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98" w:name="_Toc303539130"/>
      <w:bookmarkStart w:id="199" w:name="_Toc300934973"/>
      <w:bookmarkStart w:id="200" w:name="_Toc312678017"/>
      <w:bookmarkStart w:id="201" w:name="_Toc297123521"/>
      <w:bookmarkStart w:id="202" w:name="_Toc297216180"/>
      <w:bookmarkStart w:id="203" w:name="_Toc304295551"/>
      <w:r>
        <w:rPr>
          <w:rFonts w:ascii="Times New Roman" w:hAnsi="Times New Roman" w:eastAsia="黑体"/>
          <w:color w:val="auto"/>
          <w:sz w:val="24"/>
          <w:szCs w:val="24"/>
        </w:rPr>
        <w:t>.7异常恶劣的气候条件</w:t>
      </w:r>
    </w:p>
    <w:bookmarkEnd w:id="198"/>
    <w:bookmarkEnd w:id="199"/>
    <w:bookmarkEnd w:id="200"/>
    <w:bookmarkEnd w:id="201"/>
    <w:bookmarkEnd w:id="202"/>
    <w:bookmarkEnd w:id="203"/>
    <w:p w14:paraId="15D2BD3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发包人和承包人同意以下情形视为异常恶劣的气候条件：</w:t>
      </w:r>
    </w:p>
    <w:p w14:paraId="245A463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291AA2D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F0067A">
      <w:pPr>
        <w:spacing w:line="360" w:lineRule="auto"/>
        <w:ind w:firstLine="480" w:firstLineChars="200"/>
        <w:jc w:val="left"/>
        <w:rPr>
          <w:rFonts w:ascii="Times New Roman" w:hAnsi="Times New Roman" w:eastAsia="黑体"/>
          <w:color w:val="auto"/>
          <w:sz w:val="24"/>
          <w:szCs w:val="24"/>
        </w:rPr>
      </w:pPr>
      <w:r>
        <w:rPr>
          <w:rFonts w:ascii="Times New Roman" w:hAnsi="Times New Roman" w:eastAsia="仿宋_GB2312"/>
          <w:color w:val="auto"/>
          <w:sz w:val="24"/>
          <w:szCs w:val="24"/>
        </w:rPr>
        <w:t>（3）</w:t>
      </w:r>
      <w:r>
        <w:rPr>
          <w:rFonts w:ascii="Times New Roman" w:hAnsi="Times New Roman" w:eastAsia="仿宋_GB2312"/>
          <w:color w:val="auto"/>
          <w:sz w:val="24"/>
          <w:szCs w:val="24"/>
          <w:u w:val="single"/>
        </w:rPr>
        <w:t>/</w:t>
      </w:r>
    </w:p>
    <w:p w14:paraId="64194FB8">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7.9.2提前竣工的奖励：</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A4FC3FD">
      <w:pPr>
        <w:pStyle w:val="5"/>
        <w:spacing w:before="120" w:after="120" w:line="360" w:lineRule="auto"/>
        <w:ind w:left="0" w:leftChars="0" w:firstLine="0" w:firstLineChars="0"/>
        <w:rPr>
          <w:rFonts w:ascii="Times New Roman" w:hAnsi="Times New Roman" w:eastAsia="黑体"/>
          <w:b w:val="0"/>
          <w:color w:val="auto"/>
          <w:sz w:val="24"/>
          <w:szCs w:val="24"/>
        </w:rPr>
      </w:pPr>
      <w:bookmarkStart w:id="204" w:name="_Toc351203640"/>
      <w:r>
        <w:rPr>
          <w:rFonts w:ascii="Times New Roman" w:hAnsi="Times New Roman" w:eastAsia="黑体"/>
          <w:b w:val="0"/>
          <w:color w:val="auto"/>
          <w:sz w:val="24"/>
          <w:szCs w:val="24"/>
        </w:rPr>
        <w:t>8. 材料与设备</w:t>
      </w:r>
      <w:bookmarkEnd w:id="204"/>
    </w:p>
    <w:bookmarkEnd w:id="139"/>
    <w:bookmarkEnd w:id="140"/>
    <w:bookmarkEnd w:id="141"/>
    <w:bookmarkEnd w:id="142"/>
    <w:bookmarkEnd w:id="143"/>
    <w:bookmarkEnd w:id="144"/>
    <w:bookmarkEnd w:id="145"/>
    <w:bookmarkEnd w:id="146"/>
    <w:bookmarkEnd w:id="147"/>
    <w:bookmarkEnd w:id="148"/>
    <w:p w14:paraId="20E665D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8</w:t>
      </w:r>
      <w:bookmarkStart w:id="205" w:name="_Toc297216186"/>
      <w:bookmarkStart w:id="206" w:name="_Toc304295556"/>
      <w:bookmarkStart w:id="207" w:name="_Toc312678019"/>
      <w:bookmarkStart w:id="208" w:name="_Toc292559372"/>
      <w:bookmarkStart w:id="209" w:name="_Toc296891207"/>
      <w:bookmarkStart w:id="210" w:name="_Toc303539136"/>
      <w:bookmarkStart w:id="211" w:name="_Toc296944506"/>
      <w:bookmarkStart w:id="212" w:name="_Toc292559877"/>
      <w:bookmarkStart w:id="213" w:name="_Toc300934979"/>
      <w:bookmarkStart w:id="214" w:name="_Toc297123527"/>
      <w:bookmarkStart w:id="215" w:name="_Toc296890995"/>
      <w:bookmarkStart w:id="216" w:name="_Toc280868654"/>
      <w:bookmarkStart w:id="217" w:name="_Toc297120467"/>
      <w:bookmarkStart w:id="218" w:name="_Toc296346668"/>
      <w:bookmarkStart w:id="219" w:name="_Toc297048353"/>
      <w:bookmarkStart w:id="220" w:name="_Toc312677493"/>
      <w:bookmarkStart w:id="221" w:name="_Toc296503167"/>
      <w:bookmarkStart w:id="222" w:name="_Toc296347166"/>
      <w:bookmarkStart w:id="223" w:name="_Toc280868655"/>
      <w:bookmarkStart w:id="224" w:name="_Toc280868656"/>
      <w:bookmarkStart w:id="225" w:name="_Toc267251424"/>
      <w:r>
        <w:rPr>
          <w:rFonts w:ascii="Times New Roman" w:hAnsi="Times New Roman" w:eastAsia="黑体"/>
          <w:color w:val="auto"/>
          <w:sz w:val="24"/>
          <w:szCs w:val="24"/>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7EAFB9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w:t>
      </w:r>
      <w:bookmarkStart w:id="226" w:name="_Toc292559878"/>
      <w:bookmarkStart w:id="227" w:name="_Toc292559373"/>
      <w:bookmarkStart w:id="228" w:name="_Toc297216187"/>
      <w:bookmarkStart w:id="229" w:name="_Toc297048354"/>
      <w:bookmarkStart w:id="230" w:name="_Toc296891208"/>
      <w:bookmarkStart w:id="231" w:name="_Toc296503168"/>
      <w:bookmarkStart w:id="232" w:name="_Toc296944507"/>
      <w:bookmarkStart w:id="233" w:name="_Toc318581173"/>
      <w:bookmarkStart w:id="234" w:name="_Toc303539137"/>
      <w:bookmarkStart w:id="235" w:name="_Toc296346669"/>
      <w:bookmarkStart w:id="236" w:name="_Toc300934980"/>
      <w:bookmarkStart w:id="237" w:name="_Toc297120468"/>
      <w:bookmarkStart w:id="238" w:name="_Toc297123528"/>
      <w:bookmarkStart w:id="239" w:name="_Toc312677494"/>
      <w:bookmarkStart w:id="240" w:name="_Toc296347167"/>
      <w:bookmarkStart w:id="241" w:name="_Toc312678020"/>
      <w:bookmarkStart w:id="242" w:name="_Toc304295557"/>
      <w:bookmarkStart w:id="243" w:name="_Toc296890996"/>
      <w:r>
        <w:rPr>
          <w:rFonts w:ascii="Times New Roman" w:hAnsi="Times New Roman" w:eastAsia="仿宋_GB2312"/>
          <w:color w:val="auto"/>
          <w:sz w:val="24"/>
          <w:szCs w:val="24"/>
        </w:rPr>
        <w:t>.4.1发包人供应的材料设备的保管费用的承担：</w:t>
      </w:r>
      <w:r>
        <w:rPr>
          <w:rFonts w:hint="eastAsia" w:ascii="Times New Roman" w:hAnsi="Times New Roman" w:eastAsia="仿宋_GB2312"/>
          <w:color w:val="auto"/>
          <w:sz w:val="24"/>
          <w:szCs w:val="24"/>
          <w:u w:val="single"/>
        </w:rPr>
        <w:t>由承包方承担</w:t>
      </w:r>
      <w:r>
        <w:rPr>
          <w:rFonts w:ascii="Times New Roman" w:hAnsi="Times New Roman" w:eastAsia="仿宋_GB2312"/>
          <w:color w:val="auto"/>
          <w:sz w:val="24"/>
          <w:szCs w:val="24"/>
        </w:rPr>
        <w:t>。</w:t>
      </w:r>
      <w:bookmarkEnd w:id="226"/>
      <w:bookmarkEnd w:id="227"/>
    </w:p>
    <w:p w14:paraId="16593FD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8.6 样品</w:t>
      </w:r>
    </w:p>
    <w:p w14:paraId="2A02ADB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8.6.1</w:t>
      </w:r>
      <w:r>
        <w:rPr>
          <w:rFonts w:ascii="Times New Roman" w:hAnsi="Times New Roman" w:eastAsia="仿宋_GB2312"/>
          <w:color w:val="auto"/>
          <w:kern w:val="0"/>
          <w:sz w:val="24"/>
          <w:szCs w:val="24"/>
        </w:rPr>
        <w:tab/>
      </w:r>
      <w:r>
        <w:rPr>
          <w:rFonts w:ascii="Times New Roman" w:hAnsi="Times New Roman" w:eastAsia="仿宋_GB2312"/>
          <w:color w:val="auto"/>
          <w:kern w:val="0"/>
          <w:sz w:val="24"/>
          <w:szCs w:val="24"/>
        </w:rPr>
        <w:t>样品的报送</w:t>
      </w:r>
      <w:r>
        <w:rPr>
          <w:rFonts w:hint="eastAsia" w:ascii="Times New Roman" w:hAnsi="Times New Roman" w:eastAsia="仿宋_GB2312"/>
          <w:color w:val="auto"/>
          <w:kern w:val="0"/>
          <w:sz w:val="24"/>
          <w:szCs w:val="24"/>
        </w:rPr>
        <w:t>与封存</w:t>
      </w:r>
    </w:p>
    <w:p w14:paraId="5A748A27">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需要承包人报送样品的材料或工程设备，样品的种类、名称、规格、数量要求：</w:t>
      </w:r>
      <w:r>
        <w:rPr>
          <w:rFonts w:hint="eastAsia" w:ascii="Times New Roman" w:hAnsi="Times New Roman" w:eastAsia="仿宋_GB2312"/>
          <w:color w:val="auto"/>
          <w:kern w:val="0"/>
          <w:sz w:val="24"/>
          <w:szCs w:val="24"/>
          <w:u w:val="single"/>
        </w:rPr>
        <w:t>按相关规定</w:t>
      </w:r>
      <w:r>
        <w:rPr>
          <w:rFonts w:ascii="Times New Roman" w:hAnsi="Times New Roman" w:eastAsia="仿宋_GB2312"/>
          <w:color w:val="auto"/>
          <w:sz w:val="24"/>
          <w:szCs w:val="24"/>
        </w:rPr>
        <w:t>。</w:t>
      </w:r>
    </w:p>
    <w:p w14:paraId="223D270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8.8 施工设备和临时设施</w:t>
      </w:r>
    </w:p>
    <w:p w14:paraId="70D87D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8.8.1 承包人提供的施工设备和临时设施</w:t>
      </w:r>
    </w:p>
    <w:p w14:paraId="640FE95C">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关于修建临时设施费用承担的约定：</w:t>
      </w:r>
      <w:r>
        <w:rPr>
          <w:rFonts w:hint="eastAsia" w:ascii="Times New Roman" w:hAnsi="Times New Roman" w:eastAsia="仿宋_GB2312"/>
          <w:color w:val="auto"/>
          <w:sz w:val="24"/>
          <w:szCs w:val="24"/>
          <w:u w:val="single"/>
        </w:rPr>
        <w:t>承包方承担</w:t>
      </w:r>
      <w:r>
        <w:rPr>
          <w:rFonts w:ascii="Times New Roman" w:hAnsi="Times New Roman" w:eastAsia="仿宋_GB2312"/>
          <w:color w:val="auto"/>
          <w:sz w:val="24"/>
          <w:szCs w:val="24"/>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1CDA7FD7">
      <w:pPr>
        <w:pStyle w:val="5"/>
        <w:spacing w:before="120" w:after="120" w:line="360" w:lineRule="auto"/>
        <w:ind w:left="0" w:leftChars="0" w:firstLine="0" w:firstLineChars="0"/>
        <w:rPr>
          <w:rFonts w:ascii="Times New Roman" w:hAnsi="Times New Roman" w:eastAsia="黑体"/>
          <w:b w:val="0"/>
          <w:color w:val="auto"/>
          <w:sz w:val="24"/>
          <w:szCs w:val="24"/>
        </w:rPr>
      </w:pPr>
      <w:bookmarkStart w:id="244" w:name="_Toc351203641"/>
      <w:r>
        <w:rPr>
          <w:rFonts w:ascii="Times New Roman" w:hAnsi="Times New Roman" w:eastAsia="黑体"/>
          <w:b w:val="0"/>
          <w:color w:val="auto"/>
          <w:sz w:val="24"/>
          <w:szCs w:val="24"/>
        </w:rPr>
        <w:t>9</w:t>
      </w:r>
      <w:bookmarkEnd w:id="223"/>
      <w:bookmarkEnd w:id="224"/>
      <w:bookmarkEnd w:id="225"/>
      <w:bookmarkStart w:id="245" w:name="_Toc304295559"/>
      <w:bookmarkStart w:id="246" w:name="_Toc297216192"/>
      <w:bookmarkStart w:id="247" w:name="_Toc312678021"/>
      <w:bookmarkStart w:id="248" w:name="_Toc300934982"/>
      <w:bookmarkStart w:id="249" w:name="_Toc312677495"/>
      <w:bookmarkStart w:id="250" w:name="_Toc297123533"/>
      <w:bookmarkStart w:id="251" w:name="_Toc303539139"/>
      <w:bookmarkStart w:id="252" w:name="_Toc292559378"/>
      <w:bookmarkStart w:id="253" w:name="_Toc267251428"/>
      <w:bookmarkStart w:id="254" w:name="_Toc296891001"/>
      <w:bookmarkStart w:id="255" w:name="_Toc296347172"/>
      <w:bookmarkStart w:id="256" w:name="_Toc297048359"/>
      <w:bookmarkStart w:id="257" w:name="_Toc292559883"/>
      <w:bookmarkStart w:id="258" w:name="_Toc297120473"/>
      <w:bookmarkStart w:id="259" w:name="_Toc296891213"/>
      <w:bookmarkStart w:id="260" w:name="_Toc267251427"/>
      <w:bookmarkStart w:id="261" w:name="_Toc296346674"/>
      <w:bookmarkStart w:id="262" w:name="_Toc296503173"/>
      <w:bookmarkStart w:id="263" w:name="_Toc296944512"/>
      <w:r>
        <w:rPr>
          <w:rFonts w:ascii="Times New Roman" w:hAnsi="Times New Roman" w:eastAsia="黑体"/>
          <w:b w:val="0"/>
          <w:color w:val="auto"/>
          <w:sz w:val="24"/>
          <w:szCs w:val="24"/>
        </w:rPr>
        <w:t>. 试验与检验</w:t>
      </w:r>
      <w:bookmarkEnd w:id="244"/>
    </w:p>
    <w:bookmarkEnd w:id="245"/>
    <w:bookmarkEnd w:id="246"/>
    <w:bookmarkEnd w:id="247"/>
    <w:bookmarkEnd w:id="248"/>
    <w:bookmarkEnd w:id="249"/>
    <w:bookmarkEnd w:id="250"/>
    <w:bookmarkEnd w:id="251"/>
    <w:p w14:paraId="19CB6F4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9</w:t>
      </w:r>
      <w:bookmarkStart w:id="264" w:name="_Toc312678022"/>
      <w:bookmarkStart w:id="265" w:name="_Toc297216193"/>
      <w:bookmarkStart w:id="266" w:name="_Toc303539140"/>
      <w:bookmarkStart w:id="267" w:name="_Toc297123534"/>
      <w:bookmarkStart w:id="268" w:name="_Toc304295560"/>
      <w:bookmarkStart w:id="269" w:name="_Toc300934983"/>
      <w:bookmarkStart w:id="270" w:name="_Toc312677496"/>
      <w:r>
        <w:rPr>
          <w:rFonts w:ascii="Times New Roman" w:hAnsi="Times New Roman" w:eastAsia="黑体"/>
          <w:color w:val="auto"/>
          <w:sz w:val="24"/>
          <w:szCs w:val="24"/>
        </w:rPr>
        <w:t>.1试验设备与试验人员</w:t>
      </w:r>
    </w:p>
    <w:bookmarkEnd w:id="264"/>
    <w:bookmarkEnd w:id="265"/>
    <w:bookmarkEnd w:id="266"/>
    <w:bookmarkEnd w:id="267"/>
    <w:bookmarkEnd w:id="268"/>
    <w:bookmarkEnd w:id="269"/>
    <w:bookmarkEnd w:id="270"/>
    <w:p w14:paraId="2735884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9</w:t>
      </w:r>
      <w:bookmarkStart w:id="271" w:name="_Toc297123535"/>
      <w:bookmarkStart w:id="272" w:name="_Toc312677497"/>
      <w:bookmarkStart w:id="273" w:name="_Toc304295561"/>
      <w:bookmarkStart w:id="274" w:name="_Toc300934984"/>
      <w:bookmarkStart w:id="275" w:name="_Toc297216194"/>
      <w:bookmarkStart w:id="276" w:name="_Toc312678023"/>
      <w:bookmarkStart w:id="277" w:name="_Toc303539141"/>
      <w:bookmarkStart w:id="278" w:name="_Toc318581174"/>
      <w:r>
        <w:rPr>
          <w:rFonts w:ascii="Times New Roman" w:hAnsi="Times New Roman" w:eastAsia="仿宋_GB2312"/>
          <w:color w:val="auto"/>
          <w:sz w:val="24"/>
          <w:szCs w:val="24"/>
        </w:rPr>
        <w:t>.1.2 试验设备</w:t>
      </w:r>
    </w:p>
    <w:p w14:paraId="334A9BA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施工现场需要配置的试验场所：</w:t>
      </w:r>
      <w:bookmarkEnd w:id="271"/>
      <w:bookmarkEnd w:id="272"/>
      <w:bookmarkEnd w:id="273"/>
      <w:bookmarkEnd w:id="274"/>
      <w:bookmarkEnd w:id="275"/>
      <w:bookmarkEnd w:id="276"/>
      <w:bookmarkEnd w:id="277"/>
      <w:bookmarkStart w:id="279" w:name="_Toc303539142"/>
      <w:bookmarkStart w:id="280" w:name="_Toc300934985"/>
      <w:bookmarkStart w:id="281" w:name="_Toc304295562"/>
      <w:bookmarkStart w:id="282" w:name="_Toc297216195"/>
      <w:bookmarkStart w:id="283" w:name="_Toc297123536"/>
      <w:bookmarkStart w:id="284" w:name="_Toc312677498"/>
      <w:bookmarkStart w:id="285" w:name="_Toc312678024"/>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 xml:space="preserve"> </w:t>
      </w:r>
    </w:p>
    <w:p w14:paraId="07502BA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施工现场需要配备的试验设备：</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DDD1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施工现场需要具备的其他试验条件：</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10F67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9.4 现场工艺试验</w:t>
      </w:r>
      <w:r>
        <w:rPr>
          <w:rFonts w:hint="eastAsia" w:ascii="Times New Roman" w:hAnsi="Times New Roman" w:eastAsia="黑体"/>
          <w:color w:val="auto"/>
          <w:sz w:val="24"/>
          <w:szCs w:val="24"/>
        </w:rPr>
        <w:t xml:space="preserve"> </w:t>
      </w:r>
    </w:p>
    <w:p w14:paraId="6C3A024B">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现场工艺试验的有关约定：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278"/>
    <w:bookmarkEnd w:id="279"/>
    <w:bookmarkEnd w:id="280"/>
    <w:bookmarkEnd w:id="281"/>
    <w:bookmarkEnd w:id="282"/>
    <w:bookmarkEnd w:id="283"/>
    <w:bookmarkEnd w:id="284"/>
    <w:bookmarkEnd w:id="285"/>
    <w:p w14:paraId="22865D3D">
      <w:pPr>
        <w:pStyle w:val="5"/>
        <w:spacing w:before="120" w:after="120" w:line="360" w:lineRule="auto"/>
        <w:ind w:left="0" w:leftChars="0" w:firstLine="0" w:firstLineChars="0"/>
        <w:rPr>
          <w:rFonts w:ascii="Times New Roman" w:hAnsi="Times New Roman" w:eastAsia="黑体"/>
          <w:b w:val="0"/>
          <w:color w:val="auto"/>
          <w:sz w:val="24"/>
          <w:szCs w:val="24"/>
        </w:rPr>
      </w:pPr>
      <w:bookmarkStart w:id="286" w:name="_Toc351203642"/>
      <w:r>
        <w:rPr>
          <w:rFonts w:ascii="Times New Roman" w:hAnsi="Times New Roman" w:eastAsia="黑体"/>
          <w:b w:val="0"/>
          <w:color w:val="auto"/>
          <w:sz w:val="24"/>
          <w:szCs w:val="24"/>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292559398"/>
      <w:bookmarkStart w:id="288" w:name="_Toc300934989"/>
      <w:bookmarkStart w:id="289" w:name="_Toc296944532"/>
      <w:bookmarkStart w:id="290" w:name="_Toc296891021"/>
      <w:bookmarkStart w:id="291" w:name="_Toc304295566"/>
      <w:bookmarkStart w:id="292" w:name="_Toc296891233"/>
      <w:bookmarkStart w:id="293" w:name="_Toc297048379"/>
      <w:bookmarkStart w:id="294" w:name="_Toc297216199"/>
      <w:bookmarkStart w:id="295" w:name="_Toc303539146"/>
      <w:bookmarkStart w:id="296" w:name="_Toc297120493"/>
      <w:bookmarkStart w:id="297" w:name="_Toc296346694"/>
      <w:bookmarkStart w:id="298" w:name="_Toc292559903"/>
      <w:bookmarkStart w:id="299" w:name="_Toc297123540"/>
      <w:bookmarkStart w:id="300" w:name="_Toc296503193"/>
      <w:bookmarkStart w:id="301" w:name="_Toc296347192"/>
      <w:bookmarkStart w:id="302" w:name="_Toc312677499"/>
      <w:bookmarkStart w:id="303" w:name="_Toc312678025"/>
      <w:bookmarkStart w:id="304" w:name="_Toc267251433"/>
      <w:bookmarkStart w:id="305" w:name="_Toc267251435"/>
      <w:bookmarkStart w:id="306" w:name="_Toc267251437"/>
      <w:bookmarkStart w:id="307" w:name="_Toc267251439"/>
      <w:bookmarkStart w:id="308" w:name="_Toc267251440"/>
      <w:bookmarkStart w:id="309" w:name="_Toc267251441"/>
      <w:bookmarkStart w:id="310" w:name="_Toc267251442"/>
      <w:r>
        <w:rPr>
          <w:rFonts w:ascii="Times New Roman" w:hAnsi="Times New Roman" w:eastAsia="黑体"/>
          <w:b w:val="0"/>
          <w:color w:val="auto"/>
          <w:sz w:val="24"/>
          <w:szCs w:val="24"/>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4358681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Start w:id="311" w:name="_Toc297123541"/>
      <w:bookmarkStart w:id="312" w:name="_Toc292559399"/>
      <w:bookmarkStart w:id="313" w:name="_Toc296503194"/>
      <w:bookmarkStart w:id="314" w:name="_Toc296944533"/>
      <w:bookmarkStart w:id="315" w:name="_Toc304295567"/>
      <w:bookmarkStart w:id="316" w:name="_Toc312677500"/>
      <w:bookmarkStart w:id="317" w:name="_Toc303539147"/>
      <w:bookmarkStart w:id="318" w:name="_Toc297216200"/>
      <w:bookmarkStart w:id="319" w:name="_Toc297120494"/>
      <w:bookmarkStart w:id="320" w:name="_Toc300934990"/>
      <w:bookmarkStart w:id="321" w:name="_Toc292559904"/>
      <w:bookmarkStart w:id="322" w:name="_Toc312678026"/>
      <w:bookmarkStart w:id="323" w:name="_Toc297048380"/>
      <w:bookmarkStart w:id="324" w:name="_Toc296347193"/>
      <w:bookmarkStart w:id="325" w:name="_Toc296346695"/>
      <w:bookmarkStart w:id="326" w:name="_Toc296891234"/>
      <w:bookmarkStart w:id="327" w:name="_Toc296891022"/>
      <w:r>
        <w:rPr>
          <w:rFonts w:ascii="Times New Roman" w:hAnsi="Times New Roman" w:eastAsia="黑体"/>
          <w:color w:val="auto"/>
          <w:sz w:val="24"/>
          <w:szCs w:val="24"/>
        </w:rPr>
        <w:t>0.1变更的范围</w:t>
      </w:r>
    </w:p>
    <w:p w14:paraId="61774918">
      <w:pPr>
        <w:spacing w:line="360" w:lineRule="auto"/>
        <w:ind w:firstLine="6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关于变更的范围的约定：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F11D76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10.4 变更估价</w:t>
      </w:r>
    </w:p>
    <w:p w14:paraId="5D2D2C15">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10.4.1 变更估价原则</w:t>
      </w:r>
    </w:p>
    <w:p w14:paraId="550F15E5">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关于变更估价的约定: </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704B1B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6346698"/>
      <w:bookmarkStart w:id="329" w:name="_Toc297048383"/>
      <w:bookmarkStart w:id="330" w:name="_Toc297120497"/>
      <w:bookmarkStart w:id="331" w:name="_Toc296891237"/>
      <w:bookmarkStart w:id="332" w:name="_Toc296944536"/>
      <w:bookmarkStart w:id="333" w:name="_Toc297123544"/>
      <w:bookmarkStart w:id="334" w:name="_Toc296347196"/>
      <w:bookmarkStart w:id="335" w:name="_Toc296891025"/>
      <w:bookmarkStart w:id="336" w:name="_Toc300934993"/>
      <w:bookmarkStart w:id="337" w:name="_Toc303539150"/>
      <w:bookmarkStart w:id="338" w:name="_Toc292559402"/>
      <w:bookmarkStart w:id="339" w:name="_Toc296503197"/>
      <w:bookmarkStart w:id="340" w:name="_Toc292559907"/>
      <w:bookmarkStart w:id="341" w:name="_Toc297216203"/>
      <w:bookmarkStart w:id="342" w:name="_Toc312678029"/>
      <w:bookmarkStart w:id="343" w:name="_Toc312677503"/>
      <w:bookmarkStart w:id="344" w:name="_Toc304295570"/>
      <w:r>
        <w:rPr>
          <w:rFonts w:ascii="Times New Roman" w:hAnsi="Times New Roman" w:eastAsia="黑体"/>
          <w:color w:val="auto"/>
          <w:sz w:val="24"/>
          <w:szCs w:val="24"/>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2559913"/>
      <w:bookmarkStart w:id="346" w:name="_Toc296346704"/>
      <w:bookmarkStart w:id="347" w:name="_Toc292559408"/>
      <w:bookmarkStart w:id="348" w:name="_Toc296944542"/>
      <w:bookmarkStart w:id="349" w:name="_Toc297120503"/>
      <w:bookmarkStart w:id="350" w:name="_Toc296891031"/>
      <w:bookmarkStart w:id="351" w:name="_Toc297123545"/>
      <w:bookmarkStart w:id="352" w:name="_Toc297216204"/>
      <w:bookmarkStart w:id="353" w:name="_Toc296891243"/>
      <w:bookmarkStart w:id="354" w:name="_Toc297048389"/>
      <w:bookmarkStart w:id="355" w:name="_Toc300934994"/>
      <w:bookmarkStart w:id="356" w:name="_Toc296347202"/>
      <w:bookmarkStart w:id="357" w:name="_Toc296503203"/>
      <w:bookmarkStart w:id="358" w:name="_Toc303539151"/>
      <w:r>
        <w:rPr>
          <w:rFonts w:ascii="Times New Roman" w:hAnsi="Times New Roman" w:eastAsia="黑体"/>
          <w:color w:val="auto"/>
          <w:sz w:val="24"/>
          <w:szCs w:val="24"/>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1483812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监理人审查承包人合理化建议的期限：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163FD95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发包人审批承包人合理化建议的期限：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08A6FE80">
      <w:pPr>
        <w:spacing w:line="360" w:lineRule="auto"/>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承</w:t>
      </w:r>
      <w:bookmarkStart w:id="359" w:name="_Toc296346705"/>
      <w:bookmarkStart w:id="360" w:name="_Toc300934995"/>
      <w:bookmarkStart w:id="361" w:name="_Toc296503204"/>
      <w:bookmarkStart w:id="362" w:name="_Toc297048390"/>
      <w:bookmarkStart w:id="363" w:name="_Toc312678030"/>
      <w:bookmarkStart w:id="364" w:name="_Toc304295571"/>
      <w:bookmarkStart w:id="365" w:name="_Toc303539152"/>
      <w:bookmarkStart w:id="366" w:name="_Toc292559409"/>
      <w:bookmarkStart w:id="367" w:name="_Toc312677504"/>
      <w:bookmarkStart w:id="368" w:name="_Toc318581175"/>
      <w:bookmarkStart w:id="369" w:name="_Toc292559914"/>
      <w:bookmarkStart w:id="370" w:name="_Toc296891244"/>
      <w:bookmarkStart w:id="371" w:name="_Toc296347203"/>
      <w:bookmarkStart w:id="372" w:name="_Toc297120504"/>
      <w:bookmarkStart w:id="373" w:name="_Toc296944543"/>
      <w:bookmarkStart w:id="374" w:name="_Toc297216205"/>
      <w:bookmarkStart w:id="375" w:name="_Toc296891032"/>
      <w:bookmarkStart w:id="376" w:name="_Toc297123546"/>
      <w:r>
        <w:rPr>
          <w:rFonts w:ascii="Times New Roman" w:hAnsi="Times New Roman" w:eastAsia="仿宋_GB2312"/>
          <w:color w:val="auto"/>
          <w:sz w:val="24"/>
          <w:szCs w:val="24"/>
        </w:rPr>
        <w:t>包人提出的合理化建议降低了合同价格或者提高了工程经济效益的奖励的方法和金额为：</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6DB1576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w:t>
      </w:r>
      <w:bookmarkStart w:id="377" w:name="_Toc303539154"/>
      <w:bookmarkStart w:id="378" w:name="_Toc297048385"/>
      <w:bookmarkStart w:id="379" w:name="_Toc297120499"/>
      <w:bookmarkStart w:id="380" w:name="_Toc297123548"/>
      <w:bookmarkStart w:id="381" w:name="_Toc300934997"/>
      <w:bookmarkStart w:id="382" w:name="_Toc296891239"/>
      <w:bookmarkStart w:id="383" w:name="_Toc292559909"/>
      <w:bookmarkStart w:id="384" w:name="_Toc296944538"/>
      <w:bookmarkStart w:id="385" w:name="_Toc312677507"/>
      <w:bookmarkStart w:id="386" w:name="_Toc292559404"/>
      <w:bookmarkStart w:id="387" w:name="_Toc304295574"/>
      <w:bookmarkStart w:id="388" w:name="_Toc296891027"/>
      <w:bookmarkStart w:id="389" w:name="_Toc296503199"/>
      <w:bookmarkStart w:id="390" w:name="_Toc312678033"/>
      <w:bookmarkStart w:id="391" w:name="_Toc296346700"/>
      <w:bookmarkStart w:id="392" w:name="_Toc297216207"/>
      <w:bookmarkStart w:id="393" w:name="_Toc296347198"/>
      <w:r>
        <w:rPr>
          <w:rFonts w:ascii="Times New Roman" w:hAnsi="Times New Roman" w:eastAsia="黑体"/>
          <w:color w:val="auto"/>
          <w:sz w:val="24"/>
          <w:szCs w:val="24"/>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6FCFF58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暂</w:t>
      </w:r>
      <w:bookmarkStart w:id="394" w:name="_Toc312677508"/>
      <w:bookmarkStart w:id="395" w:name="_Toc312678034"/>
      <w:bookmarkStart w:id="396" w:name="_Toc318581176"/>
      <w:r>
        <w:rPr>
          <w:rFonts w:ascii="Times New Roman" w:hAnsi="Times New Roman" w:eastAsia="仿宋_GB2312"/>
          <w:color w:val="auto"/>
          <w:kern w:val="0"/>
          <w:sz w:val="24"/>
          <w:szCs w:val="24"/>
        </w:rPr>
        <w:t>估价材料和工程设备的明细详见附件</w:t>
      </w:r>
      <w:r>
        <w:rPr>
          <w:rFonts w:hint="eastAsia" w:ascii="Times New Roman" w:hAnsi="Times New Roman" w:eastAsia="仿宋_GB2312"/>
          <w:color w:val="auto"/>
          <w:kern w:val="0"/>
          <w:sz w:val="24"/>
          <w:szCs w:val="24"/>
        </w:rPr>
        <w:t>11：《</w:t>
      </w:r>
      <w:r>
        <w:rPr>
          <w:rFonts w:ascii="Times New Roman" w:hAnsi="Times New Roman" w:eastAsia="仿宋_GB2312"/>
          <w:color w:val="auto"/>
          <w:sz w:val="24"/>
          <w:szCs w:val="24"/>
        </w:rPr>
        <w:t>暂估价一览表</w:t>
      </w:r>
      <w:r>
        <w:rPr>
          <w:rFonts w:hint="eastAsia" w:ascii="Times New Roman" w:hAnsi="Times New Roman" w:eastAsia="仿宋_GB2312"/>
          <w:color w:val="auto"/>
          <w:sz w:val="24"/>
          <w:szCs w:val="24"/>
        </w:rPr>
        <w:t>》</w:t>
      </w:r>
      <w:r>
        <w:rPr>
          <w:rFonts w:hint="eastAsia" w:ascii="Times New Roman" w:hAnsi="Times New Roman" w:eastAsia="仿宋_GB2312"/>
          <w:color w:val="auto"/>
          <w:kern w:val="0"/>
          <w:sz w:val="24"/>
          <w:szCs w:val="24"/>
        </w:rPr>
        <w:t>。</w:t>
      </w:r>
    </w:p>
    <w:bookmarkEnd w:id="394"/>
    <w:bookmarkEnd w:id="395"/>
    <w:bookmarkEnd w:id="396"/>
    <w:p w14:paraId="3CA06A9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397" w:name="_Toc312677509"/>
      <w:bookmarkStart w:id="398" w:name="_Toc312678035"/>
      <w:bookmarkStart w:id="399" w:name="_Toc318581177"/>
      <w:r>
        <w:rPr>
          <w:rFonts w:ascii="Times New Roman" w:hAnsi="Times New Roman" w:eastAsia="仿宋_GB2312"/>
          <w:color w:val="auto"/>
          <w:sz w:val="24"/>
          <w:szCs w:val="24"/>
        </w:rPr>
        <w:t>0.7.1 依法必须招标的暂估价项目</w:t>
      </w:r>
    </w:p>
    <w:bookmarkEnd w:id="397"/>
    <w:bookmarkEnd w:id="398"/>
    <w:bookmarkEnd w:id="399"/>
    <w:p w14:paraId="58C72A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对于依法必须招标的暂估价项目的确认和批准采取第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种方式确定。</w:t>
      </w:r>
    </w:p>
    <w:p w14:paraId="002C9AA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10.7.2 不属于依法必须招标的暂估价项目</w:t>
      </w:r>
    </w:p>
    <w:p w14:paraId="3C5C87C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对于不属于依法必须招标的暂估价项目的确认和批准采取第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种方式确定。</w:t>
      </w:r>
    </w:p>
    <w:p w14:paraId="1F356E5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第3种方式：</w:t>
      </w:r>
      <w:r>
        <w:rPr>
          <w:rFonts w:ascii="Times New Roman" w:hAnsi="Times New Roman" w:eastAsia="仿宋_GB2312"/>
          <w:color w:val="auto"/>
          <w:kern w:val="0"/>
          <w:sz w:val="24"/>
          <w:szCs w:val="24"/>
        </w:rPr>
        <w:t>承包人直接实施的暂估价项目</w:t>
      </w:r>
    </w:p>
    <w:p w14:paraId="24D7967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承包人直接实施的暂估价项目的约定：</w:t>
      </w:r>
      <w:r>
        <w:rPr>
          <w:rFonts w:hint="eastAsia" w:ascii="Times New Roman" w:hAnsi="Times New Roman" w:eastAsia="仿宋_GB2312"/>
          <w:color w:val="auto"/>
          <w:sz w:val="24"/>
          <w:szCs w:val="24"/>
          <w:u w:val="single"/>
        </w:rPr>
        <w:t>按实结算</w:t>
      </w:r>
      <w:r>
        <w:rPr>
          <w:rFonts w:ascii="Times New Roman" w:hAnsi="Times New Roman" w:eastAsia="仿宋_GB2312"/>
          <w:color w:val="auto"/>
          <w:sz w:val="24"/>
          <w:szCs w:val="24"/>
        </w:rPr>
        <w:t>。</w:t>
      </w:r>
    </w:p>
    <w:p w14:paraId="11A5A997">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10.8 暂列金额</w:t>
      </w:r>
    </w:p>
    <w:p w14:paraId="4CB82D9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合同当事人关于暂列金额使用的约定：</w:t>
      </w:r>
      <w:r>
        <w:rPr>
          <w:rFonts w:hint="eastAsia" w:ascii="Times New Roman" w:hAnsi="Times New Roman" w:eastAsia="仿宋_GB2312"/>
          <w:color w:val="auto"/>
          <w:sz w:val="24"/>
          <w:szCs w:val="24"/>
          <w:u w:val="single"/>
        </w:rPr>
        <w:t>按实结算</w:t>
      </w:r>
      <w:r>
        <w:rPr>
          <w:rFonts w:hint="eastAsia" w:ascii="Times New Roman" w:hAnsi="Times New Roman" w:eastAsia="仿宋_GB2312"/>
          <w:color w:val="auto"/>
          <w:kern w:val="0"/>
          <w:sz w:val="24"/>
          <w:szCs w:val="24"/>
        </w:rPr>
        <w:t>。</w:t>
      </w:r>
    </w:p>
    <w:p w14:paraId="76A8080F">
      <w:pPr>
        <w:pStyle w:val="5"/>
        <w:spacing w:before="120" w:after="120" w:line="360" w:lineRule="auto"/>
        <w:ind w:left="0" w:leftChars="0" w:firstLine="0" w:firstLineChars="0"/>
        <w:rPr>
          <w:rFonts w:ascii="Times New Roman" w:hAnsi="Times New Roman" w:eastAsia="黑体"/>
          <w:b w:val="0"/>
          <w:color w:val="auto"/>
          <w:sz w:val="24"/>
          <w:szCs w:val="24"/>
        </w:rPr>
      </w:pPr>
      <w:bookmarkStart w:id="400" w:name="_Toc351203643"/>
      <w:r>
        <w:rPr>
          <w:rFonts w:ascii="Times New Roman" w:hAnsi="Times New Roman" w:eastAsia="黑体"/>
          <w:b w:val="0"/>
          <w:color w:val="auto"/>
          <w:sz w:val="24"/>
          <w:szCs w:val="24"/>
        </w:rPr>
        <w:t>11. 价格调整</w:t>
      </w:r>
      <w:bookmarkEnd w:id="400"/>
    </w:p>
    <w:p w14:paraId="734D2617">
      <w:pPr>
        <w:spacing w:after="120" w:line="360" w:lineRule="auto"/>
        <w:ind w:firstLine="480" w:firstLineChars="200"/>
        <w:rPr>
          <w:rFonts w:ascii="Times New Roman" w:hAnsi="Times New Roman" w:eastAsia="黑体"/>
          <w:color w:val="auto"/>
          <w:sz w:val="24"/>
          <w:szCs w:val="24"/>
        </w:rPr>
      </w:pPr>
      <w:bookmarkStart w:id="401" w:name="_Toc296346702"/>
      <w:bookmarkStart w:id="402" w:name="_Toc296891029"/>
      <w:bookmarkStart w:id="403" w:name="_Toc296891241"/>
      <w:bookmarkStart w:id="404" w:name="_Toc296503201"/>
      <w:bookmarkStart w:id="405" w:name="_Toc292559911"/>
      <w:bookmarkStart w:id="406" w:name="_Toc300935000"/>
      <w:bookmarkStart w:id="407" w:name="_Toc304295577"/>
      <w:bookmarkStart w:id="408" w:name="_Toc312678039"/>
      <w:bookmarkStart w:id="409" w:name="_Toc297120501"/>
      <w:bookmarkStart w:id="410" w:name="_Toc297123550"/>
      <w:bookmarkStart w:id="411" w:name="_Toc303539157"/>
      <w:bookmarkStart w:id="412" w:name="_Toc292559406"/>
      <w:bookmarkStart w:id="413" w:name="_Toc296944540"/>
      <w:bookmarkStart w:id="414" w:name="_Toc296347200"/>
      <w:bookmarkStart w:id="415" w:name="_Toc297216209"/>
      <w:bookmarkStart w:id="416" w:name="_Toc297048387"/>
      <w:r>
        <w:rPr>
          <w:rFonts w:ascii="Times New Roman" w:hAnsi="Times New Roman" w:eastAsia="黑体"/>
          <w:color w:val="auto"/>
          <w:sz w:val="24"/>
          <w:szCs w:val="24"/>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5408BB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市场价格波动是否调整合同价格的约定：</w:t>
      </w:r>
      <w:r>
        <w:rPr>
          <w:rFonts w:hint="eastAsia" w:ascii="Times New Roman" w:hAnsi="Times New Roman" w:eastAsia="仿宋_GB2312"/>
          <w:color w:val="auto"/>
          <w:kern w:val="0"/>
          <w:sz w:val="24"/>
          <w:szCs w:val="24"/>
          <w:u w:val="single"/>
          <w:lang w:val="en-US" w:eastAsia="zh-CN"/>
        </w:rPr>
        <w:t>不调整</w:t>
      </w:r>
      <w:r>
        <w:rPr>
          <w:rFonts w:ascii="Times New Roman" w:hAnsi="Times New Roman" w:eastAsia="仿宋_GB2312"/>
          <w:color w:val="auto"/>
          <w:sz w:val="24"/>
          <w:szCs w:val="24"/>
        </w:rPr>
        <w:t>。</w:t>
      </w:r>
    </w:p>
    <w:p w14:paraId="696B5F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因市场价格波动调整合同价格，采用以下第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种方式对合同价格进行调整：</w:t>
      </w:r>
    </w:p>
    <w:p w14:paraId="20AEE7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第1种方式：采用价格指数</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00C12A2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关于各可调因子、定值和变值权重，以及基本价格指数及其来源的约定：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4A5BFBA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第2种方式：采用造价信息</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3B7112B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（2）关于基准价格的约定：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AB04D8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专用合同条款</w:t>
      </w:r>
      <w:r>
        <w:rPr>
          <w:rFonts w:hint="eastAsia" w:ascii="宋体" w:hAnsi="宋体" w:cs="宋体"/>
          <w:color w:val="auto"/>
          <w:sz w:val="24"/>
          <w:szCs w:val="24"/>
        </w:rPr>
        <w:t>①</w:t>
      </w:r>
      <w:r>
        <w:rPr>
          <w:rFonts w:ascii="Times New Roman" w:hAnsi="Times New Roman" w:eastAsia="仿宋_GB2312"/>
          <w:color w:val="auto"/>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%时，或材料单价跌幅以已标价工程量清单或预算书中载明材料单价为基础超过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E72AFA5">
      <w:pPr>
        <w:spacing w:line="360" w:lineRule="auto"/>
        <w:ind w:firstLine="480" w:firstLineChars="200"/>
        <w:jc w:val="left"/>
        <w:rPr>
          <w:rFonts w:ascii="Times New Roman" w:hAnsi="Times New Roman" w:eastAsia="仿宋_GB2312"/>
          <w:color w:val="auto"/>
          <w:sz w:val="24"/>
          <w:szCs w:val="24"/>
        </w:rPr>
      </w:pPr>
      <w:r>
        <w:rPr>
          <w:rFonts w:hint="eastAsia" w:ascii="宋体" w:hAnsi="宋体" w:cs="宋体"/>
          <w:color w:val="auto"/>
          <w:sz w:val="24"/>
          <w:szCs w:val="24"/>
        </w:rPr>
        <w:t>②</w:t>
      </w:r>
      <w:r>
        <w:rPr>
          <w:rFonts w:ascii="Times New Roman" w:hAnsi="Times New Roman" w:eastAsia="仿宋_GB2312"/>
          <w:color w:val="auto"/>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%时，材料单价涨幅以已标价工程量清单或预算书中载明材料单价为基础超过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7AB4EB56">
      <w:pPr>
        <w:spacing w:line="360" w:lineRule="auto"/>
        <w:ind w:firstLine="645"/>
        <w:jc w:val="left"/>
        <w:rPr>
          <w:rFonts w:ascii="Times New Roman" w:hAnsi="Times New Roman" w:eastAsia="仿宋_GB2312"/>
          <w:color w:val="auto"/>
          <w:sz w:val="24"/>
          <w:szCs w:val="24"/>
        </w:rPr>
      </w:pPr>
      <w:r>
        <w:rPr>
          <w:rFonts w:hint="eastAsia" w:ascii="宋体" w:hAnsi="宋体" w:cs="宋体"/>
          <w:color w:val="auto"/>
          <w:sz w:val="24"/>
          <w:szCs w:val="24"/>
        </w:rPr>
        <w:t>③</w:t>
      </w:r>
      <w:r>
        <w:rPr>
          <w:rFonts w:ascii="Times New Roman" w:hAnsi="Times New Roman" w:eastAsia="仿宋_GB2312"/>
          <w:color w:val="auto"/>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3DD16AF">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第3种方式：其他价格调整方式：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其他价格调整方式：总价措施费闭口包干，单价措施费按实结算 。</w:t>
      </w:r>
    </w:p>
    <w:bookmarkEnd w:id="304"/>
    <w:bookmarkEnd w:id="305"/>
    <w:bookmarkEnd w:id="306"/>
    <w:bookmarkEnd w:id="307"/>
    <w:bookmarkEnd w:id="308"/>
    <w:bookmarkEnd w:id="309"/>
    <w:p w14:paraId="0E6C976C">
      <w:pPr>
        <w:pStyle w:val="5"/>
        <w:spacing w:before="120" w:after="120" w:line="360" w:lineRule="auto"/>
        <w:ind w:left="0" w:leftChars="0" w:firstLine="0" w:firstLineChars="0"/>
        <w:rPr>
          <w:rFonts w:ascii="Times New Roman" w:hAnsi="Times New Roman" w:eastAsia="黑体"/>
          <w:b w:val="0"/>
          <w:color w:val="auto"/>
          <w:sz w:val="24"/>
          <w:szCs w:val="24"/>
        </w:rPr>
      </w:pPr>
      <w:bookmarkStart w:id="417" w:name="_Toc296891245"/>
      <w:bookmarkStart w:id="418" w:name="_Toc297048391"/>
      <w:bookmarkStart w:id="419" w:name="_Toc296347204"/>
      <w:bookmarkStart w:id="420" w:name="_Toc292559410"/>
      <w:bookmarkStart w:id="421" w:name="_Toc296346706"/>
      <w:bookmarkStart w:id="422" w:name="_Toc292559915"/>
      <w:bookmarkStart w:id="423" w:name="_Toc297120505"/>
      <w:bookmarkStart w:id="424" w:name="_Toc296503205"/>
      <w:bookmarkStart w:id="425" w:name="_Toc296944544"/>
      <w:bookmarkStart w:id="426" w:name="_Toc296891033"/>
      <w:bookmarkStart w:id="427" w:name="_Toc351203644"/>
      <w:bookmarkStart w:id="428" w:name="_Toc300935002"/>
      <w:bookmarkStart w:id="429" w:name="_Toc304295579"/>
      <w:bookmarkStart w:id="430" w:name="_Toc297123552"/>
      <w:bookmarkStart w:id="431" w:name="_Toc312678040"/>
      <w:bookmarkStart w:id="432" w:name="_Toc303539159"/>
      <w:bookmarkStart w:id="433" w:name="_Toc297216211"/>
      <w:r>
        <w:rPr>
          <w:rFonts w:ascii="Times New Roman" w:hAnsi="Times New Roman" w:eastAsia="黑体"/>
          <w:b w:val="0"/>
          <w:color w:val="auto"/>
          <w:sz w:val="24"/>
          <w:szCs w:val="24"/>
        </w:rPr>
        <w:t xml:space="preserve">12. </w:t>
      </w:r>
      <w:bookmarkEnd w:id="417"/>
      <w:bookmarkEnd w:id="418"/>
      <w:bookmarkEnd w:id="419"/>
      <w:bookmarkEnd w:id="420"/>
      <w:bookmarkEnd w:id="421"/>
      <w:bookmarkEnd w:id="422"/>
      <w:bookmarkEnd w:id="423"/>
      <w:bookmarkEnd w:id="424"/>
      <w:bookmarkEnd w:id="425"/>
      <w:bookmarkEnd w:id="426"/>
      <w:r>
        <w:rPr>
          <w:rFonts w:ascii="Times New Roman" w:hAnsi="Times New Roman" w:eastAsia="黑体"/>
          <w:b w:val="0"/>
          <w:color w:val="auto"/>
          <w:sz w:val="24"/>
          <w:szCs w:val="24"/>
        </w:rPr>
        <w:t>合同价格、计量与支付</w:t>
      </w:r>
      <w:bookmarkEnd w:id="427"/>
    </w:p>
    <w:bookmarkEnd w:id="428"/>
    <w:bookmarkEnd w:id="429"/>
    <w:bookmarkEnd w:id="430"/>
    <w:bookmarkEnd w:id="431"/>
    <w:bookmarkEnd w:id="432"/>
    <w:bookmarkEnd w:id="433"/>
    <w:p w14:paraId="2C6F5371">
      <w:pPr>
        <w:spacing w:after="120" w:line="360" w:lineRule="auto"/>
        <w:ind w:firstLine="480" w:firstLineChars="200"/>
        <w:rPr>
          <w:rFonts w:ascii="Times New Roman" w:hAnsi="Times New Roman" w:eastAsia="黑体"/>
          <w:color w:val="auto"/>
          <w:sz w:val="24"/>
          <w:szCs w:val="24"/>
        </w:rPr>
      </w:pPr>
      <w:bookmarkStart w:id="434" w:name="_Toc267251461"/>
      <w:bookmarkStart w:id="435" w:name="_Toc292559411"/>
      <w:bookmarkStart w:id="436" w:name="_Toc292559916"/>
      <w:bookmarkStart w:id="437" w:name="_Toc296944545"/>
      <w:bookmarkStart w:id="438" w:name="_Toc297048392"/>
      <w:bookmarkStart w:id="439" w:name="_Toc297120506"/>
      <w:bookmarkStart w:id="440" w:name="_Toc296891246"/>
      <w:bookmarkStart w:id="441" w:name="_Toc296503206"/>
      <w:bookmarkStart w:id="442" w:name="_Toc296347205"/>
      <w:bookmarkStart w:id="443" w:name="_Toc296891034"/>
      <w:bookmarkStart w:id="444" w:name="_Toc296346707"/>
      <w:bookmarkStart w:id="445" w:name="_Toc312678041"/>
      <w:bookmarkStart w:id="446" w:name="_Toc297216212"/>
      <w:bookmarkStart w:id="447" w:name="_Toc300935003"/>
      <w:bookmarkStart w:id="448" w:name="_Toc304295580"/>
      <w:bookmarkStart w:id="449" w:name="_Toc303539160"/>
      <w:bookmarkStart w:id="450" w:name="_Toc297123553"/>
      <w:r>
        <w:rPr>
          <w:rFonts w:ascii="Times New Roman" w:hAnsi="Times New Roman" w:eastAsia="黑体"/>
          <w:color w:val="auto"/>
          <w:sz w:val="24"/>
          <w:szCs w:val="24"/>
        </w:rPr>
        <w:t>12.1 合</w:t>
      </w:r>
      <w:bookmarkEnd w:id="434"/>
      <w:bookmarkEnd w:id="435"/>
      <w:bookmarkEnd w:id="436"/>
      <w:r>
        <w:rPr>
          <w:rFonts w:ascii="Times New Roman" w:hAnsi="Times New Roman" w:eastAsia="黑体"/>
          <w:color w:val="auto"/>
          <w:sz w:val="24"/>
          <w:szCs w:val="24"/>
        </w:rPr>
        <w:t>同价</w:t>
      </w:r>
      <w:bookmarkEnd w:id="437"/>
      <w:bookmarkEnd w:id="438"/>
      <w:bookmarkEnd w:id="439"/>
      <w:bookmarkEnd w:id="440"/>
      <w:bookmarkEnd w:id="441"/>
      <w:bookmarkEnd w:id="442"/>
      <w:bookmarkEnd w:id="443"/>
      <w:bookmarkEnd w:id="444"/>
      <w:r>
        <w:rPr>
          <w:rFonts w:ascii="Times New Roman" w:hAnsi="Times New Roman" w:eastAsia="黑体"/>
          <w:color w:val="auto"/>
          <w:sz w:val="24"/>
          <w:szCs w:val="24"/>
        </w:rPr>
        <w:t>格形式</w:t>
      </w:r>
    </w:p>
    <w:bookmarkEnd w:id="445"/>
    <w:bookmarkEnd w:id="446"/>
    <w:bookmarkEnd w:id="447"/>
    <w:bookmarkEnd w:id="448"/>
    <w:bookmarkEnd w:id="449"/>
    <w:bookmarkEnd w:id="450"/>
    <w:p w14:paraId="77CBE15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w:t>
      </w:r>
    </w:p>
    <w:p w14:paraId="4C06C34E">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综合单价包含的风险范围：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B14842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风险费用自行考虑，包含在合同综合单价中。</w:t>
      </w:r>
    </w:p>
    <w:p w14:paraId="0EB2DBE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0E462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w:t>
      </w:r>
    </w:p>
    <w:p w14:paraId="36DAA14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总价包含的风险范围：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84069D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E67E71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BE0721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DA17896">
      <w:pPr>
        <w:spacing w:after="120" w:line="360" w:lineRule="auto"/>
        <w:ind w:firstLine="480" w:firstLineChars="200"/>
        <w:rPr>
          <w:rFonts w:ascii="Times New Roman" w:hAnsi="Times New Roman" w:eastAsia="黑体"/>
          <w:color w:val="auto"/>
          <w:sz w:val="24"/>
          <w:szCs w:val="24"/>
        </w:rPr>
      </w:pPr>
      <w:bookmarkStart w:id="451" w:name="_Toc304295581"/>
      <w:bookmarkStart w:id="452" w:name="_Toc297123554"/>
      <w:bookmarkStart w:id="453" w:name="_Toc303539161"/>
      <w:bookmarkStart w:id="454" w:name="_Toc297216213"/>
      <w:bookmarkStart w:id="455" w:name="_Toc300935004"/>
      <w:bookmarkStart w:id="456" w:name="_Toc312678042"/>
      <w:bookmarkStart w:id="457" w:name="_Toc292559412"/>
      <w:bookmarkStart w:id="458" w:name="_Toc296891247"/>
      <w:bookmarkStart w:id="459" w:name="_Toc296944546"/>
      <w:bookmarkStart w:id="460" w:name="_Toc297120507"/>
      <w:bookmarkStart w:id="461" w:name="_Toc297048393"/>
      <w:bookmarkStart w:id="462" w:name="_Toc296347206"/>
      <w:bookmarkStart w:id="463" w:name="_Toc292559917"/>
      <w:bookmarkStart w:id="464" w:name="_Toc296346708"/>
      <w:bookmarkStart w:id="465" w:name="_Toc296891035"/>
      <w:bookmarkStart w:id="466" w:name="_Toc296503207"/>
      <w:r>
        <w:rPr>
          <w:rFonts w:ascii="Times New Roman" w:hAnsi="Times New Roman" w:eastAsia="黑体"/>
          <w:color w:val="auto"/>
          <w:sz w:val="24"/>
          <w:szCs w:val="24"/>
        </w:rPr>
        <w:t>12.2 预付款</w:t>
      </w:r>
    </w:p>
    <w:bookmarkEnd w:id="451"/>
    <w:bookmarkEnd w:id="452"/>
    <w:bookmarkEnd w:id="453"/>
    <w:bookmarkEnd w:id="454"/>
    <w:bookmarkEnd w:id="455"/>
    <w:bookmarkEnd w:id="456"/>
    <w:p w14:paraId="618EDEF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12.2.1 预付款的支付</w:t>
      </w:r>
    </w:p>
    <w:p w14:paraId="48A8090C">
      <w:pPr>
        <w:spacing w:line="360" w:lineRule="auto"/>
        <w:ind w:firstLine="480" w:firstLineChars="200"/>
        <w:jc w:val="left"/>
        <w:rPr>
          <w:rFonts w:hint="eastAsia" w:ascii="Times New Roman" w:hAnsi="Times New Roman" w:eastAsia="仿宋_GB2312" w:cs="Times New Roman"/>
          <w:color w:val="auto"/>
          <w:sz w:val="24"/>
          <w:szCs w:val="24"/>
          <w:highlight w:val="yellow"/>
          <w:u w:val="single"/>
        </w:rPr>
      </w:pPr>
      <w:r>
        <w:rPr>
          <w:rFonts w:hint="eastAsia" w:ascii="Times New Roman" w:hAnsi="Times New Roman" w:eastAsia="仿宋_GB2312" w:cs="Times New Roman"/>
          <w:color w:val="auto"/>
          <w:sz w:val="24"/>
          <w:szCs w:val="24"/>
          <w:highlight w:val="none"/>
          <w:u w:val="single"/>
        </w:rPr>
        <w:t>预付款支付比例或金额：</w:t>
      </w:r>
      <w:r>
        <w:rPr>
          <w:rFonts w:hint="eastAsia" w:eastAsia="仿宋_GB2312" w:cs="Times New Roman"/>
          <w:color w:val="auto"/>
          <w:sz w:val="24"/>
          <w:szCs w:val="24"/>
          <w:highlight w:val="none"/>
          <w:u w:val="single"/>
          <w:lang w:val="en-US" w:eastAsia="zh-CN"/>
        </w:rPr>
        <w:t>/</w:t>
      </w:r>
      <w:r>
        <w:rPr>
          <w:rFonts w:hint="eastAsia" w:ascii="Times New Roman" w:hAnsi="Times New Roman" w:eastAsia="仿宋_GB2312" w:cs="Times New Roman"/>
          <w:color w:val="auto"/>
          <w:sz w:val="24"/>
          <w:szCs w:val="24"/>
          <w:highlight w:val="none"/>
          <w:u w:val="single"/>
        </w:rPr>
        <w:t>。</w:t>
      </w:r>
    </w:p>
    <w:p w14:paraId="41C3A49B">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预付款支付期限：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EDC91C2">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预付款扣回的方式：</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24B3D7C4">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12.2.2 预付款担保</w:t>
      </w:r>
    </w:p>
    <w:p w14:paraId="582EC1FC">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承包人提交预付款担保的期限：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lang w:val="en-US" w:eastAsia="zh-CN"/>
        </w:rPr>
        <w:t>。</w:t>
      </w:r>
    </w:p>
    <w:p w14:paraId="572DB9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预付款担保的形式为：</w:t>
      </w:r>
      <w:r>
        <w:rPr>
          <w:rFonts w:hint="eastAsia" w:eastAsia="仿宋_GB2312"/>
          <w:color w:val="auto"/>
          <w:sz w:val="24"/>
          <w:szCs w:val="24"/>
          <w:u w:val="single"/>
          <w:lang w:val="en-US" w:eastAsia="zh-CN"/>
        </w:rPr>
        <w:t>/</w:t>
      </w:r>
      <w:r>
        <w:rPr>
          <w:rFonts w:ascii="Times New Roman" w:hAnsi="Times New Roman" w:eastAsia="仿宋_GB2312"/>
          <w:color w:val="auto"/>
          <w:sz w:val="24"/>
          <w:szCs w:val="24"/>
        </w:rPr>
        <w:t>。</w:t>
      </w:r>
    </w:p>
    <w:bookmarkEnd w:id="457"/>
    <w:bookmarkEnd w:id="458"/>
    <w:bookmarkEnd w:id="459"/>
    <w:bookmarkEnd w:id="460"/>
    <w:bookmarkEnd w:id="461"/>
    <w:bookmarkEnd w:id="462"/>
    <w:bookmarkEnd w:id="463"/>
    <w:bookmarkEnd w:id="464"/>
    <w:bookmarkEnd w:id="465"/>
    <w:bookmarkEnd w:id="466"/>
    <w:p w14:paraId="526DF08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12.3 计量</w:t>
      </w:r>
    </w:p>
    <w:p w14:paraId="4A8BA47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12.3.1 计量原则</w:t>
      </w:r>
    </w:p>
    <w:p w14:paraId="45AF85C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工程量计算规则：</w:t>
      </w:r>
      <w:r>
        <w:rPr>
          <w:rFonts w:hint="eastAsia" w:ascii="Times New Roman" w:hAnsi="Times New Roman" w:eastAsia="仿宋_GB2312"/>
          <w:color w:val="auto"/>
          <w:sz w:val="24"/>
          <w:szCs w:val="24"/>
          <w:u w:val="single"/>
          <w:lang w:val="en-US" w:eastAsia="zh-CN"/>
        </w:rPr>
        <w:t>按本</w:t>
      </w:r>
      <w:r>
        <w:rPr>
          <w:rFonts w:hint="eastAsia" w:eastAsia="仿宋_GB2312"/>
          <w:color w:val="auto"/>
          <w:sz w:val="24"/>
          <w:szCs w:val="24"/>
          <w:u w:val="single"/>
          <w:lang w:val="en-US" w:eastAsia="zh-CN"/>
        </w:rPr>
        <w:t>磋商文件</w:t>
      </w:r>
      <w:r>
        <w:rPr>
          <w:rFonts w:hint="eastAsia" w:ascii="Times New Roman" w:hAnsi="Times New Roman" w:eastAsia="仿宋_GB2312"/>
          <w:color w:val="auto"/>
          <w:sz w:val="24"/>
          <w:szCs w:val="24"/>
          <w:u w:val="single"/>
          <w:lang w:val="en-US" w:eastAsia="zh-CN"/>
        </w:rPr>
        <w:t xml:space="preserve">及工程量清单规定 。 </w:t>
      </w:r>
    </w:p>
    <w:p w14:paraId="650B84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12.3.2 计量周期</w:t>
      </w:r>
    </w:p>
    <w:p w14:paraId="5BCA588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关于计量周期的约定：</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769A07F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12.3.3 单价合同的计量</w:t>
      </w:r>
    </w:p>
    <w:p w14:paraId="512A833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关于单价合同计量的约定：</w:t>
      </w:r>
      <w:r>
        <w:rPr>
          <w:rFonts w:hint="eastAsia" w:ascii="Times New Roman" w:hAnsi="Times New Roman" w:eastAsia="仿宋_GB2312"/>
          <w:color w:val="auto"/>
          <w:sz w:val="24"/>
          <w:szCs w:val="24"/>
          <w:u w:val="single"/>
          <w:lang w:eastAsia="zh-CN"/>
        </w:rPr>
        <w:t>按</w:t>
      </w:r>
      <w:r>
        <w:rPr>
          <w:rFonts w:hint="eastAsia" w:eastAsia="仿宋_GB2312"/>
          <w:color w:val="auto"/>
          <w:sz w:val="24"/>
          <w:szCs w:val="24"/>
          <w:u w:val="single"/>
          <w:lang w:eastAsia="zh-CN"/>
        </w:rPr>
        <w:t>磋商文件</w:t>
      </w:r>
      <w:r>
        <w:rPr>
          <w:rFonts w:ascii="Times New Roman" w:hAnsi="Times New Roman" w:eastAsia="仿宋_GB2312"/>
          <w:color w:val="auto"/>
          <w:sz w:val="24"/>
          <w:szCs w:val="24"/>
        </w:rPr>
        <w:t>。</w:t>
      </w:r>
    </w:p>
    <w:p w14:paraId="71D9794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12.3.4 总价合同的计量</w:t>
      </w:r>
    </w:p>
    <w:p w14:paraId="77FE7146">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关于总价合同计量的约定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3ED6C9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12.3.5总价合同采用支付分解表计量支付的，是否适用第</w:t>
      </w:r>
      <w:r>
        <w:rPr>
          <w:rFonts w:ascii="Times New Roman" w:hAnsi="Times New Roman" w:eastAsia="仿宋_GB2312"/>
          <w:color w:val="auto"/>
          <w:kern w:val="0"/>
          <w:sz w:val="24"/>
          <w:szCs w:val="24"/>
        </w:rPr>
        <w:t xml:space="preserve">12.3.4 </w:t>
      </w:r>
      <w:r>
        <w:rPr>
          <w:rFonts w:ascii="Times New Roman" w:hAnsi="Times New Roman" w:eastAsia="仿宋_GB2312"/>
          <w:color w:val="auto"/>
          <w:sz w:val="24"/>
          <w:szCs w:val="24"/>
        </w:rPr>
        <w:t>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sz w:val="24"/>
          <w:szCs w:val="24"/>
        </w:rPr>
        <w:t>约定</w:t>
      </w:r>
      <w:r>
        <w:rPr>
          <w:rFonts w:hint="eastAsia" w:ascii="Times New Roman" w:hAnsi="Times New Roman" w:eastAsia="仿宋_GB2312"/>
          <w:color w:val="auto"/>
          <w:sz w:val="24"/>
          <w:szCs w:val="24"/>
        </w:rPr>
        <w:t>进行计量：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70E40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12.3.6 其他价格形式合同的计量</w:t>
      </w:r>
    </w:p>
    <w:p w14:paraId="5C1D75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其他价格形式的计量方式和程序：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B035A0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12.4 工程进度款支付</w:t>
      </w:r>
    </w:p>
    <w:p w14:paraId="63C32901">
      <w:pPr>
        <w:spacing w:line="360" w:lineRule="auto"/>
        <w:ind w:firstLine="480" w:firstLineChars="200"/>
        <w:jc w:val="left"/>
        <w:rPr>
          <w:rFonts w:ascii="Times New Roman" w:hAnsi="Times New Roman" w:eastAsia="仿宋_GB2312"/>
          <w:color w:val="auto"/>
          <w:sz w:val="24"/>
          <w:szCs w:val="24"/>
        </w:rPr>
      </w:pPr>
      <w:bookmarkStart w:id="467" w:name="_Toc296891251"/>
      <w:bookmarkStart w:id="468" w:name="_Toc296346712"/>
      <w:bookmarkStart w:id="469" w:name="_Toc296944550"/>
      <w:bookmarkStart w:id="470" w:name="_Toc292559921"/>
      <w:bookmarkStart w:id="471" w:name="_Toc297216215"/>
      <w:bookmarkStart w:id="472" w:name="_Toc297120511"/>
      <w:bookmarkStart w:id="473" w:name="_Toc297123556"/>
      <w:bookmarkStart w:id="474" w:name="_Toc296891039"/>
      <w:bookmarkStart w:id="475" w:name="_Toc292559416"/>
      <w:bookmarkStart w:id="476" w:name="_Toc303539163"/>
      <w:bookmarkStart w:id="477" w:name="_Toc300935006"/>
      <w:bookmarkStart w:id="478" w:name="_Toc296503211"/>
      <w:bookmarkStart w:id="479" w:name="_Toc297048397"/>
      <w:bookmarkStart w:id="480" w:name="_Toc296347210"/>
      <w:r>
        <w:rPr>
          <w:rFonts w:ascii="Times New Roman" w:hAnsi="Times New Roman" w:eastAsia="仿宋_GB2312"/>
          <w:color w:val="auto"/>
          <w:sz w:val="24"/>
          <w:szCs w:val="24"/>
        </w:rPr>
        <w:t>12.4.1 付款周期</w:t>
      </w:r>
    </w:p>
    <w:p w14:paraId="0C8515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仿宋_GB2312"/>
          <w:color w:val="auto"/>
          <w:sz w:val="24"/>
          <w:szCs w:val="24"/>
        </w:rPr>
      </w:pPr>
      <w:r>
        <w:rPr>
          <w:rFonts w:ascii="Times New Roman" w:hAnsi="Times New Roman" w:eastAsia="仿宋_GB2312"/>
          <w:color w:val="auto"/>
          <w:sz w:val="24"/>
          <w:szCs w:val="24"/>
        </w:rPr>
        <w:t>关于付款周期的约定：</w:t>
      </w:r>
    </w:p>
    <w:p w14:paraId="02AECAF6">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highlight w:val="yellow"/>
          <w:u w:val="single"/>
          <w:lang w:val="en-US" w:eastAsia="zh-CN" w:bidi="ar-SA"/>
        </w:rPr>
      </w:pPr>
      <w:r>
        <w:rPr>
          <w:rFonts w:hint="eastAsia" w:ascii="Times New Roman" w:hAnsi="Times New Roman" w:eastAsia="仿宋_GB2312" w:cs="Times New Roman"/>
          <w:color w:val="auto"/>
          <w:kern w:val="2"/>
          <w:sz w:val="24"/>
          <w:szCs w:val="24"/>
          <w:highlight w:val="none"/>
          <w:u w:val="single"/>
          <w:lang w:val="zh-CN" w:eastAsia="zh-CN" w:bidi="ar-SA"/>
        </w:rPr>
        <w:t>当已完成工程量达到合同总量（不含暂列金）的50%及以上，发包方支付至合同金额总价（不含暂列金）的30%，其中包含安全防护、文明施工措施费的100%。当已完成工程量达到合同总量（不含暂列金）的</w:t>
      </w:r>
      <w:r>
        <w:rPr>
          <w:rFonts w:hint="eastAsia" w:ascii="Times New Roman" w:hAnsi="Times New Roman" w:eastAsia="仿宋_GB2312" w:cs="Times New Roman"/>
          <w:color w:val="auto"/>
          <w:kern w:val="2"/>
          <w:sz w:val="24"/>
          <w:szCs w:val="24"/>
          <w:highlight w:val="none"/>
          <w:u w:val="single"/>
          <w:lang w:val="en-US" w:eastAsia="zh-CN" w:bidi="ar-SA"/>
        </w:rPr>
        <w:t>8</w:t>
      </w:r>
      <w:r>
        <w:rPr>
          <w:rFonts w:hint="eastAsia" w:ascii="Times New Roman" w:hAnsi="Times New Roman" w:eastAsia="仿宋_GB2312" w:cs="Times New Roman"/>
          <w:color w:val="auto"/>
          <w:kern w:val="2"/>
          <w:sz w:val="24"/>
          <w:szCs w:val="24"/>
          <w:highlight w:val="none"/>
          <w:u w:val="single"/>
          <w:lang w:val="zh-CN" w:eastAsia="zh-CN" w:bidi="ar-SA"/>
        </w:rPr>
        <w:t>0%及以上，发包方支付至合同金额总价（不含暂列金）的</w:t>
      </w:r>
      <w:r>
        <w:rPr>
          <w:rFonts w:hint="eastAsia" w:ascii="Times New Roman" w:hAnsi="Times New Roman" w:eastAsia="仿宋_GB2312" w:cs="Times New Roman"/>
          <w:color w:val="auto"/>
          <w:kern w:val="2"/>
          <w:sz w:val="24"/>
          <w:szCs w:val="24"/>
          <w:highlight w:val="none"/>
          <w:u w:val="single"/>
          <w:lang w:val="en-US" w:eastAsia="zh-CN" w:bidi="ar-SA"/>
        </w:rPr>
        <w:t>6</w:t>
      </w:r>
      <w:r>
        <w:rPr>
          <w:rFonts w:hint="eastAsia" w:ascii="Times New Roman" w:hAnsi="Times New Roman" w:eastAsia="仿宋_GB2312" w:cs="Times New Roman"/>
          <w:color w:val="auto"/>
          <w:kern w:val="2"/>
          <w:sz w:val="24"/>
          <w:szCs w:val="24"/>
          <w:highlight w:val="none"/>
          <w:u w:val="single"/>
          <w:lang w:val="zh-CN" w:eastAsia="zh-CN" w:bidi="ar-SA"/>
        </w:rPr>
        <w:t>0%，</w:t>
      </w:r>
      <w:r>
        <w:rPr>
          <w:rFonts w:hint="eastAsia" w:ascii="Times New Roman" w:hAnsi="Times New Roman" w:eastAsia="仿宋_GB2312" w:cs="Times New Roman"/>
          <w:color w:val="auto"/>
          <w:kern w:val="2"/>
          <w:sz w:val="24"/>
          <w:szCs w:val="24"/>
          <w:highlight w:val="none"/>
          <w:u w:val="single"/>
          <w:lang w:val="en-US" w:eastAsia="zh-CN" w:bidi="ar-SA"/>
        </w:rPr>
        <w:t>项目竣工验收合格后且提供相关部门的验收合格证明，工程审价完成后，施工单位将审定价 3%的质量保证金支付至建设单位账户中，建设单位按审价审定金额付清余款。进度付款申请单不包括变更及索赔。付款需有区政府同意安排并下达对应的资金投资计划及预算为前提，并按照黄浦区财政相应付款流程执行</w:t>
      </w:r>
      <w:r>
        <w:rPr>
          <w:rFonts w:hint="eastAsia" w:ascii="Times New Roman" w:hAnsi="Times New Roman" w:eastAsia="仿宋_GB2312" w:cs="Times New Roman"/>
          <w:color w:val="auto"/>
          <w:kern w:val="2"/>
          <w:sz w:val="24"/>
          <w:szCs w:val="24"/>
          <w:highlight w:val="none"/>
          <w:u w:val="single"/>
          <w:lang w:val="zh-CN" w:eastAsia="zh-CN" w:bidi="ar-SA"/>
        </w:rPr>
        <w:t>。</w:t>
      </w:r>
    </w:p>
    <w:p w14:paraId="18112FA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12.4.2 进度付款申请单的编制</w:t>
      </w:r>
    </w:p>
    <w:p w14:paraId="0003CB8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关于进度付款申请单编制的约定：</w:t>
      </w:r>
      <w:r>
        <w:rPr>
          <w:rFonts w:hint="eastAsia" w:ascii="Times New Roman" w:hAnsi="Times New Roman" w:eastAsia="仿宋_GB2312"/>
          <w:color w:val="auto"/>
          <w:sz w:val="24"/>
          <w:szCs w:val="24"/>
          <w:u w:val="single"/>
          <w:lang w:val="en-US" w:eastAsia="zh-CN"/>
        </w:rPr>
        <w:t>根据黄浦区财政相关要求及相关法律法规 。</w:t>
      </w:r>
    </w:p>
    <w:p w14:paraId="6254F3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hAnsi="Times New Roman" w:eastAsia="仿宋_GB2312"/>
          <w:color w:val="auto"/>
          <w:sz w:val="24"/>
          <w:szCs w:val="24"/>
        </w:rPr>
        <w:t>2.4.3 进度付款申请单的提交</w:t>
      </w:r>
    </w:p>
    <w:p w14:paraId="4264261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lang w:val="en-US" w:eastAsia="zh-CN"/>
        </w:rPr>
        <w:t>根据黄浦区财政相关要求及相关法律法规 。</w:t>
      </w:r>
    </w:p>
    <w:p w14:paraId="55E38B7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20AF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（3）其他价格形式合同进度付款申请单提交的约定：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7621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12.4.4 进度款审核和支付</w:t>
      </w:r>
    </w:p>
    <w:p w14:paraId="7367A941">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（1）监理人审查并报送发包人的期限：</w:t>
      </w:r>
      <w:r>
        <w:rPr>
          <w:rFonts w:ascii="Times New Roman" w:hAnsi="Times New Roman" w:eastAsia="仿宋_GB2312"/>
          <w:color w:val="auto"/>
          <w:sz w:val="24"/>
          <w:szCs w:val="24"/>
          <w:u w:val="single"/>
        </w:rPr>
        <w:t>3</w:t>
      </w:r>
      <w:r>
        <w:rPr>
          <w:rFonts w:hint="eastAsia" w:ascii="Times New Roman" w:hAnsi="Times New Roman" w:eastAsia="仿宋_GB2312"/>
          <w:color w:val="auto"/>
          <w:sz w:val="24"/>
          <w:szCs w:val="24"/>
          <w:u w:val="single"/>
        </w:rPr>
        <w:t>日历天</w:t>
      </w:r>
      <w:r>
        <w:rPr>
          <w:rFonts w:ascii="Times New Roman" w:hAnsi="Times New Roman" w:eastAsia="仿宋_GB2312"/>
          <w:color w:val="auto"/>
          <w:sz w:val="24"/>
          <w:szCs w:val="24"/>
        </w:rPr>
        <w:t>。</w:t>
      </w:r>
    </w:p>
    <w:p w14:paraId="6845A4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发包人完成审批并签发进度款支付证书的期限：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389AE9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（2）发包人支付进度款的期限：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A00107C">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发包人逾期支付进度款的违约金的计算方式：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135B427">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12.4.6 支付分解表的编制</w:t>
      </w:r>
    </w:p>
    <w:p w14:paraId="2F69CC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A5372B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3、单价合同的总价项目支付分解表的编制与审批：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10"/>
    <w:p w14:paraId="78E4272A">
      <w:pPr>
        <w:pStyle w:val="5"/>
        <w:spacing w:before="120" w:after="120" w:line="360" w:lineRule="auto"/>
        <w:ind w:left="0" w:leftChars="0" w:firstLine="0" w:firstLineChars="0"/>
        <w:rPr>
          <w:rFonts w:ascii="Times New Roman" w:hAnsi="Times New Roman" w:eastAsia="黑体"/>
          <w:b w:val="0"/>
          <w:color w:val="auto"/>
          <w:sz w:val="24"/>
          <w:szCs w:val="24"/>
        </w:rPr>
      </w:pPr>
      <w:bookmarkStart w:id="481" w:name="_Toc351203645"/>
      <w:bookmarkStart w:id="482" w:name="_Toc296503219"/>
      <w:bookmarkStart w:id="483" w:name="_Toc312678053"/>
      <w:bookmarkStart w:id="484" w:name="_Toc292559424"/>
      <w:bookmarkStart w:id="485" w:name="_Toc304295593"/>
      <w:bookmarkStart w:id="486" w:name="_Toc303539172"/>
      <w:bookmarkStart w:id="487" w:name="_Toc292559929"/>
      <w:bookmarkStart w:id="488" w:name="_Toc297123564"/>
      <w:bookmarkStart w:id="489" w:name="_Toc296347218"/>
      <w:bookmarkStart w:id="490" w:name="_Toc297216223"/>
      <w:bookmarkStart w:id="491" w:name="_Toc296346720"/>
      <w:bookmarkStart w:id="492" w:name="_Toc300935015"/>
      <w:bookmarkStart w:id="493" w:name="_Toc297048405"/>
      <w:bookmarkStart w:id="494" w:name="_Toc297120519"/>
      <w:bookmarkStart w:id="495" w:name="_Toc296891047"/>
      <w:bookmarkStart w:id="496" w:name="_Toc296891259"/>
      <w:bookmarkStart w:id="497" w:name="_Toc296944558"/>
      <w:r>
        <w:rPr>
          <w:rFonts w:ascii="Times New Roman" w:hAnsi="Times New Roman" w:eastAsia="黑体"/>
          <w:b w:val="0"/>
          <w:color w:val="auto"/>
          <w:sz w:val="24"/>
          <w:szCs w:val="24"/>
        </w:rPr>
        <w:t>13.</w:t>
      </w:r>
      <w:r>
        <w:rPr>
          <w:rFonts w:hint="eastAsia" w:ascii="Times New Roman" w:hAnsi="Times New Roman" w:eastAsia="黑体"/>
          <w:b w:val="0"/>
          <w:color w:val="auto"/>
          <w:sz w:val="24"/>
          <w:szCs w:val="24"/>
        </w:rPr>
        <w:t xml:space="preserve"> </w:t>
      </w:r>
      <w:r>
        <w:rPr>
          <w:rFonts w:ascii="Times New Roman" w:hAnsi="Times New Roman" w:eastAsia="黑体"/>
          <w:b w:val="0"/>
          <w:color w:val="auto"/>
          <w:sz w:val="24"/>
          <w:szCs w:val="24"/>
        </w:rPr>
        <w:t>验收和工程试车</w:t>
      </w:r>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566A5DC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13.1 分部分项工程验收</w:t>
      </w:r>
    </w:p>
    <w:p w14:paraId="0E90571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13.1.2监理人不能按时进行验收时，应提前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582BE22A">
      <w:pPr>
        <w:spacing w:line="360" w:lineRule="auto"/>
        <w:ind w:firstLine="480" w:firstLineChars="200"/>
        <w:jc w:val="left"/>
        <w:rPr>
          <w:rFonts w:ascii="Times New Roman" w:hAnsi="Times New Roman" w:eastAsia="仿宋_GB2312"/>
          <w:b/>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7720F53B">
      <w:pPr>
        <w:spacing w:after="120" w:line="360" w:lineRule="auto"/>
        <w:ind w:firstLine="480" w:firstLineChars="200"/>
        <w:rPr>
          <w:rFonts w:ascii="Times New Roman" w:hAnsi="Times New Roman" w:eastAsia="黑体"/>
          <w:color w:val="auto"/>
          <w:sz w:val="24"/>
          <w:szCs w:val="24"/>
        </w:rPr>
      </w:pPr>
      <w:bookmarkStart w:id="498" w:name="_Toc296503223"/>
      <w:bookmarkStart w:id="499" w:name="_Toc296891051"/>
      <w:bookmarkStart w:id="500" w:name="_Toc296347222"/>
      <w:bookmarkStart w:id="501" w:name="_Toc296944562"/>
      <w:bookmarkStart w:id="502" w:name="_Toc296346724"/>
      <w:bookmarkStart w:id="503" w:name="_Toc312678056"/>
      <w:bookmarkStart w:id="504" w:name="_Toc292559933"/>
      <w:bookmarkStart w:id="505" w:name="_Toc300935016"/>
      <w:bookmarkStart w:id="506" w:name="_Toc292559428"/>
      <w:bookmarkStart w:id="507" w:name="_Toc297120523"/>
      <w:bookmarkStart w:id="508" w:name="_Toc304295596"/>
      <w:bookmarkStart w:id="509" w:name="_Toc303539173"/>
      <w:bookmarkStart w:id="510" w:name="_Toc296891263"/>
      <w:bookmarkStart w:id="511" w:name="_Toc297048409"/>
      <w:bookmarkStart w:id="512" w:name="_Toc297123565"/>
      <w:bookmarkStart w:id="513" w:name="_Toc297216224"/>
      <w:bookmarkStart w:id="514" w:name="_Toc267251472"/>
      <w:bookmarkStart w:id="515" w:name="_Toc267251474"/>
      <w:bookmarkStart w:id="516" w:name="_Toc267251473"/>
      <w:bookmarkStart w:id="517" w:name="_Toc267251475"/>
      <w:bookmarkStart w:id="518" w:name="_Toc267251471"/>
      <w:bookmarkStart w:id="519" w:name="_Toc267251470"/>
      <w:bookmarkStart w:id="520" w:name="_Toc267251476"/>
      <w:r>
        <w:rPr>
          <w:rFonts w:ascii="Times New Roman" w:hAnsi="Times New Roman" w:eastAsia="黑体"/>
          <w:color w:val="auto"/>
          <w:sz w:val="24"/>
          <w:szCs w:val="24"/>
        </w:rPr>
        <w:t>13.2 竣工验收</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01E128DF">
      <w:pPr>
        <w:spacing w:line="360" w:lineRule="auto"/>
        <w:ind w:firstLine="480" w:firstLineChars="200"/>
        <w:jc w:val="left"/>
        <w:rPr>
          <w:rFonts w:ascii="Times New Roman" w:hAnsi="Times New Roman" w:eastAsia="仿宋_GB2312"/>
          <w:color w:val="auto"/>
          <w:sz w:val="24"/>
          <w:szCs w:val="24"/>
        </w:rPr>
      </w:pPr>
      <w:bookmarkStart w:id="521" w:name="_Toc280868704"/>
      <w:bookmarkStart w:id="522" w:name="_Toc280868705"/>
      <w:bookmarkStart w:id="523" w:name="_Toc280868706"/>
      <w:bookmarkStart w:id="524" w:name="_Toc280868707"/>
      <w:bookmarkStart w:id="525" w:name="_Toc280868708"/>
      <w:bookmarkStart w:id="526" w:name="_Toc280868709"/>
      <w:r>
        <w:rPr>
          <w:rFonts w:ascii="Times New Roman" w:hAnsi="Times New Roman" w:eastAsia="仿宋_GB2312"/>
          <w:color w:val="auto"/>
          <w:sz w:val="24"/>
          <w:szCs w:val="24"/>
        </w:rPr>
        <w:t>13.2.2竣工验收程序</w:t>
      </w:r>
    </w:p>
    <w:bookmarkEnd w:id="521"/>
    <w:p w14:paraId="5354D6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关于竣工验收程序的约定：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74C99C1">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发包人不按照本项约定组织竣工验收、颁发工程接收证书的违约金的计算方法：</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2"/>
    <w:p w14:paraId="30CB69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13.2.5移交、接收全部与部分工程</w:t>
      </w:r>
    </w:p>
    <w:bookmarkEnd w:id="523"/>
    <w:p w14:paraId="4F95CFA9">
      <w:pPr>
        <w:spacing w:line="360" w:lineRule="auto"/>
        <w:ind w:firstLine="480" w:firstLineChars="200"/>
        <w:jc w:val="left"/>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承包人向发包人移交工程的期限：</w:t>
      </w:r>
      <w:r>
        <w:rPr>
          <w:rFonts w:hint="eastAsia" w:ascii="Times New Roman" w:hAnsi="Times New Roman" w:eastAsia="仿宋_GB2312"/>
          <w:color w:val="auto"/>
          <w:sz w:val="24"/>
          <w:szCs w:val="24"/>
          <w:u w:val="single"/>
        </w:rPr>
        <w:t>按投标承诺</w:t>
      </w:r>
      <w:r>
        <w:rPr>
          <w:rFonts w:hint="eastAsia" w:ascii="Times New Roman" w:hAnsi="Times New Roman" w:eastAsia="仿宋_GB2312"/>
          <w:color w:val="auto"/>
          <w:sz w:val="24"/>
          <w:szCs w:val="24"/>
        </w:rPr>
        <w:t>。</w:t>
      </w:r>
    </w:p>
    <w:p w14:paraId="05DDA0A9">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发包人未按本合同约定接收全部或部分工程的，违约金的计算方法为：</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4"/>
    <w:p w14:paraId="332076E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承包人未按时移交工程的，违约金的计算方法为：</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p>
    <w:p w14:paraId="0BF728C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13.3 工程试车</w:t>
      </w:r>
    </w:p>
    <w:bookmarkEnd w:id="525"/>
    <w:p w14:paraId="63FB98A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13.3.1 试车程序</w:t>
      </w:r>
    </w:p>
    <w:p w14:paraId="616D400F">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工程试车内容：</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01E3756">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（1）单机无负荷试车费用由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8EA3C4E">
      <w:pPr>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（2）无负荷联动试车费用由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FA1185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13.3.3 投料试车</w:t>
      </w:r>
    </w:p>
    <w:p w14:paraId="6AB66F16">
      <w:pPr>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关于投料试车相关事项的约定：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F9D2B5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13.6 竣工退场</w:t>
      </w:r>
    </w:p>
    <w:p w14:paraId="7652AD0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13.6.1 竣工退场</w:t>
      </w:r>
    </w:p>
    <w:p w14:paraId="47F2721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承包人完成竣工退场的期限：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kern w:val="0"/>
          <w:sz w:val="24"/>
          <w:szCs w:val="24"/>
        </w:rPr>
        <w:t>。</w:t>
      </w:r>
    </w:p>
    <w:p w14:paraId="53C418E0">
      <w:pPr>
        <w:pStyle w:val="5"/>
        <w:spacing w:before="120" w:after="120" w:line="360" w:lineRule="auto"/>
        <w:ind w:left="0" w:leftChars="0" w:firstLine="0" w:firstLineChars="0"/>
        <w:rPr>
          <w:rFonts w:ascii="Times New Roman" w:hAnsi="Times New Roman" w:eastAsia="黑体"/>
          <w:b w:val="0"/>
          <w:color w:val="auto"/>
          <w:sz w:val="24"/>
          <w:szCs w:val="24"/>
        </w:rPr>
      </w:pPr>
      <w:bookmarkStart w:id="527" w:name="_Toc351203646"/>
      <w:r>
        <w:rPr>
          <w:rFonts w:ascii="Times New Roman" w:hAnsi="Times New Roman" w:eastAsia="黑体"/>
          <w:b w:val="0"/>
          <w:color w:val="auto"/>
          <w:sz w:val="24"/>
          <w:szCs w:val="24"/>
        </w:rPr>
        <w:t>14. 竣工结算</w:t>
      </w:r>
      <w:bookmarkEnd w:id="527"/>
    </w:p>
    <w:p w14:paraId="0B5065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14.1 竣工</w:t>
      </w:r>
      <w:r>
        <w:rPr>
          <w:rFonts w:hint="eastAsia" w:ascii="Times New Roman" w:hAnsi="Times New Roman" w:eastAsia="黑体"/>
          <w:color w:val="auto"/>
          <w:sz w:val="24"/>
          <w:szCs w:val="24"/>
        </w:rPr>
        <w:t>结算</w:t>
      </w:r>
      <w:r>
        <w:rPr>
          <w:rFonts w:ascii="Times New Roman" w:hAnsi="Times New Roman" w:eastAsia="黑体"/>
          <w:color w:val="auto"/>
          <w:sz w:val="24"/>
          <w:szCs w:val="24"/>
        </w:rPr>
        <w:t>申请</w:t>
      </w:r>
    </w:p>
    <w:p w14:paraId="7CD998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FA6F70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申请单应包括的内容：</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9B9989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14.2 竣工结算审核</w:t>
      </w:r>
    </w:p>
    <w:p w14:paraId="2F651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竣工付款申请单的期限：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26199D3">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发包人完成竣工付款的期限：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812EC91">
      <w:pPr>
        <w:spacing w:line="360" w:lineRule="auto"/>
        <w:ind w:firstLine="480" w:firstLineChars="200"/>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关于竣工付款证书异议部分复核的方式和程序：</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51CE10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14.4 最终结清</w:t>
      </w:r>
    </w:p>
    <w:p w14:paraId="4CFBC8C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14.4.1 最终结清申请单</w:t>
      </w:r>
    </w:p>
    <w:p w14:paraId="51A7AF9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承包人提交最终结清申请单的份数：</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9E4CF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承包人提交最终结算申请单的期限：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613B27C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14.4.2 最终结清证书和支付</w:t>
      </w:r>
    </w:p>
    <w:p w14:paraId="14F6EA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（1）发包人完成最终结清申请单的</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并颁发最终结清证书的期限：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041EF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（2）发包人完成支付的期限：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bookmarkEnd w:id="514"/>
    <w:bookmarkEnd w:id="515"/>
    <w:bookmarkEnd w:id="516"/>
    <w:bookmarkEnd w:id="517"/>
    <w:bookmarkEnd w:id="518"/>
    <w:bookmarkEnd w:id="519"/>
    <w:bookmarkEnd w:id="520"/>
    <w:bookmarkEnd w:id="526"/>
    <w:p w14:paraId="52D97E05">
      <w:pPr>
        <w:pStyle w:val="5"/>
        <w:spacing w:before="120" w:after="120" w:line="360" w:lineRule="auto"/>
        <w:ind w:left="0" w:leftChars="0" w:firstLine="0" w:firstLineChars="0"/>
        <w:rPr>
          <w:rFonts w:ascii="Times New Roman" w:hAnsi="Times New Roman" w:eastAsia="黑体"/>
          <w:b w:val="0"/>
          <w:color w:val="auto"/>
          <w:sz w:val="24"/>
          <w:szCs w:val="24"/>
        </w:rPr>
      </w:pPr>
      <w:bookmarkStart w:id="528" w:name="_Toc351203647"/>
      <w:bookmarkStart w:id="529" w:name="_Toc267251483"/>
      <w:bookmarkStart w:id="530" w:name="_Toc267251484"/>
      <w:bookmarkStart w:id="531" w:name="_Toc267251482"/>
      <w:bookmarkStart w:id="532" w:name="_Toc267251485"/>
      <w:bookmarkStart w:id="533" w:name="_Toc267251489"/>
      <w:bookmarkStart w:id="534" w:name="_Toc267251486"/>
      <w:bookmarkStart w:id="535" w:name="_Toc267251488"/>
      <w:bookmarkStart w:id="536" w:name="_Toc267251490"/>
      <w:bookmarkStart w:id="537" w:name="_Toc267251502"/>
      <w:bookmarkStart w:id="538" w:name="_Toc267251497"/>
      <w:bookmarkStart w:id="539" w:name="_Toc267251491"/>
      <w:bookmarkStart w:id="540" w:name="_Toc267251494"/>
      <w:bookmarkStart w:id="541" w:name="_Toc267251495"/>
      <w:bookmarkStart w:id="542" w:name="_Toc267251501"/>
      <w:bookmarkStart w:id="543" w:name="_Toc267251503"/>
      <w:bookmarkStart w:id="544" w:name="_Toc267251496"/>
      <w:bookmarkStart w:id="545" w:name="_Toc267251493"/>
      <w:bookmarkStart w:id="546" w:name="_Toc267251498"/>
      <w:bookmarkStart w:id="547" w:name="_Toc267251492"/>
      <w:bookmarkStart w:id="548" w:name="_Toc267251499"/>
      <w:bookmarkStart w:id="549" w:name="_Toc267251506"/>
      <w:bookmarkStart w:id="550" w:name="_Toc267251504"/>
      <w:bookmarkStart w:id="551" w:name="_Toc267251507"/>
      <w:bookmarkStart w:id="552" w:name="_Toc267251508"/>
      <w:bookmarkStart w:id="553" w:name="_Toc267251513"/>
      <w:bookmarkStart w:id="554" w:name="_Toc267251514"/>
      <w:bookmarkStart w:id="555" w:name="_Toc267251511"/>
      <w:bookmarkStart w:id="556" w:name="_Toc267251509"/>
      <w:bookmarkStart w:id="557" w:name="_Toc267251510"/>
      <w:bookmarkStart w:id="558" w:name="_Toc267251515"/>
      <w:r>
        <w:rPr>
          <w:rFonts w:ascii="Times New Roman" w:hAnsi="Times New Roman" w:eastAsia="黑体"/>
          <w:b w:val="0"/>
          <w:color w:val="auto"/>
          <w:sz w:val="24"/>
          <w:szCs w:val="24"/>
        </w:rPr>
        <w:t>15. 缺陷责任期与保修</w:t>
      </w:r>
      <w:bookmarkEnd w:id="528"/>
    </w:p>
    <w:p w14:paraId="756B43E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15.2缺陷责任期</w:t>
      </w:r>
      <w:bookmarkEnd w:id="529"/>
    </w:p>
    <w:p w14:paraId="75DC1A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缺陷责任期的具体期限：</w:t>
      </w:r>
      <w:r>
        <w:rPr>
          <w:rFonts w:hint="eastAsia" w:ascii="Times New Roman" w:hAnsi="Times New Roman" w:eastAsia="仿宋_GB2312"/>
          <w:color w:val="auto"/>
          <w:sz w:val="24"/>
          <w:szCs w:val="24"/>
          <w:u w:val="single"/>
          <w:lang w:val="en-US" w:eastAsia="zh-CN"/>
        </w:rPr>
        <w:t>24个月</w:t>
      </w:r>
      <w:r>
        <w:rPr>
          <w:rFonts w:ascii="Times New Roman" w:hAnsi="Times New Roman" w:eastAsia="仿宋_GB2312"/>
          <w:color w:val="auto"/>
          <w:sz w:val="24"/>
          <w:szCs w:val="24"/>
        </w:rPr>
        <w:t>。</w:t>
      </w:r>
    </w:p>
    <w:p w14:paraId="6CC3482D">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15.3 质量保证金</w:t>
      </w:r>
    </w:p>
    <w:p w14:paraId="4969C90D">
      <w:pPr>
        <w:spacing w:line="360" w:lineRule="auto"/>
        <w:ind w:firstLine="480" w:firstLineChars="200"/>
        <w:jc w:val="left"/>
        <w:rPr>
          <w:rFonts w:eastAsia="仿宋_GB2312"/>
          <w:color w:val="auto"/>
          <w:sz w:val="24"/>
          <w:szCs w:val="24"/>
        </w:rPr>
      </w:pPr>
      <w:r>
        <w:rPr>
          <w:rFonts w:hint="eastAsia" w:ascii="Times New Roman" w:hAnsi="Times New Roman" w:eastAsia="仿宋_GB2312"/>
          <w:color w:val="auto"/>
          <w:sz w:val="24"/>
          <w:szCs w:val="24"/>
        </w:rPr>
        <w:t>关于是否扣留质量保证金的约定：</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r>
        <w:rPr>
          <w:rFonts w:hint="eastAsia" w:eastAsia="仿宋_GB2312"/>
          <w:color w:val="auto"/>
          <w:sz w:val="24"/>
          <w:szCs w:val="24"/>
        </w:rPr>
        <w:t>在工程项目竣工前，承包人按专用合同条款第3.7条提供履约担保的，发包人不得同时预留工程质量保证金。</w:t>
      </w:r>
    </w:p>
    <w:p w14:paraId="2C5C4FFC">
      <w:pPr>
        <w:spacing w:line="360" w:lineRule="auto"/>
        <w:ind w:firstLine="480" w:firstLineChars="200"/>
        <w:jc w:val="left"/>
        <w:rPr>
          <w:rFonts w:hint="eastAsia" w:ascii="Times New Roman" w:hAnsi="Times New Roman" w:eastAsia="仿宋_GB2312"/>
          <w:color w:val="auto"/>
          <w:sz w:val="24"/>
          <w:szCs w:val="24"/>
        </w:rPr>
      </w:pPr>
    </w:p>
    <w:p w14:paraId="36380932">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15.3.1 </w:t>
      </w:r>
      <w:r>
        <w:rPr>
          <w:rFonts w:hint="eastAsia" w:ascii="Times New Roman" w:hAnsi="Times New Roman" w:eastAsia="仿宋_GB2312"/>
          <w:color w:val="auto"/>
          <w:sz w:val="24"/>
          <w:szCs w:val="24"/>
        </w:rPr>
        <w:t>承包人提供</w:t>
      </w:r>
      <w:r>
        <w:rPr>
          <w:rFonts w:ascii="Times New Roman" w:hAnsi="Times New Roman" w:eastAsia="仿宋_GB2312"/>
          <w:color w:val="auto"/>
          <w:sz w:val="24"/>
          <w:szCs w:val="24"/>
        </w:rPr>
        <w:t>质量保证金的</w:t>
      </w:r>
      <w:r>
        <w:rPr>
          <w:rFonts w:hint="eastAsia" w:ascii="Times New Roman" w:hAnsi="Times New Roman" w:eastAsia="仿宋_GB2312"/>
          <w:color w:val="auto"/>
          <w:sz w:val="24"/>
          <w:szCs w:val="24"/>
        </w:rPr>
        <w:t>方</w:t>
      </w:r>
      <w:r>
        <w:rPr>
          <w:rFonts w:ascii="Times New Roman" w:hAnsi="Times New Roman" w:eastAsia="仿宋_GB2312"/>
          <w:color w:val="auto"/>
          <w:sz w:val="24"/>
          <w:szCs w:val="24"/>
        </w:rPr>
        <w:t>式</w:t>
      </w:r>
    </w:p>
    <w:p w14:paraId="2C5438F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质量保证金采用以下第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2B4B88A3">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（1）质量保证金保函，保证金额为：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 </w:t>
      </w:r>
    </w:p>
    <w:p w14:paraId="708BAFC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u w:val="single"/>
        </w:rPr>
        <w:t>3</w:t>
      </w:r>
      <w:r>
        <w:rPr>
          <w:rFonts w:ascii="Times New Roman" w:hAnsi="Times New Roman" w:eastAsia="仿宋_GB2312"/>
          <w:color w:val="auto"/>
          <w:kern w:val="0"/>
          <w:sz w:val="24"/>
          <w:szCs w:val="24"/>
        </w:rPr>
        <w:t>%的工程款；</w:t>
      </w:r>
    </w:p>
    <w:p w14:paraId="21C66DCD">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（3）其他</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156BA939">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15.3.2 质量保证金的扣留 </w:t>
      </w:r>
    </w:p>
    <w:p w14:paraId="7035A3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质量保证金的扣留采取以下第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70570AD2">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（1）在支付工程进度款时逐次扣留，在此情形下，质量保证金的计算基数不包括预付款的支付、扣回以及价格调整的金额；</w:t>
      </w:r>
    </w:p>
    <w:p w14:paraId="75561EC7">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lang w:val="en-US" w:eastAsia="zh-CN"/>
        </w:rPr>
        <w:t>质保金金额为审定价的3%，在支付工程尾款前，支付至建设单位账户</w:t>
      </w:r>
      <w:r>
        <w:rPr>
          <w:rFonts w:hint="eastAsia" w:eastAsia="仿宋_GB2312"/>
          <w:color w:val="auto"/>
          <w:kern w:val="0"/>
          <w:sz w:val="24"/>
          <w:szCs w:val="24"/>
          <w:lang w:val="en-US" w:eastAsia="zh-CN"/>
        </w:rPr>
        <w:t>。</w:t>
      </w:r>
    </w:p>
    <w:p w14:paraId="74E6A16F">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（3）其他扣留方式: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AC6E60E">
      <w:pPr>
        <w:spacing w:line="360" w:lineRule="auto"/>
        <w:ind w:firstLine="480" w:firstLineChars="200"/>
        <w:jc w:val="left"/>
        <w:rPr>
          <w:rFonts w:hint="eastAsia" w:ascii="Times New Roman" w:hAnsi="Times New Roman" w:eastAsia="仿宋_GB2312"/>
          <w:color w:val="auto"/>
          <w:kern w:val="0"/>
          <w:sz w:val="24"/>
          <w:szCs w:val="24"/>
          <w:u w:val="single"/>
        </w:rPr>
      </w:pPr>
      <w:r>
        <w:rPr>
          <w:rFonts w:ascii="Times New Roman" w:hAnsi="Times New Roman" w:eastAsia="仿宋_GB2312"/>
          <w:color w:val="auto"/>
          <w:sz w:val="24"/>
          <w:szCs w:val="24"/>
        </w:rPr>
        <w:t>关于质量保证金的补充约定：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p>
    <w:p w14:paraId="5125C06D">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bookmarkEnd w:id="530"/>
    <w:bookmarkEnd w:id="531"/>
    <w:p w14:paraId="324CF7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15.4保修</w:t>
      </w:r>
    </w:p>
    <w:bookmarkEnd w:id="532"/>
    <w:p w14:paraId="470ECBD2">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15.4.1 保修责任</w:t>
      </w:r>
    </w:p>
    <w:p w14:paraId="7EFC29A5">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工程保修期为：</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2F24070B">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15.4.3 修复通知</w:t>
      </w:r>
    </w:p>
    <w:p w14:paraId="443EEFEE">
      <w:pPr>
        <w:spacing w:line="360" w:lineRule="auto"/>
        <w:ind w:firstLine="468" w:firstLineChars="195"/>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承包人收到保修通知并到达工程现场的合理时间：</w:t>
      </w:r>
      <w:r>
        <w:rPr>
          <w:rFonts w:ascii="Times New Roman" w:hAnsi="Times New Roman" w:eastAsia="仿宋_GB2312"/>
          <w:color w:val="auto"/>
          <w:kern w:val="0"/>
          <w:sz w:val="24"/>
          <w:szCs w:val="24"/>
          <w:u w:val="single"/>
        </w:rPr>
        <w:t>2</w:t>
      </w:r>
      <w:r>
        <w:rPr>
          <w:rFonts w:hint="eastAsia" w:ascii="Times New Roman" w:hAnsi="Times New Roman" w:eastAsia="仿宋_GB2312"/>
          <w:color w:val="auto"/>
          <w:kern w:val="0"/>
          <w:sz w:val="24"/>
          <w:szCs w:val="24"/>
          <w:u w:val="single"/>
        </w:rPr>
        <w:t>天</w:t>
      </w:r>
      <w:r>
        <w:rPr>
          <w:rFonts w:ascii="Times New Roman" w:hAnsi="Times New Roman" w:eastAsia="仿宋_GB2312"/>
          <w:color w:val="auto"/>
          <w:kern w:val="0"/>
          <w:sz w:val="24"/>
          <w:szCs w:val="24"/>
        </w:rPr>
        <w:t>。</w:t>
      </w:r>
    </w:p>
    <w:bookmarkEnd w:id="533"/>
    <w:bookmarkEnd w:id="534"/>
    <w:bookmarkEnd w:id="535"/>
    <w:bookmarkEnd w:id="536"/>
    <w:p w14:paraId="080E43D9">
      <w:pPr>
        <w:pStyle w:val="5"/>
        <w:spacing w:before="120" w:after="120" w:line="360" w:lineRule="auto"/>
        <w:ind w:left="0" w:leftChars="0" w:firstLine="0" w:firstLineChars="0"/>
        <w:rPr>
          <w:rFonts w:ascii="Times New Roman" w:hAnsi="Times New Roman" w:eastAsia="黑体"/>
          <w:b w:val="0"/>
          <w:color w:val="auto"/>
          <w:sz w:val="24"/>
          <w:szCs w:val="24"/>
        </w:rPr>
      </w:pPr>
      <w:bookmarkStart w:id="559" w:name="_Toc351203648"/>
      <w:bookmarkStart w:id="560" w:name="_Toc280868717"/>
      <w:bookmarkStart w:id="561" w:name="_Toc280868718"/>
      <w:r>
        <w:rPr>
          <w:rFonts w:ascii="Times New Roman" w:hAnsi="Times New Roman" w:eastAsia="黑体"/>
          <w:b w:val="0"/>
          <w:color w:val="auto"/>
          <w:sz w:val="24"/>
          <w:szCs w:val="24"/>
        </w:rPr>
        <w:t>16. 违约</w:t>
      </w:r>
      <w:bookmarkEnd w:id="559"/>
    </w:p>
    <w:p w14:paraId="4798CA7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16.1 发包人违约</w:t>
      </w:r>
    </w:p>
    <w:p w14:paraId="25B2E78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16.1.1发包人违约的情形</w:t>
      </w:r>
    </w:p>
    <w:p w14:paraId="5E8360F6">
      <w:pPr>
        <w:spacing w:line="360" w:lineRule="auto"/>
        <w:ind w:left="1500" w:hanging="1200" w:hangingChars="5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发包人违约的其他情形：</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00AC5B5A">
      <w:pPr>
        <w:spacing w:line="360" w:lineRule="auto"/>
        <w:ind w:left="1500" w:hanging="1200" w:hangingChars="5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16.1.2 发包人违约的责任</w:t>
      </w:r>
    </w:p>
    <w:p w14:paraId="729CCB6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发包人违约责任的承担方式和计算方法：</w:t>
      </w:r>
    </w:p>
    <w:p w14:paraId="1C9BA132">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（1）因发包人原因未能在计划开工日期前7天内下达开工通知的违约责任：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5BCD7BD">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（2）因发包人原因未能按合同约定支付合同价款的违约责任：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0EE05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（3）发包人违反第10.1款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第（2）项约定，自行实施被取消的工作或转由他人实施的违约责任：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C63AFC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（4）发包人提供的材料、工程设备的规格、数量或质量不符合合同约定，或因发包人原因导致交货日期延误或交货地点变更等情况的违约责任：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06E6E6E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（5）因发包人违反合同约定造成暂停施工的违约责任：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41DD25C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（6）发包人无正当理由没有在约定期限内发出复工指示，导致承包人无法复工的违约责任：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1B538B2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w:t>
      </w:r>
      <w:r>
        <w:rPr>
          <w:rFonts w:hint="eastAsia" w:ascii="Times New Roman" w:hAnsi="Times New Roman" w:eastAsia="仿宋_GB2312"/>
          <w:color w:val="auto"/>
          <w:kern w:val="0"/>
          <w:sz w:val="24"/>
          <w:szCs w:val="24"/>
        </w:rPr>
        <w:t>其他：</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F9C1E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16.1.3 因发包人违约解除合同</w:t>
      </w:r>
    </w:p>
    <w:p w14:paraId="099FA6F7">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约定暂停施工满</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天后发包人仍不纠正其违约行为并致使合同目的不能实现的，承包人有权解除合同。</w:t>
      </w:r>
    </w:p>
    <w:p w14:paraId="62A3487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16.2 承包人违约</w:t>
      </w:r>
    </w:p>
    <w:p w14:paraId="304EDAD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16.2.1 承包人违约的情形</w:t>
      </w:r>
    </w:p>
    <w:p w14:paraId="19FC82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承包人违约的其他情形：</w:t>
      </w:r>
      <w:r>
        <w:rPr>
          <w:rFonts w:hint="eastAsia" w:ascii="Times New Roman" w:hAnsi="Times New Roman" w:eastAsia="仿宋_GB2312"/>
          <w:color w:val="auto"/>
          <w:kern w:val="0"/>
          <w:sz w:val="24"/>
          <w:szCs w:val="24"/>
          <w:u w:val="single"/>
        </w:rPr>
        <w:t>按国家及地方相关规定</w:t>
      </w:r>
      <w:r>
        <w:rPr>
          <w:rFonts w:ascii="Times New Roman" w:hAnsi="Times New Roman" w:eastAsia="仿宋_GB2312"/>
          <w:color w:val="auto"/>
          <w:kern w:val="0"/>
          <w:sz w:val="24"/>
          <w:szCs w:val="24"/>
        </w:rPr>
        <w:t>。</w:t>
      </w:r>
    </w:p>
    <w:p w14:paraId="1B9CF10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16.2.2承包人违约的责任</w:t>
      </w:r>
    </w:p>
    <w:p w14:paraId="029EF15B">
      <w:pPr>
        <w:spacing w:line="360" w:lineRule="auto"/>
        <w:ind w:left="1500" w:hanging="1200" w:hangingChars="5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承包人违约责任的承担方式和计算方法：</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 xml:space="preserve">    </w:t>
      </w:r>
    </w:p>
    <w:p w14:paraId="286CDFD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16.2.3 因承包人违约解除合同</w:t>
      </w:r>
    </w:p>
    <w:p w14:paraId="08ADAC83">
      <w:pPr>
        <w:spacing w:before="120" w:after="120"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关于承包人违约解除合同的特别约定：</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p>
    <w:p w14:paraId="6880058C">
      <w:pPr>
        <w:spacing w:before="120" w:after="120"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继续</w:t>
      </w:r>
      <w:r>
        <w:rPr>
          <w:rFonts w:ascii="Times New Roman" w:hAnsi="Times New Roman" w:eastAsia="仿宋_GB2312"/>
          <w:color w:val="auto"/>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rPr>
        <w:t>的费用承担方式</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u w:val="single"/>
        </w:rPr>
        <w:t>/</w:t>
      </w:r>
      <w:r>
        <w:rPr>
          <w:rFonts w:hint="eastAsia" w:ascii="Times New Roman" w:hAnsi="Times New Roman" w:eastAsia="仿宋_GB2312"/>
          <w:color w:val="auto"/>
          <w:kern w:val="0"/>
          <w:sz w:val="24"/>
          <w:szCs w:val="24"/>
        </w:rPr>
        <w:t>。</w:t>
      </w:r>
    </w:p>
    <w:p w14:paraId="0754A1F0">
      <w:pPr>
        <w:pStyle w:val="5"/>
        <w:spacing w:before="120" w:after="120" w:line="360" w:lineRule="auto"/>
        <w:ind w:left="0" w:leftChars="0" w:firstLine="0" w:firstLineChars="0"/>
        <w:rPr>
          <w:rFonts w:ascii="Times New Roman" w:hAnsi="Times New Roman" w:eastAsia="黑体"/>
          <w:b w:val="0"/>
          <w:color w:val="auto"/>
          <w:sz w:val="24"/>
          <w:szCs w:val="24"/>
        </w:rPr>
      </w:pPr>
      <w:bookmarkStart w:id="562" w:name="_Toc351203649"/>
      <w:r>
        <w:rPr>
          <w:rFonts w:ascii="Times New Roman" w:hAnsi="Times New Roman" w:eastAsia="黑体"/>
          <w:b w:val="0"/>
          <w:color w:val="auto"/>
          <w:sz w:val="24"/>
          <w:szCs w:val="24"/>
        </w:rPr>
        <w:t>17. 不可抗力</w:t>
      </w:r>
      <w:bookmarkEnd w:id="562"/>
      <w:r>
        <w:rPr>
          <w:rFonts w:ascii="Times New Roman" w:hAnsi="Times New Roman" w:eastAsia="黑体"/>
          <w:b w:val="0"/>
          <w:color w:val="auto"/>
          <w:sz w:val="24"/>
          <w:szCs w:val="24"/>
        </w:rPr>
        <w:t xml:space="preserve"> </w:t>
      </w:r>
      <w:bookmarkEnd w:id="560"/>
    </w:p>
    <w:p w14:paraId="0DF8EAB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17.1 不可抗力的确认</w:t>
      </w:r>
    </w:p>
    <w:p w14:paraId="47264675">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sz w:val="24"/>
          <w:szCs w:val="24"/>
        </w:rPr>
        <w:t xml:space="preserve">除通用合同条款约定的不可抗力事件之外，视为不可抗力的其他情形： </w:t>
      </w:r>
      <w:r>
        <w:rPr>
          <w:rFonts w:hint="eastAsia" w:ascii="Times New Roman" w:hAnsi="Times New Roman" w:eastAsia="仿宋_GB2312"/>
          <w:color w:val="auto"/>
          <w:kern w:val="0"/>
          <w:sz w:val="24"/>
          <w:szCs w:val="24"/>
          <w:u w:val="single"/>
        </w:rPr>
        <w:t>按相关约定</w:t>
      </w:r>
      <w:r>
        <w:rPr>
          <w:rFonts w:ascii="Times New Roman" w:hAnsi="Times New Roman" w:eastAsia="仿宋_GB2312"/>
          <w:color w:val="auto"/>
          <w:kern w:val="0"/>
          <w:sz w:val="24"/>
          <w:szCs w:val="24"/>
        </w:rPr>
        <w:t>。</w:t>
      </w:r>
    </w:p>
    <w:p w14:paraId="53DE4C3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17.4 因不可抗力解除合同</w:t>
      </w:r>
    </w:p>
    <w:p w14:paraId="6133342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合同解除后，发包人应在商定或确定发包人应支付款项后</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天内完成款项的支付。</w:t>
      </w:r>
    </w:p>
    <w:p w14:paraId="40977B33">
      <w:pPr>
        <w:pStyle w:val="5"/>
        <w:spacing w:before="120" w:after="120" w:line="360" w:lineRule="auto"/>
        <w:ind w:left="0" w:leftChars="0" w:firstLine="0" w:firstLineChars="0"/>
        <w:rPr>
          <w:rFonts w:ascii="Times New Roman" w:hAnsi="Times New Roman" w:eastAsia="黑体"/>
          <w:b w:val="0"/>
          <w:color w:val="auto"/>
          <w:sz w:val="24"/>
          <w:szCs w:val="24"/>
        </w:rPr>
      </w:pPr>
      <w:bookmarkStart w:id="563" w:name="_Toc351203650"/>
      <w:r>
        <w:rPr>
          <w:rFonts w:ascii="Times New Roman" w:hAnsi="Times New Roman" w:eastAsia="黑体"/>
          <w:b w:val="0"/>
          <w:color w:val="auto"/>
          <w:sz w:val="24"/>
          <w:szCs w:val="24"/>
        </w:rPr>
        <w:t>18. 保险</w:t>
      </w:r>
      <w:bookmarkEnd w:id="563"/>
    </w:p>
    <w:bookmarkEnd w:id="561"/>
    <w:p w14:paraId="48400A9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18.1 工程保险</w:t>
      </w:r>
    </w:p>
    <w:p w14:paraId="53DD726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关于工程保险的特别约定：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480DCD64">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18.3 其他保险</w:t>
      </w:r>
    </w:p>
    <w:p w14:paraId="17F539E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关于其他保险的约定：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177BB4FA">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承包人是否应为其施工设备等办理财产保险：</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5F2494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18.7 通知义务</w:t>
      </w:r>
    </w:p>
    <w:p w14:paraId="16A714B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关于变更保险合同时的通知义务的约定：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537"/>
    <w:bookmarkEnd w:id="538"/>
    <w:bookmarkEnd w:id="539"/>
    <w:bookmarkEnd w:id="540"/>
    <w:bookmarkEnd w:id="541"/>
    <w:bookmarkEnd w:id="542"/>
    <w:bookmarkEnd w:id="543"/>
    <w:bookmarkEnd w:id="544"/>
    <w:bookmarkEnd w:id="545"/>
    <w:bookmarkEnd w:id="546"/>
    <w:bookmarkEnd w:id="547"/>
    <w:bookmarkEnd w:id="548"/>
    <w:p w14:paraId="16949A3A">
      <w:pPr>
        <w:pStyle w:val="5"/>
        <w:spacing w:before="120" w:after="120" w:line="360" w:lineRule="auto"/>
        <w:ind w:left="0" w:leftChars="0" w:firstLine="0" w:firstLineChars="0"/>
        <w:rPr>
          <w:rFonts w:ascii="Times New Roman" w:hAnsi="Times New Roman" w:eastAsia="黑体"/>
          <w:b w:val="0"/>
          <w:color w:val="auto"/>
          <w:sz w:val="24"/>
          <w:szCs w:val="24"/>
        </w:rPr>
      </w:pPr>
      <w:bookmarkStart w:id="564" w:name="_Toc351203651"/>
      <w:r>
        <w:rPr>
          <w:rFonts w:hint="eastAsia" w:ascii="Times New Roman" w:hAnsi="Times New Roman" w:eastAsia="黑体"/>
          <w:b w:val="0"/>
          <w:color w:val="auto"/>
          <w:sz w:val="24"/>
          <w:szCs w:val="24"/>
          <w:lang w:val="en-US" w:eastAsia="zh-CN"/>
        </w:rPr>
        <w:t>19</w:t>
      </w:r>
      <w:r>
        <w:rPr>
          <w:rFonts w:ascii="Times New Roman" w:hAnsi="Times New Roman" w:eastAsia="黑体"/>
          <w:b w:val="0"/>
          <w:color w:val="auto"/>
          <w:sz w:val="24"/>
          <w:szCs w:val="24"/>
        </w:rPr>
        <w:t>. 争议解决</w:t>
      </w:r>
      <w:bookmarkEnd w:id="564"/>
    </w:p>
    <w:bookmarkEnd w:id="549"/>
    <w:bookmarkEnd w:id="550"/>
    <w:p w14:paraId="77D6B89A">
      <w:pPr>
        <w:spacing w:after="120" w:line="360" w:lineRule="auto"/>
        <w:ind w:firstLine="480" w:firstLineChars="200"/>
        <w:outlineLvl w:val="0"/>
        <w:rPr>
          <w:rFonts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1</w:t>
      </w:r>
      <w:r>
        <w:rPr>
          <w:rFonts w:ascii="Times New Roman" w:hAnsi="Times New Roman" w:eastAsia="黑体"/>
          <w:color w:val="auto"/>
          <w:sz w:val="24"/>
          <w:szCs w:val="24"/>
        </w:rPr>
        <w:t xml:space="preserve"> 争</w:t>
      </w:r>
      <w:bookmarkEnd w:id="551"/>
      <w:r>
        <w:rPr>
          <w:rFonts w:ascii="Times New Roman" w:hAnsi="Times New Roman" w:eastAsia="黑体"/>
          <w:color w:val="auto"/>
          <w:sz w:val="24"/>
          <w:szCs w:val="24"/>
        </w:rPr>
        <w:t>议评审</w:t>
      </w:r>
    </w:p>
    <w:p w14:paraId="1ABD7025">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合同当事人是否同意将工程争议提交争议评审小组决</w:t>
      </w:r>
      <w:r>
        <w:rPr>
          <w:rFonts w:hint="eastAsia" w:ascii="Times New Roman" w:hAnsi="Times New Roman" w:eastAsia="仿宋_GB2312"/>
          <w:color w:val="auto"/>
          <w:sz w:val="24"/>
          <w:szCs w:val="24"/>
        </w:rPr>
        <w:t>定：</w:t>
      </w:r>
      <w:r>
        <w:rPr>
          <w:rFonts w:hint="eastAsia" w:ascii="Times New Roman" w:hAnsi="Times New Roman" w:eastAsia="仿宋_GB2312"/>
          <w:color w:val="auto"/>
          <w:sz w:val="24"/>
          <w:szCs w:val="24"/>
          <w:u w:val="single"/>
        </w:rPr>
        <w:t>/</w:t>
      </w:r>
      <w:r>
        <w:rPr>
          <w:rFonts w:hint="eastAsia" w:ascii="Times New Roman" w:hAnsi="Times New Roman" w:eastAsia="仿宋_GB2312"/>
          <w:color w:val="auto"/>
          <w:sz w:val="24"/>
          <w:szCs w:val="24"/>
        </w:rPr>
        <w:t xml:space="preserve">。  </w:t>
      </w:r>
    </w:p>
    <w:p w14:paraId="49864735">
      <w:pPr>
        <w:spacing w:line="360" w:lineRule="auto"/>
        <w:ind w:firstLine="480" w:firstLineChars="200"/>
        <w:jc w:val="left"/>
        <w:outlineLvl w:val="0"/>
        <w:rPr>
          <w:rFonts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19</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lang w:val="en-US" w:eastAsia="zh-CN"/>
        </w:rPr>
        <w:t>1</w:t>
      </w:r>
      <w:r>
        <w:rPr>
          <w:rFonts w:ascii="Times New Roman" w:hAnsi="Times New Roman" w:eastAsia="仿宋_GB2312"/>
          <w:color w:val="auto"/>
          <w:sz w:val="24"/>
          <w:szCs w:val="24"/>
        </w:rPr>
        <w:t>.1 争议评审小组的确定</w:t>
      </w:r>
    </w:p>
    <w:p w14:paraId="191FE5F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争议评审小组成员的确定：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5DE2D9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选定争议评审员的期限：</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08B0B5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争议评审小组成员的报酬承担方式：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00F50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其他事项的约定：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E4A961A">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lang w:val="en-US" w:eastAsia="zh-CN"/>
        </w:rPr>
        <w:t>19</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lang w:val="en-US" w:eastAsia="zh-CN"/>
        </w:rPr>
        <w:t>1</w:t>
      </w:r>
      <w:r>
        <w:rPr>
          <w:rFonts w:ascii="Times New Roman" w:hAnsi="Times New Roman" w:eastAsia="仿宋_GB2312"/>
          <w:color w:val="auto"/>
          <w:kern w:val="0"/>
          <w:sz w:val="24"/>
          <w:szCs w:val="24"/>
        </w:rPr>
        <w:t>.2 争议评审小组的决定</w:t>
      </w:r>
    </w:p>
    <w:p w14:paraId="788BA1B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合同当事人关于本项的约定：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91963D3">
      <w:pPr>
        <w:spacing w:after="120" w:line="360" w:lineRule="auto"/>
        <w:ind w:firstLine="480" w:firstLineChars="200"/>
        <w:outlineLvl w:val="0"/>
        <w:rPr>
          <w:rFonts w:hint="eastAsia"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2</w:t>
      </w:r>
      <w:r>
        <w:rPr>
          <w:rFonts w:ascii="Times New Roman" w:hAnsi="Times New Roman" w:eastAsia="黑体"/>
          <w:color w:val="auto"/>
          <w:sz w:val="24"/>
          <w:szCs w:val="24"/>
        </w:rPr>
        <w:t>仲裁或诉讼</w:t>
      </w:r>
      <w:bookmarkEnd w:id="552"/>
    </w:p>
    <w:p w14:paraId="3F5DC2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仿宋_GB2312"/>
          <w:color w:val="auto"/>
          <w:sz w:val="24"/>
          <w:szCs w:val="24"/>
        </w:rPr>
        <w:t>因合同及合同有关事项发生的争议，按下列第</w:t>
      </w:r>
      <w:r>
        <w:rPr>
          <w:rFonts w:ascii="Times New Roman" w:hAnsi="Times New Roman" w:eastAsia="仿宋_GB2312"/>
          <w:color w:val="auto"/>
          <w:sz w:val="24"/>
          <w:szCs w:val="24"/>
          <w:u w:val="single"/>
        </w:rPr>
        <w:t xml:space="preserve"> 2 </w:t>
      </w:r>
      <w:r>
        <w:rPr>
          <w:rFonts w:ascii="Times New Roman" w:hAnsi="Times New Roman" w:eastAsia="仿宋_GB2312"/>
          <w:color w:val="auto"/>
          <w:sz w:val="24"/>
          <w:szCs w:val="24"/>
        </w:rPr>
        <w:t>种方式</w:t>
      </w:r>
      <w:r>
        <w:rPr>
          <w:rFonts w:hint="eastAsia" w:ascii="Times New Roman" w:hAnsi="Times New Roman" w:eastAsia="仿宋_GB2312"/>
          <w:color w:val="auto"/>
          <w:sz w:val="24"/>
          <w:szCs w:val="24"/>
        </w:rPr>
        <w:t>解</w:t>
      </w:r>
      <w:r>
        <w:rPr>
          <w:rFonts w:ascii="Times New Roman" w:hAnsi="Times New Roman" w:eastAsia="仿宋_GB2312"/>
          <w:color w:val="auto"/>
          <w:sz w:val="24"/>
          <w:szCs w:val="24"/>
        </w:rPr>
        <w:t>决：</w:t>
      </w:r>
    </w:p>
    <w:p w14:paraId="32AD7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（1）向</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仲裁委员会申请仲裁；</w:t>
      </w:r>
    </w:p>
    <w:p w14:paraId="3BB71A2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（2）向</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工程所在地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人民法院起诉。</w:t>
      </w:r>
      <w:bookmarkEnd w:id="553"/>
      <w:bookmarkEnd w:id="554"/>
      <w:bookmarkEnd w:id="555"/>
      <w:bookmarkEnd w:id="556"/>
      <w:bookmarkEnd w:id="557"/>
      <w:bookmarkEnd w:id="558"/>
    </w:p>
    <w:p w14:paraId="78674C58">
      <w:pPr>
        <w:spacing w:line="360" w:lineRule="auto"/>
        <w:jc w:val="left"/>
        <w:rPr>
          <w:rFonts w:ascii="Times New Roman" w:hAnsi="Times New Roman" w:eastAsia="黑体"/>
          <w:b/>
          <w:color w:val="auto"/>
          <w:sz w:val="24"/>
          <w:szCs w:val="24"/>
        </w:rPr>
      </w:pPr>
      <w:bookmarkStart w:id="565" w:name="_Toc351203652"/>
    </w:p>
    <w:p w14:paraId="58C700D1">
      <w:pPr>
        <w:spacing w:line="360" w:lineRule="auto"/>
        <w:jc w:val="left"/>
        <w:rPr>
          <w:rFonts w:ascii="Times New Roman" w:hAnsi="Times New Roman" w:eastAsia="黑体"/>
          <w:b/>
          <w:color w:val="auto"/>
          <w:sz w:val="24"/>
          <w:szCs w:val="24"/>
        </w:rPr>
      </w:pPr>
      <w:r>
        <w:rPr>
          <w:rFonts w:ascii="Times New Roman" w:hAnsi="Times New Roman" w:eastAsia="黑体"/>
          <w:b/>
          <w:color w:val="auto"/>
          <w:sz w:val="24"/>
          <w:szCs w:val="24"/>
        </w:rPr>
        <w:t>附件</w:t>
      </w:r>
      <w:bookmarkEnd w:id="565"/>
    </w:p>
    <w:p w14:paraId="48710555">
      <w:pPr>
        <w:spacing w:line="360" w:lineRule="auto"/>
        <w:jc w:val="left"/>
        <w:rPr>
          <w:rFonts w:ascii="仿宋" w:hAnsi="仿宋" w:eastAsia="仿宋"/>
          <w:color w:val="auto"/>
          <w:szCs w:val="21"/>
        </w:rPr>
      </w:pPr>
      <w:r>
        <w:rPr>
          <w:rFonts w:hint="eastAsia" w:ascii="仿宋" w:hAnsi="仿宋" w:eastAsia="仿宋"/>
          <w:color w:val="auto"/>
          <w:szCs w:val="21"/>
        </w:rPr>
        <w:t>专用合同条款附件：</w:t>
      </w:r>
    </w:p>
    <w:p w14:paraId="479145AB">
      <w:pPr>
        <w:spacing w:line="360" w:lineRule="auto"/>
        <w:jc w:val="left"/>
        <w:rPr>
          <w:rFonts w:ascii="仿宋" w:hAnsi="仿宋" w:eastAsia="仿宋"/>
          <w:color w:val="auto"/>
          <w:szCs w:val="21"/>
        </w:rPr>
      </w:pPr>
      <w:r>
        <w:rPr>
          <w:rFonts w:ascii="仿宋" w:hAnsi="仿宋" w:eastAsia="仿宋"/>
          <w:color w:val="auto"/>
          <w:szCs w:val="21"/>
        </w:rPr>
        <w:t>附件</w:t>
      </w:r>
      <w:r>
        <w:rPr>
          <w:rFonts w:hint="eastAsia" w:ascii="仿宋" w:hAnsi="仿宋" w:eastAsia="仿宋"/>
          <w:color w:val="auto"/>
          <w:szCs w:val="21"/>
        </w:rPr>
        <w:t>1</w:t>
      </w:r>
      <w:r>
        <w:rPr>
          <w:rFonts w:ascii="仿宋" w:hAnsi="仿宋" w:eastAsia="仿宋"/>
          <w:color w:val="auto"/>
          <w:szCs w:val="21"/>
        </w:rPr>
        <w:t>：工程质量保修书</w:t>
      </w:r>
    </w:p>
    <w:p w14:paraId="0303729E">
      <w:pPr>
        <w:spacing w:line="360" w:lineRule="auto"/>
        <w:jc w:val="left"/>
        <w:rPr>
          <w:rFonts w:ascii="仿宋" w:hAnsi="仿宋" w:eastAsia="仿宋"/>
          <w:color w:val="auto"/>
          <w:szCs w:val="21"/>
        </w:rPr>
      </w:pPr>
      <w:r>
        <w:rPr>
          <w:rFonts w:hint="eastAsia" w:ascii="仿宋" w:hAnsi="仿宋" w:eastAsia="仿宋"/>
          <w:color w:val="auto"/>
          <w:szCs w:val="21"/>
        </w:rPr>
        <w:t>附件2：建设工程廉政责任书格式</w:t>
      </w:r>
    </w:p>
    <w:p w14:paraId="04FE5E6B">
      <w:pPr>
        <w:spacing w:line="360" w:lineRule="auto"/>
        <w:jc w:val="left"/>
        <w:rPr>
          <w:rFonts w:ascii="仿宋" w:hAnsi="仿宋" w:eastAsia="仿宋"/>
          <w:color w:val="auto"/>
          <w:szCs w:val="21"/>
        </w:rPr>
      </w:pPr>
      <w:r>
        <w:rPr>
          <w:rFonts w:hint="eastAsia" w:ascii="仿宋" w:hAnsi="仿宋" w:eastAsia="仿宋"/>
          <w:color w:val="auto"/>
          <w:szCs w:val="21"/>
        </w:rPr>
        <w:t>附件3：安全生产责任协议书格式</w:t>
      </w:r>
    </w:p>
    <w:p w14:paraId="1E8B37C6">
      <w:pPr>
        <w:spacing w:line="360" w:lineRule="auto"/>
        <w:jc w:val="left"/>
        <w:rPr>
          <w:rFonts w:ascii="仿宋" w:hAnsi="仿宋" w:eastAsia="仿宋"/>
          <w:color w:val="auto"/>
          <w:szCs w:val="21"/>
        </w:rPr>
      </w:pPr>
      <w:r>
        <w:rPr>
          <w:rFonts w:hint="eastAsia" w:ascii="仿宋" w:hAnsi="仿宋" w:eastAsia="仿宋"/>
          <w:color w:val="auto"/>
          <w:szCs w:val="21"/>
        </w:rPr>
        <w:t>附件4：文明施工责任协议书格式</w:t>
      </w:r>
    </w:p>
    <w:p w14:paraId="294C30C0">
      <w:pPr>
        <w:spacing w:line="360" w:lineRule="auto"/>
        <w:jc w:val="left"/>
        <w:rPr>
          <w:rFonts w:hint="eastAsia" w:ascii="仿宋" w:hAnsi="仿宋" w:eastAsia="仿宋"/>
          <w:color w:val="auto"/>
          <w:szCs w:val="21"/>
        </w:rPr>
      </w:pPr>
      <w:r>
        <w:rPr>
          <w:rFonts w:hint="eastAsia" w:ascii="仿宋" w:hAnsi="仿宋" w:eastAsia="仿宋"/>
          <w:color w:val="auto"/>
          <w:szCs w:val="21"/>
        </w:rPr>
        <w:t>附件5：治安、防火责任协议格式</w:t>
      </w:r>
    </w:p>
    <w:p w14:paraId="77C75548">
      <w:pPr>
        <w:pStyle w:val="149"/>
        <w:numPr>
          <w:ilvl w:val="0"/>
          <w:numId w:val="0"/>
        </w:numPr>
        <w:spacing w:line="360" w:lineRule="auto"/>
        <w:ind w:leftChars="0"/>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附件6：关于保障农民工工资不拖欠的承诺函 ，要求按2020年5月1日发布的《保障农民工工资支付条例》。体现农民工工资的专用账户及具体金额。农民工工资与申请支付的进度款同比例支付至专用账户内。</w:t>
      </w:r>
    </w:p>
    <w:p w14:paraId="38C4D2E3">
      <w:pPr>
        <w:pStyle w:val="57"/>
      </w:pPr>
    </w:p>
    <w:p w14:paraId="0B63C793">
      <w:pPr>
        <w:spacing w:line="360" w:lineRule="auto"/>
        <w:jc w:val="left"/>
        <w:rPr>
          <w:rFonts w:ascii="仿宋" w:hAnsi="仿宋" w:eastAsia="仿宋"/>
          <w:color w:val="auto"/>
          <w:szCs w:val="21"/>
        </w:rPr>
        <w:sectPr>
          <w:footerReference r:id="rId9" w:type="first"/>
          <w:footerReference r:id="rId7" w:type="default"/>
          <w:footerReference r:id="rId8" w:type="even"/>
          <w:pgSz w:w="11906" w:h="16838"/>
          <w:pgMar w:top="1418" w:right="1555" w:bottom="1418" w:left="1531" w:header="851" w:footer="992" w:gutter="0"/>
          <w:pgNumType w:start="0"/>
          <w:cols w:space="720" w:num="1"/>
          <w:docGrid w:type="lines" w:linePitch="312" w:charSpace="0"/>
        </w:sectPr>
      </w:pPr>
    </w:p>
    <w:p w14:paraId="511BDE69">
      <w:pPr>
        <w:spacing w:line="360" w:lineRule="auto"/>
        <w:rPr>
          <w:rFonts w:ascii="仿宋" w:hAnsi="仿宋" w:eastAsia="仿宋"/>
          <w:color w:val="auto"/>
          <w:szCs w:val="21"/>
        </w:rPr>
      </w:pPr>
      <w:r>
        <w:rPr>
          <w:rFonts w:ascii="仿宋" w:hAnsi="仿宋" w:eastAsia="仿宋"/>
          <w:color w:val="auto"/>
          <w:szCs w:val="21"/>
        </w:rPr>
        <w:t>附</w:t>
      </w:r>
      <w:bookmarkStart w:id="566" w:name="_Toc296346727"/>
      <w:bookmarkStart w:id="567" w:name="_Toc296503226"/>
      <w:bookmarkStart w:id="568" w:name="_Toc296891054"/>
      <w:bookmarkStart w:id="569" w:name="_Toc296944565"/>
      <w:bookmarkStart w:id="570" w:name="_Toc296891266"/>
      <w:bookmarkStart w:id="571" w:name="_Toc267261693"/>
      <w:bookmarkStart w:id="572" w:name="_Toc296347225"/>
      <w:r>
        <w:rPr>
          <w:rFonts w:ascii="仿宋" w:hAnsi="仿宋" w:eastAsia="仿宋"/>
          <w:color w:val="auto"/>
          <w:szCs w:val="21"/>
        </w:rPr>
        <w:t>件</w:t>
      </w:r>
      <w:r>
        <w:rPr>
          <w:rFonts w:hint="eastAsia" w:ascii="仿宋" w:hAnsi="仿宋" w:eastAsia="仿宋"/>
          <w:color w:val="auto"/>
          <w:szCs w:val="21"/>
        </w:rPr>
        <w:t>1</w:t>
      </w:r>
      <w:r>
        <w:rPr>
          <w:rFonts w:ascii="仿宋" w:hAnsi="仿宋" w:eastAsia="仿宋"/>
          <w:color w:val="auto"/>
          <w:szCs w:val="21"/>
        </w:rPr>
        <w:t>：</w:t>
      </w:r>
      <w:bookmarkEnd w:id="566"/>
      <w:bookmarkEnd w:id="567"/>
      <w:bookmarkEnd w:id="568"/>
      <w:bookmarkEnd w:id="569"/>
      <w:bookmarkEnd w:id="570"/>
      <w:bookmarkEnd w:id="571"/>
      <w:bookmarkEnd w:id="572"/>
    </w:p>
    <w:p w14:paraId="762CE555">
      <w:pPr>
        <w:spacing w:line="360" w:lineRule="auto"/>
        <w:jc w:val="center"/>
        <w:rPr>
          <w:rFonts w:ascii="仿宋" w:hAnsi="仿宋" w:eastAsia="仿宋"/>
          <w:color w:val="auto"/>
          <w:sz w:val="30"/>
          <w:szCs w:val="30"/>
        </w:rPr>
      </w:pPr>
      <w:r>
        <w:rPr>
          <w:rFonts w:ascii="仿宋" w:hAnsi="仿宋" w:eastAsia="仿宋"/>
          <w:color w:val="auto"/>
          <w:sz w:val="30"/>
          <w:szCs w:val="30"/>
        </w:rPr>
        <w:t>工程质量保修书</w:t>
      </w:r>
    </w:p>
    <w:p w14:paraId="536C774A">
      <w:pPr>
        <w:spacing w:line="360" w:lineRule="auto"/>
        <w:ind w:firstLine="420" w:firstLineChars="200"/>
        <w:rPr>
          <w:rFonts w:hint="eastAsia" w:ascii="仿宋" w:hAnsi="仿宋" w:eastAsia="仿宋"/>
          <w:color w:val="auto"/>
          <w:szCs w:val="21"/>
          <w:lang w:eastAsia="zh-CN"/>
        </w:rPr>
      </w:pPr>
      <w:r>
        <w:rPr>
          <w:rFonts w:ascii="仿宋" w:hAnsi="仿宋" w:eastAsia="仿宋"/>
          <w:color w:val="auto"/>
          <w:szCs w:val="21"/>
        </w:rPr>
        <w:t>发包人（全称）：</w:t>
      </w:r>
      <w:r>
        <w:rPr>
          <w:rFonts w:hint="eastAsia" w:ascii="仿宋" w:hAnsi="仿宋" w:eastAsia="仿宋"/>
          <w:color w:val="auto"/>
          <w:szCs w:val="21"/>
          <w:u w:val="single"/>
          <w:lang w:val="en-US" w:eastAsia="zh-CN"/>
        </w:rPr>
        <w:t xml:space="preserve"> </w:t>
      </w:r>
    </w:p>
    <w:p w14:paraId="76C5242E">
      <w:pPr>
        <w:spacing w:line="360" w:lineRule="auto"/>
        <w:rPr>
          <w:rFonts w:hint="eastAsia" w:ascii="仿宋" w:hAnsi="仿宋" w:eastAsia="仿宋"/>
          <w:color w:val="auto"/>
          <w:szCs w:val="21"/>
          <w:lang w:eastAsia="zh-CN"/>
        </w:rPr>
      </w:pPr>
      <w:r>
        <w:rPr>
          <w:rFonts w:ascii="仿宋" w:hAnsi="仿宋" w:eastAsia="仿宋"/>
          <w:color w:val="auto"/>
          <w:szCs w:val="21"/>
        </w:rPr>
        <w:t>　　承包人（全称）：</w:t>
      </w:r>
    </w:p>
    <w:p w14:paraId="6AFFB0BC">
      <w:pPr>
        <w:spacing w:line="360" w:lineRule="auto"/>
        <w:rPr>
          <w:rFonts w:ascii="仿宋" w:hAnsi="仿宋" w:eastAsia="仿宋"/>
          <w:color w:val="auto"/>
          <w:szCs w:val="21"/>
        </w:rPr>
      </w:pPr>
      <w:r>
        <w:rPr>
          <w:rFonts w:ascii="仿宋" w:hAnsi="仿宋" w:eastAsia="仿宋"/>
          <w:color w:val="auto"/>
          <w:szCs w:val="21"/>
        </w:rPr>
        <w:t>　　发包人和承包人根据《中华人民共和国建筑法》和《建设工程质量管理条例》，经协商一致就</w:t>
      </w:r>
      <w:r>
        <w:rPr>
          <w:rFonts w:hint="eastAsia" w:ascii="仿宋" w:hAnsi="仿宋" w:eastAsia="仿宋"/>
          <w:color w:val="auto"/>
          <w:szCs w:val="21"/>
          <w:u w:val="single"/>
          <w:lang w:eastAsia="zh-CN"/>
        </w:rPr>
        <w:t>黄浦区老西门街道市民健身中心装修工程</w:t>
      </w:r>
      <w:r>
        <w:rPr>
          <w:rFonts w:ascii="仿宋" w:hAnsi="仿宋" w:eastAsia="仿宋"/>
          <w:color w:val="auto"/>
          <w:szCs w:val="21"/>
        </w:rPr>
        <w:t>（工程全称）签订工程质量保修书。</w:t>
      </w:r>
    </w:p>
    <w:p w14:paraId="1FBBE834">
      <w:pPr>
        <w:spacing w:line="360" w:lineRule="auto"/>
        <w:rPr>
          <w:rFonts w:ascii="仿宋" w:hAnsi="仿宋" w:eastAsia="仿宋"/>
          <w:color w:val="auto"/>
          <w:szCs w:val="21"/>
        </w:rPr>
      </w:pPr>
      <w:r>
        <w:rPr>
          <w:rFonts w:ascii="仿宋" w:hAnsi="仿宋" w:eastAsia="仿宋"/>
          <w:color w:val="auto"/>
          <w:szCs w:val="21"/>
        </w:rPr>
        <w:t>　　一、工程质量保修范围和内容</w:t>
      </w:r>
    </w:p>
    <w:p w14:paraId="1509DE15">
      <w:pPr>
        <w:spacing w:line="360" w:lineRule="auto"/>
        <w:rPr>
          <w:rFonts w:ascii="仿宋" w:hAnsi="仿宋" w:eastAsia="仿宋"/>
          <w:color w:val="auto"/>
          <w:szCs w:val="21"/>
        </w:rPr>
      </w:pPr>
      <w:r>
        <w:rPr>
          <w:rFonts w:ascii="仿宋" w:hAnsi="仿宋" w:eastAsia="仿宋"/>
          <w:color w:val="auto"/>
          <w:szCs w:val="21"/>
        </w:rPr>
        <w:t>　　承包人在质量保修期内，按照有关法律规定和合同约定，承担工程质量保修责任。</w:t>
      </w:r>
    </w:p>
    <w:p w14:paraId="1246438B">
      <w:pPr>
        <w:spacing w:line="360" w:lineRule="auto"/>
        <w:rPr>
          <w:rFonts w:ascii="仿宋" w:hAnsi="仿宋" w:eastAsia="仿宋"/>
          <w:color w:val="auto"/>
          <w:szCs w:val="21"/>
        </w:rPr>
      </w:pPr>
      <w:r>
        <w:rPr>
          <w:rFonts w:ascii="仿宋" w:hAnsi="仿宋" w:eastAsia="仿宋"/>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B9B9802">
      <w:pPr>
        <w:spacing w:line="360" w:lineRule="auto"/>
        <w:rPr>
          <w:rFonts w:ascii="仿宋" w:hAnsi="仿宋" w:eastAsia="仿宋"/>
          <w:color w:val="auto"/>
          <w:szCs w:val="21"/>
        </w:rPr>
      </w:pPr>
      <w:r>
        <w:rPr>
          <w:rFonts w:ascii="仿宋" w:hAnsi="仿宋" w:eastAsia="仿宋"/>
          <w:color w:val="auto"/>
          <w:szCs w:val="21"/>
        </w:rPr>
        <w:t>　　。</w:t>
      </w:r>
    </w:p>
    <w:p w14:paraId="727AD92B">
      <w:pPr>
        <w:spacing w:line="360" w:lineRule="auto"/>
        <w:rPr>
          <w:rFonts w:ascii="仿宋" w:hAnsi="仿宋" w:eastAsia="仿宋"/>
          <w:color w:val="auto"/>
          <w:szCs w:val="21"/>
        </w:rPr>
      </w:pPr>
      <w:r>
        <w:rPr>
          <w:rFonts w:ascii="仿宋" w:hAnsi="仿宋" w:eastAsia="仿宋"/>
          <w:b/>
          <w:color w:val="auto"/>
          <w:szCs w:val="21"/>
        </w:rPr>
        <w:t>　　</w:t>
      </w:r>
      <w:r>
        <w:rPr>
          <w:rFonts w:ascii="仿宋" w:hAnsi="仿宋" w:eastAsia="仿宋"/>
          <w:color w:val="auto"/>
          <w:szCs w:val="21"/>
        </w:rPr>
        <w:t>二、质量保修期</w:t>
      </w:r>
    </w:p>
    <w:p w14:paraId="78BDAFC5">
      <w:pPr>
        <w:spacing w:line="360" w:lineRule="auto"/>
        <w:ind w:firstLine="420" w:firstLineChars="200"/>
        <w:rPr>
          <w:rFonts w:ascii="仿宋" w:hAnsi="仿宋" w:eastAsia="仿宋"/>
          <w:color w:val="auto"/>
          <w:szCs w:val="21"/>
        </w:rPr>
      </w:pPr>
      <w:r>
        <w:rPr>
          <w:rFonts w:ascii="仿宋" w:hAnsi="仿宋" w:eastAsia="仿宋"/>
          <w:color w:val="auto"/>
          <w:szCs w:val="21"/>
        </w:rPr>
        <w:t>根据《建设工程质量管理条例》及有关规定，工程的质量保修期如下：</w:t>
      </w:r>
    </w:p>
    <w:p w14:paraId="12041FF4">
      <w:pPr>
        <w:spacing w:line="360" w:lineRule="auto"/>
        <w:ind w:firstLine="420" w:firstLineChars="200"/>
        <w:rPr>
          <w:rFonts w:ascii="仿宋" w:hAnsi="仿宋" w:eastAsia="仿宋"/>
          <w:color w:val="auto"/>
          <w:szCs w:val="21"/>
        </w:rPr>
      </w:pPr>
      <w:r>
        <w:rPr>
          <w:rFonts w:hint="eastAsia" w:ascii="仿宋" w:hAnsi="仿宋" w:eastAsia="仿宋"/>
          <w:color w:val="auto"/>
          <w:szCs w:val="21"/>
        </w:rPr>
        <w:t>1．地基基础工程和主体结构工程为设计文件规定的工程合理使用年限；</w:t>
      </w:r>
    </w:p>
    <w:p w14:paraId="1CA80E23">
      <w:pPr>
        <w:spacing w:line="360" w:lineRule="auto"/>
        <w:ind w:firstLine="420" w:firstLineChars="200"/>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屋面防水工程、有防水要求的卫生间、房间和外墙面的防渗</w:t>
      </w:r>
      <w:r>
        <w:rPr>
          <w:rFonts w:hint="eastAsia" w:ascii="仿宋" w:hAnsi="仿宋" w:eastAsia="仿宋"/>
          <w:color w:val="auto"/>
          <w:szCs w:val="21"/>
        </w:rPr>
        <w:t>为</w:t>
      </w:r>
      <w:r>
        <w:rPr>
          <w:rFonts w:hint="eastAsia" w:ascii="仿宋" w:hAnsi="仿宋" w:eastAsia="仿宋"/>
          <w:color w:val="auto"/>
          <w:szCs w:val="21"/>
          <w:u w:val="single"/>
        </w:rPr>
        <w:t>五</w:t>
      </w:r>
      <w:r>
        <w:rPr>
          <w:rFonts w:ascii="仿宋" w:hAnsi="仿宋" w:eastAsia="仿宋"/>
          <w:color w:val="auto"/>
          <w:szCs w:val="21"/>
        </w:rPr>
        <w:t>年；</w:t>
      </w:r>
    </w:p>
    <w:p w14:paraId="7F68F427">
      <w:pPr>
        <w:spacing w:line="360" w:lineRule="auto"/>
        <w:ind w:left="420" w:leftChars="200" w:firstLine="105" w:firstLineChars="50"/>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装修工程为</w:t>
      </w:r>
      <w:r>
        <w:rPr>
          <w:rFonts w:hint="eastAsia" w:ascii="仿宋" w:hAnsi="仿宋" w:eastAsia="仿宋"/>
          <w:color w:val="auto"/>
          <w:szCs w:val="21"/>
          <w:u w:val="single"/>
        </w:rPr>
        <w:t>壹</w:t>
      </w:r>
      <w:r>
        <w:rPr>
          <w:rFonts w:ascii="仿宋" w:hAnsi="仿宋" w:eastAsia="仿宋"/>
          <w:color w:val="auto"/>
          <w:szCs w:val="21"/>
        </w:rPr>
        <w:t>年；</w:t>
      </w:r>
    </w:p>
    <w:p w14:paraId="04E72A7E">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电气管线、给排水管道、设备安装工程为</w:t>
      </w:r>
      <w:r>
        <w:rPr>
          <w:rFonts w:hint="eastAsia" w:ascii="仿宋" w:hAnsi="仿宋" w:eastAsia="仿宋"/>
          <w:szCs w:val="21"/>
          <w:u w:val="single"/>
        </w:rPr>
        <w:t>壹</w:t>
      </w:r>
      <w:r>
        <w:rPr>
          <w:rFonts w:ascii="仿宋" w:hAnsi="仿宋" w:eastAsia="仿宋"/>
          <w:szCs w:val="21"/>
        </w:rPr>
        <w:t>年；</w:t>
      </w:r>
    </w:p>
    <w:p w14:paraId="4C83E4D1">
      <w:pPr>
        <w:spacing w:line="360" w:lineRule="auto"/>
        <w:ind w:left="420" w:leftChars="200" w:firstLine="105" w:firstLineChars="50"/>
        <w:rPr>
          <w:rFonts w:ascii="仿宋" w:hAnsi="仿宋" w:eastAsia="仿宋"/>
          <w:szCs w:val="21"/>
        </w:rPr>
      </w:pPr>
      <w:r>
        <w:rPr>
          <w:rFonts w:hint="eastAsia" w:ascii="仿宋" w:hAnsi="仿宋" w:eastAsia="仿宋"/>
          <w:szCs w:val="21"/>
        </w:rPr>
        <w:t>5．</w:t>
      </w:r>
      <w:r>
        <w:rPr>
          <w:rFonts w:ascii="仿宋" w:hAnsi="仿宋" w:eastAsia="仿宋"/>
          <w:szCs w:val="21"/>
        </w:rPr>
        <w:t>供热与供冷系统为</w:t>
      </w:r>
      <w:r>
        <w:rPr>
          <w:rFonts w:hint="eastAsia" w:ascii="仿宋" w:hAnsi="仿宋" w:eastAsia="仿宋"/>
          <w:szCs w:val="21"/>
          <w:u w:val="single"/>
          <w:lang w:val="en-US" w:eastAsia="zh-CN"/>
        </w:rPr>
        <w:t xml:space="preserve"> / </w:t>
      </w:r>
      <w:r>
        <w:rPr>
          <w:rFonts w:ascii="仿宋" w:hAnsi="仿宋" w:eastAsia="仿宋"/>
          <w:szCs w:val="21"/>
        </w:rPr>
        <w:t>个采暖期、供冷期；</w:t>
      </w:r>
    </w:p>
    <w:p w14:paraId="73E71AF1">
      <w:pPr>
        <w:spacing w:line="360" w:lineRule="auto"/>
        <w:ind w:left="420" w:leftChars="200" w:firstLine="105" w:firstLineChars="50"/>
        <w:rPr>
          <w:rFonts w:ascii="仿宋" w:hAnsi="仿宋" w:eastAsia="仿宋"/>
          <w:szCs w:val="21"/>
        </w:rPr>
      </w:pPr>
      <w:r>
        <w:rPr>
          <w:rFonts w:hint="eastAsia" w:ascii="仿宋" w:hAnsi="仿宋" w:eastAsia="仿宋"/>
          <w:szCs w:val="21"/>
        </w:rPr>
        <w:t>6．</w:t>
      </w:r>
      <w:r>
        <w:rPr>
          <w:rFonts w:ascii="仿宋" w:hAnsi="仿宋" w:eastAsia="仿宋"/>
          <w:szCs w:val="21"/>
        </w:rPr>
        <w:t>住宅小区内的给排水设施、道路等配套工程为</w:t>
      </w:r>
      <w:r>
        <w:rPr>
          <w:rFonts w:hint="eastAsia" w:ascii="仿宋" w:hAnsi="仿宋" w:eastAsia="仿宋"/>
          <w:szCs w:val="21"/>
          <w:u w:val="single"/>
        </w:rPr>
        <w:t>/</w:t>
      </w:r>
      <w:r>
        <w:rPr>
          <w:rFonts w:ascii="仿宋" w:hAnsi="仿宋" w:eastAsia="仿宋"/>
          <w:szCs w:val="21"/>
        </w:rPr>
        <w:t>年；</w:t>
      </w:r>
    </w:p>
    <w:p w14:paraId="6DB4DDE1">
      <w:pPr>
        <w:spacing w:line="360" w:lineRule="auto"/>
        <w:ind w:left="420" w:leftChars="200" w:firstLine="105" w:firstLineChars="50"/>
        <w:rPr>
          <w:rFonts w:ascii="仿宋" w:hAnsi="仿宋" w:eastAsia="仿宋"/>
          <w:szCs w:val="21"/>
        </w:rPr>
      </w:pPr>
      <w:r>
        <w:rPr>
          <w:rFonts w:hint="eastAsia" w:ascii="仿宋" w:hAnsi="仿宋" w:eastAsia="仿宋"/>
          <w:szCs w:val="21"/>
        </w:rPr>
        <w:t>7．</w:t>
      </w:r>
      <w:r>
        <w:rPr>
          <w:rFonts w:ascii="仿宋" w:hAnsi="仿宋" w:eastAsia="仿宋"/>
          <w:szCs w:val="21"/>
        </w:rPr>
        <w:t>其他项目保修期限约定如下：</w:t>
      </w:r>
    </w:p>
    <w:p w14:paraId="65B89DBA">
      <w:pPr>
        <w:spacing w:line="360" w:lineRule="auto"/>
        <w:ind w:left="525" w:hanging="525" w:hangingChars="250"/>
        <w:rPr>
          <w:rFonts w:ascii="仿宋" w:hAnsi="仿宋" w:eastAsia="仿宋"/>
          <w:szCs w:val="21"/>
        </w:rPr>
      </w:pPr>
      <w:r>
        <w:rPr>
          <w:rFonts w:ascii="仿宋" w:hAnsi="仿宋" w:eastAsia="仿宋"/>
          <w:szCs w:val="21"/>
        </w:rPr>
        <w:t>。质量保修期自工程竣工验收合格之日起计算。</w:t>
      </w:r>
    </w:p>
    <w:p w14:paraId="4FCE7EF9">
      <w:pPr>
        <w:spacing w:line="360" w:lineRule="auto"/>
        <w:ind w:firstLine="420" w:firstLineChars="200"/>
        <w:rPr>
          <w:rFonts w:ascii="仿宋" w:hAnsi="仿宋" w:eastAsia="仿宋"/>
          <w:szCs w:val="21"/>
        </w:rPr>
      </w:pPr>
      <w:r>
        <w:rPr>
          <w:rFonts w:ascii="仿宋" w:hAnsi="仿宋" w:eastAsia="仿宋"/>
          <w:szCs w:val="21"/>
        </w:rPr>
        <w:t>三、缺陷责任期</w:t>
      </w:r>
    </w:p>
    <w:p w14:paraId="009C9BD8">
      <w:pPr>
        <w:spacing w:line="360" w:lineRule="auto"/>
        <w:ind w:firstLine="420" w:firstLineChars="200"/>
        <w:rPr>
          <w:rFonts w:ascii="仿宋" w:hAnsi="仿宋" w:eastAsia="仿宋"/>
          <w:szCs w:val="21"/>
        </w:rPr>
      </w:pPr>
      <w:r>
        <w:rPr>
          <w:rFonts w:ascii="仿宋" w:hAnsi="仿宋" w:eastAsia="仿宋"/>
          <w:szCs w:val="21"/>
        </w:rPr>
        <w:t>工程缺陷责任期为</w:t>
      </w:r>
      <w:r>
        <w:rPr>
          <w:rFonts w:hint="eastAsia" w:ascii="仿宋" w:hAnsi="仿宋" w:eastAsia="仿宋"/>
          <w:szCs w:val="21"/>
          <w:u w:val="single"/>
        </w:rPr>
        <w:t>24</w:t>
      </w:r>
      <w:r>
        <w:rPr>
          <w:rFonts w:ascii="仿宋" w:hAnsi="仿宋" w:eastAsia="仿宋"/>
          <w:szCs w:val="21"/>
        </w:rPr>
        <w:t>个月，缺陷责任期自工程竣工验收合格之日起计算。单位工程先于全部工程进行验收，单位工程缺陷责任期自单位工程验收合格之日起算。</w:t>
      </w:r>
    </w:p>
    <w:p w14:paraId="07BA80FD">
      <w:pPr>
        <w:spacing w:line="360" w:lineRule="auto"/>
        <w:ind w:firstLine="420" w:firstLineChars="200"/>
        <w:rPr>
          <w:rFonts w:ascii="仿宋" w:hAnsi="仿宋" w:eastAsia="仿宋"/>
          <w:szCs w:val="21"/>
        </w:rPr>
      </w:pPr>
      <w:r>
        <w:rPr>
          <w:rFonts w:ascii="仿宋" w:hAnsi="仿宋" w:eastAsia="仿宋"/>
          <w:szCs w:val="21"/>
        </w:rPr>
        <w:t>缺陷责任期终止后，发包人应退还剩余的质量保证金。</w:t>
      </w:r>
    </w:p>
    <w:p w14:paraId="2B0BB1E5">
      <w:pPr>
        <w:spacing w:line="360" w:lineRule="auto"/>
        <w:rPr>
          <w:rFonts w:ascii="仿宋" w:hAnsi="仿宋" w:eastAsia="仿宋"/>
          <w:szCs w:val="21"/>
        </w:rPr>
      </w:pPr>
      <w:r>
        <w:rPr>
          <w:rFonts w:ascii="仿宋" w:hAnsi="仿宋" w:eastAsia="仿宋"/>
          <w:szCs w:val="21"/>
        </w:rPr>
        <w:t xml:space="preserve">    四、质量保修责任</w:t>
      </w:r>
    </w:p>
    <w:p w14:paraId="0A644A1B">
      <w:pPr>
        <w:spacing w:line="360" w:lineRule="auto"/>
        <w:ind w:left="105" w:leftChars="50" w:firstLine="430" w:firstLineChars="205"/>
        <w:rPr>
          <w:rFonts w:ascii="仿宋" w:hAnsi="仿宋" w:eastAsia="仿宋"/>
          <w:szCs w:val="21"/>
        </w:rPr>
      </w:pPr>
      <w:r>
        <w:rPr>
          <w:rFonts w:hint="eastAsia" w:ascii="仿宋" w:hAnsi="仿宋" w:eastAsia="仿宋"/>
          <w:szCs w:val="21"/>
        </w:rPr>
        <w:t>1．</w:t>
      </w:r>
      <w:r>
        <w:rPr>
          <w:rFonts w:ascii="仿宋" w:hAnsi="仿宋" w:eastAsia="仿宋"/>
          <w:szCs w:val="21"/>
        </w:rPr>
        <w:t>属于保修范围、内容的项目，承包人应当在接到保修通知之日起7天内派人保修。承包人不在约定期限内派人保修的，发包人可以委托他人修理。</w:t>
      </w:r>
    </w:p>
    <w:p w14:paraId="42B05253">
      <w:pPr>
        <w:spacing w:line="360" w:lineRule="auto"/>
        <w:ind w:left="105" w:leftChars="50" w:firstLine="430" w:firstLineChars="205"/>
        <w:rPr>
          <w:rFonts w:ascii="仿宋" w:hAnsi="仿宋" w:eastAsia="仿宋"/>
          <w:szCs w:val="21"/>
        </w:rPr>
      </w:pPr>
      <w:r>
        <w:rPr>
          <w:rFonts w:hint="eastAsia" w:ascii="仿宋" w:hAnsi="仿宋" w:eastAsia="仿宋"/>
          <w:szCs w:val="21"/>
        </w:rPr>
        <w:t>2．</w:t>
      </w:r>
      <w:r>
        <w:rPr>
          <w:rFonts w:ascii="仿宋" w:hAnsi="仿宋" w:eastAsia="仿宋"/>
          <w:szCs w:val="21"/>
        </w:rPr>
        <w:t>发生紧急事故需抢修的，承包人在接到事故通知后，应当立即到达事故现场抢修。</w:t>
      </w:r>
    </w:p>
    <w:p w14:paraId="6709AD5E">
      <w:pPr>
        <w:spacing w:line="360" w:lineRule="auto"/>
        <w:ind w:left="105" w:leftChars="50" w:firstLine="430" w:firstLineChars="205"/>
        <w:rPr>
          <w:rFonts w:ascii="仿宋" w:hAnsi="仿宋" w:eastAsia="仿宋"/>
          <w:szCs w:val="21"/>
        </w:rPr>
      </w:pPr>
      <w:r>
        <w:rPr>
          <w:rFonts w:hint="eastAsia" w:ascii="仿宋" w:hAnsi="仿宋" w:eastAsia="仿宋"/>
          <w:szCs w:val="21"/>
        </w:rPr>
        <w:t>3．</w:t>
      </w:r>
      <w:r>
        <w:rPr>
          <w:rFonts w:ascii="仿宋" w:hAnsi="仿宋" w:eastAsia="仿宋"/>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64AE332">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质量保修完成后，由发包人组织验收。</w:t>
      </w:r>
    </w:p>
    <w:p w14:paraId="106DCE20">
      <w:pPr>
        <w:spacing w:line="360" w:lineRule="auto"/>
        <w:rPr>
          <w:rFonts w:ascii="仿宋" w:hAnsi="仿宋" w:eastAsia="仿宋"/>
          <w:szCs w:val="21"/>
        </w:rPr>
      </w:pPr>
      <w:r>
        <w:rPr>
          <w:rFonts w:ascii="仿宋" w:hAnsi="仿宋" w:eastAsia="仿宋"/>
          <w:szCs w:val="21"/>
        </w:rPr>
        <w:t>　　五、保修费用</w:t>
      </w:r>
    </w:p>
    <w:p w14:paraId="4C375B74">
      <w:pPr>
        <w:spacing w:line="360" w:lineRule="auto"/>
        <w:rPr>
          <w:rFonts w:ascii="仿宋" w:hAnsi="仿宋" w:eastAsia="仿宋"/>
          <w:szCs w:val="21"/>
        </w:rPr>
      </w:pPr>
      <w:r>
        <w:rPr>
          <w:rFonts w:ascii="仿宋" w:hAnsi="仿宋" w:eastAsia="仿宋"/>
          <w:szCs w:val="21"/>
        </w:rPr>
        <w:t>　　保修费用由造成质量缺陷的责任方承担。</w:t>
      </w:r>
    </w:p>
    <w:p w14:paraId="0EB96E03">
      <w:pPr>
        <w:spacing w:line="360" w:lineRule="auto"/>
        <w:ind w:firstLine="420" w:firstLineChars="200"/>
        <w:jc w:val="left"/>
        <w:rPr>
          <w:rFonts w:ascii="仿宋" w:hAnsi="仿宋" w:eastAsia="仿宋"/>
          <w:szCs w:val="21"/>
        </w:rPr>
      </w:pPr>
      <w:r>
        <w:rPr>
          <w:rFonts w:ascii="仿宋" w:hAnsi="仿宋" w:eastAsia="仿宋"/>
          <w:szCs w:val="21"/>
        </w:rPr>
        <w:t>六、双方约定的其他工程质量保修事项：</w:t>
      </w:r>
      <w:r>
        <w:rPr>
          <w:rFonts w:hint="eastAsia" w:ascii="仿宋" w:hAnsi="仿宋" w:eastAsia="仿宋"/>
          <w:szCs w:val="21"/>
          <w:u w:val="single"/>
        </w:rPr>
        <w:t>/</w:t>
      </w:r>
      <w:r>
        <w:rPr>
          <w:rFonts w:ascii="仿宋" w:hAnsi="仿宋" w:eastAsia="仿宋"/>
          <w:szCs w:val="21"/>
        </w:rPr>
        <w:t>。</w:t>
      </w:r>
    </w:p>
    <w:p w14:paraId="04A291FA">
      <w:pPr>
        <w:spacing w:line="360" w:lineRule="auto"/>
        <w:ind w:firstLine="399" w:firstLineChars="190"/>
        <w:rPr>
          <w:rFonts w:ascii="仿宋" w:hAnsi="仿宋" w:eastAsia="仿宋"/>
          <w:szCs w:val="21"/>
        </w:rPr>
      </w:pPr>
      <w:r>
        <w:rPr>
          <w:rFonts w:ascii="仿宋" w:hAnsi="仿宋" w:eastAsia="仿宋"/>
          <w:szCs w:val="21"/>
        </w:rPr>
        <w:t>工程质量保修书由发包人、承包人在工程竣工验收前共同签署，作为施工合同附件，其有效期限至保修期满。</w:t>
      </w:r>
    </w:p>
    <w:p w14:paraId="149F7362">
      <w:pPr>
        <w:spacing w:line="360" w:lineRule="auto"/>
        <w:rPr>
          <w:rFonts w:ascii="仿宋" w:hAnsi="仿宋" w:eastAsia="仿宋"/>
          <w:szCs w:val="21"/>
        </w:rPr>
      </w:pPr>
    </w:p>
    <w:p w14:paraId="75E03F1E">
      <w:pPr>
        <w:spacing w:line="360" w:lineRule="auto"/>
        <w:rPr>
          <w:rFonts w:ascii="仿宋" w:hAnsi="仿宋" w:eastAsia="仿宋"/>
          <w:szCs w:val="21"/>
        </w:rPr>
      </w:pPr>
    </w:p>
    <w:p w14:paraId="7080BD7B">
      <w:pPr>
        <w:spacing w:line="360" w:lineRule="auto"/>
        <w:rPr>
          <w:rFonts w:ascii="仿宋" w:hAnsi="仿宋" w:eastAsia="仿宋"/>
          <w:szCs w:val="21"/>
        </w:rPr>
      </w:pPr>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2BD56A96">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294B6575">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72199926">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6FE7F085">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06BBBE16">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212C1631">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58CBEB1A">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3CA5A261">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7E30A0F5">
      <w:pPr>
        <w:spacing w:before="156" w:beforeLines="50" w:after="156" w:afterLines="50" w:line="360" w:lineRule="auto"/>
        <w:jc w:val="left"/>
        <w:rPr>
          <w:rFonts w:ascii="仿宋" w:hAnsi="仿宋" w:eastAsia="仿宋"/>
          <w:b/>
          <w:szCs w:val="21"/>
        </w:rPr>
      </w:pPr>
    </w:p>
    <w:p w14:paraId="1A2A5C52">
      <w:pPr>
        <w:spacing w:before="156" w:beforeLines="50" w:after="156" w:afterLines="50" w:line="360" w:lineRule="auto"/>
        <w:jc w:val="left"/>
        <w:rPr>
          <w:rFonts w:ascii="仿宋" w:hAnsi="仿宋" w:eastAsia="仿宋"/>
          <w:szCs w:val="21"/>
        </w:rPr>
      </w:pPr>
      <w:r>
        <w:rPr>
          <w:rFonts w:hint="eastAsia" w:ascii="仿宋" w:hAnsi="仿宋" w:eastAsia="仿宋"/>
          <w:szCs w:val="21"/>
        </w:rPr>
        <w:t>附件2：廉政责任书格式</w:t>
      </w:r>
    </w:p>
    <w:p w14:paraId="08781133">
      <w:pPr>
        <w:spacing w:before="156" w:beforeLines="50" w:after="156" w:afterLines="50" w:line="360" w:lineRule="auto"/>
        <w:jc w:val="center"/>
        <w:rPr>
          <w:rFonts w:ascii="仿宋" w:hAnsi="仿宋" w:eastAsia="仿宋"/>
          <w:szCs w:val="21"/>
        </w:rPr>
      </w:pPr>
      <w:r>
        <w:rPr>
          <w:rFonts w:hint="eastAsia" w:ascii="仿宋" w:hAnsi="仿宋" w:eastAsia="仿宋"/>
          <w:szCs w:val="21"/>
        </w:rPr>
        <w:t>建设工程廉政责任书</w:t>
      </w:r>
    </w:p>
    <w:p w14:paraId="3C220F93">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发包人：</w:t>
      </w:r>
    </w:p>
    <w:p w14:paraId="07EA66E7">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承包人：</w:t>
      </w:r>
    </w:p>
    <w:p w14:paraId="58A71F1A">
      <w:pPr>
        <w:spacing w:line="360" w:lineRule="auto"/>
        <w:ind w:firstLine="420" w:firstLineChars="200"/>
        <w:rPr>
          <w:rFonts w:ascii="仿宋" w:hAnsi="仿宋" w:eastAsia="仿宋"/>
          <w:szCs w:val="21"/>
        </w:rPr>
      </w:pPr>
      <w:r>
        <w:rPr>
          <w:rFonts w:hint="eastAsia" w:ascii="仿宋" w:hAnsi="仿宋" w:eastAsia="仿宋"/>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3945A4E">
      <w:pPr>
        <w:spacing w:line="360" w:lineRule="auto"/>
        <w:ind w:firstLine="420" w:firstLineChars="200"/>
        <w:rPr>
          <w:rFonts w:ascii="仿宋" w:hAnsi="仿宋" w:eastAsia="仿宋"/>
          <w:szCs w:val="21"/>
        </w:rPr>
      </w:pPr>
      <w:r>
        <w:rPr>
          <w:rFonts w:hint="eastAsia" w:ascii="仿宋" w:hAnsi="仿宋" w:eastAsia="仿宋"/>
          <w:szCs w:val="21"/>
        </w:rPr>
        <w:t>一、双方的责任</w:t>
      </w:r>
    </w:p>
    <w:p w14:paraId="27B57AD7">
      <w:pPr>
        <w:spacing w:line="360" w:lineRule="auto"/>
        <w:ind w:firstLine="420" w:firstLineChars="200"/>
        <w:rPr>
          <w:rFonts w:ascii="仿宋" w:hAnsi="仿宋" w:eastAsia="仿宋"/>
          <w:szCs w:val="21"/>
        </w:rPr>
      </w:pPr>
      <w:r>
        <w:rPr>
          <w:rFonts w:hint="eastAsia" w:ascii="仿宋" w:hAnsi="仿宋" w:eastAsia="仿宋"/>
          <w:szCs w:val="21"/>
        </w:rPr>
        <w:t>1.1应严格遵守国家关于建设工程的有关法律、法规，相关政策，以及廉政建设的各项规定。</w:t>
      </w:r>
    </w:p>
    <w:p w14:paraId="5DBA53A9">
      <w:pPr>
        <w:spacing w:line="360" w:lineRule="auto"/>
        <w:ind w:firstLine="420" w:firstLineChars="200"/>
        <w:rPr>
          <w:rFonts w:ascii="仿宋" w:hAnsi="仿宋" w:eastAsia="仿宋"/>
          <w:szCs w:val="21"/>
        </w:rPr>
      </w:pPr>
      <w:r>
        <w:rPr>
          <w:rFonts w:hint="eastAsia" w:ascii="仿宋" w:hAnsi="仿宋" w:eastAsia="仿宋"/>
          <w:szCs w:val="21"/>
        </w:rPr>
        <w:t>1.2严格执行建设工程合同文件，自觉按合同办事。</w:t>
      </w:r>
    </w:p>
    <w:p w14:paraId="21318EB9">
      <w:pPr>
        <w:spacing w:line="360" w:lineRule="auto"/>
        <w:ind w:firstLine="420" w:firstLineChars="200"/>
        <w:rPr>
          <w:rFonts w:ascii="仿宋" w:hAnsi="仿宋" w:eastAsia="仿宋"/>
          <w:szCs w:val="21"/>
        </w:rPr>
      </w:pPr>
      <w:r>
        <w:rPr>
          <w:rFonts w:hint="eastAsia" w:ascii="仿宋" w:hAnsi="仿宋" w:eastAsia="仿宋"/>
          <w:szCs w:val="21"/>
        </w:rPr>
        <w:t>1.3各项活动必须坚持公开、公平、公正、诚信、透明的原则(除法律法规另有规定者外)，不得为获取不正当的利益，损害国家、集体和对方利益，不得违反建设工程管理的规章制度。</w:t>
      </w:r>
    </w:p>
    <w:p w14:paraId="5FC76E59">
      <w:pPr>
        <w:spacing w:line="360" w:lineRule="auto"/>
        <w:ind w:firstLine="420" w:firstLineChars="200"/>
        <w:rPr>
          <w:rFonts w:ascii="仿宋" w:hAnsi="仿宋" w:eastAsia="仿宋"/>
          <w:szCs w:val="21"/>
        </w:rPr>
      </w:pPr>
      <w:r>
        <w:rPr>
          <w:rFonts w:hint="eastAsia" w:ascii="仿宋" w:hAnsi="仿宋" w:eastAsia="仿宋"/>
          <w:szCs w:val="21"/>
        </w:rPr>
        <w:t>1.4发现对方在业务活动中有违规、违纪、违法行为的，应及时提醒对方，情节严重的，应向其上级主管部门或纪检监察、司法等有关机关举报。</w:t>
      </w:r>
    </w:p>
    <w:p w14:paraId="391EDD7A">
      <w:pPr>
        <w:spacing w:line="360" w:lineRule="auto"/>
        <w:ind w:firstLine="420" w:firstLineChars="200"/>
        <w:rPr>
          <w:rFonts w:ascii="仿宋" w:hAnsi="仿宋" w:eastAsia="仿宋"/>
          <w:szCs w:val="21"/>
        </w:rPr>
      </w:pPr>
      <w:r>
        <w:rPr>
          <w:rFonts w:hint="eastAsia" w:ascii="仿宋" w:hAnsi="仿宋" w:eastAsia="仿宋"/>
          <w:szCs w:val="21"/>
        </w:rPr>
        <w:t>二、发包人责任</w:t>
      </w:r>
    </w:p>
    <w:p w14:paraId="6008F8FE">
      <w:pPr>
        <w:spacing w:line="360" w:lineRule="auto"/>
        <w:ind w:firstLine="420" w:firstLineChars="200"/>
        <w:rPr>
          <w:rFonts w:ascii="仿宋" w:hAnsi="仿宋" w:eastAsia="仿宋"/>
          <w:szCs w:val="21"/>
        </w:rPr>
      </w:pPr>
      <w:r>
        <w:rPr>
          <w:rFonts w:hint="eastAsia" w:ascii="仿宋" w:hAnsi="仿宋" w:eastAsia="仿宋"/>
          <w:szCs w:val="21"/>
        </w:rPr>
        <w:t>发包人的领导和从事该建设工程项目的工作人员，在工程建设的事前、事中、事后应遵守以下规定：</w:t>
      </w:r>
    </w:p>
    <w:p w14:paraId="61F506CC">
      <w:pPr>
        <w:spacing w:line="360" w:lineRule="auto"/>
        <w:ind w:firstLine="420" w:firstLineChars="200"/>
        <w:rPr>
          <w:rFonts w:ascii="仿宋" w:hAnsi="仿宋" w:eastAsia="仿宋"/>
          <w:szCs w:val="21"/>
        </w:rPr>
      </w:pPr>
      <w:r>
        <w:rPr>
          <w:rFonts w:hint="eastAsia" w:ascii="仿宋" w:hAnsi="仿宋" w:eastAsia="仿宋"/>
          <w:szCs w:val="21"/>
        </w:rPr>
        <w:t>2.1不得向承包人和相关单位索要或接受回扣、礼金、有价证券、贵重物品和好处费、感谢费等。</w:t>
      </w:r>
    </w:p>
    <w:p w14:paraId="290280A9">
      <w:pPr>
        <w:spacing w:line="360" w:lineRule="auto"/>
        <w:ind w:firstLine="420" w:firstLineChars="200"/>
        <w:rPr>
          <w:rFonts w:ascii="仿宋" w:hAnsi="仿宋" w:eastAsia="仿宋"/>
          <w:szCs w:val="21"/>
        </w:rPr>
      </w:pPr>
      <w:r>
        <w:rPr>
          <w:rFonts w:hint="eastAsia" w:ascii="仿宋" w:hAnsi="仿宋" w:eastAsia="仿宋"/>
          <w:szCs w:val="21"/>
        </w:rPr>
        <w:t>2.2不得在承包人和相关单位报销任何应由发包人或个人支付的费用。</w:t>
      </w:r>
    </w:p>
    <w:p w14:paraId="6A4FE05C">
      <w:pPr>
        <w:spacing w:line="360" w:lineRule="auto"/>
        <w:ind w:firstLine="420" w:firstLineChars="200"/>
        <w:rPr>
          <w:rFonts w:ascii="仿宋" w:hAnsi="仿宋" w:eastAsia="仿宋"/>
          <w:szCs w:val="21"/>
        </w:rPr>
      </w:pPr>
      <w:r>
        <w:rPr>
          <w:rFonts w:hint="eastAsia" w:ascii="仿宋" w:hAnsi="仿宋" w:eastAsia="仿宋"/>
          <w:szCs w:val="21"/>
        </w:rPr>
        <w:t>2.3不得要求、暗示或接受承包人和相关单位为个人装修住房、婚丧嫁娶、配偶子女的工作安排以及出国(境)、旅游等提供方便。</w:t>
      </w:r>
    </w:p>
    <w:p w14:paraId="70404257">
      <w:pPr>
        <w:spacing w:line="360" w:lineRule="auto"/>
        <w:ind w:firstLine="420" w:firstLineChars="200"/>
        <w:rPr>
          <w:rFonts w:ascii="仿宋" w:hAnsi="仿宋" w:eastAsia="仿宋"/>
          <w:szCs w:val="21"/>
        </w:rPr>
      </w:pPr>
      <w:r>
        <w:rPr>
          <w:rFonts w:hint="eastAsia" w:ascii="仿宋" w:hAnsi="仿宋" w:eastAsia="仿宋"/>
          <w:szCs w:val="21"/>
        </w:rPr>
        <w:t>2.4不得参加有可能影响公正执行公务的承包人和相关单位的宴请、健身、娱乐等活动。</w:t>
      </w:r>
    </w:p>
    <w:p w14:paraId="04643384">
      <w:pPr>
        <w:spacing w:line="360" w:lineRule="auto"/>
        <w:ind w:firstLine="420" w:firstLineChars="200"/>
        <w:rPr>
          <w:rFonts w:ascii="仿宋" w:hAnsi="仿宋" w:eastAsia="仿宋"/>
          <w:szCs w:val="21"/>
        </w:rPr>
      </w:pPr>
      <w:r>
        <w:rPr>
          <w:rFonts w:hint="eastAsia" w:ascii="仿宋" w:hAnsi="仿宋" w:eastAsia="仿宋"/>
          <w:szCs w:val="21"/>
        </w:rPr>
        <w:t>2.5不得向承包人和相关单位介绍或为配偶、子女、亲属参与同发包人工程建设管理合同有关的业务活动；不得以任何理由要求承包人和相关单位使用某种产品、材料和设备。</w:t>
      </w:r>
    </w:p>
    <w:p w14:paraId="7DAA93A2">
      <w:pPr>
        <w:spacing w:line="360" w:lineRule="auto"/>
        <w:ind w:firstLine="420" w:firstLineChars="200"/>
        <w:rPr>
          <w:rFonts w:ascii="仿宋" w:hAnsi="仿宋" w:eastAsia="仿宋"/>
          <w:szCs w:val="21"/>
        </w:rPr>
      </w:pPr>
      <w:r>
        <w:rPr>
          <w:rFonts w:hint="eastAsia" w:ascii="仿宋" w:hAnsi="仿宋" w:eastAsia="仿宋"/>
          <w:szCs w:val="21"/>
        </w:rPr>
        <w:t>三、承包人责任</w:t>
      </w:r>
    </w:p>
    <w:p w14:paraId="5CF81D5B">
      <w:pPr>
        <w:spacing w:line="360" w:lineRule="auto"/>
        <w:ind w:firstLine="420" w:firstLineChars="200"/>
        <w:rPr>
          <w:rFonts w:ascii="仿宋" w:hAnsi="仿宋" w:eastAsia="仿宋"/>
          <w:szCs w:val="21"/>
        </w:rPr>
      </w:pPr>
      <w:r>
        <w:rPr>
          <w:rFonts w:hint="eastAsia" w:ascii="仿宋" w:hAnsi="仿宋" w:eastAsia="仿宋"/>
          <w:szCs w:val="21"/>
        </w:rPr>
        <w:t>应与发包人保持正常的业务交往，按照有关法律法规和程序开展业务工作，严格执行工程建设的有关方针、政策，执行工程建设强制性标准，并遵守以下规定：</w:t>
      </w:r>
    </w:p>
    <w:p w14:paraId="61FA31A8">
      <w:pPr>
        <w:spacing w:line="360" w:lineRule="auto"/>
        <w:ind w:firstLine="420" w:firstLineChars="200"/>
        <w:rPr>
          <w:rFonts w:ascii="仿宋" w:hAnsi="仿宋" w:eastAsia="仿宋"/>
          <w:szCs w:val="21"/>
        </w:rPr>
      </w:pPr>
      <w:r>
        <w:rPr>
          <w:rFonts w:hint="eastAsia" w:ascii="仿宋" w:hAnsi="仿宋" w:eastAsia="仿宋"/>
          <w:szCs w:val="21"/>
        </w:rPr>
        <w:t>3.1不得以任何理由向发包人及其工作人员索要、接受或赠送礼金、有价证券、贵重物品及回扣、好处费、感谢费等。</w:t>
      </w:r>
    </w:p>
    <w:p w14:paraId="3866A631">
      <w:pPr>
        <w:spacing w:line="360" w:lineRule="auto"/>
        <w:ind w:firstLine="420" w:firstLineChars="200"/>
        <w:rPr>
          <w:rFonts w:ascii="仿宋" w:hAnsi="仿宋" w:eastAsia="仿宋"/>
          <w:szCs w:val="21"/>
        </w:rPr>
      </w:pPr>
      <w:r>
        <w:rPr>
          <w:rFonts w:hint="eastAsia" w:ascii="仿宋" w:hAnsi="仿宋" w:eastAsia="仿宋"/>
          <w:szCs w:val="21"/>
        </w:rPr>
        <w:t>3.2不得以任何理由为发包人和相关单位报销应由对方或个人支付的费用。</w:t>
      </w:r>
    </w:p>
    <w:p w14:paraId="404CC29B">
      <w:pPr>
        <w:spacing w:line="360" w:lineRule="auto"/>
        <w:ind w:firstLine="420" w:firstLineChars="200"/>
        <w:rPr>
          <w:rFonts w:ascii="仿宋" w:hAnsi="仿宋" w:eastAsia="仿宋"/>
          <w:szCs w:val="21"/>
        </w:rPr>
      </w:pPr>
      <w:r>
        <w:rPr>
          <w:rFonts w:hint="eastAsia" w:ascii="仿宋" w:hAnsi="仿宋" w:eastAsia="仿宋"/>
          <w:szCs w:val="21"/>
        </w:rPr>
        <w:t>3.3不得接受或暗示为发包人、相关单位或个人装修住房、婚丧嫁娶、配偶子女的工作安排以及出国(境)、旅游等提供方便。</w:t>
      </w:r>
    </w:p>
    <w:p w14:paraId="32BAA8D6">
      <w:pPr>
        <w:spacing w:line="360" w:lineRule="auto"/>
        <w:ind w:firstLine="420" w:firstLineChars="200"/>
        <w:rPr>
          <w:rFonts w:ascii="仿宋" w:hAnsi="仿宋" w:eastAsia="仿宋"/>
          <w:szCs w:val="21"/>
        </w:rPr>
      </w:pPr>
      <w:r>
        <w:rPr>
          <w:rFonts w:hint="eastAsia" w:ascii="仿宋" w:hAnsi="仿宋" w:eastAsia="仿宋"/>
          <w:szCs w:val="21"/>
        </w:rPr>
        <w:t>3.4不得以任何理由为发包人、相关单位或个人组织有可能影响公正执行公务的宴请、健身、娱乐等活动。</w:t>
      </w:r>
    </w:p>
    <w:p w14:paraId="2D8BFE35">
      <w:pPr>
        <w:spacing w:line="360" w:lineRule="auto"/>
        <w:ind w:firstLine="420" w:firstLineChars="200"/>
        <w:rPr>
          <w:rFonts w:ascii="仿宋" w:hAnsi="仿宋" w:eastAsia="仿宋"/>
          <w:szCs w:val="21"/>
        </w:rPr>
      </w:pPr>
      <w:r>
        <w:rPr>
          <w:rFonts w:hint="eastAsia" w:ascii="仿宋" w:hAnsi="仿宋" w:eastAsia="仿宋"/>
          <w:szCs w:val="21"/>
        </w:rPr>
        <w:t>四、违约责任</w:t>
      </w:r>
    </w:p>
    <w:p w14:paraId="078D0337">
      <w:pPr>
        <w:spacing w:line="360" w:lineRule="auto"/>
        <w:ind w:firstLine="420" w:firstLineChars="200"/>
        <w:rPr>
          <w:rFonts w:ascii="仿宋" w:hAnsi="仿宋" w:eastAsia="仿宋"/>
          <w:szCs w:val="21"/>
        </w:rPr>
      </w:pPr>
      <w:r>
        <w:rPr>
          <w:rFonts w:hint="eastAsia" w:ascii="仿宋" w:hAnsi="仿宋" w:eastAsia="仿宋"/>
          <w:szCs w:val="21"/>
        </w:rPr>
        <w:t>4.1发包人工作人员有违反本责任书第一、二条责任行为的，依据有关法律、法规给予处理；涉嫌犯罪的，移交司法机关追究刑事责任；给承包人单位造成经济损失的，应予以赔偿。</w:t>
      </w:r>
    </w:p>
    <w:p w14:paraId="18529592">
      <w:pPr>
        <w:spacing w:line="360" w:lineRule="auto"/>
        <w:ind w:firstLine="420" w:firstLineChars="200"/>
        <w:rPr>
          <w:rFonts w:ascii="仿宋" w:hAnsi="仿宋" w:eastAsia="仿宋"/>
          <w:szCs w:val="21"/>
        </w:rPr>
      </w:pPr>
      <w:r>
        <w:rPr>
          <w:rFonts w:hint="eastAsia" w:ascii="仿宋" w:hAnsi="仿宋" w:eastAsia="仿宋"/>
          <w:szCs w:val="21"/>
        </w:rPr>
        <w:t>4.2承包人工作人员有违反本责任书第一、三条责任行为的，依据有关法律法规处理；涉嫌犯罪的，移交司法机关追究刑事责任；给发包人单位造成经济损失的，应予以赔偿。</w:t>
      </w:r>
    </w:p>
    <w:p w14:paraId="6DE0E261">
      <w:pPr>
        <w:spacing w:line="360" w:lineRule="auto"/>
        <w:ind w:firstLine="420" w:firstLineChars="200"/>
        <w:rPr>
          <w:rFonts w:ascii="仿宋" w:hAnsi="仿宋" w:eastAsia="仿宋"/>
          <w:szCs w:val="21"/>
        </w:rPr>
      </w:pPr>
      <w:r>
        <w:rPr>
          <w:rFonts w:hint="eastAsia" w:ascii="仿宋" w:hAnsi="仿宋" w:eastAsia="仿宋"/>
          <w:szCs w:val="21"/>
        </w:rPr>
        <w:t>4.3本责任书作为建设工程合同的组成部分，与建设工程合同具有同等法律效力。经双方签署后立即生效。</w:t>
      </w:r>
    </w:p>
    <w:p w14:paraId="360B435D">
      <w:pPr>
        <w:spacing w:line="360" w:lineRule="auto"/>
        <w:ind w:firstLine="420" w:firstLineChars="200"/>
        <w:rPr>
          <w:rFonts w:ascii="仿宋" w:hAnsi="仿宋" w:eastAsia="仿宋"/>
          <w:szCs w:val="21"/>
        </w:rPr>
      </w:pPr>
      <w:r>
        <w:rPr>
          <w:rFonts w:hint="eastAsia" w:ascii="仿宋" w:hAnsi="仿宋" w:eastAsia="仿宋"/>
          <w:szCs w:val="21"/>
        </w:rPr>
        <w:t>五、责任书有效期</w:t>
      </w:r>
    </w:p>
    <w:p w14:paraId="1923F817">
      <w:pPr>
        <w:spacing w:line="360" w:lineRule="auto"/>
        <w:ind w:firstLine="420" w:firstLineChars="200"/>
        <w:rPr>
          <w:rFonts w:ascii="仿宋" w:hAnsi="仿宋" w:eastAsia="仿宋"/>
          <w:szCs w:val="21"/>
        </w:rPr>
      </w:pPr>
      <w:r>
        <w:rPr>
          <w:rFonts w:hint="eastAsia" w:ascii="仿宋" w:hAnsi="仿宋" w:eastAsia="仿宋"/>
          <w:szCs w:val="21"/>
        </w:rPr>
        <w:t>本责任书的有效期为双方签署之日起至该工程项目竣工验收合格时止。</w:t>
      </w:r>
    </w:p>
    <w:p w14:paraId="4BBF61D7">
      <w:pPr>
        <w:spacing w:line="360" w:lineRule="auto"/>
        <w:ind w:firstLine="420" w:firstLineChars="200"/>
        <w:rPr>
          <w:rFonts w:ascii="仿宋" w:hAnsi="仿宋" w:eastAsia="仿宋"/>
          <w:szCs w:val="21"/>
        </w:rPr>
      </w:pPr>
      <w:r>
        <w:rPr>
          <w:rFonts w:hint="eastAsia" w:ascii="仿宋" w:hAnsi="仿宋" w:eastAsia="仿宋"/>
          <w:szCs w:val="21"/>
        </w:rPr>
        <w:t>六、责任书份数</w:t>
      </w:r>
    </w:p>
    <w:p w14:paraId="58812E7C">
      <w:pPr>
        <w:spacing w:line="360" w:lineRule="auto"/>
        <w:ind w:firstLine="420" w:firstLineChars="200"/>
        <w:rPr>
          <w:rFonts w:ascii="仿宋" w:hAnsi="仿宋" w:eastAsia="仿宋"/>
          <w:szCs w:val="21"/>
        </w:rPr>
      </w:pPr>
      <w:r>
        <w:rPr>
          <w:rFonts w:hint="eastAsia" w:ascii="仿宋" w:hAnsi="仿宋" w:eastAsia="仿宋"/>
          <w:szCs w:val="21"/>
        </w:rPr>
        <w:t>本责任书一式二份，发包人承包人各执一份，具有同等效力。</w:t>
      </w:r>
    </w:p>
    <w:p w14:paraId="0A6197CD">
      <w:pPr>
        <w:spacing w:line="360" w:lineRule="auto"/>
        <w:ind w:firstLine="420" w:firstLineChars="200"/>
        <w:rPr>
          <w:rFonts w:ascii="仿宋" w:hAnsi="仿宋" w:eastAsia="仿宋"/>
          <w:szCs w:val="21"/>
        </w:rPr>
      </w:pPr>
    </w:p>
    <w:p w14:paraId="44E69279">
      <w:pPr>
        <w:spacing w:line="360" w:lineRule="auto"/>
        <w:rPr>
          <w:rFonts w:ascii="仿宋" w:hAnsi="仿宋" w:eastAsia="仿宋"/>
          <w:szCs w:val="21"/>
        </w:rPr>
      </w:pPr>
      <w:bookmarkStart w:id="573" w:name="_Toc364679594"/>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0E6C654C">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7770C9D0">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477DE05C">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1481577E">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402E9608">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4B08DEC3">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319FC47F">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202DA210">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02B90CDC">
      <w:pPr>
        <w:spacing w:line="360" w:lineRule="auto"/>
        <w:rPr>
          <w:rFonts w:hint="eastAsia" w:ascii="仿宋" w:hAnsi="仿宋" w:eastAsia="仿宋"/>
          <w:szCs w:val="21"/>
          <w:lang w:val="en-US" w:eastAsia="zh-CN"/>
        </w:rPr>
      </w:pPr>
    </w:p>
    <w:p w14:paraId="42952709">
      <w:pPr>
        <w:spacing w:line="360" w:lineRule="auto"/>
        <w:rPr>
          <w:rFonts w:hint="eastAsia" w:ascii="仿宋" w:hAnsi="仿宋" w:eastAsia="仿宋"/>
          <w:szCs w:val="21"/>
          <w:lang w:val="en-US" w:eastAsia="zh-CN"/>
        </w:rPr>
      </w:pPr>
    </w:p>
    <w:p w14:paraId="1C80B60C">
      <w:pPr>
        <w:spacing w:line="360" w:lineRule="auto"/>
        <w:rPr>
          <w:rFonts w:hint="default" w:ascii="仿宋" w:hAnsi="仿宋" w:eastAsia="仿宋"/>
          <w:szCs w:val="21"/>
          <w:lang w:val="en-US" w:eastAsia="zh-CN"/>
        </w:rPr>
      </w:pPr>
    </w:p>
    <w:p w14:paraId="51940C2E">
      <w:pPr>
        <w:spacing w:before="156" w:beforeLines="50" w:after="156" w:afterLines="50" w:line="360" w:lineRule="auto"/>
        <w:jc w:val="left"/>
        <w:rPr>
          <w:rFonts w:ascii="仿宋" w:hAnsi="仿宋" w:eastAsia="仿宋"/>
          <w:szCs w:val="21"/>
        </w:rPr>
      </w:pPr>
      <w:r>
        <w:rPr>
          <w:rFonts w:hint="eastAsia" w:ascii="仿宋" w:hAnsi="仿宋" w:eastAsia="仿宋"/>
          <w:szCs w:val="21"/>
        </w:rPr>
        <w:br w:type="page"/>
      </w:r>
      <w:r>
        <w:rPr>
          <w:rFonts w:hint="eastAsia" w:ascii="仿宋" w:hAnsi="仿宋" w:eastAsia="仿宋"/>
          <w:szCs w:val="21"/>
        </w:rPr>
        <w:t>附件3：</w:t>
      </w:r>
      <w:bookmarkStart w:id="574" w:name="_Toc278396837"/>
      <w:bookmarkStart w:id="575" w:name="_Toc86473611"/>
      <w:bookmarkStart w:id="576" w:name="_Toc115066568"/>
      <w:r>
        <w:rPr>
          <w:rFonts w:hint="eastAsia" w:ascii="仿宋" w:hAnsi="仿宋" w:eastAsia="仿宋"/>
          <w:szCs w:val="21"/>
        </w:rPr>
        <w:t>安全生产责任协议书</w:t>
      </w:r>
      <w:bookmarkEnd w:id="574"/>
      <w:bookmarkEnd w:id="575"/>
      <w:bookmarkEnd w:id="576"/>
      <w:r>
        <w:rPr>
          <w:rFonts w:hint="eastAsia" w:ascii="仿宋" w:hAnsi="仿宋" w:eastAsia="仿宋"/>
          <w:szCs w:val="21"/>
        </w:rPr>
        <w:t>格式</w:t>
      </w:r>
      <w:bookmarkEnd w:id="573"/>
    </w:p>
    <w:p w14:paraId="603C3414">
      <w:pPr>
        <w:spacing w:before="156" w:beforeLines="50" w:after="156" w:afterLines="50" w:line="360" w:lineRule="auto"/>
        <w:jc w:val="center"/>
        <w:rPr>
          <w:rFonts w:ascii="仿宋" w:hAnsi="仿宋" w:eastAsia="仿宋"/>
          <w:szCs w:val="21"/>
        </w:rPr>
      </w:pPr>
      <w:bookmarkStart w:id="577" w:name="_Toc117653577"/>
      <w:bookmarkStart w:id="578" w:name="_Toc200006096"/>
      <w:bookmarkStart w:id="579" w:name="_Toc199216166"/>
      <w:bookmarkStart w:id="580" w:name="_Toc115066569"/>
      <w:bookmarkStart w:id="581" w:name="_Toc108513780"/>
      <w:bookmarkStart w:id="582" w:name="_Toc200005851"/>
      <w:bookmarkStart w:id="583" w:name="_Toc105820591"/>
      <w:bookmarkStart w:id="584" w:name="_Toc177194063"/>
      <w:r>
        <w:rPr>
          <w:rFonts w:hint="eastAsia" w:ascii="仿宋" w:hAnsi="仿宋" w:eastAsia="仿宋"/>
          <w:szCs w:val="21"/>
        </w:rPr>
        <w:t>安全生产责任协议书</w:t>
      </w:r>
    </w:p>
    <w:p w14:paraId="6FC4B1C2">
      <w:pPr>
        <w:snapToGrid w:val="0"/>
        <w:spacing w:line="360" w:lineRule="auto"/>
        <w:ind w:firstLine="482"/>
        <w:rPr>
          <w:rFonts w:ascii="仿宋" w:hAnsi="仿宋" w:eastAsia="仿宋"/>
          <w:szCs w:val="21"/>
        </w:rPr>
      </w:pPr>
      <w:r>
        <w:rPr>
          <w:rFonts w:ascii="仿宋" w:hAnsi="仿宋" w:eastAsia="仿宋"/>
          <w:szCs w:val="21"/>
        </w:rPr>
        <w:t>为落实安全生产的管理要求，确保工程建设的顺利进行，经甲乙双方共同协商，同意明确如下协议：</w:t>
      </w:r>
      <w:bookmarkEnd w:id="577"/>
      <w:bookmarkEnd w:id="578"/>
      <w:bookmarkEnd w:id="579"/>
      <w:bookmarkEnd w:id="580"/>
      <w:bookmarkEnd w:id="581"/>
      <w:bookmarkEnd w:id="582"/>
      <w:bookmarkEnd w:id="583"/>
      <w:bookmarkEnd w:id="584"/>
    </w:p>
    <w:p w14:paraId="1A65F372">
      <w:pPr>
        <w:snapToGrid w:val="0"/>
        <w:spacing w:line="360" w:lineRule="auto"/>
        <w:ind w:firstLine="482"/>
        <w:rPr>
          <w:rFonts w:ascii="仿宋" w:hAnsi="仿宋" w:eastAsia="仿宋"/>
          <w:szCs w:val="21"/>
        </w:rPr>
      </w:pPr>
      <w:r>
        <w:rPr>
          <w:rFonts w:ascii="仿宋" w:hAnsi="仿宋" w:eastAsia="仿宋"/>
          <w:szCs w:val="21"/>
        </w:rPr>
        <w:t>一、发包人在施工开始前向承包人提交必要的施工场地，明确承包人安全生产管理的责任区域和要求，承包人负责施工现场的安全管理工作，是施工现场安全管理的责任单位。承包人必须建立安全生产保证体系，其相关文件报发包人备案。</w:t>
      </w:r>
    </w:p>
    <w:p w14:paraId="552474D3">
      <w:pPr>
        <w:snapToGrid w:val="0"/>
        <w:spacing w:line="360" w:lineRule="auto"/>
        <w:ind w:firstLine="482"/>
        <w:rPr>
          <w:rFonts w:ascii="仿宋" w:hAnsi="仿宋" w:eastAsia="仿宋"/>
          <w:szCs w:val="21"/>
        </w:rPr>
      </w:pPr>
      <w:r>
        <w:rPr>
          <w:rFonts w:ascii="仿宋" w:hAnsi="仿宋" w:eastAsia="仿宋"/>
          <w:szCs w:val="21"/>
        </w:rPr>
        <w:t>二、发包人应积极组织和督促承包人开展安全达标活动</w:t>
      </w:r>
      <w:r>
        <w:rPr>
          <w:rFonts w:hint="eastAsia" w:ascii="仿宋" w:hAnsi="仿宋" w:eastAsia="仿宋"/>
          <w:szCs w:val="21"/>
        </w:rPr>
        <w:t>，</w:t>
      </w:r>
      <w:r>
        <w:rPr>
          <w:rFonts w:ascii="仿宋" w:hAnsi="仿宋" w:eastAsia="仿宋"/>
          <w:szCs w:val="21"/>
        </w:rPr>
        <w:t>及时传达和部署上级的有关安全生产精神和要求，定期听取承包人的意见和要求</w:t>
      </w:r>
      <w:r>
        <w:rPr>
          <w:rFonts w:hint="eastAsia" w:ascii="仿宋" w:hAnsi="仿宋" w:eastAsia="仿宋"/>
          <w:szCs w:val="21"/>
        </w:rPr>
        <w:t>，</w:t>
      </w:r>
      <w:r>
        <w:rPr>
          <w:rFonts w:ascii="仿宋" w:hAnsi="仿宋" w:eastAsia="仿宋"/>
          <w:szCs w:val="21"/>
        </w:rPr>
        <w:t>加强安全生产的指导和协调。</w:t>
      </w:r>
    </w:p>
    <w:p w14:paraId="72CE6E4C">
      <w:pPr>
        <w:snapToGrid w:val="0"/>
        <w:spacing w:line="360" w:lineRule="auto"/>
        <w:ind w:firstLine="482"/>
        <w:rPr>
          <w:rFonts w:ascii="仿宋" w:hAnsi="仿宋" w:eastAsia="仿宋"/>
          <w:szCs w:val="21"/>
        </w:rPr>
      </w:pPr>
      <w:r>
        <w:rPr>
          <w:rFonts w:ascii="仿宋" w:hAnsi="仿宋" w:eastAsia="仿宋"/>
          <w:szCs w:val="21"/>
        </w:rPr>
        <w:t>三、发包人负责组织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w:t>
      </w:r>
      <w:r>
        <w:rPr>
          <w:rFonts w:hint="eastAsia" w:ascii="仿宋" w:hAnsi="仿宋" w:eastAsia="仿宋"/>
          <w:szCs w:val="21"/>
        </w:rPr>
        <w:t>，</w:t>
      </w:r>
      <w:r>
        <w:rPr>
          <w:rFonts w:ascii="仿宋" w:hAnsi="仿宋" w:eastAsia="仿宋"/>
          <w:szCs w:val="21"/>
        </w:rPr>
        <w:t>对责任单位每次处罚500</w:t>
      </w:r>
      <w:r>
        <w:rPr>
          <w:rFonts w:hint="eastAsia" w:ascii="仿宋" w:hAnsi="仿宋" w:eastAsia="仿宋"/>
          <w:szCs w:val="21"/>
        </w:rPr>
        <w:t>至</w:t>
      </w:r>
      <w:r>
        <w:rPr>
          <w:rFonts w:ascii="仿宋" w:hAnsi="仿宋" w:eastAsia="仿宋"/>
          <w:szCs w:val="21"/>
        </w:rPr>
        <w:t>5000元</w:t>
      </w:r>
      <w:r>
        <w:rPr>
          <w:rFonts w:hint="eastAsia" w:ascii="仿宋" w:hAnsi="仿宋" w:eastAsia="仿宋"/>
          <w:szCs w:val="21"/>
        </w:rPr>
        <w:t>，</w:t>
      </w:r>
      <w:r>
        <w:rPr>
          <w:rFonts w:ascii="仿宋" w:hAnsi="仿宋" w:eastAsia="仿宋"/>
          <w:szCs w:val="21"/>
        </w:rPr>
        <w:t>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w:t>
      </w:r>
    </w:p>
    <w:p w14:paraId="052B6313">
      <w:pPr>
        <w:snapToGrid w:val="0"/>
        <w:spacing w:line="360" w:lineRule="auto"/>
        <w:ind w:firstLine="482"/>
        <w:rPr>
          <w:rFonts w:ascii="仿宋" w:hAnsi="仿宋" w:eastAsia="仿宋"/>
          <w:szCs w:val="21"/>
        </w:rPr>
      </w:pPr>
      <w:r>
        <w:rPr>
          <w:rFonts w:ascii="仿宋" w:hAnsi="仿宋" w:eastAsia="仿宋"/>
          <w:szCs w:val="21"/>
        </w:rPr>
        <w:t>四、凡工地内发生生产事故或重大人员伤亡的，发包人派员参与劳动行政部门、司法机关调查处理。发包人可按其造成的后果及影响，对责任单位以按责任违约给予一次性经济处理</w:t>
      </w:r>
      <w:r>
        <w:rPr>
          <w:rFonts w:hint="eastAsia" w:ascii="仿宋" w:hAnsi="仿宋" w:eastAsia="仿宋"/>
          <w:szCs w:val="21"/>
        </w:rPr>
        <w:t>，</w:t>
      </w:r>
      <w:r>
        <w:rPr>
          <w:rFonts w:ascii="仿宋" w:hAnsi="仿宋" w:eastAsia="仿宋"/>
          <w:szCs w:val="21"/>
        </w:rPr>
        <w:t>责任违约的经济处理按《发包工程安全抵押金实施细则》（见附件）扣除。事故造成的经济损失及因承包人责任给发包人造成的连带经济损失全部由承包人承担。</w:t>
      </w:r>
    </w:p>
    <w:p w14:paraId="1D8455A8">
      <w:pPr>
        <w:snapToGrid w:val="0"/>
        <w:spacing w:line="360" w:lineRule="auto"/>
        <w:ind w:firstLine="482"/>
        <w:rPr>
          <w:rFonts w:ascii="仿宋" w:hAnsi="仿宋" w:eastAsia="仿宋"/>
          <w:szCs w:val="21"/>
        </w:rPr>
      </w:pPr>
      <w:r>
        <w:rPr>
          <w:rFonts w:ascii="仿宋" w:hAnsi="仿宋" w:eastAsia="仿宋"/>
          <w:szCs w:val="21"/>
        </w:rPr>
        <w:t>五、承包人要严格贯彻执行国家和本市颁发的有关安全生产的法律、法规</w:t>
      </w:r>
      <w:r>
        <w:rPr>
          <w:rFonts w:hint="eastAsia" w:ascii="仿宋" w:hAnsi="仿宋" w:eastAsia="仿宋"/>
          <w:szCs w:val="21"/>
        </w:rPr>
        <w:t>，</w:t>
      </w:r>
      <w:r>
        <w:rPr>
          <w:rFonts w:ascii="仿宋" w:hAnsi="仿宋" w:eastAsia="仿宋"/>
          <w:szCs w:val="21"/>
        </w:rPr>
        <w:t>严格按照中华人民共和国建设部建标(99)79号“关于发布行业标准《建筑施工安全检查标准》的通知”(编号JGJ59——99)的要求加强内部安全管理，落实各项安全防护措施，确保工程建设中不发生重大伤亡事故。</w:t>
      </w:r>
    </w:p>
    <w:p w14:paraId="7C94F8D5">
      <w:pPr>
        <w:snapToGrid w:val="0"/>
        <w:spacing w:line="360" w:lineRule="auto"/>
        <w:ind w:firstLine="482"/>
        <w:rPr>
          <w:rFonts w:ascii="仿宋" w:hAnsi="仿宋" w:eastAsia="仿宋"/>
          <w:szCs w:val="21"/>
        </w:rPr>
      </w:pPr>
      <w:r>
        <w:rPr>
          <w:rFonts w:ascii="仿宋" w:hAnsi="仿宋" w:eastAsia="仿宋"/>
          <w:szCs w:val="21"/>
        </w:rPr>
        <w:t>六、承包人要按照安全作业规范针对本工程项目的特点、性质、规模以及施工现场条件编制施工组织设计和施工方案，制定和组织落实各项的施工安全技术措施，并向全体施工人员进行安全技术交底</w:t>
      </w:r>
      <w:r>
        <w:rPr>
          <w:rFonts w:hint="eastAsia" w:ascii="仿宋" w:hAnsi="仿宋" w:eastAsia="仿宋"/>
          <w:szCs w:val="21"/>
        </w:rPr>
        <w:t>，</w:t>
      </w:r>
      <w:r>
        <w:rPr>
          <w:rFonts w:ascii="仿宋" w:hAnsi="仿宋" w:eastAsia="仿宋"/>
          <w:szCs w:val="21"/>
        </w:rPr>
        <w:t>严格按照施工组织设计和有关安全要求施工</w:t>
      </w:r>
      <w:r>
        <w:rPr>
          <w:rFonts w:hint="eastAsia" w:ascii="仿宋" w:hAnsi="仿宋" w:eastAsia="仿宋"/>
          <w:szCs w:val="21"/>
        </w:rPr>
        <w:t>。</w:t>
      </w:r>
      <w:r>
        <w:rPr>
          <w:rFonts w:ascii="仿宋" w:hAnsi="仿宋" w:eastAsia="仿宋"/>
          <w:szCs w:val="21"/>
        </w:rPr>
        <w:t>深基坑开挖必须按科技委审查批准的方案实施。</w:t>
      </w:r>
    </w:p>
    <w:p w14:paraId="417997FA">
      <w:pPr>
        <w:snapToGrid w:val="0"/>
        <w:spacing w:line="360" w:lineRule="auto"/>
        <w:ind w:firstLine="482"/>
        <w:rPr>
          <w:rFonts w:ascii="仿宋" w:hAnsi="仿宋" w:eastAsia="仿宋"/>
          <w:szCs w:val="21"/>
        </w:rPr>
      </w:pPr>
      <w:r>
        <w:rPr>
          <w:rFonts w:ascii="仿宋" w:hAnsi="仿宋" w:eastAsia="仿宋"/>
          <w:szCs w:val="21"/>
        </w:rPr>
        <w:t>七、承包人进入工地后应明确落实施工现场安全生产第一责任人</w:t>
      </w:r>
      <w:r>
        <w:rPr>
          <w:rFonts w:hint="eastAsia" w:ascii="仿宋" w:hAnsi="仿宋" w:eastAsia="仿宋"/>
          <w:szCs w:val="21"/>
        </w:rPr>
        <w:t>，</w:t>
      </w:r>
      <w:r>
        <w:rPr>
          <w:rFonts w:ascii="仿宋" w:hAnsi="仿宋" w:eastAsia="仿宋"/>
          <w:szCs w:val="21"/>
        </w:rPr>
        <w:t>根据建设部办公厅2000年10号文件要求配置专职安全管理人员。即施工人员超过50人的工地必须配置专职安全管理人员；工程造价在1000万元以上的工地，必须配置2</w:t>
      </w:r>
      <w:r>
        <w:rPr>
          <w:rFonts w:hint="eastAsia" w:ascii="仿宋" w:hAnsi="仿宋" w:eastAsia="仿宋"/>
          <w:szCs w:val="21"/>
        </w:rPr>
        <w:t>至</w:t>
      </w:r>
      <w:r>
        <w:rPr>
          <w:rFonts w:ascii="仿宋" w:hAnsi="仿宋" w:eastAsia="仿宋"/>
          <w:szCs w:val="21"/>
        </w:rPr>
        <w:t>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w:t>
      </w:r>
      <w:r>
        <w:rPr>
          <w:rFonts w:hint="eastAsia" w:ascii="仿宋" w:hAnsi="仿宋" w:eastAsia="仿宋"/>
          <w:szCs w:val="21"/>
        </w:rPr>
        <w:t>，</w:t>
      </w:r>
      <w:r>
        <w:rPr>
          <w:rFonts w:ascii="仿宋" w:hAnsi="仿宋" w:eastAsia="仿宋"/>
          <w:szCs w:val="21"/>
        </w:rPr>
        <w:t>按照“谁施工谁负责”的原则，负责单位内部和施工责任区域的安全生产管理工作。</w:t>
      </w:r>
    </w:p>
    <w:p w14:paraId="4605F9C3">
      <w:pPr>
        <w:snapToGrid w:val="0"/>
        <w:spacing w:line="360" w:lineRule="auto"/>
        <w:ind w:firstLine="482"/>
        <w:rPr>
          <w:rFonts w:ascii="仿宋" w:hAnsi="仿宋" w:eastAsia="仿宋"/>
          <w:szCs w:val="21"/>
        </w:rPr>
      </w:pPr>
      <w:r>
        <w:rPr>
          <w:rFonts w:ascii="仿宋" w:hAnsi="仿宋" w:eastAsia="仿宋"/>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19ED5CA1">
      <w:pPr>
        <w:snapToGrid w:val="0"/>
        <w:spacing w:line="360" w:lineRule="auto"/>
        <w:ind w:firstLine="482"/>
        <w:rPr>
          <w:rFonts w:ascii="仿宋" w:hAnsi="仿宋" w:eastAsia="仿宋"/>
          <w:szCs w:val="21"/>
        </w:rPr>
      </w:pPr>
      <w:r>
        <w:rPr>
          <w:rFonts w:ascii="仿宋" w:hAnsi="仿宋" w:eastAsia="仿宋"/>
          <w:szCs w:val="21"/>
        </w:rPr>
        <w:t>九、承包人要按照“安全自查，隐患自改、责任自负”的原则加强对施工责任区的日常安全检查</w:t>
      </w:r>
      <w:r>
        <w:rPr>
          <w:rFonts w:hint="eastAsia" w:ascii="仿宋" w:hAnsi="仿宋" w:eastAsia="仿宋"/>
          <w:szCs w:val="21"/>
        </w:rPr>
        <w:t>，</w:t>
      </w:r>
      <w:r>
        <w:rPr>
          <w:rFonts w:ascii="仿宋" w:hAnsi="仿宋" w:eastAsia="仿宋"/>
          <w:szCs w:val="21"/>
        </w:rPr>
        <w:t>及时制止和处理各类违章违法行为</w:t>
      </w:r>
      <w:r>
        <w:rPr>
          <w:rFonts w:hint="eastAsia" w:ascii="仿宋" w:hAnsi="仿宋" w:eastAsia="仿宋"/>
          <w:szCs w:val="21"/>
        </w:rPr>
        <w:t>，</w:t>
      </w:r>
      <w:r>
        <w:rPr>
          <w:rFonts w:ascii="仿宋" w:hAnsi="仿宋" w:eastAsia="仿宋"/>
          <w:szCs w:val="21"/>
        </w:rPr>
        <w:t>对查获的隐患要及时落实整改措施，消除隐患。</w:t>
      </w:r>
    </w:p>
    <w:p w14:paraId="7A3EDDC0">
      <w:pPr>
        <w:snapToGrid w:val="0"/>
        <w:spacing w:line="360" w:lineRule="auto"/>
        <w:ind w:firstLine="482"/>
        <w:rPr>
          <w:rFonts w:ascii="仿宋" w:hAnsi="仿宋" w:eastAsia="仿宋"/>
          <w:szCs w:val="21"/>
        </w:rPr>
      </w:pPr>
      <w:r>
        <w:rPr>
          <w:rFonts w:ascii="仿宋" w:hAnsi="仿宋" w:eastAsia="仿宋"/>
          <w:szCs w:val="21"/>
        </w:rPr>
        <w:t>十、承包人应主动接受发包人在安全生产工作上的业务指导，检查和督促，服从管理</w:t>
      </w:r>
      <w:r>
        <w:rPr>
          <w:rFonts w:hint="eastAsia" w:ascii="仿宋" w:hAnsi="仿宋" w:eastAsia="仿宋"/>
          <w:szCs w:val="21"/>
        </w:rPr>
        <w:t>，</w:t>
      </w:r>
      <w:r>
        <w:rPr>
          <w:rFonts w:ascii="仿宋" w:hAnsi="仿宋" w:eastAsia="仿宋"/>
          <w:szCs w:val="21"/>
        </w:rPr>
        <w:t>对发包人的工作布置和组织的活动要积极贯彻实施和参加</w:t>
      </w:r>
      <w:r>
        <w:rPr>
          <w:rFonts w:hint="eastAsia" w:ascii="仿宋" w:hAnsi="仿宋" w:eastAsia="仿宋"/>
          <w:szCs w:val="21"/>
        </w:rPr>
        <w:t>，</w:t>
      </w:r>
      <w:r>
        <w:rPr>
          <w:rFonts w:ascii="仿宋" w:hAnsi="仿宋" w:eastAsia="仿宋"/>
          <w:szCs w:val="21"/>
        </w:rPr>
        <w:t>对发包人给予因责任违约的经济处理如有异议可要求复核</w:t>
      </w:r>
      <w:r>
        <w:rPr>
          <w:rFonts w:hint="eastAsia" w:ascii="仿宋" w:hAnsi="仿宋" w:eastAsia="仿宋"/>
          <w:szCs w:val="21"/>
        </w:rPr>
        <w:t>，</w:t>
      </w:r>
      <w:r>
        <w:rPr>
          <w:rFonts w:ascii="仿宋" w:hAnsi="仿宋" w:eastAsia="仿宋"/>
          <w:szCs w:val="21"/>
        </w:rPr>
        <w:t>对发包人工作人员利用职权营私舞弊、有意刁难的违法行为，有权检举揭发，要求处理。</w:t>
      </w:r>
    </w:p>
    <w:p w14:paraId="553BD7A5">
      <w:pPr>
        <w:snapToGrid w:val="0"/>
        <w:spacing w:line="360" w:lineRule="auto"/>
        <w:ind w:firstLine="482"/>
        <w:rPr>
          <w:rFonts w:ascii="仿宋" w:hAnsi="仿宋" w:eastAsia="仿宋"/>
          <w:szCs w:val="21"/>
        </w:rPr>
      </w:pPr>
      <w:r>
        <w:rPr>
          <w:rFonts w:ascii="仿宋" w:hAnsi="仿宋" w:eastAsia="仿宋"/>
          <w:szCs w:val="21"/>
        </w:rPr>
        <w:t>十一、承包人因疏于管理违章违法作业发生安全事故或造成人员伤亡的，应在积极抢救受伤人员、保护现场的同时，严格按安全事故上报的规定时限向发包人和当地劳动行政部门汇报，不得迟报瞒报。</w:t>
      </w:r>
    </w:p>
    <w:p w14:paraId="798673E1">
      <w:pPr>
        <w:snapToGrid w:val="0"/>
        <w:spacing w:line="360" w:lineRule="auto"/>
        <w:ind w:firstLine="482"/>
        <w:rPr>
          <w:rFonts w:ascii="仿宋" w:hAnsi="仿宋" w:eastAsia="仿宋"/>
          <w:szCs w:val="21"/>
        </w:rPr>
      </w:pPr>
      <w:r>
        <w:rPr>
          <w:rFonts w:ascii="仿宋" w:hAnsi="仿宋" w:eastAsia="仿宋"/>
          <w:szCs w:val="21"/>
        </w:rPr>
        <w:t>十二、本协议中未涉及的有关条款，甲乙双方可根据需要协商补充修改。如遇有国家和本市的有关法规不符的，应按国家和本市的有关法规执行。</w:t>
      </w:r>
    </w:p>
    <w:p w14:paraId="2F7D9432">
      <w:pPr>
        <w:snapToGrid w:val="0"/>
        <w:spacing w:line="360" w:lineRule="auto"/>
        <w:ind w:firstLine="482"/>
        <w:rPr>
          <w:rFonts w:ascii="仿宋" w:hAnsi="仿宋" w:eastAsia="仿宋"/>
          <w:szCs w:val="21"/>
        </w:rPr>
      </w:pPr>
      <w:r>
        <w:rPr>
          <w:rFonts w:ascii="仿宋" w:hAnsi="仿宋" w:eastAsia="仿宋"/>
          <w:szCs w:val="21"/>
        </w:rPr>
        <w:t>十三、承包方应该接受发包方安保部门的监督、检查和指导，积极落实发包方安保部门发出的整改指令。</w:t>
      </w:r>
    </w:p>
    <w:p w14:paraId="179036E4">
      <w:pPr>
        <w:snapToGrid w:val="0"/>
        <w:spacing w:line="360" w:lineRule="auto"/>
        <w:ind w:firstLine="482"/>
        <w:rPr>
          <w:rFonts w:ascii="仿宋" w:hAnsi="仿宋" w:eastAsia="仿宋"/>
          <w:szCs w:val="21"/>
        </w:rPr>
      </w:pPr>
      <w:r>
        <w:rPr>
          <w:rFonts w:ascii="仿宋" w:hAnsi="仿宋" w:eastAsia="仿宋"/>
          <w:szCs w:val="21"/>
        </w:rPr>
        <w:t>十四、本协议作为甲乙双方工程合同的附件，在工程合同签约后生效，与工程合同具有同等法律效力。工程合同期满，本协议终止。</w:t>
      </w:r>
    </w:p>
    <w:p w14:paraId="2A2B03C7">
      <w:pPr>
        <w:snapToGrid w:val="0"/>
        <w:spacing w:line="360" w:lineRule="auto"/>
        <w:ind w:firstLine="482"/>
        <w:rPr>
          <w:rFonts w:ascii="仿宋" w:hAnsi="仿宋" w:eastAsia="仿宋"/>
          <w:szCs w:val="21"/>
        </w:rPr>
      </w:pPr>
    </w:p>
    <w:p w14:paraId="68F7F3E7">
      <w:pPr>
        <w:snapToGrid w:val="0"/>
        <w:spacing w:line="360" w:lineRule="auto"/>
        <w:ind w:firstLine="482"/>
        <w:rPr>
          <w:rFonts w:ascii="仿宋" w:hAnsi="仿宋" w:eastAsia="仿宋"/>
          <w:szCs w:val="21"/>
        </w:rPr>
      </w:pPr>
    </w:p>
    <w:p w14:paraId="08FE528D">
      <w:pPr>
        <w:snapToGrid w:val="0"/>
        <w:spacing w:line="360" w:lineRule="auto"/>
        <w:ind w:firstLine="482"/>
        <w:rPr>
          <w:rFonts w:ascii="仿宋" w:hAnsi="仿宋" w:eastAsia="仿宋"/>
          <w:szCs w:val="21"/>
        </w:rPr>
      </w:pPr>
      <w:r>
        <w:rPr>
          <w:rFonts w:ascii="仿宋" w:hAnsi="仿宋" w:eastAsia="仿宋"/>
          <w:szCs w:val="21"/>
        </w:rPr>
        <w:t>发包人：（</w:t>
      </w:r>
      <w:r>
        <w:rPr>
          <w:rFonts w:hint="eastAsia" w:ascii="仿宋" w:hAnsi="仿宋" w:eastAsia="仿宋"/>
          <w:szCs w:val="21"/>
        </w:rPr>
        <w:t>单位公</w:t>
      </w:r>
      <w:r>
        <w:rPr>
          <w:rFonts w:ascii="仿宋" w:hAnsi="仿宋" w:eastAsia="仿宋"/>
          <w:szCs w:val="21"/>
        </w:rPr>
        <w:t xml:space="preserve">章）    </w:t>
      </w:r>
      <w:r>
        <w:rPr>
          <w:rFonts w:hint="eastAsia" w:ascii="仿宋" w:hAnsi="仿宋" w:eastAsia="仿宋"/>
          <w:szCs w:val="21"/>
        </w:rPr>
        <w:t xml:space="preserve">            </w:t>
      </w:r>
      <w:r>
        <w:rPr>
          <w:rFonts w:ascii="仿宋" w:hAnsi="仿宋" w:eastAsia="仿宋"/>
          <w:szCs w:val="21"/>
        </w:rPr>
        <w:t xml:space="preserve">  承包人：（</w:t>
      </w:r>
      <w:r>
        <w:rPr>
          <w:rFonts w:hint="eastAsia" w:ascii="仿宋" w:hAnsi="仿宋" w:eastAsia="仿宋"/>
          <w:szCs w:val="21"/>
        </w:rPr>
        <w:t>单位公</w:t>
      </w:r>
      <w:r>
        <w:rPr>
          <w:rFonts w:ascii="仿宋" w:hAnsi="仿宋" w:eastAsia="仿宋"/>
          <w:szCs w:val="21"/>
        </w:rPr>
        <w:t>章）</w:t>
      </w:r>
    </w:p>
    <w:p w14:paraId="68321F32">
      <w:pPr>
        <w:snapToGrid w:val="0"/>
        <w:spacing w:line="360" w:lineRule="auto"/>
        <w:ind w:firstLine="482"/>
        <w:rPr>
          <w:rFonts w:ascii="仿宋" w:hAnsi="仿宋" w:eastAsia="仿宋"/>
          <w:szCs w:val="21"/>
        </w:rPr>
      </w:pPr>
    </w:p>
    <w:p w14:paraId="1FC98077">
      <w:pPr>
        <w:spacing w:line="360" w:lineRule="auto"/>
        <w:ind w:left="5250" w:leftChars="200" w:hanging="4830" w:hangingChars="23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699BEC05">
      <w:pPr>
        <w:snapToGrid w:val="0"/>
        <w:spacing w:line="360" w:lineRule="auto"/>
        <w:ind w:firstLine="482"/>
        <w:rPr>
          <w:rFonts w:ascii="仿宋" w:hAnsi="仿宋" w:eastAsia="仿宋"/>
          <w:szCs w:val="21"/>
        </w:rPr>
      </w:pPr>
    </w:p>
    <w:p w14:paraId="0AD0CB0C">
      <w:pPr>
        <w:spacing w:line="360" w:lineRule="auto"/>
        <w:ind w:firstLine="420" w:firstLineChars="200"/>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电  话：</w:t>
      </w:r>
    </w:p>
    <w:p w14:paraId="6DAD78EF">
      <w:pPr>
        <w:snapToGrid w:val="0"/>
        <w:spacing w:line="360" w:lineRule="auto"/>
        <w:ind w:firstLine="482"/>
        <w:rPr>
          <w:rFonts w:ascii="仿宋" w:hAnsi="仿宋" w:eastAsia="仿宋"/>
          <w:szCs w:val="21"/>
        </w:rPr>
      </w:pPr>
    </w:p>
    <w:p w14:paraId="1BDC34B8">
      <w:pPr>
        <w:snapToGrid w:val="0"/>
        <w:spacing w:line="360" w:lineRule="auto"/>
        <w:ind w:firstLine="482"/>
        <w:rPr>
          <w:rFonts w:hint="default" w:ascii="仿宋" w:hAnsi="仿宋" w:eastAsia="仿宋"/>
          <w:szCs w:val="21"/>
          <w:lang w:val="en-US" w:eastAsia="zh-CN"/>
        </w:rPr>
      </w:pPr>
      <w:r>
        <w:rPr>
          <w:rFonts w:ascii="仿宋" w:hAnsi="仿宋" w:eastAsia="仿宋"/>
          <w:szCs w:val="21"/>
        </w:rPr>
        <w:t>签约日期：</w:t>
      </w:r>
      <w:r>
        <w:rPr>
          <w:rFonts w:hint="eastAsia" w:ascii="仿宋" w:hAnsi="仿宋" w:eastAsia="仿宋"/>
          <w:szCs w:val="21"/>
          <w:lang w:val="en-US" w:eastAsia="zh-CN"/>
        </w:rPr>
        <w:t xml:space="preserve"> 年  月  日</w:t>
      </w:r>
    </w:p>
    <w:p w14:paraId="43988DCA">
      <w:pPr>
        <w:spacing w:line="360" w:lineRule="auto"/>
        <w:rPr>
          <w:rFonts w:ascii="仿宋" w:hAnsi="仿宋" w:eastAsia="仿宋"/>
          <w:szCs w:val="21"/>
        </w:rPr>
      </w:pPr>
    </w:p>
    <w:p w14:paraId="13263957">
      <w:pPr>
        <w:spacing w:before="156" w:beforeLines="50" w:after="156" w:afterLines="50" w:line="360" w:lineRule="auto"/>
        <w:jc w:val="left"/>
        <w:rPr>
          <w:rFonts w:ascii="仿宋" w:hAnsi="仿宋" w:eastAsia="仿宋"/>
          <w:szCs w:val="21"/>
        </w:rPr>
      </w:pPr>
      <w:bookmarkStart w:id="585" w:name="_Toc364679595"/>
      <w:r>
        <w:rPr>
          <w:rFonts w:hint="eastAsia" w:ascii="仿宋" w:hAnsi="仿宋" w:eastAsia="仿宋"/>
          <w:szCs w:val="21"/>
        </w:rPr>
        <w:br w:type="page"/>
      </w:r>
      <w:r>
        <w:rPr>
          <w:rFonts w:hint="eastAsia" w:ascii="仿宋" w:hAnsi="仿宋" w:eastAsia="仿宋"/>
          <w:szCs w:val="21"/>
        </w:rPr>
        <w:t>附件4：</w:t>
      </w:r>
      <w:bookmarkStart w:id="586" w:name="_Toc86473612"/>
      <w:bookmarkStart w:id="587" w:name="_Toc278396838"/>
      <w:bookmarkStart w:id="588" w:name="_Toc115066570"/>
      <w:r>
        <w:rPr>
          <w:rFonts w:hint="eastAsia" w:ascii="仿宋" w:hAnsi="仿宋" w:eastAsia="仿宋"/>
          <w:szCs w:val="21"/>
        </w:rPr>
        <w:t>文明施工责任协议书</w:t>
      </w:r>
      <w:bookmarkEnd w:id="586"/>
      <w:bookmarkEnd w:id="587"/>
      <w:bookmarkEnd w:id="588"/>
      <w:r>
        <w:rPr>
          <w:rFonts w:hint="eastAsia" w:ascii="仿宋" w:hAnsi="仿宋" w:eastAsia="仿宋"/>
          <w:szCs w:val="21"/>
        </w:rPr>
        <w:t>格式</w:t>
      </w:r>
      <w:bookmarkEnd w:id="585"/>
    </w:p>
    <w:p w14:paraId="42E06FB0">
      <w:pPr>
        <w:spacing w:before="156" w:beforeLines="50" w:after="156" w:afterLines="50" w:line="360" w:lineRule="auto"/>
        <w:jc w:val="center"/>
        <w:rPr>
          <w:rFonts w:ascii="仿宋" w:hAnsi="仿宋" w:eastAsia="仿宋"/>
          <w:szCs w:val="21"/>
        </w:rPr>
      </w:pPr>
      <w:r>
        <w:rPr>
          <w:rFonts w:hint="eastAsia" w:ascii="仿宋" w:hAnsi="仿宋" w:eastAsia="仿宋"/>
          <w:szCs w:val="21"/>
        </w:rPr>
        <w:t>文明施工责任协议书</w:t>
      </w:r>
    </w:p>
    <w:p w14:paraId="0099BB92">
      <w:pPr>
        <w:spacing w:after="120" w:line="360" w:lineRule="auto"/>
        <w:ind w:firstLine="420" w:firstLineChars="200"/>
        <w:rPr>
          <w:rFonts w:ascii="仿宋" w:hAnsi="仿宋" w:eastAsia="仿宋"/>
          <w:szCs w:val="21"/>
        </w:rPr>
      </w:pPr>
      <w:r>
        <w:rPr>
          <w:rFonts w:ascii="仿宋" w:hAnsi="仿宋" w:eastAsia="仿宋"/>
          <w:szCs w:val="2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14:paraId="3108E050">
      <w:pPr>
        <w:snapToGrid w:val="0"/>
        <w:spacing w:line="360" w:lineRule="auto"/>
        <w:ind w:firstLine="480"/>
        <w:rPr>
          <w:rFonts w:ascii="仿宋" w:hAnsi="仿宋" w:eastAsia="仿宋"/>
          <w:szCs w:val="21"/>
        </w:rPr>
      </w:pPr>
      <w:r>
        <w:rPr>
          <w:rFonts w:ascii="仿宋" w:hAnsi="仿宋" w:eastAsia="仿宋"/>
          <w:szCs w:val="21"/>
        </w:rPr>
        <w:t>一、 双方同意在工程管理和工程建设中必须坚持社会效益第一，经济效益和社会效益相一致</w:t>
      </w:r>
      <w:r>
        <w:rPr>
          <w:rFonts w:hint="eastAsia" w:ascii="仿宋" w:hAnsi="仿宋" w:eastAsia="仿宋"/>
          <w:szCs w:val="21"/>
        </w:rPr>
        <w:t>“</w:t>
      </w:r>
      <w:r>
        <w:rPr>
          <w:rFonts w:ascii="仿宋" w:hAnsi="仿宋" w:eastAsia="仿宋"/>
          <w:szCs w:val="21"/>
        </w:rPr>
        <w:t>方便人民生活，有利于发展生产、保护生态环境</w:t>
      </w:r>
      <w:r>
        <w:rPr>
          <w:rFonts w:hint="eastAsia" w:ascii="仿宋" w:hAnsi="仿宋" w:eastAsia="仿宋"/>
          <w:szCs w:val="21"/>
        </w:rPr>
        <w:t>”</w:t>
      </w:r>
      <w:r>
        <w:rPr>
          <w:rFonts w:ascii="仿宋" w:hAnsi="仿宋" w:eastAsia="仿宋"/>
          <w:szCs w:val="21"/>
        </w:rPr>
        <w:t>的原则，坚持便民、利民、为民服务的宗旨。搞好工程建设中的文明施工。</w:t>
      </w:r>
    </w:p>
    <w:p w14:paraId="4C8860C5">
      <w:pPr>
        <w:snapToGrid w:val="0"/>
        <w:spacing w:line="360" w:lineRule="auto"/>
        <w:ind w:firstLine="480"/>
        <w:rPr>
          <w:rFonts w:ascii="仿宋" w:hAnsi="仿宋" w:eastAsia="仿宋"/>
          <w:szCs w:val="21"/>
        </w:rPr>
      </w:pPr>
      <w:r>
        <w:rPr>
          <w:rFonts w:ascii="仿宋" w:hAnsi="仿宋" w:eastAsia="仿宋"/>
          <w:szCs w:val="21"/>
        </w:rPr>
        <w:t>二、 双方要认真贯彻</w:t>
      </w:r>
      <w:r>
        <w:rPr>
          <w:rFonts w:hint="eastAsia" w:ascii="仿宋" w:hAnsi="仿宋" w:eastAsia="仿宋"/>
          <w:szCs w:val="21"/>
        </w:rPr>
        <w:t>“</w:t>
      </w:r>
      <w:r>
        <w:rPr>
          <w:rFonts w:ascii="仿宋" w:hAnsi="仿宋" w:eastAsia="仿宋"/>
          <w:szCs w:val="21"/>
        </w:rPr>
        <w:t>发包人负责，施工单位实施，地方政府监督</w:t>
      </w:r>
      <w:r>
        <w:rPr>
          <w:rFonts w:hint="eastAsia" w:ascii="仿宋" w:hAnsi="仿宋" w:eastAsia="仿宋"/>
          <w:szCs w:val="21"/>
        </w:rPr>
        <w:t>”</w:t>
      </w:r>
      <w:r>
        <w:rPr>
          <w:rFonts w:ascii="仿宋" w:hAnsi="仿宋" w:eastAsia="仿宋"/>
          <w:szCs w:val="21"/>
        </w:rPr>
        <w:t>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14:paraId="23023574">
      <w:pPr>
        <w:snapToGrid w:val="0"/>
        <w:spacing w:line="360" w:lineRule="auto"/>
        <w:ind w:firstLine="480"/>
        <w:rPr>
          <w:rFonts w:ascii="仿宋" w:hAnsi="仿宋" w:eastAsia="仿宋"/>
          <w:szCs w:val="21"/>
        </w:rPr>
      </w:pPr>
      <w:r>
        <w:rPr>
          <w:rFonts w:ascii="仿宋" w:hAnsi="仿宋" w:eastAsia="仿宋"/>
          <w:szCs w:val="21"/>
        </w:rPr>
        <w:t>三、 承包人在其施工大纲中应结合工程实际情况，制订出各项文明施工措施，并落实如下有关要求：</w:t>
      </w:r>
    </w:p>
    <w:p w14:paraId="13126DC2">
      <w:pPr>
        <w:snapToGrid w:val="0"/>
        <w:spacing w:line="360" w:lineRule="auto"/>
        <w:ind w:firstLine="480"/>
        <w:rPr>
          <w:rFonts w:ascii="仿宋" w:hAnsi="仿宋" w:eastAsia="仿宋"/>
          <w:szCs w:val="21"/>
        </w:rPr>
      </w:pPr>
      <w:r>
        <w:rPr>
          <w:rFonts w:ascii="仿宋" w:hAnsi="仿宋" w:eastAsia="仿宋"/>
          <w:szCs w:val="21"/>
        </w:rPr>
        <w:t>1、施工现场必须按规定要求设置施工铭牌，所有施工管理、作业人员应配带胸卡上岗。</w:t>
      </w:r>
    </w:p>
    <w:p w14:paraId="0C68A7F8">
      <w:pPr>
        <w:snapToGrid w:val="0"/>
        <w:spacing w:line="360" w:lineRule="auto"/>
        <w:ind w:firstLine="480"/>
        <w:rPr>
          <w:rFonts w:ascii="仿宋" w:hAnsi="仿宋" w:eastAsia="仿宋"/>
          <w:szCs w:val="21"/>
        </w:rPr>
      </w:pPr>
      <w:r>
        <w:rPr>
          <w:rFonts w:ascii="仿宋" w:hAnsi="仿宋" w:eastAsia="仿宋"/>
          <w:szCs w:val="21"/>
        </w:rPr>
        <w:t>2、施工区域与非施工区域必须按规定设置分隔设施，并做到连续、稳固、整洁、美观和线型和顺。施工区域的围护设施如有损坏要及时修复。</w:t>
      </w:r>
    </w:p>
    <w:p w14:paraId="105CF2BD">
      <w:pPr>
        <w:snapToGrid w:val="0"/>
        <w:spacing w:line="360" w:lineRule="auto"/>
        <w:ind w:firstLine="480"/>
        <w:rPr>
          <w:rFonts w:ascii="仿宋" w:hAnsi="仿宋" w:eastAsia="仿宋"/>
          <w:szCs w:val="21"/>
        </w:rPr>
      </w:pPr>
      <w:r>
        <w:rPr>
          <w:rFonts w:ascii="仿宋" w:hAnsi="仿宋" w:eastAsia="仿宋"/>
          <w:szCs w:val="2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14:paraId="754D253F">
      <w:pPr>
        <w:snapToGrid w:val="0"/>
        <w:spacing w:line="360" w:lineRule="auto"/>
        <w:ind w:firstLine="480"/>
        <w:rPr>
          <w:rFonts w:ascii="仿宋" w:hAnsi="仿宋" w:eastAsia="仿宋"/>
          <w:szCs w:val="21"/>
        </w:rPr>
      </w:pPr>
      <w:r>
        <w:rPr>
          <w:rFonts w:ascii="仿宋" w:hAnsi="仿宋" w:eastAsia="仿宋"/>
          <w:szCs w:val="21"/>
        </w:rPr>
        <w:t>4、要落实切实可行的施工临时排水和防汛措施，禁止向通道上排放，禁止泥浆水、水泥浆水未经沉淀直接排入下水道。</w:t>
      </w:r>
    </w:p>
    <w:p w14:paraId="50817A78">
      <w:pPr>
        <w:snapToGrid w:val="0"/>
        <w:spacing w:line="360" w:lineRule="auto"/>
        <w:ind w:firstLine="480"/>
        <w:rPr>
          <w:rFonts w:ascii="仿宋" w:hAnsi="仿宋" w:eastAsia="仿宋"/>
          <w:szCs w:val="21"/>
        </w:rPr>
      </w:pPr>
      <w:r>
        <w:rPr>
          <w:rFonts w:ascii="仿宋" w:hAnsi="仿宋" w:eastAsia="仿宋"/>
          <w:szCs w:val="21"/>
        </w:rPr>
        <w:t>5、施工现场平面布置合理，各类材料、设备、预制构件等(包括土方)做到有序堆放，不得侵占车行道、人行道。施工中要加强对各种管线的保护。</w:t>
      </w:r>
    </w:p>
    <w:p w14:paraId="6E1D0827">
      <w:pPr>
        <w:snapToGrid w:val="0"/>
        <w:spacing w:line="360" w:lineRule="auto"/>
        <w:ind w:firstLine="480"/>
        <w:rPr>
          <w:rFonts w:ascii="仿宋" w:hAnsi="仿宋" w:eastAsia="仿宋"/>
          <w:szCs w:val="21"/>
        </w:rPr>
      </w:pPr>
      <w:r>
        <w:rPr>
          <w:rFonts w:ascii="仿宋" w:hAnsi="仿宋" w:eastAsia="仿宋"/>
          <w:szCs w:val="21"/>
        </w:rPr>
        <w:t>6、施工中必须要采取有效措施，防止渣土洒落，泥浆、废水流溢，控制粉尘飞扬，减少施工对本市环境的污染，严格控制噪音。</w:t>
      </w:r>
    </w:p>
    <w:p w14:paraId="0071F705">
      <w:pPr>
        <w:snapToGrid w:val="0"/>
        <w:spacing w:line="360" w:lineRule="auto"/>
        <w:ind w:firstLine="480"/>
        <w:rPr>
          <w:rFonts w:ascii="仿宋" w:hAnsi="仿宋" w:eastAsia="仿宋"/>
          <w:szCs w:val="21"/>
        </w:rPr>
      </w:pPr>
      <w:r>
        <w:rPr>
          <w:rFonts w:ascii="仿宋" w:hAnsi="仿宋" w:eastAsia="仿宋"/>
          <w:szCs w:val="21"/>
        </w:rPr>
        <w:t>7、为配合实施国家和上海市开展环境保护和减少污染的要求，承包人必须在每年5-8月委托政府环保监督部门对施工过程中的噪音、粉尘、废水进行一次测试，出具相应的测试报告，并提交发包人备案。</w:t>
      </w:r>
    </w:p>
    <w:p w14:paraId="0515ECA5">
      <w:pPr>
        <w:snapToGrid w:val="0"/>
        <w:spacing w:line="360" w:lineRule="auto"/>
        <w:ind w:firstLine="480"/>
        <w:rPr>
          <w:rFonts w:ascii="仿宋" w:hAnsi="仿宋" w:eastAsia="仿宋"/>
          <w:szCs w:val="21"/>
        </w:rPr>
      </w:pPr>
      <w:r>
        <w:rPr>
          <w:rFonts w:ascii="仿宋" w:hAnsi="仿宋" w:eastAsia="仿宋"/>
          <w:szCs w:val="21"/>
        </w:rPr>
        <w:t>8、如发现承包人未进行上述环境保护测试工作，此测试工作由发包人代为办理，其费用由承包人加倍承担。</w:t>
      </w:r>
    </w:p>
    <w:p w14:paraId="62E33249">
      <w:pPr>
        <w:snapToGrid w:val="0"/>
        <w:spacing w:line="360" w:lineRule="auto"/>
        <w:ind w:firstLine="480"/>
        <w:rPr>
          <w:rFonts w:ascii="仿宋" w:hAnsi="仿宋" w:eastAsia="仿宋"/>
          <w:szCs w:val="21"/>
        </w:rPr>
      </w:pPr>
      <w:r>
        <w:rPr>
          <w:rFonts w:ascii="仿宋" w:hAnsi="仿宋" w:eastAsia="仿宋"/>
          <w:szCs w:val="21"/>
        </w:rPr>
        <w:t>四、承包人负责施工区域及生活区域的环境卫生，建立完善</w:t>
      </w:r>
      <w:r>
        <w:rPr>
          <w:rFonts w:hint="eastAsia" w:ascii="仿宋" w:hAnsi="仿宋" w:eastAsia="仿宋"/>
          <w:szCs w:val="21"/>
        </w:rPr>
        <w:t>相</w:t>
      </w:r>
      <w:r>
        <w:rPr>
          <w:rFonts w:ascii="仿宋" w:hAnsi="仿宋" w:eastAsia="仿宋"/>
          <w:szCs w:val="21"/>
        </w:rPr>
        <w:t>关</w:t>
      </w:r>
      <w:r>
        <w:rPr>
          <w:rFonts w:hint="eastAsia" w:ascii="仿宋" w:hAnsi="仿宋" w:eastAsia="仿宋"/>
          <w:szCs w:val="21"/>
        </w:rPr>
        <w:t>的</w:t>
      </w:r>
      <w:r>
        <w:rPr>
          <w:rFonts w:ascii="仿宋" w:hAnsi="仿宋" w:eastAsia="仿宋"/>
          <w:szCs w:val="21"/>
        </w:rPr>
        <w:t>规章制度，落实责任制。做到</w:t>
      </w:r>
      <w:r>
        <w:rPr>
          <w:rFonts w:hint="eastAsia" w:ascii="仿宋" w:hAnsi="仿宋" w:eastAsia="仿宋"/>
          <w:szCs w:val="21"/>
        </w:rPr>
        <w:t>“</w:t>
      </w:r>
      <w:r>
        <w:rPr>
          <w:rFonts w:ascii="仿宋" w:hAnsi="仿宋" w:eastAsia="仿宋"/>
          <w:szCs w:val="21"/>
        </w:rPr>
        <w:t>五小</w:t>
      </w:r>
      <w:r>
        <w:rPr>
          <w:rFonts w:hint="eastAsia" w:ascii="仿宋" w:hAnsi="仿宋" w:eastAsia="仿宋"/>
          <w:szCs w:val="21"/>
        </w:rPr>
        <w:t>”</w:t>
      </w:r>
      <w:r>
        <w:rPr>
          <w:rFonts w:ascii="仿宋" w:hAnsi="仿宋" w:eastAsia="仿宋"/>
          <w:szCs w:val="21"/>
        </w:rPr>
        <w:t>生活设施齐全，符合规范要求。</w:t>
      </w:r>
    </w:p>
    <w:p w14:paraId="25903664">
      <w:pPr>
        <w:snapToGrid w:val="0"/>
        <w:spacing w:line="360" w:lineRule="auto"/>
        <w:ind w:firstLine="480"/>
        <w:rPr>
          <w:rFonts w:ascii="仿宋" w:hAnsi="仿宋" w:eastAsia="仿宋"/>
          <w:szCs w:val="21"/>
        </w:rPr>
      </w:pPr>
      <w:r>
        <w:rPr>
          <w:rFonts w:ascii="仿宋" w:hAnsi="仿宋" w:eastAsia="仿宋"/>
          <w:szCs w:val="21"/>
        </w:rPr>
        <w:t>五、发包人对承包人开展创建文明工地的工作要经常性地给予指导，定期组织检查，对承包人存在的问题应及时通知承包人进行整改，并有权以承包人责任违约，对责任单位每次处罚500</w:t>
      </w:r>
      <w:r>
        <w:rPr>
          <w:rFonts w:hint="eastAsia" w:ascii="仿宋" w:hAnsi="仿宋" w:eastAsia="仿宋"/>
          <w:szCs w:val="21"/>
        </w:rPr>
        <w:t>至</w:t>
      </w:r>
      <w:r>
        <w:rPr>
          <w:rFonts w:ascii="仿宋" w:hAnsi="仿宋" w:eastAsia="仿宋"/>
          <w:szCs w:val="21"/>
        </w:rPr>
        <w:t>5000元，并采取强化整改措施，对未按要求限期整改的或整改不力，情节严重的，对责任单位每次处罚1万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5万元不等，整改所发生的费用从安全抵押金中扣除，最高上限为10万元。</w:t>
      </w:r>
    </w:p>
    <w:p w14:paraId="76091A0C">
      <w:pPr>
        <w:snapToGrid w:val="0"/>
        <w:spacing w:line="360" w:lineRule="auto"/>
        <w:ind w:firstLine="480"/>
        <w:rPr>
          <w:rFonts w:ascii="仿宋" w:hAnsi="仿宋" w:eastAsia="仿宋"/>
          <w:szCs w:val="21"/>
        </w:rPr>
      </w:pPr>
      <w:r>
        <w:rPr>
          <w:rFonts w:ascii="仿宋" w:hAnsi="仿宋" w:eastAsia="仿宋"/>
          <w:szCs w:val="21"/>
        </w:rPr>
        <w:t>六、因承包人违反文明施工管理要求，被地方政府有关部门查获而受到的经济处罚，以及由此而使发包人受到的经济损失，均由承包人承担。</w:t>
      </w:r>
    </w:p>
    <w:p w14:paraId="0F7DF94D">
      <w:pPr>
        <w:snapToGrid w:val="0"/>
        <w:spacing w:line="360" w:lineRule="auto"/>
        <w:ind w:firstLine="480"/>
        <w:rPr>
          <w:rFonts w:ascii="仿宋" w:hAnsi="仿宋" w:eastAsia="仿宋"/>
          <w:szCs w:val="21"/>
        </w:rPr>
      </w:pPr>
      <w:r>
        <w:rPr>
          <w:rFonts w:ascii="仿宋" w:hAnsi="仿宋" w:eastAsia="仿宋"/>
          <w:szCs w:val="21"/>
        </w:rPr>
        <w:t>七、本协议作为甲乙双方工程合同的附件，在工程合同正式签约后生效，与工程合同具有同等法律效力。工程合同期满，本协议终止。</w:t>
      </w:r>
    </w:p>
    <w:p w14:paraId="7E2B596D">
      <w:pPr>
        <w:snapToGrid w:val="0"/>
        <w:spacing w:line="360" w:lineRule="auto"/>
        <w:ind w:firstLine="480"/>
        <w:rPr>
          <w:rFonts w:ascii="仿宋" w:hAnsi="仿宋" w:eastAsia="仿宋"/>
          <w:szCs w:val="21"/>
        </w:rPr>
      </w:pPr>
    </w:p>
    <w:p w14:paraId="1F1F2203">
      <w:pPr>
        <w:snapToGrid w:val="0"/>
        <w:spacing w:line="360" w:lineRule="auto"/>
        <w:ind w:firstLine="480"/>
        <w:rPr>
          <w:rFonts w:ascii="仿宋" w:hAnsi="仿宋" w:eastAsia="仿宋"/>
          <w:szCs w:val="21"/>
        </w:rPr>
      </w:pPr>
    </w:p>
    <w:p w14:paraId="68EB9F62">
      <w:pPr>
        <w:snapToGrid w:val="0"/>
        <w:spacing w:line="360" w:lineRule="auto"/>
        <w:ind w:firstLine="480"/>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 xml:space="preserve"> 承包人：（盖章）</w:t>
      </w:r>
    </w:p>
    <w:p w14:paraId="2750CABA">
      <w:pPr>
        <w:snapToGrid w:val="0"/>
        <w:spacing w:line="360" w:lineRule="auto"/>
        <w:ind w:firstLine="480"/>
        <w:rPr>
          <w:rFonts w:ascii="仿宋" w:hAnsi="仿宋" w:eastAsia="仿宋"/>
          <w:szCs w:val="21"/>
        </w:rPr>
      </w:pPr>
    </w:p>
    <w:p w14:paraId="418E2B75">
      <w:pPr>
        <w:snapToGrid w:val="0"/>
        <w:spacing w:line="360" w:lineRule="auto"/>
        <w:ind w:firstLine="480"/>
        <w:rPr>
          <w:rFonts w:ascii="仿宋" w:hAnsi="仿宋" w:eastAsia="仿宋"/>
          <w:szCs w:val="21"/>
        </w:rPr>
      </w:pPr>
      <w:r>
        <w:rPr>
          <w:rFonts w:ascii="仿宋" w:hAnsi="仿宋" w:eastAsia="仿宋"/>
          <w:szCs w:val="21"/>
        </w:rPr>
        <w:t>法定代表人：</w:t>
      </w:r>
      <w:r>
        <w:rPr>
          <w:rFonts w:hint="eastAsia" w:ascii="仿宋" w:hAnsi="仿宋" w:eastAsia="仿宋"/>
          <w:szCs w:val="21"/>
        </w:rPr>
        <w:t>(签字或盖章)</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法定代表人：</w:t>
      </w:r>
      <w:r>
        <w:rPr>
          <w:rFonts w:hint="eastAsia" w:ascii="仿宋" w:hAnsi="仿宋" w:eastAsia="仿宋"/>
          <w:szCs w:val="21"/>
        </w:rPr>
        <w:t>(签字或盖章)</w:t>
      </w:r>
    </w:p>
    <w:p w14:paraId="56425E33">
      <w:pPr>
        <w:snapToGrid w:val="0"/>
        <w:spacing w:line="360" w:lineRule="auto"/>
        <w:ind w:firstLine="480"/>
        <w:rPr>
          <w:rFonts w:ascii="仿宋" w:hAnsi="仿宋" w:eastAsia="仿宋"/>
          <w:szCs w:val="21"/>
        </w:rPr>
      </w:pPr>
    </w:p>
    <w:p w14:paraId="1A9AA762">
      <w:pPr>
        <w:snapToGrid w:val="0"/>
        <w:spacing w:line="360" w:lineRule="auto"/>
        <w:ind w:firstLine="480"/>
        <w:rPr>
          <w:rFonts w:hint="eastAsia" w:ascii="仿宋" w:hAnsi="仿宋" w:eastAsia="仿宋"/>
          <w:szCs w:val="21"/>
        </w:rPr>
      </w:pPr>
      <w:r>
        <w:rPr>
          <w:rFonts w:hint="eastAsia" w:ascii="仿宋" w:hAnsi="仿宋" w:eastAsia="仿宋"/>
          <w:szCs w:val="21"/>
        </w:rPr>
        <w:t xml:space="preserve"> </w:t>
      </w:r>
    </w:p>
    <w:p w14:paraId="1E08DFBF">
      <w:pPr>
        <w:snapToGrid w:val="0"/>
        <w:spacing w:line="360" w:lineRule="auto"/>
        <w:ind w:firstLine="480"/>
        <w:rPr>
          <w:rFonts w:ascii="仿宋" w:hAnsi="仿宋" w:eastAsia="仿宋"/>
          <w:szCs w:val="21"/>
        </w:rPr>
      </w:pPr>
      <w:r>
        <w:rPr>
          <w:rFonts w:ascii="仿宋" w:hAnsi="仿宋" w:eastAsia="仿宋"/>
          <w:szCs w:val="21"/>
        </w:rPr>
        <w:t>签约日期：</w:t>
      </w:r>
      <w:r>
        <w:rPr>
          <w:rFonts w:hint="eastAsia" w:ascii="仿宋" w:hAnsi="仿宋" w:eastAsia="仿宋"/>
          <w:szCs w:val="21"/>
          <w:lang w:val="en-US" w:eastAsia="zh-CN"/>
        </w:rPr>
        <w:t xml:space="preserve"> 年  月  日</w:t>
      </w:r>
      <w:r>
        <w:rPr>
          <w:rFonts w:hint="eastAsia" w:ascii="仿宋" w:hAnsi="仿宋" w:eastAsia="仿宋"/>
          <w:szCs w:val="21"/>
        </w:rPr>
        <w:t xml:space="preserve">                </w:t>
      </w:r>
      <w:r>
        <w:rPr>
          <w:rFonts w:ascii="仿宋" w:hAnsi="仿宋" w:eastAsia="仿宋"/>
          <w:szCs w:val="21"/>
        </w:rPr>
        <w:t>签约日期：</w:t>
      </w:r>
      <w:bookmarkStart w:id="589" w:name="_Toc364679596"/>
      <w:r>
        <w:rPr>
          <w:rFonts w:hint="eastAsia" w:ascii="仿宋" w:hAnsi="仿宋" w:eastAsia="仿宋"/>
          <w:szCs w:val="21"/>
          <w:lang w:val="en-US" w:eastAsia="zh-CN"/>
        </w:rPr>
        <w:t xml:space="preserve"> 年  月  日</w:t>
      </w:r>
    </w:p>
    <w:p w14:paraId="466D2700">
      <w:pPr>
        <w:spacing w:before="156" w:beforeLines="50" w:after="156" w:afterLines="50" w:line="360" w:lineRule="auto"/>
        <w:jc w:val="left"/>
        <w:rPr>
          <w:rFonts w:ascii="仿宋" w:hAnsi="仿宋" w:eastAsia="仿宋"/>
          <w:szCs w:val="21"/>
        </w:rPr>
      </w:pPr>
    </w:p>
    <w:p w14:paraId="203D8F9F">
      <w:pPr>
        <w:spacing w:before="156" w:beforeLines="50" w:after="156" w:afterLines="50" w:line="360" w:lineRule="auto"/>
        <w:jc w:val="left"/>
        <w:rPr>
          <w:rFonts w:ascii="仿宋" w:hAnsi="仿宋" w:eastAsia="仿宋"/>
          <w:szCs w:val="21"/>
        </w:rPr>
      </w:pPr>
      <w:r>
        <w:rPr>
          <w:rFonts w:hint="eastAsia" w:ascii="仿宋" w:hAnsi="仿宋" w:eastAsia="仿宋"/>
          <w:szCs w:val="21"/>
        </w:rPr>
        <w:t>附件5：</w:t>
      </w:r>
      <w:bookmarkStart w:id="590" w:name="_Toc278396839"/>
      <w:bookmarkStart w:id="591" w:name="_Toc86473613"/>
      <w:bookmarkStart w:id="592" w:name="_Toc115066571"/>
      <w:r>
        <w:rPr>
          <w:rFonts w:hint="eastAsia" w:ascii="仿宋" w:hAnsi="仿宋" w:eastAsia="仿宋"/>
          <w:szCs w:val="21"/>
        </w:rPr>
        <w:t>治安、防火责任协议</w:t>
      </w:r>
      <w:bookmarkEnd w:id="590"/>
      <w:bookmarkEnd w:id="591"/>
      <w:bookmarkEnd w:id="592"/>
      <w:r>
        <w:rPr>
          <w:rFonts w:hint="eastAsia" w:ascii="仿宋" w:hAnsi="仿宋" w:eastAsia="仿宋"/>
          <w:szCs w:val="21"/>
        </w:rPr>
        <w:t>格式</w:t>
      </w:r>
      <w:bookmarkEnd w:id="589"/>
    </w:p>
    <w:p w14:paraId="14E81F77">
      <w:pPr>
        <w:spacing w:before="156" w:beforeLines="50" w:after="156" w:afterLines="50" w:line="360" w:lineRule="auto"/>
        <w:jc w:val="center"/>
        <w:rPr>
          <w:rFonts w:ascii="仿宋" w:hAnsi="仿宋" w:eastAsia="仿宋"/>
          <w:szCs w:val="21"/>
        </w:rPr>
      </w:pPr>
      <w:r>
        <w:rPr>
          <w:rFonts w:hint="eastAsia" w:ascii="仿宋" w:hAnsi="仿宋" w:eastAsia="仿宋"/>
          <w:szCs w:val="21"/>
        </w:rPr>
        <w:t>治安、防火责任协议</w:t>
      </w:r>
    </w:p>
    <w:p w14:paraId="34AFB5FB">
      <w:pPr>
        <w:snapToGrid w:val="0"/>
        <w:spacing w:line="360" w:lineRule="auto"/>
        <w:ind w:firstLine="525" w:firstLineChars="250"/>
        <w:rPr>
          <w:rFonts w:ascii="仿宋" w:hAnsi="仿宋" w:eastAsia="仿宋"/>
          <w:szCs w:val="21"/>
        </w:rPr>
      </w:pPr>
      <w:r>
        <w:rPr>
          <w:rFonts w:ascii="仿宋" w:hAnsi="仿宋" w:eastAsia="仿宋"/>
          <w:szCs w:val="21"/>
        </w:rPr>
        <w:t>为切实搞好工程建设中的治安、防火工作，确保施工</w:t>
      </w:r>
      <w:r>
        <w:rPr>
          <w:rFonts w:hint="eastAsia" w:ascii="仿宋" w:hAnsi="仿宋" w:eastAsia="仿宋"/>
          <w:szCs w:val="21"/>
        </w:rPr>
        <w:t>现</w:t>
      </w:r>
      <w:r>
        <w:rPr>
          <w:rFonts w:ascii="仿宋" w:hAnsi="仿宋" w:eastAsia="仿宋"/>
          <w:szCs w:val="21"/>
        </w:rPr>
        <w:t>场的治安稳定和防火安全，现根据《上海市社会治安防范责任条例》之规定，经甲乙双方协商，明确双方在治安防范、防火安全方面的权利和义务：</w:t>
      </w:r>
    </w:p>
    <w:p w14:paraId="1E8BD643">
      <w:pPr>
        <w:snapToGrid w:val="0"/>
        <w:spacing w:line="360" w:lineRule="auto"/>
        <w:ind w:firstLine="480"/>
        <w:rPr>
          <w:rFonts w:ascii="仿宋" w:hAnsi="仿宋" w:eastAsia="仿宋"/>
          <w:szCs w:val="21"/>
        </w:rPr>
      </w:pPr>
      <w:r>
        <w:rPr>
          <w:rFonts w:ascii="仿宋" w:hAnsi="仿宋" w:eastAsia="仿宋"/>
          <w:szCs w:val="21"/>
        </w:rPr>
        <w:t>一、发包人的权利和义务</w:t>
      </w:r>
    </w:p>
    <w:p w14:paraId="0EB7A9A3">
      <w:pPr>
        <w:snapToGrid w:val="0"/>
        <w:spacing w:line="360" w:lineRule="auto"/>
        <w:ind w:firstLine="480"/>
        <w:rPr>
          <w:rFonts w:ascii="仿宋" w:hAnsi="仿宋" w:eastAsia="仿宋"/>
          <w:szCs w:val="21"/>
        </w:rPr>
      </w:pPr>
      <w:r>
        <w:rPr>
          <w:rFonts w:ascii="仿宋" w:hAnsi="仿宋" w:eastAsia="仿宋"/>
          <w:szCs w:val="21"/>
        </w:rPr>
        <w:t>1．发包人在与承包人签约工程合同时应将发包人对《施工现场治安防火工作管理规范》</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书面交于承包人，明确要求、落实责任、加强指导。</w:t>
      </w:r>
    </w:p>
    <w:p w14:paraId="283F6905">
      <w:pPr>
        <w:snapToGrid w:val="0"/>
        <w:spacing w:line="360" w:lineRule="auto"/>
        <w:ind w:firstLine="480"/>
        <w:rPr>
          <w:rFonts w:ascii="仿宋" w:hAnsi="仿宋" w:eastAsia="仿宋"/>
          <w:szCs w:val="21"/>
        </w:rPr>
      </w:pPr>
      <w:r>
        <w:rPr>
          <w:rFonts w:ascii="仿宋" w:hAnsi="仿宋" w:eastAsia="仿宋"/>
          <w:szCs w:val="21"/>
        </w:rPr>
        <w:t>2．发包人应将上级公安部门和上级单位对工地治安防火工作的有关要求、信息及时向承包人进行传达布置，定期听取承包人在开展治安防火工作中的情况和意见，做好指导和协调工作。</w:t>
      </w:r>
    </w:p>
    <w:p w14:paraId="26A9DE6C">
      <w:pPr>
        <w:snapToGrid w:val="0"/>
        <w:spacing w:line="360" w:lineRule="auto"/>
        <w:ind w:firstLine="480"/>
        <w:rPr>
          <w:rFonts w:ascii="仿宋" w:hAnsi="仿宋" w:eastAsia="仿宋"/>
          <w:szCs w:val="21"/>
        </w:rPr>
      </w:pPr>
      <w:r>
        <w:rPr>
          <w:rFonts w:ascii="仿宋" w:hAnsi="仿宋" w:eastAsia="仿宋"/>
          <w:szCs w:val="21"/>
        </w:rPr>
        <w:t>3．发包人有权对承包人贯彻落实治安防火工作的情况进行检查，对承包人有关人员发生的违章违法行为及相关问题，则有权教育、制止和责成其限期整改，必要时可按责任违约给予相应的经济处理(500</w:t>
      </w:r>
      <w:r>
        <w:rPr>
          <w:rFonts w:hint="eastAsia" w:ascii="仿宋" w:hAnsi="仿宋" w:eastAsia="仿宋"/>
          <w:szCs w:val="21"/>
        </w:rPr>
        <w:t>至</w:t>
      </w:r>
      <w:r>
        <w:rPr>
          <w:rFonts w:ascii="仿宋" w:hAnsi="仿宋" w:eastAsia="仿宋"/>
          <w:szCs w:val="21"/>
        </w:rPr>
        <w:t>1000元／次)。</w:t>
      </w:r>
    </w:p>
    <w:p w14:paraId="09B11284">
      <w:pPr>
        <w:snapToGrid w:val="0"/>
        <w:spacing w:line="360" w:lineRule="auto"/>
        <w:ind w:firstLine="480"/>
        <w:rPr>
          <w:rFonts w:ascii="仿宋" w:hAnsi="仿宋" w:eastAsia="仿宋"/>
          <w:szCs w:val="21"/>
        </w:rPr>
      </w:pPr>
      <w:r>
        <w:rPr>
          <w:rFonts w:ascii="仿宋" w:hAnsi="仿宋" w:eastAsia="仿宋"/>
          <w:szCs w:val="21"/>
        </w:rPr>
        <w:t>4．承包人的违章违法行为，发包人有权对其进行经济处理的是指：</w:t>
      </w:r>
    </w:p>
    <w:p w14:paraId="3E55ED39">
      <w:pPr>
        <w:snapToGrid w:val="0"/>
        <w:spacing w:line="360" w:lineRule="auto"/>
        <w:ind w:firstLine="480"/>
        <w:rPr>
          <w:rFonts w:ascii="仿宋" w:hAnsi="仿宋" w:eastAsia="仿宋"/>
          <w:szCs w:val="21"/>
        </w:rPr>
      </w:pPr>
      <w:r>
        <w:rPr>
          <w:rFonts w:ascii="仿宋" w:hAnsi="仿宋" w:eastAsia="仿宋"/>
          <w:szCs w:val="21"/>
        </w:rPr>
        <w:t>(1)未经公安消防部门审核批准，擅自使用</w:t>
      </w:r>
      <w:r>
        <w:rPr>
          <w:rFonts w:hint="eastAsia" w:ascii="仿宋" w:hAnsi="仿宋" w:eastAsia="仿宋"/>
          <w:szCs w:val="21"/>
        </w:rPr>
        <w:t>液</w:t>
      </w:r>
      <w:r>
        <w:rPr>
          <w:rFonts w:ascii="仿宋" w:hAnsi="仿宋" w:eastAsia="仿宋"/>
          <w:szCs w:val="21"/>
        </w:rPr>
        <w:t>化气钢瓶或违章储存易燃、易爆危险物品尚未造成后果的。</w:t>
      </w:r>
    </w:p>
    <w:p w14:paraId="6EF492F5">
      <w:pPr>
        <w:snapToGrid w:val="0"/>
        <w:spacing w:line="360" w:lineRule="auto"/>
        <w:ind w:firstLine="480"/>
        <w:rPr>
          <w:rFonts w:ascii="仿宋" w:hAnsi="仿宋" w:eastAsia="仿宋"/>
          <w:szCs w:val="21"/>
        </w:rPr>
      </w:pPr>
      <w:r>
        <w:rPr>
          <w:rFonts w:ascii="仿宋" w:hAnsi="仿宋" w:eastAsia="仿宋"/>
          <w:szCs w:val="21"/>
        </w:rPr>
        <w:t>(2)未严格</w:t>
      </w:r>
      <w:r>
        <w:rPr>
          <w:rFonts w:hint="eastAsia" w:ascii="仿宋" w:hAnsi="仿宋" w:eastAsia="仿宋"/>
          <w:szCs w:val="21"/>
        </w:rPr>
        <w:t>按</w:t>
      </w:r>
      <w:r>
        <w:rPr>
          <w:rFonts w:ascii="仿宋" w:hAnsi="仿宋" w:eastAsia="仿宋"/>
          <w:szCs w:val="21"/>
        </w:rPr>
        <w:t>本公司《施工现场动用明火管理规定》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进行动火作业尚未造成后果的。</w:t>
      </w:r>
    </w:p>
    <w:p w14:paraId="006D65DB">
      <w:pPr>
        <w:snapToGrid w:val="0"/>
        <w:spacing w:line="360" w:lineRule="auto"/>
        <w:ind w:firstLine="480"/>
        <w:rPr>
          <w:rFonts w:ascii="仿宋" w:hAnsi="仿宋" w:eastAsia="仿宋"/>
          <w:szCs w:val="21"/>
        </w:rPr>
      </w:pPr>
      <w:r>
        <w:rPr>
          <w:rFonts w:ascii="仿宋" w:hAnsi="仿宋" w:eastAsia="仿宋"/>
          <w:szCs w:val="21"/>
        </w:rPr>
        <w:t>(3)施工区域内发生聚众斗殴、赌博、收看淫秽录像等影响工地治安秩序的违法行为及集体宿舍内违章男女混居的。</w:t>
      </w:r>
    </w:p>
    <w:p w14:paraId="3C13F6A7">
      <w:pPr>
        <w:snapToGrid w:val="0"/>
        <w:spacing w:line="360" w:lineRule="auto"/>
        <w:ind w:firstLine="480"/>
        <w:rPr>
          <w:rFonts w:ascii="仿宋" w:hAnsi="仿宋" w:eastAsia="仿宋"/>
          <w:szCs w:val="21"/>
        </w:rPr>
      </w:pPr>
      <w:r>
        <w:rPr>
          <w:rFonts w:ascii="仿宋" w:hAnsi="仿宋" w:eastAsia="仿宋"/>
          <w:szCs w:val="21"/>
        </w:rPr>
        <w:t>(4)违反《施工现场用电安全管理规定》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用电，擅自使用电炉、煤油炉、电热毯、电</w:t>
      </w:r>
      <w:r>
        <w:rPr>
          <w:rFonts w:hint="eastAsia" w:ascii="仿宋" w:hAnsi="仿宋" w:eastAsia="仿宋"/>
          <w:szCs w:val="21"/>
        </w:rPr>
        <w:t>熨</w:t>
      </w:r>
      <w:r>
        <w:rPr>
          <w:rFonts w:ascii="仿宋" w:hAnsi="仿宋" w:eastAsia="仿宋"/>
          <w:szCs w:val="21"/>
        </w:rPr>
        <w:t>斗等及带有明火的各类电取热器，或擅自使用高能耗灯具取暖、烘烤物品及在禁火区域内违章吸烟的。</w:t>
      </w:r>
    </w:p>
    <w:p w14:paraId="5D1AE7F7">
      <w:pPr>
        <w:snapToGrid w:val="0"/>
        <w:spacing w:line="360" w:lineRule="auto"/>
        <w:ind w:firstLine="480"/>
        <w:rPr>
          <w:rFonts w:ascii="仿宋" w:hAnsi="仿宋" w:eastAsia="仿宋"/>
          <w:szCs w:val="21"/>
        </w:rPr>
      </w:pPr>
      <w:r>
        <w:rPr>
          <w:rFonts w:ascii="仿宋" w:hAnsi="仿宋" w:eastAsia="仿宋"/>
          <w:szCs w:val="21"/>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w:t>
      </w:r>
      <w:r>
        <w:rPr>
          <w:rFonts w:hint="eastAsia" w:ascii="仿宋" w:hAnsi="仿宋" w:eastAsia="仿宋"/>
          <w:szCs w:val="21"/>
        </w:rPr>
        <w:t>至</w:t>
      </w:r>
      <w:r>
        <w:rPr>
          <w:rFonts w:ascii="仿宋" w:hAnsi="仿宋" w:eastAsia="仿宋"/>
          <w:szCs w:val="21"/>
        </w:rPr>
        <w:t>50000元的一次性责任违约经济处理。</w:t>
      </w:r>
    </w:p>
    <w:p w14:paraId="40EEBACC">
      <w:pPr>
        <w:snapToGrid w:val="0"/>
        <w:spacing w:line="360" w:lineRule="auto"/>
        <w:ind w:firstLine="480"/>
        <w:rPr>
          <w:rFonts w:ascii="仿宋" w:hAnsi="仿宋" w:eastAsia="仿宋"/>
          <w:szCs w:val="21"/>
        </w:rPr>
      </w:pPr>
      <w:r>
        <w:rPr>
          <w:rFonts w:ascii="仿宋" w:hAnsi="仿宋" w:eastAsia="仿宋"/>
          <w:szCs w:val="21"/>
        </w:rPr>
        <w:t>6．发包人对承包人的责任违约经济处理，由发包人开具书面通知单给承包人认可。处理款从承包人工程款中直接扣除。</w:t>
      </w:r>
    </w:p>
    <w:p w14:paraId="219744C7">
      <w:pPr>
        <w:snapToGrid w:val="0"/>
        <w:spacing w:line="360" w:lineRule="auto"/>
        <w:ind w:firstLine="480"/>
        <w:rPr>
          <w:rFonts w:ascii="仿宋" w:hAnsi="仿宋" w:eastAsia="仿宋"/>
          <w:szCs w:val="21"/>
        </w:rPr>
      </w:pPr>
      <w:r>
        <w:rPr>
          <w:rFonts w:ascii="仿宋" w:hAnsi="仿宋" w:eastAsia="仿宋"/>
          <w:szCs w:val="21"/>
        </w:rPr>
        <w:t>7．根据整个工地治安防范的需要，如确需增设或外聘警卫值勤人员时，发包人可按“协商、集中”的原则决定实施方案，其费用发包人按实际需要由涉及到的各施工单位分担，承包人不得推委。</w:t>
      </w:r>
    </w:p>
    <w:p w14:paraId="0A1D63ED">
      <w:pPr>
        <w:snapToGrid w:val="0"/>
        <w:spacing w:line="360" w:lineRule="auto"/>
        <w:ind w:firstLine="480"/>
        <w:rPr>
          <w:rFonts w:ascii="仿宋" w:hAnsi="仿宋" w:eastAsia="仿宋"/>
          <w:szCs w:val="21"/>
        </w:rPr>
      </w:pPr>
      <w:r>
        <w:rPr>
          <w:rFonts w:ascii="仿宋" w:hAnsi="仿宋" w:eastAsia="仿宋"/>
          <w:szCs w:val="21"/>
        </w:rPr>
        <w:t>二、承包人的权利和义务</w:t>
      </w:r>
    </w:p>
    <w:p w14:paraId="5ABA83D8">
      <w:pPr>
        <w:snapToGrid w:val="0"/>
        <w:spacing w:line="360" w:lineRule="auto"/>
        <w:ind w:firstLine="480"/>
        <w:rPr>
          <w:rFonts w:ascii="仿宋" w:hAnsi="仿宋" w:eastAsia="仿宋"/>
          <w:szCs w:val="21"/>
        </w:rPr>
      </w:pPr>
      <w:r>
        <w:rPr>
          <w:rFonts w:ascii="仿宋" w:hAnsi="仿宋" w:eastAsia="仿宋"/>
          <w:szCs w:val="21"/>
        </w:rPr>
        <w:t>1．承包人在进入工地后，应及时明确落实工地治安、防火第一责任人专</w:t>
      </w:r>
      <w:r>
        <w:rPr>
          <w:rFonts w:hint="eastAsia" w:ascii="仿宋" w:hAnsi="仿宋" w:eastAsia="仿宋"/>
          <w:szCs w:val="21"/>
        </w:rPr>
        <w:t>（</w:t>
      </w:r>
      <w:r>
        <w:rPr>
          <w:rFonts w:ascii="仿宋" w:hAnsi="仿宋" w:eastAsia="仿宋"/>
          <w:szCs w:val="21"/>
        </w:rPr>
        <w:t>兼</w:t>
      </w:r>
      <w:r>
        <w:rPr>
          <w:rFonts w:hint="eastAsia" w:ascii="仿宋" w:hAnsi="仿宋" w:eastAsia="仿宋"/>
          <w:szCs w:val="21"/>
        </w:rPr>
        <w:t>）</w:t>
      </w:r>
      <w:r>
        <w:rPr>
          <w:rFonts w:ascii="仿宋" w:hAnsi="仿宋" w:eastAsia="仿宋"/>
          <w:szCs w:val="21"/>
        </w:rPr>
        <w:t>职保卫消防干部及治安保卫组织网络，书面报发包人备案。</w:t>
      </w:r>
    </w:p>
    <w:p w14:paraId="2017A7DC">
      <w:pPr>
        <w:snapToGrid w:val="0"/>
        <w:spacing w:line="360" w:lineRule="auto"/>
        <w:ind w:firstLine="480"/>
        <w:rPr>
          <w:rFonts w:ascii="仿宋" w:hAnsi="仿宋" w:eastAsia="仿宋"/>
          <w:szCs w:val="21"/>
        </w:rPr>
      </w:pPr>
      <w:r>
        <w:rPr>
          <w:rFonts w:ascii="仿宋" w:hAnsi="仿宋" w:eastAsia="仿宋"/>
          <w:szCs w:val="21"/>
        </w:rPr>
        <w:t>2．承包人在施工期间必须遵守、执行国家和本市颁布的治安、消防方面的法律、法规，认真落实发包人制定的《施工现场治安防火工作管理规范</w:t>
      </w:r>
      <w:r>
        <w:rPr>
          <w:rFonts w:hint="eastAsia" w:ascii="仿宋" w:hAnsi="仿宋" w:eastAsia="仿宋"/>
          <w:szCs w:val="21"/>
        </w:rPr>
        <w:t>》，</w:t>
      </w:r>
      <w:r>
        <w:rPr>
          <w:rFonts w:ascii="仿宋" w:hAnsi="仿宋" w:eastAsia="仿宋"/>
          <w:szCs w:val="21"/>
        </w:rPr>
        <w:t>服从管理，对本责任区域内的治安稳定、防火安全，实施全面负责，确保不发生重大治安、刑事案件和火灾事故。</w:t>
      </w:r>
    </w:p>
    <w:p w14:paraId="010C055A">
      <w:pPr>
        <w:snapToGrid w:val="0"/>
        <w:spacing w:line="360" w:lineRule="auto"/>
        <w:ind w:firstLine="480"/>
        <w:rPr>
          <w:rFonts w:ascii="仿宋" w:hAnsi="仿宋" w:eastAsia="仿宋"/>
          <w:szCs w:val="21"/>
        </w:rPr>
      </w:pPr>
      <w:r>
        <w:rPr>
          <w:rFonts w:ascii="仿宋" w:hAnsi="仿宋" w:eastAsia="仿宋"/>
          <w:szCs w:val="21"/>
        </w:rPr>
        <w:t>3．承包人的治安防火工作，除接受其上级主管单位的领导外，还应主动接受上海城市轨道交通公安分局和发包人的业务指导、督促、检查。对公安机关和发包人布置的</w:t>
      </w:r>
      <w:r>
        <w:rPr>
          <w:rFonts w:hint="eastAsia" w:ascii="仿宋" w:hAnsi="仿宋" w:eastAsia="仿宋"/>
          <w:szCs w:val="21"/>
        </w:rPr>
        <w:t>“</w:t>
      </w:r>
      <w:r>
        <w:rPr>
          <w:rFonts w:ascii="仿宋" w:hAnsi="仿宋" w:eastAsia="仿宋"/>
          <w:szCs w:val="21"/>
        </w:rPr>
        <w:t>创建治安合格工地</w:t>
      </w:r>
      <w:r>
        <w:rPr>
          <w:rFonts w:hint="eastAsia" w:ascii="仿宋" w:hAnsi="仿宋" w:eastAsia="仿宋"/>
          <w:szCs w:val="21"/>
        </w:rPr>
        <w:t>”</w:t>
      </w:r>
      <w:r>
        <w:rPr>
          <w:rFonts w:ascii="仿宋" w:hAnsi="仿宋" w:eastAsia="仿宋"/>
          <w:szCs w:val="21"/>
        </w:rPr>
        <w:t>等工作，要积极地贯彻执行，对公安部门和发包人在检查中查获的各类隐患问题，应在规定的期限内组织整改或采取相应的防范措施，确保安全。</w:t>
      </w:r>
    </w:p>
    <w:p w14:paraId="6A05A869">
      <w:pPr>
        <w:snapToGrid w:val="0"/>
        <w:spacing w:line="360" w:lineRule="auto"/>
        <w:ind w:firstLine="480"/>
        <w:rPr>
          <w:rFonts w:ascii="仿宋" w:hAnsi="仿宋" w:eastAsia="仿宋"/>
          <w:szCs w:val="21"/>
        </w:rPr>
      </w:pPr>
      <w:r>
        <w:rPr>
          <w:rFonts w:ascii="仿宋" w:hAnsi="仿宋" w:eastAsia="仿宋"/>
          <w:szCs w:val="21"/>
        </w:rPr>
        <w:t>4．一旦工地上发生治安、刑事案件或火灾事故，承包人应在积极处置、保护现场的同时，立即向公安部门和发包人报告，接受调查、处理。所造成(包括对发包人)的损失，由承包人承担。</w:t>
      </w:r>
    </w:p>
    <w:p w14:paraId="076C9FD9">
      <w:pPr>
        <w:snapToGrid w:val="0"/>
        <w:spacing w:line="360" w:lineRule="auto"/>
        <w:ind w:firstLine="480"/>
        <w:rPr>
          <w:rFonts w:ascii="仿宋" w:hAnsi="仿宋" w:eastAsia="仿宋"/>
          <w:szCs w:val="21"/>
        </w:rPr>
      </w:pPr>
      <w:r>
        <w:rPr>
          <w:rFonts w:ascii="仿宋" w:hAnsi="仿宋" w:eastAsia="仿宋"/>
          <w:szCs w:val="21"/>
        </w:rPr>
        <w:t>5．承包人对因违章违法行为所受的责任违约经济处理有异议的，可提出申诉，要求复议。如发现发包人工作人员在工作中有滥用职权、营私舞弊、有意刁难等违法行为的，有权向发包人领导或有关机关检举揭发，要求处理。</w:t>
      </w:r>
    </w:p>
    <w:p w14:paraId="56F3FB19">
      <w:pPr>
        <w:snapToGrid w:val="0"/>
        <w:spacing w:line="360" w:lineRule="auto"/>
        <w:ind w:firstLine="480"/>
        <w:rPr>
          <w:rFonts w:ascii="仿宋" w:hAnsi="仿宋" w:eastAsia="仿宋"/>
          <w:szCs w:val="21"/>
        </w:rPr>
      </w:pPr>
      <w:r>
        <w:rPr>
          <w:rFonts w:ascii="仿宋" w:hAnsi="仿宋" w:eastAsia="仿宋"/>
          <w:szCs w:val="21"/>
        </w:rPr>
        <w:t>6.  承包人应该接受发包人安保部门的监督、检查和指导，积极落实发包方安保部门发出的整改指令。</w:t>
      </w:r>
    </w:p>
    <w:p w14:paraId="6F63DF8B">
      <w:pPr>
        <w:snapToGrid w:val="0"/>
        <w:spacing w:line="360" w:lineRule="auto"/>
        <w:ind w:firstLine="480"/>
        <w:rPr>
          <w:rFonts w:ascii="仿宋" w:hAnsi="仿宋" w:eastAsia="仿宋"/>
          <w:szCs w:val="21"/>
        </w:rPr>
      </w:pPr>
      <w:r>
        <w:rPr>
          <w:rFonts w:ascii="仿宋" w:hAnsi="仿宋" w:eastAsia="仿宋"/>
          <w:szCs w:val="21"/>
        </w:rPr>
        <w:t>三、其他</w:t>
      </w:r>
    </w:p>
    <w:p w14:paraId="058F9DBF">
      <w:pPr>
        <w:snapToGrid w:val="0"/>
        <w:spacing w:line="360" w:lineRule="auto"/>
        <w:ind w:firstLine="480"/>
        <w:rPr>
          <w:rFonts w:ascii="仿宋" w:hAnsi="仿宋" w:eastAsia="仿宋"/>
          <w:szCs w:val="21"/>
        </w:rPr>
      </w:pPr>
      <w:r>
        <w:rPr>
          <w:rFonts w:ascii="仿宋" w:hAnsi="仿宋" w:eastAsia="仿宋"/>
          <w:szCs w:val="21"/>
        </w:rPr>
        <w:t>1．本协议中未涉及到的有关条款，甲乙双方可根据需要协商补充修改。如遇有与国家和本市的有关部门法规不符的应按国家和本市的有关规定执行。</w:t>
      </w:r>
    </w:p>
    <w:p w14:paraId="0B9615DE">
      <w:pPr>
        <w:snapToGrid w:val="0"/>
        <w:spacing w:line="360" w:lineRule="auto"/>
        <w:ind w:firstLine="480"/>
        <w:rPr>
          <w:rFonts w:ascii="仿宋" w:hAnsi="仿宋" w:eastAsia="仿宋"/>
          <w:szCs w:val="21"/>
        </w:rPr>
      </w:pPr>
      <w:r>
        <w:rPr>
          <w:rFonts w:ascii="仿宋" w:hAnsi="仿宋" w:eastAsia="仿宋"/>
          <w:szCs w:val="21"/>
        </w:rPr>
        <w:t>2．本协议作为工程合同的附件在工程合同正式签约后生效，与工程合同具有同等法律效力。工程合同期满，本协议终止。</w:t>
      </w:r>
    </w:p>
    <w:p w14:paraId="5660B71C">
      <w:pPr>
        <w:snapToGrid w:val="0"/>
        <w:spacing w:line="360" w:lineRule="auto"/>
        <w:ind w:firstLine="480"/>
        <w:rPr>
          <w:rFonts w:ascii="仿宋" w:hAnsi="仿宋" w:eastAsia="仿宋"/>
          <w:szCs w:val="21"/>
        </w:rPr>
      </w:pPr>
    </w:p>
    <w:p w14:paraId="5ED7B3E9">
      <w:pPr>
        <w:snapToGrid w:val="0"/>
        <w:spacing w:line="360" w:lineRule="auto"/>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承包人：（盖章）</w:t>
      </w:r>
    </w:p>
    <w:p w14:paraId="01513CA3">
      <w:pPr>
        <w:snapToGrid w:val="0"/>
        <w:spacing w:line="360" w:lineRule="auto"/>
        <w:ind w:firstLine="480"/>
        <w:rPr>
          <w:rFonts w:ascii="仿宋" w:hAnsi="仿宋" w:eastAsia="仿宋"/>
          <w:szCs w:val="21"/>
        </w:rPr>
      </w:pPr>
    </w:p>
    <w:p w14:paraId="404D6B9E">
      <w:pPr>
        <w:snapToGrid w:val="0"/>
        <w:spacing w:line="360" w:lineRule="auto"/>
        <w:rPr>
          <w:rFonts w:hint="eastAsia" w:ascii="仿宋" w:hAnsi="仿宋" w:eastAsia="仿宋"/>
          <w:szCs w:val="21"/>
          <w:lang w:eastAsia="zh-CN"/>
        </w:rPr>
      </w:pPr>
      <w:r>
        <w:rPr>
          <w:rFonts w:ascii="仿宋" w:hAnsi="仿宋" w:eastAsia="仿宋"/>
          <w:szCs w:val="21"/>
        </w:rPr>
        <w:t xml:space="preserve">法定代表人：                      </w:t>
      </w:r>
      <w:r>
        <w:rPr>
          <w:rFonts w:hint="eastAsia" w:ascii="仿宋" w:hAnsi="仿宋" w:eastAsia="仿宋"/>
          <w:szCs w:val="21"/>
        </w:rPr>
        <w:t xml:space="preserve">             </w:t>
      </w:r>
      <w:r>
        <w:rPr>
          <w:rFonts w:ascii="仿宋" w:hAnsi="仿宋" w:eastAsia="仿宋"/>
          <w:szCs w:val="21"/>
        </w:rPr>
        <w:t xml:space="preserve"> 法定代表人：</w:t>
      </w:r>
    </w:p>
    <w:p w14:paraId="4B08840D">
      <w:pPr>
        <w:snapToGrid w:val="0"/>
        <w:spacing w:line="360" w:lineRule="auto"/>
        <w:ind w:firstLine="480"/>
        <w:rPr>
          <w:rFonts w:ascii="Times New Roman" w:hAnsi="Times New Roman"/>
          <w:szCs w:val="20"/>
        </w:rPr>
      </w:pPr>
    </w:p>
    <w:p w14:paraId="706346DB">
      <w:pPr>
        <w:snapToGrid w:val="0"/>
        <w:spacing w:line="360" w:lineRule="auto"/>
        <w:rPr>
          <w:rFonts w:hint="eastAsia" w:ascii="仿宋" w:hAnsi="仿宋" w:eastAsia="仿宋" w:cs="仿宋"/>
          <w:szCs w:val="21"/>
        </w:rPr>
      </w:pPr>
      <w:r>
        <w:rPr>
          <w:rFonts w:hint="eastAsia" w:ascii="仿宋" w:hAnsi="仿宋" w:eastAsia="仿宋" w:cs="仿宋"/>
          <w:szCs w:val="20"/>
        </w:rPr>
        <w:t>签约日期：</w:t>
      </w:r>
      <w:r>
        <w:rPr>
          <w:rFonts w:hint="eastAsia" w:ascii="仿宋" w:hAnsi="仿宋" w:eastAsia="仿宋"/>
          <w:szCs w:val="21"/>
          <w:lang w:val="en-US" w:eastAsia="zh-CN"/>
        </w:rPr>
        <w:t xml:space="preserve"> 年 月 日</w:t>
      </w:r>
      <w:r>
        <w:rPr>
          <w:rFonts w:hint="eastAsia" w:ascii="仿宋" w:hAnsi="仿宋" w:eastAsia="仿宋" w:cs="仿宋"/>
          <w:szCs w:val="20"/>
        </w:rPr>
        <w:t xml:space="preserve">                         签约日期：</w:t>
      </w:r>
      <w:r>
        <w:rPr>
          <w:rFonts w:hint="eastAsia" w:ascii="仿宋" w:hAnsi="仿宋" w:eastAsia="仿宋"/>
          <w:szCs w:val="21"/>
          <w:lang w:val="en-US" w:eastAsia="zh-CN"/>
        </w:rPr>
        <w:t xml:space="preserve"> 年 月 日</w:t>
      </w:r>
    </w:p>
    <w:p w14:paraId="55A0C72C">
      <w:pPr>
        <w:spacing w:line="360" w:lineRule="auto"/>
        <w:ind w:firstLine="308" w:firstLineChars="147"/>
      </w:pPr>
    </w:p>
    <w:p w14:paraId="44B38294">
      <w:pPr>
        <w:numPr>
          <w:ilvl w:val="0"/>
          <w:numId w:val="0"/>
        </w:numPr>
        <w:spacing w:line="360" w:lineRule="auto"/>
        <w:ind w:leftChars="0"/>
        <w:rPr>
          <w:rFonts w:hint="eastAsia"/>
          <w:color w:val="auto"/>
          <w:sz w:val="24"/>
          <w:highlight w:val="none"/>
        </w:rPr>
      </w:pPr>
      <w:r>
        <w:rPr>
          <w:rFonts w:hint="eastAsia" w:ascii="宋体" w:hAnsi="宋体" w:cs="宋体"/>
          <w:b/>
          <w:bCs/>
          <w:sz w:val="28"/>
          <w:szCs w:val="28"/>
          <w:highlight w:val="none"/>
          <w:lang w:val="en-US" w:eastAsia="zh-CN"/>
        </w:rPr>
        <w:t>注：</w:t>
      </w:r>
      <w:r>
        <w:rPr>
          <w:rFonts w:hint="eastAsia" w:ascii="宋体" w:hAnsi="宋体" w:cs="宋体"/>
          <w:b/>
          <w:bCs/>
          <w:color w:val="auto"/>
          <w:sz w:val="28"/>
          <w:szCs w:val="28"/>
          <w:lang w:eastAsia="zh-CN"/>
        </w:rPr>
        <w:t>本项目</w:t>
      </w:r>
      <w:r>
        <w:rPr>
          <w:rFonts w:hint="eastAsia" w:ascii="宋体" w:hAnsi="宋体" w:cs="宋体"/>
          <w:b/>
          <w:bCs/>
          <w:color w:val="auto"/>
          <w:sz w:val="28"/>
          <w:szCs w:val="28"/>
        </w:rPr>
        <w:t>合同参考</w:t>
      </w:r>
      <w:r>
        <w:rPr>
          <w:rFonts w:hint="eastAsia" w:ascii="宋体" w:hAnsi="宋体" w:cs="宋体"/>
          <w:b/>
          <w:bCs/>
          <w:color w:val="auto"/>
          <w:sz w:val="28"/>
          <w:szCs w:val="28"/>
          <w:lang w:eastAsia="zh-CN"/>
        </w:rPr>
        <w:t>建设工程施工合同(示范文本)(GF-2017-0201)</w:t>
      </w:r>
      <w:r>
        <w:rPr>
          <w:rFonts w:hint="eastAsia" w:ascii="宋体" w:hAnsi="宋体" w:cs="宋体"/>
          <w:b/>
          <w:bCs/>
          <w:color w:val="auto"/>
          <w:sz w:val="28"/>
          <w:szCs w:val="28"/>
        </w:rPr>
        <w:t>，具体以书面签订合同为准</w:t>
      </w:r>
      <w:r>
        <w:rPr>
          <w:rFonts w:hint="eastAsia" w:ascii="宋体" w:hAnsi="宋体" w:cs="宋体"/>
          <w:b/>
          <w:bCs/>
          <w:sz w:val="28"/>
          <w:szCs w:val="28"/>
          <w:highlight w:val="none"/>
          <w:lang w:val="en-US" w:eastAsia="zh-CN"/>
        </w:rPr>
        <w:t>。</w:t>
      </w:r>
    </w:p>
    <w:p w14:paraId="511436ED">
      <w:pPr>
        <w:spacing w:line="360" w:lineRule="auto"/>
        <w:rPr>
          <w:rFonts w:ascii="宋体"/>
          <w:szCs w:val="21"/>
        </w:rPr>
      </w:pPr>
    </w:p>
    <w:p w14:paraId="7FD06E61">
      <w:pPr>
        <w:spacing w:line="360" w:lineRule="auto"/>
        <w:ind w:left="720"/>
        <w:rPr>
          <w:rFonts w:ascii="宋体" w:cs="宋体"/>
          <w:szCs w:val="21"/>
        </w:rPr>
      </w:pPr>
    </w:p>
    <w:p w14:paraId="457051B9">
      <w:pPr>
        <w:spacing w:line="360" w:lineRule="auto"/>
        <w:ind w:left="720"/>
        <w:rPr>
          <w:rFonts w:ascii="宋体" w:cs="宋体"/>
          <w:szCs w:val="21"/>
        </w:rPr>
      </w:pPr>
    </w:p>
    <w:p w14:paraId="19AD59B0">
      <w:pPr>
        <w:spacing w:line="360" w:lineRule="auto"/>
        <w:ind w:left="720"/>
        <w:rPr>
          <w:rFonts w:ascii="宋体" w:cs="宋体"/>
          <w:szCs w:val="21"/>
        </w:rPr>
      </w:pPr>
    </w:p>
    <w:p w14:paraId="0FEA5A81">
      <w:pPr>
        <w:spacing w:line="360" w:lineRule="auto"/>
        <w:ind w:left="720"/>
        <w:rPr>
          <w:rFonts w:ascii="宋体" w:cs="宋体"/>
          <w:szCs w:val="21"/>
        </w:rPr>
      </w:pPr>
    </w:p>
    <w:p w14:paraId="34B61BB3">
      <w:pPr>
        <w:spacing w:line="360" w:lineRule="auto"/>
        <w:rPr>
          <w:rFonts w:ascii="宋体" w:cs="宋体"/>
          <w:szCs w:val="21"/>
        </w:rPr>
      </w:pPr>
    </w:p>
    <w:p w14:paraId="456A2E74">
      <w:pPr>
        <w:spacing w:line="360" w:lineRule="auto"/>
        <w:ind w:left="720"/>
        <w:rPr>
          <w:rFonts w:ascii="宋体" w:cs="宋体"/>
          <w:szCs w:val="21"/>
        </w:rPr>
      </w:pPr>
    </w:p>
    <w:p w14:paraId="5FE0AC37">
      <w:pPr>
        <w:pStyle w:val="2"/>
        <w:spacing w:before="0" w:after="0" w:line="360" w:lineRule="auto"/>
        <w:jc w:val="center"/>
        <w:rPr>
          <w:rFonts w:hint="eastAsia" w:ascii="宋体" w:hAnsi="宋体" w:eastAsia="宋体"/>
          <w:sz w:val="32"/>
          <w:szCs w:val="32"/>
          <w:highlight w:val="yellow"/>
          <w:lang w:eastAsia="zh-CN"/>
        </w:rPr>
      </w:pPr>
      <w:bookmarkStart w:id="593" w:name="_Toc13436"/>
      <w:r>
        <w:rPr>
          <w:rFonts w:hint="eastAsia" w:ascii="宋体" w:hAnsi="宋体"/>
          <w:sz w:val="32"/>
          <w:szCs w:val="32"/>
        </w:rPr>
        <w:br w:type="page"/>
      </w:r>
      <w:r>
        <w:rPr>
          <w:rFonts w:hint="eastAsia" w:ascii="宋体" w:hAnsi="宋体"/>
          <w:sz w:val="32"/>
          <w:szCs w:val="32"/>
        </w:rPr>
        <w:t>第六章</w:t>
      </w:r>
      <w:r>
        <w:rPr>
          <w:rFonts w:hint="eastAsia" w:ascii="宋体" w:hAnsi="宋体"/>
          <w:sz w:val="32"/>
          <w:szCs w:val="32"/>
          <w:lang w:val="en-US" w:eastAsia="zh-CN"/>
        </w:rPr>
        <w:t xml:space="preserve">  </w:t>
      </w:r>
      <w:r>
        <w:rPr>
          <w:rFonts w:hint="eastAsia" w:ascii="宋体" w:hAnsi="宋体"/>
          <w:sz w:val="32"/>
          <w:szCs w:val="32"/>
        </w:rPr>
        <w:t>工程量清单</w:t>
      </w:r>
      <w:bookmarkEnd w:id="593"/>
      <w:r>
        <w:rPr>
          <w:rFonts w:hint="eastAsia" w:ascii="宋体" w:hAnsi="宋体"/>
          <w:sz w:val="32"/>
          <w:szCs w:val="32"/>
          <w:lang w:eastAsia="zh-CN"/>
        </w:rPr>
        <w:t>及技术要求</w:t>
      </w:r>
    </w:p>
    <w:p w14:paraId="02FC45AB"/>
    <w:p w14:paraId="482FB841"/>
    <w:p w14:paraId="67E5C87D">
      <w:pPr>
        <w:jc w:val="center"/>
        <w:rPr>
          <w:rFonts w:hint="eastAsia" w:ascii="宋体" w:hAnsi="宋体" w:cs="宋体"/>
          <w:b/>
          <w:bCs/>
          <w:sz w:val="32"/>
          <w:szCs w:val="32"/>
          <w:lang w:eastAsia="zh-CN"/>
        </w:rPr>
      </w:pPr>
    </w:p>
    <w:p w14:paraId="36FA5306">
      <w:pPr>
        <w:jc w:val="center"/>
        <w:rPr>
          <w:rFonts w:hint="eastAsia" w:ascii="宋体" w:hAnsi="宋体" w:cs="宋体"/>
          <w:b/>
          <w:bCs/>
          <w:sz w:val="32"/>
          <w:szCs w:val="32"/>
          <w:lang w:eastAsia="zh-CN"/>
        </w:rPr>
      </w:pPr>
    </w:p>
    <w:p w14:paraId="5DAB4B34">
      <w:pPr>
        <w:jc w:val="center"/>
        <w:rPr>
          <w:rFonts w:hint="eastAsia" w:ascii="宋体" w:hAnsi="宋体" w:cs="宋体"/>
          <w:b/>
          <w:bCs/>
          <w:sz w:val="32"/>
          <w:szCs w:val="32"/>
          <w:lang w:eastAsia="zh-CN"/>
        </w:rPr>
      </w:pPr>
    </w:p>
    <w:p w14:paraId="737F5956">
      <w:pPr>
        <w:jc w:val="both"/>
        <w:rPr>
          <w:rFonts w:hint="eastAsia" w:ascii="宋体" w:hAnsi="宋体" w:cs="宋体"/>
          <w:b/>
          <w:bCs/>
          <w:sz w:val="32"/>
          <w:szCs w:val="32"/>
          <w:lang w:eastAsia="zh-CN"/>
        </w:rPr>
      </w:pPr>
    </w:p>
    <w:p w14:paraId="1289D3EC">
      <w:pPr>
        <w:jc w:val="center"/>
        <w:rPr>
          <w:rFonts w:hint="eastAsia" w:ascii="宋体" w:hAnsi="宋体" w:cs="宋体"/>
          <w:b/>
          <w:bCs/>
          <w:sz w:val="32"/>
          <w:szCs w:val="32"/>
          <w:lang w:eastAsia="zh-CN"/>
        </w:rPr>
      </w:pPr>
    </w:p>
    <w:p w14:paraId="5632DDCB">
      <w:pPr>
        <w:jc w:val="center"/>
        <w:rPr>
          <w:rFonts w:hint="eastAsia" w:ascii="宋体" w:hAnsi="宋体" w:cs="宋体"/>
          <w:b/>
          <w:bCs/>
          <w:sz w:val="32"/>
          <w:szCs w:val="32"/>
          <w:lang w:eastAsia="zh-CN"/>
        </w:rPr>
      </w:pPr>
    </w:p>
    <w:p w14:paraId="0436F925">
      <w:pPr>
        <w:jc w:val="center"/>
        <w:rPr>
          <w:rFonts w:hint="eastAsia" w:ascii="宋体" w:hAnsi="宋体" w:cs="宋体"/>
          <w:b/>
          <w:bCs/>
          <w:sz w:val="32"/>
          <w:szCs w:val="32"/>
        </w:rPr>
      </w:pPr>
      <w:r>
        <w:rPr>
          <w:rFonts w:hint="eastAsia" w:ascii="宋体" w:hAnsi="宋体" w:cs="宋体"/>
          <w:b/>
          <w:bCs/>
          <w:sz w:val="32"/>
          <w:szCs w:val="32"/>
          <w:lang w:eastAsia="zh-CN"/>
        </w:rPr>
        <w:t>工程量清单</w:t>
      </w:r>
      <w:r>
        <w:rPr>
          <w:rFonts w:hint="eastAsia" w:ascii="宋体" w:hAnsi="宋体" w:cs="宋体"/>
          <w:b/>
          <w:bCs/>
          <w:sz w:val="32"/>
          <w:szCs w:val="32"/>
        </w:rPr>
        <w:t>（另附）</w:t>
      </w:r>
    </w:p>
    <w:p w14:paraId="1768A0A1">
      <w:pPr>
        <w:pStyle w:val="57"/>
        <w:rPr>
          <w:rFonts w:hint="eastAsia" w:ascii="宋体" w:hAnsi="宋体" w:cs="宋体"/>
          <w:b/>
          <w:bCs/>
          <w:sz w:val="32"/>
          <w:szCs w:val="32"/>
        </w:rPr>
      </w:pPr>
    </w:p>
    <w:p w14:paraId="1776B63D">
      <w:pPr>
        <w:pStyle w:val="17"/>
        <w:jc w:val="center"/>
        <w:rPr>
          <w:rFonts w:hint="eastAsia" w:ascii="宋体" w:hAnsi="宋体" w:cs="宋体"/>
          <w:b/>
          <w:bCs/>
          <w:sz w:val="32"/>
          <w:szCs w:val="32"/>
          <w:lang w:eastAsia="zh-CN"/>
        </w:rPr>
      </w:pPr>
    </w:p>
    <w:p w14:paraId="434D4C13">
      <w:pPr>
        <w:pStyle w:val="17"/>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图纸（另附）</w:t>
      </w:r>
    </w:p>
    <w:p w14:paraId="1B0183F8">
      <w:pPr>
        <w:pStyle w:val="18"/>
        <w:rPr>
          <w:rFonts w:hint="eastAsia" w:ascii="宋体" w:hAnsi="宋体" w:cs="宋体"/>
          <w:b/>
          <w:bCs/>
          <w:sz w:val="32"/>
          <w:szCs w:val="32"/>
        </w:rPr>
      </w:pPr>
    </w:p>
    <w:p w14:paraId="375B7D92">
      <w:pPr>
        <w:spacing w:line="360" w:lineRule="auto"/>
        <w:rPr>
          <w:rFonts w:hint="eastAsia" w:ascii="宋体" w:hAnsi="宋体" w:eastAsia="宋体" w:cs="宋体"/>
          <w:b w:val="0"/>
          <w:bCs w:val="0"/>
          <w:color w:val="auto"/>
          <w:sz w:val="24"/>
          <w:szCs w:val="24"/>
          <w:highlight w:val="none"/>
          <w:lang w:val="en-US" w:eastAsia="zh-CN"/>
        </w:rPr>
      </w:pPr>
    </w:p>
    <w:p w14:paraId="5E30E7CF">
      <w:pPr>
        <w:pStyle w:val="18"/>
        <w:jc w:val="center"/>
        <w:rPr>
          <w:rFonts w:hint="eastAsia" w:ascii="宋体" w:hAnsi="宋体" w:cs="宋体"/>
          <w:b/>
          <w:bCs/>
          <w:sz w:val="32"/>
          <w:szCs w:val="32"/>
          <w:lang w:eastAsia="zh-CN"/>
        </w:rPr>
      </w:pPr>
    </w:p>
    <w:p w14:paraId="6E61210A">
      <w:pPr>
        <w:pStyle w:val="18"/>
        <w:jc w:val="center"/>
        <w:rPr>
          <w:rFonts w:hint="eastAsia" w:ascii="宋体" w:hAnsi="宋体" w:cs="宋体"/>
          <w:b/>
          <w:bCs/>
          <w:sz w:val="32"/>
          <w:szCs w:val="32"/>
          <w:lang w:eastAsia="zh-CN"/>
        </w:rPr>
        <w:sectPr>
          <w:footerReference r:id="rId10" w:type="default"/>
          <w:pgSz w:w="11906" w:h="16838"/>
          <w:pgMar w:top="1418" w:right="1531" w:bottom="1418" w:left="1554" w:header="851" w:footer="680" w:gutter="0"/>
          <w:pgNumType w:fmt="numberInDash"/>
          <w:cols w:space="720" w:num="1"/>
          <w:titlePg/>
          <w:docGrid w:linePitch="312" w:charSpace="0"/>
        </w:sectPr>
      </w:pPr>
    </w:p>
    <w:p w14:paraId="1E627610">
      <w:pPr>
        <w:pStyle w:val="2"/>
        <w:spacing w:line="360" w:lineRule="auto"/>
        <w:jc w:val="center"/>
        <w:rPr>
          <w:rFonts w:ascii="宋体"/>
          <w:sz w:val="32"/>
          <w:szCs w:val="32"/>
        </w:rPr>
      </w:pPr>
      <w:bookmarkStart w:id="594" w:name="_Toc22797"/>
      <w:r>
        <w:rPr>
          <w:rFonts w:hint="eastAsia" w:ascii="宋体" w:hAnsi="宋体"/>
          <w:sz w:val="32"/>
          <w:szCs w:val="32"/>
        </w:rPr>
        <w:t>第七章</w:t>
      </w:r>
      <w:r>
        <w:rPr>
          <w:rFonts w:hint="eastAsia" w:ascii="宋体" w:hAnsi="宋体"/>
          <w:sz w:val="32"/>
          <w:szCs w:val="32"/>
          <w:lang w:val="en-US" w:eastAsia="zh-CN"/>
        </w:rPr>
        <w:t xml:space="preserve">  </w:t>
      </w:r>
      <w:r>
        <w:rPr>
          <w:rFonts w:hint="eastAsia" w:ascii="宋体" w:hAnsi="宋体"/>
          <w:sz w:val="32"/>
          <w:szCs w:val="32"/>
        </w:rPr>
        <w:t>磋商响应文件格式</w:t>
      </w:r>
      <w:bookmarkEnd w:id="594"/>
    </w:p>
    <w:p w14:paraId="4E63F1A6">
      <w:pPr>
        <w:spacing w:line="360" w:lineRule="auto"/>
        <w:ind w:firstLine="420" w:firstLineChars="200"/>
        <w:jc w:val="center"/>
        <w:rPr>
          <w:rFonts w:ascii="宋体" w:cs="宋体"/>
          <w:szCs w:val="21"/>
        </w:rPr>
      </w:pPr>
      <w:r>
        <w:rPr>
          <w:rFonts w:hint="eastAsia" w:ascii="宋体" w:hAnsi="宋体" w:cs="宋体"/>
          <w:szCs w:val="21"/>
        </w:rPr>
        <w:t>附件１　报价函（格式）</w:t>
      </w:r>
    </w:p>
    <w:p w14:paraId="0D26DB46">
      <w:pPr>
        <w:spacing w:line="360" w:lineRule="auto"/>
        <w:ind w:firstLine="420" w:firstLineChars="200"/>
        <w:rPr>
          <w:rFonts w:ascii="宋体" w:cs="宋体"/>
          <w:szCs w:val="21"/>
          <w:u w:val="single"/>
        </w:rPr>
      </w:pPr>
      <w:r>
        <w:rPr>
          <w:rFonts w:hint="eastAsia" w:ascii="宋体" w:hAnsi="宋体" w:cs="宋体"/>
          <w:szCs w:val="21"/>
        </w:rPr>
        <w:t>致：</w:t>
      </w:r>
    </w:p>
    <w:p w14:paraId="063F3A07">
      <w:pPr>
        <w:spacing w:line="360" w:lineRule="auto"/>
        <w:ind w:firstLine="420" w:firstLineChars="200"/>
        <w:rPr>
          <w:rFonts w:ascii="宋体" w:cs="宋体"/>
          <w:szCs w:val="21"/>
        </w:rPr>
      </w:pPr>
      <w:r>
        <w:rPr>
          <w:rFonts w:hint="eastAsia" w:ascii="宋体" w:hAnsi="宋体" w:cs="宋体"/>
          <w:szCs w:val="21"/>
        </w:rPr>
        <w:t>我单位收到贵公司</w:t>
      </w:r>
      <w:r>
        <w:rPr>
          <w:rFonts w:hint="eastAsia" w:ascii="宋体" w:hAnsi="宋体" w:cs="宋体"/>
          <w:szCs w:val="21"/>
          <w:u w:val="single"/>
        </w:rPr>
        <w:t>　（项目名称、编号）　　　　　　　</w:t>
      </w:r>
      <w:r>
        <w:rPr>
          <w:rFonts w:hint="eastAsia" w:ascii="宋体" w:hAnsi="宋体" w:cs="宋体"/>
          <w:szCs w:val="21"/>
        </w:rPr>
        <w:t>竞争性磋商文件，经详细研究，我们决定参加组织</w:t>
      </w:r>
      <w:r>
        <w:rPr>
          <w:rFonts w:hint="eastAsia" w:ascii="宋体" w:hAnsi="宋体" w:cs="宋体"/>
          <w:szCs w:val="21"/>
          <w:u w:val="single"/>
        </w:rPr>
        <w:t>　　　　　　　　　　　　　　</w:t>
      </w:r>
      <w:r>
        <w:rPr>
          <w:rFonts w:hint="eastAsia" w:ascii="宋体" w:hAnsi="宋体" w:cs="宋体"/>
          <w:szCs w:val="21"/>
        </w:rPr>
        <w:t>项目（编号为</w:t>
      </w:r>
      <w:r>
        <w:rPr>
          <w:rFonts w:hint="eastAsia" w:ascii="宋体" w:hAnsi="宋体" w:cs="宋体"/>
          <w:szCs w:val="21"/>
          <w:u w:val="single"/>
        </w:rPr>
        <w:t>　　　　　　</w:t>
      </w:r>
      <w:r>
        <w:rPr>
          <w:rFonts w:hint="eastAsia" w:ascii="宋体" w:hAnsi="宋体" w:cs="宋体"/>
          <w:szCs w:val="21"/>
        </w:rPr>
        <w:t>）的竞争性磋商活动，为此，我方着重声明如下：</w:t>
      </w:r>
    </w:p>
    <w:p w14:paraId="61E97B5F">
      <w:pPr>
        <w:numPr>
          <w:ilvl w:val="0"/>
          <w:numId w:val="14"/>
        </w:numPr>
        <w:spacing w:line="360" w:lineRule="auto"/>
        <w:rPr>
          <w:rFonts w:ascii="宋体" w:hAnsi="宋体" w:cs="宋体"/>
          <w:szCs w:val="21"/>
        </w:rPr>
      </w:pPr>
      <w:r>
        <w:rPr>
          <w:rFonts w:hint="eastAsia" w:ascii="宋体" w:hAnsi="宋体" w:cs="宋体"/>
          <w:szCs w:val="21"/>
        </w:rPr>
        <w:t>我方愿意按照竞争性磋商响应文件中的一切要求，提供鉴定评估服务。</w:t>
      </w:r>
    </w:p>
    <w:p w14:paraId="421D864D">
      <w:pPr>
        <w:numPr>
          <w:ilvl w:val="1"/>
          <w:numId w:val="14"/>
        </w:numPr>
        <w:spacing w:line="360" w:lineRule="auto"/>
        <w:rPr>
          <w:rFonts w:ascii="宋体" w:hAnsi="宋体" w:cs="宋体"/>
          <w:szCs w:val="21"/>
        </w:rPr>
      </w:pPr>
      <w:r>
        <w:rPr>
          <w:rFonts w:hint="eastAsia" w:ascii="宋体" w:hAnsi="宋体" w:cs="宋体"/>
          <w:szCs w:val="21"/>
        </w:rPr>
        <w:t>磋商报价为：</w:t>
      </w:r>
      <w:r>
        <w:rPr>
          <w:rFonts w:hint="eastAsia" w:ascii="宋体" w:hAnsi="宋体" w:cs="宋体"/>
          <w:szCs w:val="21"/>
          <w:u w:val="single"/>
        </w:rPr>
        <w:t>元</w:t>
      </w:r>
      <w:r>
        <w:rPr>
          <w:rFonts w:hint="eastAsia" w:ascii="宋体" w:hAnsi="宋体" w:cs="宋体"/>
          <w:szCs w:val="21"/>
        </w:rPr>
        <w:t>。</w:t>
      </w:r>
    </w:p>
    <w:p w14:paraId="708E7872">
      <w:pPr>
        <w:numPr>
          <w:ilvl w:val="0"/>
          <w:numId w:val="14"/>
        </w:numPr>
        <w:spacing w:line="360" w:lineRule="auto"/>
        <w:rPr>
          <w:rFonts w:ascii="宋体" w:hAnsi="宋体" w:cs="宋体"/>
          <w:szCs w:val="21"/>
        </w:rPr>
      </w:pPr>
      <w:r>
        <w:rPr>
          <w:rFonts w:hint="eastAsia" w:ascii="宋体" w:hAnsi="宋体" w:cs="宋体"/>
          <w:szCs w:val="21"/>
        </w:rPr>
        <w:t>我方承诺已经具备〈中华人民共和国政府采购法〉中规定的参加政府采购活动的</w:t>
      </w:r>
      <w:r>
        <w:rPr>
          <w:rFonts w:hint="eastAsia" w:ascii="宋体" w:hAnsi="宋体" w:cs="宋体"/>
          <w:szCs w:val="21"/>
          <w:lang w:eastAsia="zh-CN"/>
        </w:rPr>
        <w:t>响应单位</w:t>
      </w:r>
      <w:r>
        <w:rPr>
          <w:rFonts w:hint="eastAsia" w:ascii="宋体" w:hAnsi="宋体" w:cs="宋体"/>
          <w:szCs w:val="21"/>
        </w:rPr>
        <w:t>应当具备的条件：</w:t>
      </w:r>
    </w:p>
    <w:p w14:paraId="238D493C">
      <w:pPr>
        <w:numPr>
          <w:ilvl w:val="0"/>
          <w:numId w:val="14"/>
        </w:numPr>
        <w:spacing w:line="360" w:lineRule="auto"/>
        <w:rPr>
          <w:rFonts w:ascii="宋体" w:hAnsi="宋体" w:cs="宋体"/>
          <w:szCs w:val="21"/>
        </w:rPr>
      </w:pPr>
      <w:r>
        <w:rPr>
          <w:rFonts w:hint="eastAsia" w:ascii="宋体" w:hAnsi="宋体" w:cs="宋体"/>
          <w:szCs w:val="21"/>
        </w:rPr>
        <w:t>具有独立承担民事责任的能力；</w:t>
      </w:r>
    </w:p>
    <w:p w14:paraId="4869193D">
      <w:pPr>
        <w:numPr>
          <w:ilvl w:val="0"/>
          <w:numId w:val="14"/>
        </w:numPr>
        <w:spacing w:line="360" w:lineRule="auto"/>
        <w:rPr>
          <w:rFonts w:ascii="宋体" w:hAnsi="宋体" w:cs="宋体"/>
          <w:szCs w:val="21"/>
        </w:rPr>
      </w:pPr>
      <w:r>
        <w:rPr>
          <w:rFonts w:hint="eastAsia" w:ascii="宋体" w:hAnsi="宋体" w:cs="宋体"/>
          <w:szCs w:val="21"/>
        </w:rPr>
        <w:t>具有良好的商业信誉和健全的财务会计制度；</w:t>
      </w:r>
    </w:p>
    <w:p w14:paraId="5BE8DC10">
      <w:pPr>
        <w:numPr>
          <w:ilvl w:val="0"/>
          <w:numId w:val="14"/>
        </w:numPr>
        <w:spacing w:line="360" w:lineRule="auto"/>
        <w:rPr>
          <w:rFonts w:ascii="宋体" w:hAnsi="宋体" w:cs="宋体"/>
          <w:szCs w:val="21"/>
        </w:rPr>
      </w:pPr>
      <w:r>
        <w:rPr>
          <w:rFonts w:hint="eastAsia" w:ascii="宋体" w:hAnsi="宋体" w:cs="宋体"/>
          <w:szCs w:val="21"/>
        </w:rPr>
        <w:t>具有履行合同所必需的服务管理能力；</w:t>
      </w:r>
    </w:p>
    <w:p w14:paraId="44D49A78">
      <w:pPr>
        <w:numPr>
          <w:ilvl w:val="0"/>
          <w:numId w:val="14"/>
        </w:numPr>
        <w:spacing w:line="360" w:lineRule="auto"/>
        <w:rPr>
          <w:rFonts w:ascii="宋体" w:hAnsi="宋体" w:cs="宋体"/>
          <w:szCs w:val="21"/>
        </w:rPr>
      </w:pPr>
      <w:r>
        <w:rPr>
          <w:rFonts w:hint="eastAsia" w:ascii="宋体" w:hAnsi="宋体" w:cs="宋体"/>
          <w:szCs w:val="21"/>
        </w:rPr>
        <w:t>有依法缴纳税收和社会保障资金的良好记录；</w:t>
      </w:r>
    </w:p>
    <w:p w14:paraId="4C02551E">
      <w:pPr>
        <w:numPr>
          <w:ilvl w:val="0"/>
          <w:numId w:val="14"/>
        </w:numPr>
        <w:spacing w:line="360" w:lineRule="auto"/>
        <w:rPr>
          <w:rFonts w:ascii="宋体" w:hAnsi="宋体" w:cs="宋体"/>
          <w:szCs w:val="21"/>
        </w:rPr>
      </w:pPr>
      <w:r>
        <w:rPr>
          <w:rFonts w:hint="eastAsia" w:ascii="宋体" w:hAnsi="宋体" w:cs="宋体"/>
          <w:szCs w:val="21"/>
        </w:rPr>
        <w:t>参加此项采购活动前三年内，在经营活动中没有重大违法记录。</w:t>
      </w:r>
    </w:p>
    <w:p w14:paraId="62DDD88E">
      <w:pPr>
        <w:numPr>
          <w:ilvl w:val="0"/>
          <w:numId w:val="14"/>
        </w:numPr>
        <w:spacing w:line="360" w:lineRule="auto"/>
        <w:rPr>
          <w:rFonts w:ascii="宋体" w:hAnsi="宋体" w:cs="宋体"/>
          <w:szCs w:val="21"/>
        </w:rPr>
      </w:pPr>
      <w:r>
        <w:rPr>
          <w:rFonts w:hint="eastAsia" w:ascii="宋体" w:hAnsi="宋体" w:cs="宋体"/>
          <w:szCs w:val="21"/>
        </w:rPr>
        <w:t>提供磋商须知规定的全部磋商响应文件，包括磋商响应文件正本、副本、开标一览表。</w:t>
      </w:r>
    </w:p>
    <w:p w14:paraId="7CD46457">
      <w:pPr>
        <w:numPr>
          <w:ilvl w:val="0"/>
          <w:numId w:val="14"/>
        </w:numPr>
        <w:spacing w:line="360" w:lineRule="auto"/>
        <w:rPr>
          <w:rFonts w:ascii="宋体" w:hAnsi="宋体" w:cs="宋体"/>
          <w:szCs w:val="21"/>
        </w:rPr>
      </w:pPr>
      <w:r>
        <w:rPr>
          <w:rFonts w:hint="eastAsia" w:ascii="宋体" w:hAnsi="宋体" w:cs="宋体"/>
          <w:szCs w:val="21"/>
        </w:rPr>
        <w:t>按磋商文件要求提供和交付的服务的磋商报价详见开标一览表。</w:t>
      </w:r>
    </w:p>
    <w:p w14:paraId="22FF3B9F">
      <w:pPr>
        <w:numPr>
          <w:ilvl w:val="0"/>
          <w:numId w:val="14"/>
        </w:numPr>
        <w:spacing w:line="360" w:lineRule="auto"/>
        <w:rPr>
          <w:rFonts w:ascii="宋体" w:hAnsi="宋体" w:cs="宋体"/>
          <w:szCs w:val="21"/>
        </w:rPr>
      </w:pPr>
      <w:r>
        <w:rPr>
          <w:rFonts w:hint="eastAsia" w:ascii="宋体" w:hAnsi="宋体" w:cs="宋体"/>
          <w:szCs w:val="21"/>
        </w:rPr>
        <w:t>我方承诺：完全理解磋商报价超过磋商时公布的预算金额时，</w:t>
      </w:r>
      <w:r>
        <w:rPr>
          <w:rFonts w:hint="eastAsia" w:ascii="宋体" w:hAnsi="宋体" w:cs="宋体"/>
          <w:szCs w:val="21"/>
          <w:lang w:eastAsia="zh-CN"/>
        </w:rPr>
        <w:t>响应文件</w:t>
      </w:r>
      <w:r>
        <w:rPr>
          <w:rFonts w:hint="eastAsia" w:ascii="宋体" w:hAnsi="宋体" w:cs="宋体"/>
          <w:szCs w:val="21"/>
        </w:rPr>
        <w:t>将被拒绝。</w:t>
      </w:r>
    </w:p>
    <w:p w14:paraId="4619095E">
      <w:pPr>
        <w:numPr>
          <w:ilvl w:val="0"/>
          <w:numId w:val="14"/>
        </w:numPr>
        <w:spacing w:line="360" w:lineRule="auto"/>
        <w:rPr>
          <w:rFonts w:ascii="宋体" w:hAnsi="宋体" w:cs="宋体"/>
          <w:szCs w:val="21"/>
        </w:rPr>
      </w:pPr>
      <w:r>
        <w:rPr>
          <w:rFonts w:hint="eastAsia" w:ascii="宋体" w:hAnsi="宋体" w:cs="宋体"/>
          <w:szCs w:val="21"/>
        </w:rPr>
        <w:t>保证忠实地执行双方所签订的合同，并承担合同规定的责任和义务。</w:t>
      </w:r>
    </w:p>
    <w:p w14:paraId="4FCA2825">
      <w:pPr>
        <w:numPr>
          <w:ilvl w:val="0"/>
          <w:numId w:val="14"/>
        </w:numPr>
        <w:spacing w:line="360" w:lineRule="auto"/>
        <w:rPr>
          <w:rFonts w:ascii="宋体" w:hAnsi="宋体" w:cs="宋体"/>
          <w:szCs w:val="21"/>
        </w:rPr>
      </w:pPr>
      <w:r>
        <w:rPr>
          <w:rFonts w:hint="eastAsia" w:ascii="宋体" w:hAnsi="宋体" w:cs="宋体"/>
          <w:szCs w:val="21"/>
        </w:rPr>
        <w:t>承诺完全满足和响应磋商文件中的各项商务和技术要求，若有偏差，已在磋商响应文件商务条款偏离表中予以明确特别说明。</w:t>
      </w:r>
    </w:p>
    <w:p w14:paraId="0E0874D2">
      <w:pPr>
        <w:numPr>
          <w:ilvl w:val="0"/>
          <w:numId w:val="14"/>
        </w:numPr>
        <w:spacing w:line="360" w:lineRule="auto"/>
        <w:rPr>
          <w:rFonts w:ascii="宋体" w:hAnsi="宋体" w:cs="宋体"/>
          <w:szCs w:val="21"/>
        </w:rPr>
      </w:pPr>
      <w:r>
        <w:rPr>
          <w:rFonts w:hint="eastAsia" w:ascii="宋体" w:hAnsi="宋体" w:cs="宋体"/>
          <w:szCs w:val="21"/>
        </w:rPr>
        <w:t>保证遵守磋商文件的规定。</w:t>
      </w:r>
    </w:p>
    <w:p w14:paraId="3FBA3E24">
      <w:pPr>
        <w:numPr>
          <w:ilvl w:val="0"/>
          <w:numId w:val="14"/>
        </w:numPr>
        <w:spacing w:line="360" w:lineRule="auto"/>
        <w:rPr>
          <w:rFonts w:ascii="宋体" w:hAnsi="宋体" w:cs="宋体"/>
          <w:szCs w:val="21"/>
        </w:rPr>
      </w:pPr>
      <w:r>
        <w:rPr>
          <w:rFonts w:hint="eastAsia" w:ascii="宋体" w:hAnsi="宋体" w:cs="宋体"/>
          <w:szCs w:val="21"/>
        </w:rPr>
        <w:t>我方完全理解贵方不一定接受最低价的磋商。</w:t>
      </w:r>
    </w:p>
    <w:p w14:paraId="70509EC3">
      <w:pPr>
        <w:numPr>
          <w:ilvl w:val="0"/>
          <w:numId w:val="14"/>
        </w:numPr>
        <w:spacing w:line="360" w:lineRule="auto"/>
        <w:rPr>
          <w:rFonts w:ascii="宋体" w:hAnsi="宋体" w:cs="宋体"/>
          <w:szCs w:val="21"/>
        </w:rPr>
      </w:pPr>
      <w:r>
        <w:rPr>
          <w:rFonts w:hint="eastAsia" w:ascii="宋体" w:hAnsi="宋体" w:cs="宋体"/>
          <w:szCs w:val="21"/>
        </w:rPr>
        <w:t>我方愿意向贵方提供任何与本项磋商有关的数据、情况和技术资料。若贵方需要，我方愿意提供我方作出的一切承诺的证明材料。</w:t>
      </w:r>
    </w:p>
    <w:p w14:paraId="4568B9DB">
      <w:pPr>
        <w:numPr>
          <w:ilvl w:val="0"/>
          <w:numId w:val="14"/>
        </w:numPr>
        <w:spacing w:line="360" w:lineRule="auto"/>
        <w:rPr>
          <w:rFonts w:ascii="宋体" w:hAnsi="宋体" w:cs="宋体"/>
          <w:szCs w:val="21"/>
        </w:rPr>
      </w:pPr>
      <w:r>
        <w:rPr>
          <w:rFonts w:hint="eastAsia" w:ascii="宋体" w:hAnsi="宋体" w:cs="宋体"/>
          <w:szCs w:val="21"/>
        </w:rPr>
        <w:t>我方已详细审核全部磋商响应文件，包括磋商响应文件修改书（如有的话）、参考资料及有关附件，确认无误。</w:t>
      </w:r>
    </w:p>
    <w:p w14:paraId="2DEB6DE8">
      <w:pPr>
        <w:numPr>
          <w:ilvl w:val="0"/>
          <w:numId w:val="14"/>
        </w:numPr>
        <w:spacing w:line="360" w:lineRule="auto"/>
        <w:rPr>
          <w:rFonts w:ascii="宋体" w:hAnsi="宋体" w:cs="宋体"/>
          <w:szCs w:val="21"/>
        </w:rPr>
      </w:pPr>
      <w:r>
        <w:rPr>
          <w:rFonts w:hint="eastAsia" w:ascii="宋体" w:hAnsi="宋体" w:cs="宋体"/>
          <w:szCs w:val="21"/>
        </w:rPr>
        <w:t>我方承诺：采购人若需追回采购本项目磋商文件所列相关服务的，在不改变合同其他实质性条款的前提下，按相同或更优惠的折扣率保证供货。</w:t>
      </w:r>
    </w:p>
    <w:p w14:paraId="2D8C06C5">
      <w:pPr>
        <w:numPr>
          <w:ilvl w:val="0"/>
          <w:numId w:val="14"/>
        </w:numPr>
        <w:spacing w:line="360" w:lineRule="auto"/>
        <w:rPr>
          <w:rFonts w:ascii="宋体" w:hAnsi="宋体" w:cs="宋体"/>
          <w:szCs w:val="21"/>
        </w:rPr>
      </w:pPr>
      <w:r>
        <w:rPr>
          <w:rFonts w:hint="eastAsia" w:ascii="宋体" w:hAnsi="宋体" w:cs="宋体"/>
          <w:szCs w:val="21"/>
        </w:rPr>
        <w:t>我方承诺接受磋商文件中〈商务主要条款〉的全部条款且无任何异议。</w:t>
      </w:r>
    </w:p>
    <w:p w14:paraId="3D075535">
      <w:pPr>
        <w:numPr>
          <w:ilvl w:val="0"/>
          <w:numId w:val="14"/>
        </w:numPr>
        <w:spacing w:line="360" w:lineRule="auto"/>
        <w:rPr>
          <w:rFonts w:ascii="宋体" w:hAnsi="宋体" w:cs="宋体"/>
          <w:szCs w:val="21"/>
        </w:rPr>
      </w:pPr>
      <w:r>
        <w:rPr>
          <w:rFonts w:hint="eastAsia" w:ascii="宋体" w:hAnsi="宋体" w:cs="宋体"/>
          <w:szCs w:val="21"/>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5A1A1B48">
      <w:pPr>
        <w:numPr>
          <w:ilvl w:val="0"/>
          <w:numId w:val="14"/>
        </w:numPr>
        <w:spacing w:line="360" w:lineRule="auto"/>
        <w:rPr>
          <w:rFonts w:ascii="宋体" w:hAnsi="宋体" w:cs="宋体"/>
          <w:szCs w:val="21"/>
        </w:rPr>
      </w:pPr>
      <w:r>
        <w:rPr>
          <w:rFonts w:hint="eastAsia" w:ascii="宋体" w:hAnsi="宋体" w:cs="宋体"/>
          <w:szCs w:val="21"/>
        </w:rPr>
        <w:t>提供虚假材料谋取中标、成交的；</w:t>
      </w:r>
    </w:p>
    <w:p w14:paraId="0DD673D9">
      <w:pPr>
        <w:numPr>
          <w:ilvl w:val="0"/>
          <w:numId w:val="14"/>
        </w:numPr>
        <w:spacing w:line="360" w:lineRule="auto"/>
        <w:rPr>
          <w:rFonts w:ascii="宋体" w:hAnsi="宋体" w:cs="宋体"/>
          <w:szCs w:val="21"/>
        </w:rPr>
      </w:pPr>
      <w:r>
        <w:rPr>
          <w:rFonts w:hint="eastAsia" w:ascii="宋体" w:hAnsi="宋体" w:cs="宋体"/>
          <w:szCs w:val="21"/>
        </w:rPr>
        <w:t>采取不正当手段诋毁、排挤其他</w:t>
      </w:r>
      <w:r>
        <w:rPr>
          <w:rFonts w:hint="eastAsia" w:ascii="宋体" w:hAnsi="宋体" w:cs="宋体"/>
          <w:szCs w:val="21"/>
          <w:lang w:eastAsia="zh-CN"/>
        </w:rPr>
        <w:t>响应单位</w:t>
      </w:r>
      <w:r>
        <w:rPr>
          <w:rFonts w:hint="eastAsia" w:ascii="宋体" w:hAnsi="宋体" w:cs="宋体"/>
          <w:szCs w:val="21"/>
        </w:rPr>
        <w:t>的；</w:t>
      </w:r>
    </w:p>
    <w:p w14:paraId="358098AD">
      <w:pPr>
        <w:numPr>
          <w:ilvl w:val="0"/>
          <w:numId w:val="14"/>
        </w:numPr>
        <w:spacing w:line="360" w:lineRule="auto"/>
        <w:rPr>
          <w:rFonts w:ascii="宋体" w:hAnsi="宋体" w:cs="宋体"/>
          <w:szCs w:val="21"/>
        </w:rPr>
      </w:pPr>
      <w:r>
        <w:rPr>
          <w:rFonts w:hint="eastAsia" w:ascii="宋体" w:hAnsi="宋体" w:cs="宋体"/>
          <w:szCs w:val="21"/>
        </w:rPr>
        <w:t>与采购人、其它</w:t>
      </w:r>
      <w:r>
        <w:rPr>
          <w:rFonts w:hint="eastAsia" w:ascii="宋体" w:hAnsi="宋体" w:cs="宋体"/>
          <w:szCs w:val="21"/>
          <w:lang w:eastAsia="zh-CN"/>
        </w:rPr>
        <w:t>响应单位</w:t>
      </w:r>
      <w:r>
        <w:rPr>
          <w:rFonts w:hint="eastAsia" w:ascii="宋体" w:hAnsi="宋体" w:cs="宋体"/>
          <w:szCs w:val="21"/>
        </w:rPr>
        <w:t>或者代理机构工作人员恶意串通的；</w:t>
      </w:r>
    </w:p>
    <w:p w14:paraId="7C0BA14A">
      <w:pPr>
        <w:numPr>
          <w:ilvl w:val="0"/>
          <w:numId w:val="14"/>
        </w:numPr>
        <w:spacing w:line="360" w:lineRule="auto"/>
        <w:rPr>
          <w:rFonts w:ascii="宋体" w:hAnsi="宋体" w:cs="宋体"/>
          <w:szCs w:val="21"/>
        </w:rPr>
      </w:pPr>
      <w:r>
        <w:rPr>
          <w:rFonts w:hint="eastAsia" w:ascii="宋体" w:hAnsi="宋体" w:cs="宋体"/>
          <w:szCs w:val="21"/>
        </w:rPr>
        <w:t>向采购人、代理机构工作人员行贿或提供其他不正当利益的；</w:t>
      </w:r>
    </w:p>
    <w:p w14:paraId="18D1ED46">
      <w:pPr>
        <w:numPr>
          <w:ilvl w:val="0"/>
          <w:numId w:val="14"/>
        </w:numPr>
        <w:spacing w:line="360" w:lineRule="auto"/>
        <w:rPr>
          <w:rFonts w:ascii="宋体" w:hAnsi="宋体" w:cs="宋体"/>
          <w:szCs w:val="21"/>
        </w:rPr>
      </w:pPr>
      <w:r>
        <w:rPr>
          <w:rFonts w:hint="eastAsia" w:ascii="宋体" w:hAnsi="宋体" w:cs="宋体"/>
          <w:szCs w:val="21"/>
        </w:rPr>
        <w:t>未经代理机构同意，在采购过程中与采购人进行协商谈判的；</w:t>
      </w:r>
    </w:p>
    <w:p w14:paraId="55950D8B">
      <w:pPr>
        <w:numPr>
          <w:ilvl w:val="0"/>
          <w:numId w:val="14"/>
        </w:numPr>
        <w:spacing w:line="360" w:lineRule="auto"/>
        <w:rPr>
          <w:rFonts w:ascii="宋体" w:hAnsi="宋体" w:cs="宋体"/>
          <w:szCs w:val="21"/>
        </w:rPr>
      </w:pPr>
      <w:r>
        <w:rPr>
          <w:rFonts w:hint="eastAsia" w:ascii="宋体" w:hAnsi="宋体" w:cs="宋体"/>
          <w:szCs w:val="21"/>
        </w:rPr>
        <w:t>拒绝有关部门监督检查虚假情况的。</w:t>
      </w:r>
    </w:p>
    <w:p w14:paraId="75C57091">
      <w:pPr>
        <w:numPr>
          <w:ilvl w:val="0"/>
          <w:numId w:val="14"/>
        </w:numPr>
        <w:spacing w:line="360" w:lineRule="auto"/>
        <w:rPr>
          <w:rFonts w:ascii="宋体" w:hAnsi="宋体" w:cs="宋体"/>
          <w:szCs w:val="21"/>
        </w:rPr>
      </w:pPr>
      <w:r>
        <w:rPr>
          <w:rFonts w:hint="eastAsia" w:ascii="宋体" w:hAnsi="宋体" w:cs="宋体"/>
          <w:szCs w:val="21"/>
        </w:rPr>
        <w:t>所有关于本次磋商的函电，请按下列地址联系。</w:t>
      </w:r>
    </w:p>
    <w:p w14:paraId="46921BF1">
      <w:pPr>
        <w:numPr>
          <w:ilvl w:val="1"/>
          <w:numId w:val="14"/>
        </w:numPr>
        <w:spacing w:line="360" w:lineRule="auto"/>
        <w:rPr>
          <w:rFonts w:ascii="宋体" w:hAnsi="宋体" w:cs="宋体"/>
          <w:szCs w:val="21"/>
        </w:rPr>
      </w:pPr>
      <w:r>
        <w:rPr>
          <w:rFonts w:hint="eastAsia" w:ascii="宋体" w:hAnsi="宋体" w:cs="宋体"/>
          <w:szCs w:val="21"/>
          <w:lang w:eastAsia="zh-CN"/>
        </w:rPr>
        <w:t>响应单位</w:t>
      </w:r>
      <w:r>
        <w:rPr>
          <w:rFonts w:hint="eastAsia" w:ascii="宋体" w:hAnsi="宋体" w:cs="宋体"/>
          <w:color w:val="auto"/>
          <w:szCs w:val="21"/>
        </w:rPr>
        <w:t>（</w:t>
      </w:r>
      <w:r>
        <w:rPr>
          <w:rFonts w:hint="eastAsia" w:ascii="宋体" w:hAnsi="宋体" w:cs="宋体"/>
          <w:color w:val="auto"/>
          <w:szCs w:val="21"/>
          <w:lang w:eastAsia="zh-CN"/>
        </w:rPr>
        <w:t>盖章</w:t>
      </w:r>
      <w:r>
        <w:rPr>
          <w:rFonts w:hint="eastAsia" w:ascii="宋体" w:hAnsi="宋体" w:cs="宋体"/>
          <w:color w:val="auto"/>
          <w:szCs w:val="21"/>
        </w:rPr>
        <w:t>）</w:t>
      </w:r>
      <w:r>
        <w:rPr>
          <w:rFonts w:hint="eastAsia" w:ascii="宋体" w:hAnsi="宋体" w:cs="宋体"/>
          <w:szCs w:val="21"/>
        </w:rPr>
        <w:t>：</w:t>
      </w:r>
    </w:p>
    <w:p w14:paraId="0997A2DE">
      <w:pPr>
        <w:numPr>
          <w:ilvl w:val="1"/>
          <w:numId w:val="14"/>
        </w:numPr>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w:t>
      </w:r>
    </w:p>
    <w:p w14:paraId="48E7EFEC">
      <w:pPr>
        <w:numPr>
          <w:ilvl w:val="1"/>
          <w:numId w:val="14"/>
        </w:num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w:t>
      </w:r>
      <w:r>
        <w:rPr>
          <w:rFonts w:hint="eastAsia" w:ascii="宋体" w:hAnsi="宋体" w:cs="宋体"/>
          <w:szCs w:val="21"/>
        </w:rPr>
        <w:t>　　</w:t>
      </w:r>
    </w:p>
    <w:p w14:paraId="67737335">
      <w:pPr>
        <w:numPr>
          <w:ilvl w:val="1"/>
          <w:numId w:val="14"/>
        </w:numPr>
        <w:spacing w:line="360" w:lineRule="auto"/>
        <w:rPr>
          <w:rFonts w:ascii="宋体" w:hAnsi="宋体" w:cs="宋体"/>
          <w:szCs w:val="21"/>
        </w:rPr>
      </w:pPr>
      <w:r>
        <w:rPr>
          <w:rFonts w:hint="eastAsia" w:ascii="宋体" w:hAnsi="宋体" w:cs="宋体"/>
          <w:szCs w:val="21"/>
        </w:rPr>
        <w:t>帐号</w:t>
      </w:r>
      <w:r>
        <w:rPr>
          <w:rFonts w:hint="eastAsia" w:ascii="宋体" w:hAnsi="宋体" w:cs="宋体"/>
          <w:szCs w:val="21"/>
          <w:u w:val="single"/>
        </w:rPr>
        <w:t>：　　　　　　　　　　　　　　　　　　　　　　　</w:t>
      </w:r>
    </w:p>
    <w:p w14:paraId="630ABFE8">
      <w:pPr>
        <w:numPr>
          <w:ilvl w:val="1"/>
          <w:numId w:val="14"/>
        </w:numPr>
        <w:spacing w:line="36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w:t>
      </w:r>
    </w:p>
    <w:p w14:paraId="625D0C3E">
      <w:pPr>
        <w:numPr>
          <w:ilvl w:val="1"/>
          <w:numId w:val="14"/>
        </w:numPr>
        <w:spacing w:line="360" w:lineRule="auto"/>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w:t>
      </w:r>
    </w:p>
    <w:p w14:paraId="38C975A4">
      <w:pPr>
        <w:spacing w:line="360" w:lineRule="auto"/>
        <w:ind w:firstLine="420" w:firstLineChars="200"/>
        <w:rPr>
          <w:rFonts w:ascii="宋体" w:cs="宋体"/>
          <w:szCs w:val="21"/>
          <w:u w:val="single"/>
        </w:rPr>
      </w:pPr>
      <w:r>
        <w:rPr>
          <w:rFonts w:hint="eastAsia" w:ascii="宋体" w:hAnsi="宋体" w:cs="宋体"/>
          <w:szCs w:val="21"/>
        </w:rPr>
        <w:t>邮编：</w:t>
      </w:r>
      <w:r>
        <w:rPr>
          <w:rFonts w:hint="eastAsia" w:ascii="宋体" w:hAnsi="宋体" w:cs="宋体"/>
          <w:szCs w:val="21"/>
          <w:u w:val="single"/>
        </w:rPr>
        <w:t>　　　　　　　　　　　　　　　　　　　　　　　</w:t>
      </w:r>
    </w:p>
    <w:p w14:paraId="0040A219">
      <w:pPr>
        <w:spacing w:line="360" w:lineRule="auto"/>
        <w:ind w:firstLine="420" w:firstLineChars="200"/>
        <w:rPr>
          <w:rFonts w:ascii="宋体" w:cs="宋体"/>
          <w:szCs w:val="21"/>
          <w:u w:val="single"/>
        </w:rPr>
      </w:pPr>
      <w:r>
        <w:rPr>
          <w:rFonts w:hint="eastAsia" w:ascii="宋体" w:hAnsi="宋体" w:cs="宋体"/>
          <w:szCs w:val="21"/>
        </w:rPr>
        <w:t>授权代表：</w:t>
      </w:r>
      <w:r>
        <w:rPr>
          <w:rFonts w:hint="eastAsia" w:ascii="宋体" w:hAnsi="宋体" w:cs="宋体"/>
          <w:szCs w:val="21"/>
          <w:u w:val="single"/>
        </w:rPr>
        <w:t>　　　　　　　　　　　　　　　　　　　　　　</w:t>
      </w:r>
    </w:p>
    <w:p w14:paraId="6A12842E">
      <w:pPr>
        <w:spacing w:line="360" w:lineRule="auto"/>
        <w:ind w:firstLine="420" w:firstLineChars="200"/>
        <w:rPr>
          <w:rFonts w:ascii="宋体" w:hAnsi="宋体" w:cs="宋体"/>
          <w:szCs w:val="21"/>
        </w:rPr>
      </w:pPr>
    </w:p>
    <w:p w14:paraId="5EA40DB1">
      <w:pPr>
        <w:spacing w:line="360" w:lineRule="auto"/>
        <w:ind w:firstLine="420" w:firstLineChars="200"/>
        <w:rPr>
          <w:rFonts w:ascii="宋体" w:hAnsi="宋体" w:cs="宋体"/>
          <w:szCs w:val="21"/>
        </w:rPr>
      </w:pPr>
    </w:p>
    <w:p w14:paraId="305F7EDD">
      <w:pPr>
        <w:spacing w:line="360" w:lineRule="auto"/>
        <w:ind w:firstLine="420" w:firstLineChars="200"/>
        <w:rPr>
          <w:rFonts w:ascii="宋体" w:hAnsi="宋体" w:cs="宋体"/>
          <w:szCs w:val="21"/>
        </w:rPr>
      </w:pPr>
      <w:r>
        <w:rPr>
          <w:rFonts w:hint="eastAsia" w:ascii="宋体" w:hAnsi="宋体" w:cs="宋体"/>
          <w:szCs w:val="21"/>
        </w:rPr>
        <w:t>年月日</w:t>
      </w:r>
    </w:p>
    <w:p w14:paraId="0F14B418">
      <w:pPr>
        <w:spacing w:line="360" w:lineRule="auto"/>
        <w:ind w:firstLine="420" w:firstLineChars="200"/>
        <w:rPr>
          <w:rFonts w:ascii="宋体" w:hAnsi="宋体" w:cs="宋体"/>
          <w:szCs w:val="21"/>
        </w:rPr>
      </w:pPr>
    </w:p>
    <w:p w14:paraId="500B39F4">
      <w:pPr>
        <w:spacing w:line="360" w:lineRule="auto"/>
        <w:ind w:firstLine="420" w:firstLineChars="200"/>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6D246195">
      <w:pPr>
        <w:spacing w:line="360" w:lineRule="auto"/>
        <w:rPr>
          <w:rFonts w:ascii="宋体" w:cs="楷体_GB2312"/>
          <w:b/>
          <w:szCs w:val="21"/>
        </w:rPr>
      </w:pPr>
      <w:r>
        <w:rPr>
          <w:rFonts w:hint="eastAsia" w:ascii="宋体" w:hAnsi="宋体" w:cs="宋体"/>
          <w:szCs w:val="21"/>
        </w:rPr>
        <w:t>附件２　</w:t>
      </w:r>
      <w:r>
        <w:rPr>
          <w:rFonts w:hint="eastAsia" w:ascii="宋体" w:hAnsi="宋体" w:cs="楷体_GB2312"/>
          <w:b/>
          <w:szCs w:val="21"/>
        </w:rPr>
        <w:t>法定代表人证明书</w:t>
      </w:r>
    </w:p>
    <w:p w14:paraId="13EFA99A">
      <w:pPr>
        <w:spacing w:line="360" w:lineRule="auto"/>
        <w:rPr>
          <w:rFonts w:ascii="宋体" w:cs="楷体_GB2312"/>
          <w:szCs w:val="21"/>
        </w:rPr>
      </w:pPr>
    </w:p>
    <w:p w14:paraId="18B4A055">
      <w:pPr>
        <w:spacing w:line="360" w:lineRule="auto"/>
        <w:ind w:firstLine="420" w:firstLineChars="200"/>
        <w:rPr>
          <w:rFonts w:ascii="宋体" w:cs="楷体_GB2312"/>
          <w:szCs w:val="21"/>
        </w:rPr>
      </w:pPr>
      <w:r>
        <w:rPr>
          <w:rFonts w:hint="eastAsia" w:ascii="宋体" w:hAnsi="宋体" w:cs="楷体_GB2312"/>
          <w:szCs w:val="21"/>
        </w:rPr>
        <w:t>本授权书声明：注册于的公司的在下面签字的（法定代表人姓名）先生</w:t>
      </w:r>
      <w:r>
        <w:rPr>
          <w:rFonts w:ascii="宋体" w:hAnsi="宋体" w:cs="楷体_GB2312"/>
          <w:szCs w:val="21"/>
        </w:rPr>
        <w:t>/</w:t>
      </w:r>
      <w:r>
        <w:rPr>
          <w:rFonts w:hint="eastAsia" w:ascii="宋体" w:hAnsi="宋体" w:cs="楷体_GB2312"/>
          <w:szCs w:val="21"/>
        </w:rPr>
        <w:t>女士现担任本公司职务，负责全面工作，为我单位的法定代表人。</w:t>
      </w:r>
    </w:p>
    <w:p w14:paraId="41D4B827">
      <w:pPr>
        <w:spacing w:line="360" w:lineRule="auto"/>
        <w:ind w:firstLine="420" w:firstLineChars="200"/>
        <w:rPr>
          <w:rFonts w:ascii="宋体" w:cs="楷体_GB2312"/>
          <w:szCs w:val="21"/>
        </w:rPr>
      </w:pPr>
      <w:r>
        <w:rPr>
          <w:rFonts w:hint="eastAsia" w:ascii="宋体" w:hAnsi="宋体" w:cs="楷体_GB2312"/>
          <w:szCs w:val="21"/>
        </w:rPr>
        <w:t>特此证明。</w:t>
      </w:r>
    </w:p>
    <w:p w14:paraId="4B0A2371">
      <w:pPr>
        <w:pStyle w:val="12"/>
        <w:spacing w:line="360" w:lineRule="auto"/>
        <w:ind w:firstLine="0"/>
        <w:rPr>
          <w:rFonts w:ascii="宋体" w:hAnsi="宋体" w:cs="楷体_GB2312"/>
          <w:color w:val="auto"/>
          <w:u w:val="single"/>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17E4A3F5">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4111A1FB">
      <w:pPr>
        <w:spacing w:line="360" w:lineRule="auto"/>
        <w:ind w:firstLine="2100" w:firstLineChars="1000"/>
        <w:jc w:val="right"/>
        <w:rPr>
          <w:rFonts w:ascii="宋体" w:cs="楷体_GB2312"/>
          <w:szCs w:val="21"/>
        </w:rPr>
      </w:pPr>
      <w:r>
        <w:rPr>
          <w:rFonts w:hint="eastAsia" w:ascii="宋体" w:hAnsi="宋体"/>
        </w:rPr>
        <w:t>年月日</w:t>
      </w:r>
    </w:p>
    <w:p w14:paraId="6E102A6C">
      <w:pPr>
        <w:spacing w:line="360" w:lineRule="auto"/>
        <w:jc w:val="center"/>
        <w:rPr>
          <w:rFonts w:ascii="宋体" w:cs="楷体_GB2312"/>
          <w:szCs w:val="21"/>
        </w:rPr>
      </w:pPr>
      <w:r>
        <w:rPr>
          <w:rFonts w:hint="eastAsia" w:ascii="宋体" w:hAnsi="宋体" w:cs="楷体_GB2312"/>
          <w:szCs w:val="21"/>
        </w:rPr>
        <w:t>法定代表人授权书</w:t>
      </w:r>
    </w:p>
    <w:p w14:paraId="4D9CE201">
      <w:pPr>
        <w:spacing w:line="360" w:lineRule="auto"/>
        <w:jc w:val="center"/>
        <w:rPr>
          <w:rFonts w:ascii="宋体" w:cs="楷体_GB2312"/>
          <w:szCs w:val="21"/>
        </w:rPr>
      </w:pPr>
    </w:p>
    <w:p w14:paraId="56D59539">
      <w:pPr>
        <w:pStyle w:val="12"/>
        <w:spacing w:line="360" w:lineRule="auto"/>
        <w:ind w:firstLine="315" w:firstLineChars="150"/>
        <w:rPr>
          <w:rFonts w:ascii="宋体" w:cs="宋体"/>
        </w:rPr>
      </w:pPr>
      <w:r>
        <w:rPr>
          <w:rFonts w:hint="eastAsia" w:ascii="宋体" w:hAnsi="宋体" w:cs="楷体_GB2312"/>
        </w:rPr>
        <w:t>本授权书声明：注册于的公司的在下面签字的（法定代表人姓名、职务）先生</w:t>
      </w:r>
      <w:r>
        <w:rPr>
          <w:rFonts w:ascii="宋体" w:hAnsi="宋体" w:cs="楷体_GB2312"/>
        </w:rPr>
        <w:t>/</w:t>
      </w:r>
      <w:r>
        <w:rPr>
          <w:rFonts w:hint="eastAsia" w:ascii="宋体" w:hAnsi="宋体" w:cs="楷体_GB2312"/>
        </w:rPr>
        <w:t>女士代表本公司授权在下面签字的先生</w:t>
      </w:r>
      <w:r>
        <w:rPr>
          <w:rFonts w:ascii="宋体" w:hAnsi="宋体" w:cs="楷体_GB2312"/>
        </w:rPr>
        <w:t>/</w:t>
      </w:r>
      <w:r>
        <w:rPr>
          <w:rFonts w:hint="eastAsia" w:ascii="宋体" w:hAnsi="宋体" w:cs="楷体_GB2312"/>
        </w:rPr>
        <w:t>女士（被授权人的姓名、职务）为本公司的合法代理人，就项目的</w:t>
      </w:r>
      <w:r>
        <w:rPr>
          <w:rFonts w:hint="eastAsia" w:ascii="宋体" w:hAnsi="宋体" w:cs="宋体"/>
        </w:rPr>
        <w:t>竞争性磋商活动，其在磋商中的一切活动本公司均予承认。</w:t>
      </w:r>
    </w:p>
    <w:p w14:paraId="55E32968">
      <w:pPr>
        <w:pStyle w:val="12"/>
        <w:spacing w:line="360" w:lineRule="auto"/>
        <w:ind w:firstLine="315" w:firstLineChars="150"/>
        <w:rPr>
          <w:rFonts w:ascii="宋体" w:cs="楷体_GB2312"/>
        </w:rPr>
      </w:pPr>
      <w:r>
        <w:rPr>
          <w:rFonts w:hint="eastAsia" w:ascii="宋体" w:hAnsi="宋体"/>
        </w:rPr>
        <w:t>本授权书于年月日签字盖章生效，特此声明。</w:t>
      </w:r>
    </w:p>
    <w:p w14:paraId="43606DC2">
      <w:pPr>
        <w:pStyle w:val="12"/>
        <w:spacing w:line="360" w:lineRule="auto"/>
        <w:ind w:firstLine="0"/>
        <w:rPr>
          <w:rFonts w:ascii="宋体" w:cs="楷体_GB2312"/>
        </w:rPr>
      </w:pPr>
      <w:r>
        <w:rPr>
          <w:rFonts w:hint="eastAsia" w:ascii="宋体" w:hAnsi="宋体" w:cs="楷体_GB2312"/>
        </w:rPr>
        <w:t>代理人无转委权，特此委托。</w:t>
      </w:r>
    </w:p>
    <w:tbl>
      <w:tblPr>
        <w:tblStyle w:val="44"/>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4737"/>
      </w:tblGrid>
      <w:tr w14:paraId="7C07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032" w:type="dxa"/>
          </w:tcPr>
          <w:p w14:paraId="0404053E">
            <w:pPr>
              <w:spacing w:line="360" w:lineRule="auto"/>
              <w:ind w:firstLine="420" w:firstLineChars="200"/>
              <w:rPr>
                <w:rFonts w:ascii="宋体" w:cs="宋体"/>
                <w:szCs w:val="21"/>
              </w:rPr>
            </w:pPr>
          </w:p>
          <w:p w14:paraId="2B361368">
            <w:pPr>
              <w:spacing w:line="360" w:lineRule="auto"/>
              <w:ind w:firstLine="420" w:firstLineChars="200"/>
              <w:rPr>
                <w:rFonts w:ascii="宋体" w:cs="宋体"/>
                <w:szCs w:val="21"/>
              </w:rPr>
            </w:pPr>
          </w:p>
          <w:p w14:paraId="4E909E58">
            <w:pPr>
              <w:spacing w:line="360" w:lineRule="auto"/>
              <w:ind w:firstLine="420" w:firstLineChars="200"/>
              <w:rPr>
                <w:rFonts w:ascii="宋体" w:cs="宋体"/>
                <w:szCs w:val="21"/>
              </w:rPr>
            </w:pPr>
          </w:p>
          <w:p w14:paraId="786BA1BD">
            <w:pPr>
              <w:spacing w:line="360" w:lineRule="auto"/>
              <w:ind w:firstLine="420" w:firstLineChars="200"/>
              <w:jc w:val="center"/>
              <w:rPr>
                <w:rFonts w:ascii="宋体" w:cs="宋体"/>
                <w:szCs w:val="21"/>
              </w:rPr>
            </w:pPr>
            <w:r>
              <w:rPr>
                <w:rFonts w:hint="eastAsia" w:ascii="宋体" w:hAnsi="宋体" w:cs="宋体"/>
                <w:szCs w:val="21"/>
              </w:rPr>
              <w:t>法定代表人身份证复印件</w:t>
            </w:r>
          </w:p>
          <w:p w14:paraId="3C888FAB">
            <w:pPr>
              <w:spacing w:line="360" w:lineRule="auto"/>
              <w:ind w:firstLine="420" w:firstLineChars="200"/>
              <w:jc w:val="center"/>
              <w:rPr>
                <w:rFonts w:ascii="宋体" w:cs="宋体"/>
                <w:szCs w:val="21"/>
              </w:rPr>
            </w:pPr>
          </w:p>
        </w:tc>
        <w:tc>
          <w:tcPr>
            <w:tcW w:w="4737" w:type="dxa"/>
          </w:tcPr>
          <w:p w14:paraId="2F4BE415">
            <w:pPr>
              <w:spacing w:line="360" w:lineRule="auto"/>
              <w:ind w:firstLine="420" w:firstLineChars="200"/>
              <w:jc w:val="center"/>
              <w:rPr>
                <w:rFonts w:ascii="宋体" w:cs="宋体"/>
                <w:szCs w:val="21"/>
              </w:rPr>
            </w:pPr>
          </w:p>
          <w:p w14:paraId="0347B20D">
            <w:pPr>
              <w:spacing w:line="360" w:lineRule="auto"/>
              <w:ind w:firstLine="420" w:firstLineChars="200"/>
              <w:jc w:val="center"/>
              <w:rPr>
                <w:rFonts w:ascii="宋体" w:cs="宋体"/>
                <w:szCs w:val="21"/>
              </w:rPr>
            </w:pPr>
          </w:p>
          <w:p w14:paraId="2F9F345F">
            <w:pPr>
              <w:spacing w:line="360" w:lineRule="auto"/>
              <w:ind w:firstLine="420" w:firstLineChars="200"/>
              <w:jc w:val="center"/>
              <w:rPr>
                <w:rFonts w:ascii="宋体" w:cs="宋体"/>
                <w:szCs w:val="21"/>
              </w:rPr>
            </w:pPr>
          </w:p>
          <w:p w14:paraId="24A47226">
            <w:pPr>
              <w:spacing w:line="360" w:lineRule="auto"/>
              <w:ind w:firstLine="420" w:firstLineChars="200"/>
              <w:jc w:val="center"/>
              <w:rPr>
                <w:rFonts w:ascii="宋体" w:cs="宋体"/>
                <w:szCs w:val="21"/>
              </w:rPr>
            </w:pPr>
            <w:r>
              <w:rPr>
                <w:rFonts w:hint="eastAsia" w:ascii="宋体" w:hAnsi="宋体" w:cs="宋体"/>
                <w:szCs w:val="21"/>
              </w:rPr>
              <w:t>被授权代理人身份证复印件</w:t>
            </w:r>
          </w:p>
        </w:tc>
      </w:tr>
    </w:tbl>
    <w:p w14:paraId="1F18B593">
      <w:pPr>
        <w:pStyle w:val="12"/>
        <w:spacing w:line="360" w:lineRule="auto"/>
        <w:ind w:firstLine="0"/>
        <w:rPr>
          <w:rFonts w:ascii="宋体" w:cs="楷体_GB2312"/>
        </w:rPr>
      </w:pPr>
      <w:r>
        <w:rPr>
          <w:rFonts w:hint="eastAsia" w:ascii="宋体" w:hAnsi="宋体" w:cs="楷体_GB2312"/>
        </w:rPr>
        <w:t>要求：身份证正反面复印件及加盖公章</w:t>
      </w:r>
    </w:p>
    <w:p w14:paraId="29129A15">
      <w:pPr>
        <w:pStyle w:val="12"/>
        <w:spacing w:line="360" w:lineRule="auto"/>
        <w:ind w:firstLine="0"/>
        <w:rPr>
          <w:rFonts w:ascii="宋体" w:cs="楷体_GB2312"/>
        </w:rPr>
      </w:pPr>
      <w:r>
        <w:rPr>
          <w:rFonts w:hint="eastAsia" w:ascii="宋体" w:hAnsi="宋体" w:cs="楷体_GB2312"/>
        </w:rPr>
        <w:t>代理人</w:t>
      </w:r>
      <w:r>
        <w:rPr>
          <w:rFonts w:ascii="宋体" w:hAnsi="宋体" w:cs="楷体_GB2312"/>
        </w:rPr>
        <w:t>(</w:t>
      </w:r>
      <w:r>
        <w:rPr>
          <w:rFonts w:hint="eastAsia" w:ascii="宋体" w:hAnsi="宋体" w:cs="楷体_GB2312"/>
        </w:rPr>
        <w:t>签字</w:t>
      </w:r>
      <w:r>
        <w:rPr>
          <w:rFonts w:ascii="宋体" w:hAnsi="宋体" w:cs="楷体_GB2312"/>
        </w:rPr>
        <w:t>)</w:t>
      </w:r>
      <w:r>
        <w:rPr>
          <w:rFonts w:hint="eastAsia" w:ascii="宋体" w:hAnsi="宋体" w:cs="楷体_GB2312"/>
        </w:rPr>
        <w:t>：性别：年龄：</w:t>
      </w:r>
    </w:p>
    <w:p w14:paraId="663EF104">
      <w:pPr>
        <w:pStyle w:val="12"/>
        <w:spacing w:line="360" w:lineRule="auto"/>
        <w:ind w:firstLine="0"/>
        <w:rPr>
          <w:rFonts w:ascii="宋体" w:cs="楷体_GB2312"/>
        </w:rPr>
      </w:pPr>
      <w:r>
        <w:rPr>
          <w:rFonts w:hint="eastAsia" w:ascii="宋体" w:hAnsi="宋体" w:cs="楷体_GB2312"/>
        </w:rPr>
        <w:t>身份证号码：职务：</w:t>
      </w:r>
    </w:p>
    <w:p w14:paraId="286FFE6A">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01DA5CD5">
      <w:pPr>
        <w:pStyle w:val="12"/>
        <w:spacing w:line="360" w:lineRule="auto"/>
        <w:ind w:firstLine="0"/>
        <w:rPr>
          <w:rFonts w:ascii="宋体" w:cs="楷体_GB2312"/>
          <w:color w:val="auto"/>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6E306A6D">
      <w:pPr>
        <w:pStyle w:val="12"/>
        <w:spacing w:line="360" w:lineRule="auto"/>
        <w:ind w:firstLine="0"/>
        <w:rPr>
          <w:rFonts w:ascii="宋体" w:hAnsi="宋体" w:cs="楷体_GB2312"/>
          <w:color w:val="FF0000"/>
          <w:u w:val="single"/>
        </w:rPr>
      </w:pPr>
    </w:p>
    <w:p w14:paraId="22022F85">
      <w:pPr>
        <w:pStyle w:val="12"/>
        <w:tabs>
          <w:tab w:val="left" w:pos="5220"/>
        </w:tabs>
        <w:spacing w:line="360" w:lineRule="auto"/>
        <w:ind w:left="5250" w:firstLine="0"/>
        <w:rPr>
          <w:rFonts w:ascii="宋体" w:cs="楷体_GB2312"/>
        </w:rPr>
      </w:pPr>
      <w:r>
        <w:rPr>
          <w:rFonts w:hint="eastAsia" w:ascii="宋体" w:hAnsi="宋体" w:cs="楷体_GB2312"/>
        </w:rPr>
        <w:t>授权日期：年月日</w:t>
      </w:r>
    </w:p>
    <w:p w14:paraId="19CA5655">
      <w:pPr>
        <w:spacing w:line="360" w:lineRule="auto"/>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31D1BA50">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—1</w:t>
      </w:r>
      <w:r>
        <w:rPr>
          <w:rFonts w:hint="eastAsia" w:ascii="宋体" w:hAnsi="宋体" w:cs="宋体"/>
          <w:szCs w:val="21"/>
        </w:rPr>
        <w:t>　</w:t>
      </w:r>
      <w:r>
        <w:rPr>
          <w:rFonts w:hint="eastAsia" w:ascii="宋体" w:hAnsi="宋体" w:cs="楷体_GB2312"/>
          <w:b/>
          <w:szCs w:val="21"/>
        </w:rPr>
        <w:t>磋商报价表</w:t>
      </w:r>
    </w:p>
    <w:p w14:paraId="7092738F">
      <w:pPr>
        <w:spacing w:line="360" w:lineRule="auto"/>
        <w:ind w:firstLine="420" w:firstLineChars="200"/>
        <w:rPr>
          <w:rFonts w:ascii="宋体" w:cs="宋体"/>
          <w:szCs w:val="21"/>
          <w:u w:val="single"/>
        </w:rPr>
      </w:pPr>
      <w:r>
        <w:rPr>
          <w:rFonts w:hint="eastAsia" w:ascii="宋体" w:hAnsi="宋体" w:cs="宋体"/>
          <w:szCs w:val="21"/>
        </w:rPr>
        <w:t>采购编号：</w:t>
      </w:r>
      <w:r>
        <w:rPr>
          <w:rFonts w:hint="eastAsia" w:ascii="宋体" w:hAnsi="宋体" w:cs="宋体"/>
          <w:szCs w:val="21"/>
          <w:u w:val="single"/>
        </w:rPr>
        <w:t>　　　　　　　　　　　　</w:t>
      </w:r>
      <w:r>
        <w:rPr>
          <w:rFonts w:hint="eastAsia" w:ascii="宋体" w:hAnsi="宋体" w:cs="宋体"/>
          <w:szCs w:val="21"/>
        </w:rPr>
        <w:t>项目名称：</w:t>
      </w:r>
      <w:r>
        <w:rPr>
          <w:rFonts w:hint="eastAsia" w:ascii="宋体" w:hAnsi="宋体" w:cs="宋体"/>
          <w:szCs w:val="21"/>
          <w:u w:val="single"/>
        </w:rPr>
        <w:t>　　　　　　　　　　　　　　　</w:t>
      </w:r>
      <w:r>
        <w:rPr>
          <w:rFonts w:hint="eastAsia" w:ascii="宋体" w:hAnsi="宋体" w:cs="宋体"/>
          <w:szCs w:val="21"/>
          <w:lang w:eastAsia="zh-CN"/>
        </w:rPr>
        <w:t>响应单位</w:t>
      </w:r>
      <w:r>
        <w:rPr>
          <w:rFonts w:hint="eastAsia" w:ascii="宋体" w:hAnsi="宋体" w:cs="宋体"/>
          <w:szCs w:val="21"/>
        </w:rPr>
        <w:t>：</w:t>
      </w:r>
    </w:p>
    <w:p w14:paraId="0D1B2D0C">
      <w:pPr>
        <w:spacing w:line="360" w:lineRule="auto"/>
        <w:ind w:firstLine="420" w:firstLineChars="200"/>
        <w:jc w:val="right"/>
        <w:rPr>
          <w:rFonts w:ascii="宋体" w:cs="宋体"/>
          <w:szCs w:val="21"/>
        </w:rPr>
      </w:pPr>
      <w:r>
        <w:rPr>
          <w:rFonts w:hint="eastAsia" w:ascii="宋体" w:hAnsi="宋体" w:cs="宋体"/>
          <w:szCs w:val="21"/>
        </w:rPr>
        <w:t>单位：元</w:t>
      </w:r>
    </w:p>
    <w:tbl>
      <w:tblPr>
        <w:tblStyle w:val="44"/>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390"/>
        <w:gridCol w:w="1390"/>
        <w:gridCol w:w="1216"/>
        <w:gridCol w:w="868"/>
        <w:gridCol w:w="1042"/>
        <w:gridCol w:w="1193"/>
        <w:gridCol w:w="1420"/>
        <w:gridCol w:w="1216"/>
        <w:gridCol w:w="2584"/>
      </w:tblGrid>
      <w:tr w14:paraId="77B2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189" w:type="dxa"/>
            <w:vMerge w:val="restart"/>
            <w:vAlign w:val="center"/>
          </w:tcPr>
          <w:p w14:paraId="7481EA53">
            <w:pPr>
              <w:spacing w:line="360" w:lineRule="auto"/>
              <w:jc w:val="center"/>
              <w:rPr>
                <w:rFonts w:ascii="宋体"/>
                <w:szCs w:val="21"/>
              </w:rPr>
            </w:pPr>
            <w:r>
              <w:rPr>
                <w:rFonts w:hint="eastAsia" w:ascii="宋体" w:hAnsi="宋体"/>
                <w:szCs w:val="21"/>
              </w:rPr>
              <w:t>单位工程名称</w:t>
            </w:r>
          </w:p>
        </w:tc>
        <w:tc>
          <w:tcPr>
            <w:tcW w:w="7099" w:type="dxa"/>
            <w:gridSpan w:val="6"/>
            <w:vAlign w:val="center"/>
          </w:tcPr>
          <w:p w14:paraId="2774D86B">
            <w:pPr>
              <w:spacing w:line="360" w:lineRule="auto"/>
              <w:jc w:val="center"/>
              <w:rPr>
                <w:rFonts w:ascii="宋体"/>
                <w:szCs w:val="21"/>
              </w:rPr>
            </w:pPr>
            <w:r>
              <w:rPr>
                <w:rFonts w:hint="eastAsia" w:ascii="宋体" w:hAnsi="宋体"/>
                <w:szCs w:val="21"/>
              </w:rPr>
              <w:t>报价（元）</w:t>
            </w:r>
          </w:p>
        </w:tc>
        <w:tc>
          <w:tcPr>
            <w:tcW w:w="1420" w:type="dxa"/>
            <w:vMerge w:val="restart"/>
            <w:vAlign w:val="center"/>
          </w:tcPr>
          <w:p w14:paraId="20E2C5C9">
            <w:pPr>
              <w:spacing w:line="360" w:lineRule="auto"/>
              <w:jc w:val="center"/>
              <w:rPr>
                <w:rFonts w:ascii="宋体"/>
                <w:szCs w:val="21"/>
              </w:rPr>
            </w:pPr>
            <w:r>
              <w:rPr>
                <w:rFonts w:hint="eastAsia" w:ascii="宋体" w:hAnsi="宋体"/>
                <w:szCs w:val="21"/>
              </w:rPr>
              <w:t>工期（日历天）</w:t>
            </w:r>
          </w:p>
        </w:tc>
        <w:tc>
          <w:tcPr>
            <w:tcW w:w="1216" w:type="dxa"/>
            <w:vMerge w:val="restart"/>
            <w:vAlign w:val="center"/>
          </w:tcPr>
          <w:p w14:paraId="2F1987F9">
            <w:pPr>
              <w:spacing w:line="360" w:lineRule="auto"/>
              <w:jc w:val="center"/>
              <w:rPr>
                <w:rFonts w:ascii="宋体"/>
                <w:szCs w:val="21"/>
              </w:rPr>
            </w:pPr>
            <w:r>
              <w:rPr>
                <w:rFonts w:hint="eastAsia" w:ascii="宋体" w:hAnsi="宋体"/>
                <w:szCs w:val="21"/>
              </w:rPr>
              <w:t>质量承诺</w:t>
            </w:r>
          </w:p>
        </w:tc>
        <w:tc>
          <w:tcPr>
            <w:tcW w:w="2584" w:type="dxa"/>
            <w:vMerge w:val="restart"/>
            <w:vAlign w:val="center"/>
          </w:tcPr>
          <w:p w14:paraId="0516615A">
            <w:pPr>
              <w:spacing w:line="360" w:lineRule="auto"/>
              <w:jc w:val="center"/>
              <w:rPr>
                <w:rFonts w:ascii="宋体"/>
                <w:szCs w:val="21"/>
              </w:rPr>
            </w:pPr>
            <w:r>
              <w:rPr>
                <w:rFonts w:hint="eastAsia" w:ascii="宋体" w:hAnsi="宋体"/>
                <w:szCs w:val="21"/>
              </w:rPr>
              <w:t>备注</w:t>
            </w:r>
          </w:p>
        </w:tc>
      </w:tr>
      <w:tr w14:paraId="36B1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189" w:type="dxa"/>
            <w:vMerge w:val="continue"/>
            <w:vAlign w:val="center"/>
          </w:tcPr>
          <w:p w14:paraId="52B24FF2">
            <w:pPr>
              <w:spacing w:line="360" w:lineRule="auto"/>
              <w:rPr>
                <w:rFonts w:ascii="宋体"/>
                <w:szCs w:val="21"/>
              </w:rPr>
            </w:pPr>
          </w:p>
        </w:tc>
        <w:tc>
          <w:tcPr>
            <w:tcW w:w="1390" w:type="dxa"/>
            <w:vAlign w:val="center"/>
          </w:tcPr>
          <w:p w14:paraId="4641B8D9">
            <w:pPr>
              <w:spacing w:line="360" w:lineRule="auto"/>
              <w:jc w:val="center"/>
              <w:rPr>
                <w:rFonts w:ascii="宋体"/>
                <w:szCs w:val="21"/>
              </w:rPr>
            </w:pPr>
            <w:r>
              <w:rPr>
                <w:rFonts w:hint="eastAsia" w:ascii="宋体" w:hAnsi="宋体"/>
                <w:szCs w:val="21"/>
              </w:rPr>
              <w:t>总计</w:t>
            </w:r>
          </w:p>
        </w:tc>
        <w:tc>
          <w:tcPr>
            <w:tcW w:w="1390" w:type="dxa"/>
            <w:vAlign w:val="center"/>
          </w:tcPr>
          <w:p w14:paraId="04B6B339">
            <w:pPr>
              <w:spacing w:line="360" w:lineRule="auto"/>
              <w:jc w:val="center"/>
              <w:rPr>
                <w:rFonts w:ascii="宋体"/>
                <w:szCs w:val="21"/>
              </w:rPr>
            </w:pPr>
            <w:r>
              <w:rPr>
                <w:rFonts w:hint="eastAsia" w:ascii="宋体" w:hAnsi="宋体"/>
                <w:szCs w:val="21"/>
              </w:rPr>
              <w:t>分部分项工程量报价</w:t>
            </w:r>
          </w:p>
        </w:tc>
        <w:tc>
          <w:tcPr>
            <w:tcW w:w="1216" w:type="dxa"/>
            <w:vAlign w:val="center"/>
          </w:tcPr>
          <w:p w14:paraId="098D8AE8">
            <w:pPr>
              <w:spacing w:line="360" w:lineRule="auto"/>
              <w:jc w:val="center"/>
              <w:rPr>
                <w:rFonts w:ascii="宋体"/>
                <w:szCs w:val="21"/>
              </w:rPr>
            </w:pPr>
            <w:r>
              <w:rPr>
                <w:rFonts w:hint="eastAsia" w:ascii="宋体" w:hAnsi="宋体"/>
                <w:szCs w:val="21"/>
              </w:rPr>
              <w:t>其他项目报价</w:t>
            </w:r>
          </w:p>
        </w:tc>
        <w:tc>
          <w:tcPr>
            <w:tcW w:w="868" w:type="dxa"/>
            <w:vAlign w:val="center"/>
          </w:tcPr>
          <w:p w14:paraId="49A60177">
            <w:pPr>
              <w:spacing w:line="360" w:lineRule="auto"/>
              <w:jc w:val="center"/>
              <w:rPr>
                <w:rFonts w:ascii="宋体"/>
                <w:szCs w:val="21"/>
              </w:rPr>
            </w:pPr>
            <w:r>
              <w:rPr>
                <w:rFonts w:hint="eastAsia" w:ascii="宋体" w:hAnsi="宋体"/>
                <w:szCs w:val="21"/>
              </w:rPr>
              <w:t>措施费报价</w:t>
            </w:r>
          </w:p>
        </w:tc>
        <w:tc>
          <w:tcPr>
            <w:tcW w:w="1042" w:type="dxa"/>
            <w:vAlign w:val="center"/>
          </w:tcPr>
          <w:p w14:paraId="1EF4279F">
            <w:pPr>
              <w:spacing w:line="360" w:lineRule="auto"/>
              <w:jc w:val="center"/>
              <w:rPr>
                <w:rFonts w:ascii="宋体"/>
                <w:szCs w:val="21"/>
              </w:rPr>
            </w:pPr>
            <w:r>
              <w:rPr>
                <w:rFonts w:hint="eastAsia" w:ascii="宋体" w:hAnsi="宋体"/>
                <w:szCs w:val="21"/>
              </w:rPr>
              <w:t>规费项目报价</w:t>
            </w:r>
          </w:p>
        </w:tc>
        <w:tc>
          <w:tcPr>
            <w:tcW w:w="1193" w:type="dxa"/>
            <w:vAlign w:val="center"/>
          </w:tcPr>
          <w:p w14:paraId="5FF0AA2A">
            <w:pPr>
              <w:spacing w:line="360" w:lineRule="auto"/>
              <w:jc w:val="center"/>
              <w:rPr>
                <w:rFonts w:ascii="宋体"/>
                <w:szCs w:val="21"/>
              </w:rPr>
            </w:pPr>
            <w:r>
              <w:rPr>
                <w:rFonts w:hint="eastAsia" w:ascii="宋体" w:hAnsi="宋体"/>
                <w:szCs w:val="21"/>
              </w:rPr>
              <w:t>增值税项目报价</w:t>
            </w:r>
          </w:p>
        </w:tc>
        <w:tc>
          <w:tcPr>
            <w:tcW w:w="1420" w:type="dxa"/>
            <w:vMerge w:val="continue"/>
            <w:vAlign w:val="center"/>
          </w:tcPr>
          <w:p w14:paraId="6C72EA2D">
            <w:pPr>
              <w:spacing w:line="360" w:lineRule="auto"/>
              <w:jc w:val="center"/>
              <w:rPr>
                <w:rFonts w:ascii="宋体"/>
                <w:szCs w:val="21"/>
              </w:rPr>
            </w:pPr>
          </w:p>
        </w:tc>
        <w:tc>
          <w:tcPr>
            <w:tcW w:w="1216" w:type="dxa"/>
            <w:vMerge w:val="continue"/>
            <w:vAlign w:val="center"/>
          </w:tcPr>
          <w:p w14:paraId="4FF7D5BF">
            <w:pPr>
              <w:spacing w:line="360" w:lineRule="auto"/>
              <w:jc w:val="center"/>
              <w:rPr>
                <w:rFonts w:ascii="宋体"/>
                <w:szCs w:val="21"/>
              </w:rPr>
            </w:pPr>
          </w:p>
        </w:tc>
        <w:tc>
          <w:tcPr>
            <w:tcW w:w="2584" w:type="dxa"/>
            <w:vMerge w:val="continue"/>
            <w:vAlign w:val="center"/>
          </w:tcPr>
          <w:p w14:paraId="3A07A3C2">
            <w:pPr>
              <w:spacing w:line="360" w:lineRule="auto"/>
              <w:jc w:val="center"/>
              <w:rPr>
                <w:rFonts w:ascii="宋体"/>
                <w:szCs w:val="21"/>
              </w:rPr>
            </w:pPr>
          </w:p>
        </w:tc>
      </w:tr>
      <w:tr w14:paraId="76A9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89" w:type="dxa"/>
          </w:tcPr>
          <w:p w14:paraId="37CA46EB">
            <w:pPr>
              <w:spacing w:line="360" w:lineRule="auto"/>
              <w:rPr>
                <w:rFonts w:ascii="宋体"/>
                <w:szCs w:val="21"/>
              </w:rPr>
            </w:pPr>
          </w:p>
        </w:tc>
        <w:tc>
          <w:tcPr>
            <w:tcW w:w="1390" w:type="dxa"/>
          </w:tcPr>
          <w:p w14:paraId="3910355D">
            <w:pPr>
              <w:spacing w:line="360" w:lineRule="auto"/>
              <w:rPr>
                <w:rFonts w:ascii="宋体"/>
                <w:szCs w:val="21"/>
              </w:rPr>
            </w:pPr>
          </w:p>
        </w:tc>
        <w:tc>
          <w:tcPr>
            <w:tcW w:w="1390" w:type="dxa"/>
          </w:tcPr>
          <w:p w14:paraId="15106FD1">
            <w:pPr>
              <w:spacing w:line="360" w:lineRule="auto"/>
              <w:rPr>
                <w:rFonts w:ascii="宋体"/>
                <w:szCs w:val="21"/>
              </w:rPr>
            </w:pPr>
          </w:p>
        </w:tc>
        <w:tc>
          <w:tcPr>
            <w:tcW w:w="1216" w:type="dxa"/>
            <w:vAlign w:val="center"/>
          </w:tcPr>
          <w:p w14:paraId="26BC1B7D">
            <w:pPr>
              <w:spacing w:line="360" w:lineRule="auto"/>
              <w:jc w:val="center"/>
              <w:rPr>
                <w:rFonts w:ascii="宋体"/>
                <w:szCs w:val="21"/>
              </w:rPr>
            </w:pPr>
          </w:p>
        </w:tc>
        <w:tc>
          <w:tcPr>
            <w:tcW w:w="868" w:type="dxa"/>
            <w:vAlign w:val="center"/>
          </w:tcPr>
          <w:p w14:paraId="09605040">
            <w:pPr>
              <w:spacing w:line="360" w:lineRule="auto"/>
              <w:jc w:val="center"/>
              <w:rPr>
                <w:rFonts w:ascii="宋体"/>
                <w:szCs w:val="21"/>
              </w:rPr>
            </w:pPr>
          </w:p>
        </w:tc>
        <w:tc>
          <w:tcPr>
            <w:tcW w:w="1042" w:type="dxa"/>
          </w:tcPr>
          <w:p w14:paraId="511BFEB9">
            <w:pPr>
              <w:spacing w:line="360" w:lineRule="auto"/>
              <w:jc w:val="center"/>
              <w:rPr>
                <w:rFonts w:ascii="宋体"/>
                <w:szCs w:val="21"/>
              </w:rPr>
            </w:pPr>
          </w:p>
        </w:tc>
        <w:tc>
          <w:tcPr>
            <w:tcW w:w="1193" w:type="dxa"/>
          </w:tcPr>
          <w:p w14:paraId="17D799F9">
            <w:pPr>
              <w:spacing w:line="360" w:lineRule="auto"/>
              <w:jc w:val="center"/>
              <w:rPr>
                <w:rFonts w:ascii="宋体"/>
                <w:szCs w:val="21"/>
              </w:rPr>
            </w:pPr>
          </w:p>
        </w:tc>
        <w:tc>
          <w:tcPr>
            <w:tcW w:w="1420" w:type="dxa"/>
            <w:vMerge w:val="restart"/>
          </w:tcPr>
          <w:p w14:paraId="10182C92">
            <w:pPr>
              <w:spacing w:line="360" w:lineRule="auto"/>
              <w:jc w:val="center"/>
              <w:rPr>
                <w:rFonts w:ascii="宋体"/>
                <w:szCs w:val="21"/>
              </w:rPr>
            </w:pPr>
          </w:p>
        </w:tc>
        <w:tc>
          <w:tcPr>
            <w:tcW w:w="1216" w:type="dxa"/>
            <w:vMerge w:val="restart"/>
          </w:tcPr>
          <w:p w14:paraId="661D8AD3">
            <w:pPr>
              <w:spacing w:line="360" w:lineRule="auto"/>
              <w:jc w:val="center"/>
              <w:rPr>
                <w:rFonts w:ascii="宋体"/>
                <w:szCs w:val="21"/>
              </w:rPr>
            </w:pPr>
          </w:p>
        </w:tc>
        <w:tc>
          <w:tcPr>
            <w:tcW w:w="2584" w:type="dxa"/>
            <w:vMerge w:val="restart"/>
          </w:tcPr>
          <w:p w14:paraId="2A7735FC">
            <w:pPr>
              <w:spacing w:line="360" w:lineRule="auto"/>
              <w:jc w:val="center"/>
              <w:rPr>
                <w:rFonts w:ascii="宋体"/>
                <w:szCs w:val="21"/>
              </w:rPr>
            </w:pPr>
          </w:p>
        </w:tc>
      </w:tr>
      <w:tr w14:paraId="28B8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89" w:type="dxa"/>
          </w:tcPr>
          <w:p w14:paraId="16A99551">
            <w:pPr>
              <w:spacing w:line="360" w:lineRule="auto"/>
              <w:rPr>
                <w:rFonts w:ascii="宋体"/>
                <w:szCs w:val="21"/>
              </w:rPr>
            </w:pPr>
          </w:p>
        </w:tc>
        <w:tc>
          <w:tcPr>
            <w:tcW w:w="1390" w:type="dxa"/>
          </w:tcPr>
          <w:p w14:paraId="49614B5D">
            <w:pPr>
              <w:spacing w:line="360" w:lineRule="auto"/>
              <w:rPr>
                <w:rFonts w:ascii="宋体"/>
                <w:szCs w:val="21"/>
              </w:rPr>
            </w:pPr>
          </w:p>
        </w:tc>
        <w:tc>
          <w:tcPr>
            <w:tcW w:w="1390" w:type="dxa"/>
          </w:tcPr>
          <w:p w14:paraId="4D8717BF">
            <w:pPr>
              <w:spacing w:line="360" w:lineRule="auto"/>
              <w:rPr>
                <w:rFonts w:ascii="宋体"/>
                <w:szCs w:val="21"/>
              </w:rPr>
            </w:pPr>
          </w:p>
        </w:tc>
        <w:tc>
          <w:tcPr>
            <w:tcW w:w="1216" w:type="dxa"/>
          </w:tcPr>
          <w:p w14:paraId="5AA166C6">
            <w:pPr>
              <w:spacing w:line="360" w:lineRule="auto"/>
              <w:rPr>
                <w:rFonts w:ascii="宋体"/>
                <w:szCs w:val="21"/>
              </w:rPr>
            </w:pPr>
          </w:p>
        </w:tc>
        <w:tc>
          <w:tcPr>
            <w:tcW w:w="868" w:type="dxa"/>
          </w:tcPr>
          <w:p w14:paraId="0975BCE0">
            <w:pPr>
              <w:spacing w:line="360" w:lineRule="auto"/>
              <w:jc w:val="center"/>
              <w:rPr>
                <w:rFonts w:ascii="宋体"/>
                <w:szCs w:val="21"/>
              </w:rPr>
            </w:pPr>
          </w:p>
        </w:tc>
        <w:tc>
          <w:tcPr>
            <w:tcW w:w="1042" w:type="dxa"/>
          </w:tcPr>
          <w:p w14:paraId="131AA5CC">
            <w:pPr>
              <w:spacing w:line="360" w:lineRule="auto"/>
              <w:jc w:val="center"/>
              <w:rPr>
                <w:rFonts w:ascii="宋体"/>
                <w:szCs w:val="21"/>
              </w:rPr>
            </w:pPr>
          </w:p>
        </w:tc>
        <w:tc>
          <w:tcPr>
            <w:tcW w:w="1193" w:type="dxa"/>
          </w:tcPr>
          <w:p w14:paraId="06DAF270">
            <w:pPr>
              <w:spacing w:line="360" w:lineRule="auto"/>
              <w:jc w:val="center"/>
              <w:rPr>
                <w:rFonts w:ascii="宋体"/>
                <w:szCs w:val="21"/>
              </w:rPr>
            </w:pPr>
          </w:p>
        </w:tc>
        <w:tc>
          <w:tcPr>
            <w:tcW w:w="1420" w:type="dxa"/>
            <w:vMerge w:val="continue"/>
          </w:tcPr>
          <w:p w14:paraId="4B691C7A">
            <w:pPr>
              <w:spacing w:line="360" w:lineRule="auto"/>
              <w:jc w:val="center"/>
              <w:rPr>
                <w:rFonts w:ascii="宋体"/>
                <w:szCs w:val="21"/>
              </w:rPr>
            </w:pPr>
          </w:p>
        </w:tc>
        <w:tc>
          <w:tcPr>
            <w:tcW w:w="1216" w:type="dxa"/>
            <w:vMerge w:val="continue"/>
          </w:tcPr>
          <w:p w14:paraId="0D8F3868">
            <w:pPr>
              <w:spacing w:line="360" w:lineRule="auto"/>
              <w:jc w:val="center"/>
              <w:rPr>
                <w:rFonts w:ascii="宋体"/>
                <w:szCs w:val="21"/>
              </w:rPr>
            </w:pPr>
          </w:p>
        </w:tc>
        <w:tc>
          <w:tcPr>
            <w:tcW w:w="2584" w:type="dxa"/>
            <w:vMerge w:val="continue"/>
          </w:tcPr>
          <w:p w14:paraId="156D46CC">
            <w:pPr>
              <w:spacing w:line="360" w:lineRule="auto"/>
              <w:jc w:val="center"/>
              <w:rPr>
                <w:rFonts w:ascii="宋体"/>
                <w:szCs w:val="21"/>
              </w:rPr>
            </w:pPr>
          </w:p>
        </w:tc>
      </w:tr>
      <w:tr w14:paraId="7D60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9" w:type="dxa"/>
          </w:tcPr>
          <w:p w14:paraId="03B0FC9A">
            <w:pPr>
              <w:spacing w:line="360" w:lineRule="auto"/>
              <w:rPr>
                <w:rFonts w:ascii="宋体"/>
                <w:szCs w:val="21"/>
              </w:rPr>
            </w:pPr>
            <w:r>
              <w:rPr>
                <w:rFonts w:hint="eastAsia" w:ascii="宋体" w:hAnsi="宋体"/>
                <w:szCs w:val="21"/>
              </w:rPr>
              <w:t>合计</w:t>
            </w:r>
          </w:p>
        </w:tc>
        <w:tc>
          <w:tcPr>
            <w:tcW w:w="1390" w:type="dxa"/>
          </w:tcPr>
          <w:p w14:paraId="4147BB9C">
            <w:pPr>
              <w:spacing w:line="360" w:lineRule="auto"/>
              <w:rPr>
                <w:rFonts w:ascii="宋体"/>
                <w:szCs w:val="21"/>
              </w:rPr>
            </w:pPr>
          </w:p>
        </w:tc>
        <w:tc>
          <w:tcPr>
            <w:tcW w:w="1390" w:type="dxa"/>
          </w:tcPr>
          <w:p w14:paraId="3F27718D">
            <w:pPr>
              <w:spacing w:line="360" w:lineRule="auto"/>
              <w:rPr>
                <w:rFonts w:ascii="宋体"/>
                <w:szCs w:val="21"/>
              </w:rPr>
            </w:pPr>
          </w:p>
        </w:tc>
        <w:tc>
          <w:tcPr>
            <w:tcW w:w="1216" w:type="dxa"/>
          </w:tcPr>
          <w:p w14:paraId="21159FBE">
            <w:pPr>
              <w:spacing w:line="360" w:lineRule="auto"/>
              <w:rPr>
                <w:rFonts w:ascii="宋体"/>
                <w:szCs w:val="21"/>
              </w:rPr>
            </w:pPr>
          </w:p>
        </w:tc>
        <w:tc>
          <w:tcPr>
            <w:tcW w:w="868" w:type="dxa"/>
          </w:tcPr>
          <w:p w14:paraId="1E5DB3F2">
            <w:pPr>
              <w:spacing w:line="360" w:lineRule="auto"/>
              <w:jc w:val="center"/>
              <w:rPr>
                <w:rFonts w:ascii="宋体"/>
                <w:szCs w:val="21"/>
              </w:rPr>
            </w:pPr>
          </w:p>
        </w:tc>
        <w:tc>
          <w:tcPr>
            <w:tcW w:w="1042" w:type="dxa"/>
          </w:tcPr>
          <w:p w14:paraId="4E63C6A2">
            <w:pPr>
              <w:spacing w:line="360" w:lineRule="auto"/>
              <w:jc w:val="center"/>
              <w:rPr>
                <w:rFonts w:ascii="宋体"/>
                <w:szCs w:val="21"/>
              </w:rPr>
            </w:pPr>
          </w:p>
        </w:tc>
        <w:tc>
          <w:tcPr>
            <w:tcW w:w="1193" w:type="dxa"/>
          </w:tcPr>
          <w:p w14:paraId="40322A72">
            <w:pPr>
              <w:spacing w:line="360" w:lineRule="auto"/>
              <w:jc w:val="center"/>
              <w:rPr>
                <w:rFonts w:ascii="宋体"/>
                <w:szCs w:val="21"/>
              </w:rPr>
            </w:pPr>
          </w:p>
        </w:tc>
        <w:tc>
          <w:tcPr>
            <w:tcW w:w="1420" w:type="dxa"/>
            <w:vMerge w:val="continue"/>
          </w:tcPr>
          <w:p w14:paraId="363B8288">
            <w:pPr>
              <w:spacing w:line="360" w:lineRule="auto"/>
              <w:jc w:val="center"/>
              <w:rPr>
                <w:rFonts w:ascii="宋体"/>
                <w:szCs w:val="21"/>
              </w:rPr>
            </w:pPr>
          </w:p>
        </w:tc>
        <w:tc>
          <w:tcPr>
            <w:tcW w:w="1216" w:type="dxa"/>
            <w:vMerge w:val="continue"/>
          </w:tcPr>
          <w:p w14:paraId="6D452EC5">
            <w:pPr>
              <w:spacing w:line="360" w:lineRule="auto"/>
              <w:jc w:val="center"/>
              <w:rPr>
                <w:rFonts w:ascii="宋体"/>
                <w:szCs w:val="21"/>
              </w:rPr>
            </w:pPr>
          </w:p>
        </w:tc>
        <w:tc>
          <w:tcPr>
            <w:tcW w:w="2584" w:type="dxa"/>
            <w:vMerge w:val="continue"/>
          </w:tcPr>
          <w:p w14:paraId="326F7959">
            <w:pPr>
              <w:spacing w:line="360" w:lineRule="auto"/>
              <w:jc w:val="center"/>
              <w:rPr>
                <w:rFonts w:ascii="宋体"/>
                <w:szCs w:val="21"/>
              </w:rPr>
            </w:pPr>
          </w:p>
        </w:tc>
      </w:tr>
      <w:tr w14:paraId="2F8F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trPr>
        <w:tc>
          <w:tcPr>
            <w:tcW w:w="14508" w:type="dxa"/>
            <w:gridSpan w:val="10"/>
          </w:tcPr>
          <w:p w14:paraId="31123659">
            <w:pPr>
              <w:spacing w:line="360" w:lineRule="auto"/>
              <w:rPr>
                <w:rFonts w:ascii="宋体"/>
                <w:szCs w:val="21"/>
              </w:rPr>
            </w:pPr>
            <w:r>
              <w:rPr>
                <w:rFonts w:hint="eastAsia" w:ascii="宋体" w:hAnsi="宋体"/>
                <w:szCs w:val="21"/>
              </w:rPr>
              <w:t>备注：</w:t>
            </w: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,1)</w:instrText>
            </w:r>
            <w:r>
              <w:rPr>
                <w:rFonts w:ascii="宋体" w:hAnsi="宋体"/>
                <w:szCs w:val="21"/>
              </w:rPr>
              <w:fldChar w:fldCharType="end"/>
            </w:r>
            <w:r>
              <w:rPr>
                <w:rFonts w:hint="eastAsia" w:ascii="宋体" w:hAnsi="宋体"/>
                <w:szCs w:val="21"/>
              </w:rPr>
              <w:t>总报价人民币大写：</w:t>
            </w:r>
          </w:p>
          <w:p w14:paraId="6EF8F970">
            <w:pPr>
              <w:spacing w:line="360" w:lineRule="auto"/>
              <w:ind w:firstLine="630" w:firstLineChars="300"/>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,2)</w:instrText>
            </w:r>
            <w:r>
              <w:rPr>
                <w:rFonts w:ascii="宋体" w:hAnsi="宋体"/>
                <w:szCs w:val="21"/>
              </w:rPr>
              <w:fldChar w:fldCharType="end"/>
            </w:r>
            <w:r>
              <w:rPr>
                <w:rFonts w:hint="eastAsia" w:ascii="宋体" w:hAnsi="宋体"/>
                <w:szCs w:val="21"/>
              </w:rPr>
              <w:t>自报施工工期日历天，自报质量。</w:t>
            </w:r>
          </w:p>
          <w:p w14:paraId="0CC8FDFA">
            <w:pPr>
              <w:spacing w:line="360" w:lineRule="auto"/>
              <w:ind w:firstLine="840" w:firstLineChars="400"/>
              <w:rPr>
                <w:rFonts w:ascii="宋体"/>
                <w:szCs w:val="21"/>
              </w:rPr>
            </w:pPr>
            <w:r>
              <w:rPr>
                <w:rFonts w:hint="eastAsia" w:ascii="宋体" w:hAnsi="宋体"/>
                <w:szCs w:val="21"/>
              </w:rPr>
              <w:t>质量、工期奖罚条款：</w:t>
            </w:r>
          </w:p>
          <w:p w14:paraId="5E5D6BEA">
            <w:pPr>
              <w:spacing w:line="360" w:lineRule="auto"/>
              <w:ind w:firstLine="625" w:firstLineChars="298"/>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,3)</w:instrText>
            </w:r>
            <w:r>
              <w:rPr>
                <w:rFonts w:ascii="宋体" w:hAnsi="宋体"/>
                <w:szCs w:val="21"/>
              </w:rPr>
              <w:fldChar w:fldCharType="end"/>
            </w:r>
            <w:r>
              <w:rPr>
                <w:rFonts w:hint="eastAsia" w:ascii="宋体" w:hAnsi="宋体"/>
                <w:szCs w:val="21"/>
              </w:rPr>
              <w:t>安全文明措施费（元）：</w:t>
            </w:r>
          </w:p>
          <w:p w14:paraId="6A339B2E">
            <w:pPr>
              <w:spacing w:line="360" w:lineRule="auto"/>
              <w:ind w:firstLine="205" w:firstLineChars="98"/>
              <w:jc w:val="left"/>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,4)</w:instrText>
            </w:r>
            <w:r>
              <w:rPr>
                <w:rFonts w:ascii="宋体" w:hAnsi="宋体"/>
                <w:szCs w:val="21"/>
              </w:rPr>
              <w:fldChar w:fldCharType="end"/>
            </w:r>
            <w:r>
              <w:rPr>
                <w:rFonts w:hint="eastAsia" w:ascii="宋体" w:hAnsi="宋体"/>
                <w:szCs w:val="21"/>
              </w:rPr>
              <w:t>项目负责人姓名：手机号：身份证号码：</w:t>
            </w:r>
          </w:p>
          <w:p w14:paraId="42DD39B8">
            <w:pPr>
              <w:spacing w:line="360" w:lineRule="auto"/>
              <w:jc w:val="center"/>
              <w:rPr>
                <w:rFonts w:ascii="宋体" w:hAnsi="宋体"/>
                <w:color w:val="auto"/>
                <w:szCs w:val="21"/>
              </w:rPr>
            </w:pPr>
            <w:r>
              <w:rPr>
                <w:rFonts w:hint="eastAsia" w:ascii="宋体" w:hAnsi="宋体"/>
                <w:szCs w:val="21"/>
                <w:lang w:val="en-US" w:eastAsia="zh-CN"/>
              </w:rPr>
              <w:t xml:space="preserve">                                                 </w:t>
            </w: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w:t>
            </w:r>
          </w:p>
          <w:p w14:paraId="12A55819">
            <w:pPr>
              <w:spacing w:line="360" w:lineRule="auto"/>
              <w:jc w:val="center"/>
              <w:rPr>
                <w:rFonts w:ascii="宋体"/>
                <w:color w:val="FF0000"/>
                <w:szCs w:val="21"/>
              </w:rPr>
            </w:pPr>
            <w:r>
              <w:rPr>
                <w:rFonts w:hint="eastAsia" w:ascii="宋体" w:hAnsi="宋体"/>
                <w:color w:val="auto"/>
                <w:szCs w:val="21"/>
                <w:lang w:val="en-US" w:eastAsia="zh-CN"/>
              </w:rPr>
              <w:t xml:space="preserve">                                                                         </w:t>
            </w:r>
            <w:r>
              <w:rPr>
                <w:rFonts w:hint="eastAsia" w:ascii="宋体" w:hAnsi="宋体"/>
                <w:color w:val="auto"/>
                <w:szCs w:val="21"/>
              </w:rPr>
              <w:t>法定代表人或其委托代理人：（签字或盖章）</w:t>
            </w:r>
          </w:p>
          <w:p w14:paraId="2415F514">
            <w:pPr>
              <w:spacing w:line="360" w:lineRule="auto"/>
              <w:jc w:val="center"/>
              <w:rPr>
                <w:rFonts w:ascii="宋体"/>
                <w:szCs w:val="21"/>
              </w:rPr>
            </w:pPr>
            <w:r>
              <w:rPr>
                <w:rFonts w:hint="eastAsia" w:ascii="宋体" w:hAnsi="宋体"/>
                <w:szCs w:val="21"/>
                <w:lang w:val="en-US" w:eastAsia="zh-CN"/>
              </w:rPr>
              <w:t xml:space="preserve">                                                                                   </w:t>
            </w:r>
            <w:r>
              <w:rPr>
                <w:rFonts w:hint="eastAsia" w:ascii="宋体" w:hAnsi="宋体"/>
                <w:szCs w:val="21"/>
              </w:rPr>
              <w:t>年月日</w:t>
            </w:r>
          </w:p>
        </w:tc>
      </w:tr>
    </w:tbl>
    <w:p w14:paraId="3B40C10C">
      <w:pPr>
        <w:numPr>
          <w:ilvl w:val="1"/>
          <w:numId w:val="15"/>
        </w:numPr>
        <w:spacing w:line="360" w:lineRule="auto"/>
        <w:rPr>
          <w:rFonts w:ascii="宋体"/>
        </w:rPr>
      </w:pPr>
      <w:r>
        <w:rPr>
          <w:rFonts w:hint="eastAsia" w:ascii="宋体" w:hAnsi="宋体"/>
        </w:rPr>
        <w:t>若本表与竞争性磋商文件格式其他部分在内容上有出入，以本表为准。</w:t>
      </w:r>
    </w:p>
    <w:p w14:paraId="1A07B0B4">
      <w:pPr>
        <w:numPr>
          <w:ilvl w:val="1"/>
          <w:numId w:val="15"/>
        </w:numPr>
        <w:spacing w:line="360" w:lineRule="auto"/>
        <w:rPr>
          <w:rFonts w:ascii="宋体"/>
        </w:rPr>
      </w:pPr>
      <w:r>
        <w:rPr>
          <w:rFonts w:hint="eastAsia" w:ascii="宋体" w:hAnsi="宋体"/>
        </w:rPr>
        <w:t>各</w:t>
      </w:r>
      <w:r>
        <w:rPr>
          <w:rFonts w:hint="eastAsia" w:ascii="宋体" w:hAnsi="宋体"/>
          <w:lang w:eastAsia="zh-CN"/>
        </w:rPr>
        <w:t>响应单位</w:t>
      </w:r>
      <w:r>
        <w:rPr>
          <w:rFonts w:hint="eastAsia" w:ascii="宋体" w:hAnsi="宋体"/>
        </w:rPr>
        <w:t>拟采取的竞争措施和优惠条件应在商务报价编制说明中详细列明，标后优惠条件一律不作考虑。</w:t>
      </w:r>
    </w:p>
    <w:p w14:paraId="18C154A3">
      <w:pPr>
        <w:numPr>
          <w:ilvl w:val="1"/>
          <w:numId w:val="15"/>
        </w:numPr>
        <w:spacing w:line="360" w:lineRule="auto"/>
        <w:rPr>
          <w:rFonts w:ascii="宋体"/>
        </w:rPr>
      </w:pPr>
      <w:r>
        <w:rPr>
          <w:rFonts w:hint="eastAsia" w:ascii="宋体" w:hAnsi="宋体"/>
          <w:lang w:eastAsia="zh-CN"/>
        </w:rPr>
        <w:t>磋商</w:t>
      </w:r>
      <w:r>
        <w:rPr>
          <w:rFonts w:hint="eastAsia" w:ascii="宋体" w:hAnsi="宋体"/>
        </w:rPr>
        <w:t>报价应包括为完成竞争性磋商文件工作内容所产生的一切费用。</w:t>
      </w:r>
    </w:p>
    <w:p w14:paraId="37EF86E8">
      <w:pPr>
        <w:numPr>
          <w:ilvl w:val="1"/>
          <w:numId w:val="15"/>
        </w:numPr>
        <w:spacing w:line="360" w:lineRule="auto"/>
        <w:rPr>
          <w:rFonts w:ascii="宋体" w:hAnsi="宋体" w:cs="宋体"/>
          <w:szCs w:val="21"/>
        </w:rPr>
        <w:sectPr>
          <w:pgSz w:w="16838" w:h="11906" w:orient="landscape"/>
          <w:pgMar w:top="1554" w:right="1418" w:bottom="1531" w:left="1418" w:header="851" w:footer="680" w:gutter="0"/>
          <w:pgNumType w:fmt="numberInDash"/>
          <w:cols w:space="720" w:num="1"/>
          <w:titlePg/>
          <w:docGrid w:linePitch="312" w:charSpace="0"/>
        </w:sectPr>
      </w:pPr>
      <w:r>
        <w:rPr>
          <w:rFonts w:hint="eastAsia" w:ascii="宋体" w:hAnsi="宋体"/>
        </w:rPr>
        <w:t>附详细费用表（详见</w:t>
      </w:r>
      <w:r>
        <w:rPr>
          <w:rFonts w:hint="eastAsia" w:ascii="宋体" w:hAnsi="宋体" w:cs="宋体"/>
          <w:szCs w:val="21"/>
        </w:rPr>
        <w:t>磋商报价分项表（格式））</w:t>
      </w:r>
      <w:r>
        <w:rPr>
          <w:rFonts w:hint="eastAsia" w:ascii="宋体" w:hAnsi="宋体"/>
        </w:rPr>
        <w:t>。</w:t>
      </w:r>
    </w:p>
    <w:p w14:paraId="18CDA88F">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—2</w:t>
      </w:r>
      <w:r>
        <w:rPr>
          <w:rFonts w:hint="eastAsia" w:ascii="宋体" w:hAnsi="宋体" w:cs="宋体"/>
          <w:szCs w:val="21"/>
        </w:rPr>
        <w:t>磋商报价分项表（格式自拟）</w:t>
      </w:r>
    </w:p>
    <w:p w14:paraId="29D366C6">
      <w:pPr>
        <w:spacing w:line="360" w:lineRule="auto"/>
        <w:ind w:firstLine="420" w:firstLineChars="200"/>
        <w:jc w:val="center"/>
        <w:rPr>
          <w:rFonts w:ascii="宋体" w:hAnsi="宋体" w:cs="宋体"/>
          <w:szCs w:val="21"/>
        </w:rPr>
      </w:pPr>
    </w:p>
    <w:p w14:paraId="07A85A33">
      <w:pPr>
        <w:spacing w:line="360" w:lineRule="auto"/>
        <w:ind w:firstLine="420" w:firstLineChars="200"/>
        <w:jc w:val="center"/>
        <w:rPr>
          <w:rFonts w:ascii="宋体" w:hAnsi="宋体" w:cs="宋体"/>
          <w:szCs w:val="21"/>
        </w:rPr>
      </w:pPr>
    </w:p>
    <w:p w14:paraId="675D20DB">
      <w:pPr>
        <w:spacing w:line="360" w:lineRule="auto"/>
        <w:ind w:firstLine="420" w:firstLineChars="200"/>
        <w:jc w:val="center"/>
        <w:rPr>
          <w:rFonts w:ascii="宋体" w:cs="宋体"/>
          <w:szCs w:val="21"/>
        </w:rPr>
      </w:pPr>
      <w:r>
        <w:rPr>
          <w:rFonts w:hint="eastAsia" w:ascii="宋体" w:hAnsi="宋体" w:cs="宋体"/>
          <w:szCs w:val="21"/>
        </w:rPr>
        <w:t>附件４　　</w:t>
      </w:r>
      <w:r>
        <w:rPr>
          <w:rFonts w:hint="eastAsia" w:ascii="宋体" w:hAnsi="宋体" w:cs="宋体"/>
          <w:szCs w:val="21"/>
          <w:lang w:eastAsia="zh-CN"/>
        </w:rPr>
        <w:t>响应单位</w:t>
      </w:r>
      <w:r>
        <w:rPr>
          <w:rFonts w:hint="eastAsia" w:ascii="宋体" w:hAnsi="宋体" w:cs="宋体"/>
          <w:szCs w:val="21"/>
        </w:rPr>
        <w:t>基本资料</w:t>
      </w:r>
    </w:p>
    <w:p w14:paraId="680F7E65">
      <w:pPr>
        <w:spacing w:beforeLines="50" w:afterLines="100" w:line="360" w:lineRule="auto"/>
        <w:jc w:val="center"/>
        <w:outlineLvl w:val="3"/>
        <w:rPr>
          <w:rFonts w:ascii="宋体"/>
          <w:szCs w:val="21"/>
        </w:rPr>
      </w:pPr>
      <w:bookmarkStart w:id="595" w:name="_Toc364679646"/>
      <w:r>
        <w:rPr>
          <w:rFonts w:hint="eastAsia" w:ascii="宋体" w:hAnsi="宋体"/>
          <w:szCs w:val="21"/>
          <w:lang w:eastAsia="zh-CN"/>
        </w:rPr>
        <w:t>响应单位</w:t>
      </w:r>
      <w:r>
        <w:rPr>
          <w:rFonts w:hint="eastAsia" w:ascii="宋体" w:hAnsi="宋体"/>
          <w:szCs w:val="21"/>
        </w:rPr>
        <w:t>基本情况表</w:t>
      </w:r>
      <w:bookmarkEnd w:id="595"/>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632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7F67688">
            <w:pPr>
              <w:contextualSpacing/>
              <w:jc w:val="center"/>
              <w:rPr>
                <w:rFonts w:ascii="宋体" w:hAnsi="宋体"/>
                <w:szCs w:val="21"/>
              </w:rPr>
            </w:pPr>
            <w:r>
              <w:rPr>
                <w:rFonts w:hint="eastAsia" w:ascii="宋体" w:hAnsi="宋体"/>
                <w:szCs w:val="21"/>
                <w:lang w:eastAsia="zh-CN"/>
              </w:rPr>
              <w:t>响应单位</w:t>
            </w:r>
            <w:r>
              <w:rPr>
                <w:rFonts w:hint="eastAsia" w:ascii="宋体" w:hAnsi="宋体"/>
                <w:szCs w:val="21"/>
              </w:rPr>
              <w:t>名称</w:t>
            </w:r>
          </w:p>
        </w:tc>
        <w:tc>
          <w:tcPr>
            <w:tcW w:w="7020" w:type="dxa"/>
            <w:gridSpan w:val="9"/>
            <w:vAlign w:val="center"/>
          </w:tcPr>
          <w:p w14:paraId="0749698C">
            <w:pPr>
              <w:contextualSpacing/>
              <w:jc w:val="center"/>
              <w:rPr>
                <w:rFonts w:ascii="宋体" w:hAnsi="宋体"/>
                <w:szCs w:val="21"/>
              </w:rPr>
            </w:pPr>
          </w:p>
        </w:tc>
      </w:tr>
      <w:tr w14:paraId="4A91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591DAF">
            <w:pPr>
              <w:contextualSpacing/>
              <w:jc w:val="center"/>
              <w:rPr>
                <w:rFonts w:ascii="宋体" w:hAnsi="宋体"/>
                <w:szCs w:val="21"/>
              </w:rPr>
            </w:pPr>
            <w:r>
              <w:rPr>
                <w:rFonts w:hint="eastAsia" w:ascii="宋体" w:hAnsi="宋体"/>
                <w:szCs w:val="21"/>
              </w:rPr>
              <w:t>注册地址</w:t>
            </w:r>
          </w:p>
        </w:tc>
        <w:tc>
          <w:tcPr>
            <w:tcW w:w="3389" w:type="dxa"/>
            <w:gridSpan w:val="5"/>
            <w:vAlign w:val="center"/>
          </w:tcPr>
          <w:p w14:paraId="1613E34D">
            <w:pPr>
              <w:contextualSpacing/>
              <w:jc w:val="center"/>
              <w:rPr>
                <w:rFonts w:ascii="宋体" w:hAnsi="宋体"/>
                <w:szCs w:val="21"/>
              </w:rPr>
            </w:pPr>
          </w:p>
        </w:tc>
        <w:tc>
          <w:tcPr>
            <w:tcW w:w="1246" w:type="dxa"/>
            <w:vAlign w:val="center"/>
          </w:tcPr>
          <w:p w14:paraId="2D56C51D">
            <w:pPr>
              <w:contextualSpacing/>
              <w:jc w:val="center"/>
              <w:rPr>
                <w:rFonts w:ascii="宋体" w:hAnsi="宋体"/>
                <w:szCs w:val="21"/>
              </w:rPr>
            </w:pPr>
            <w:r>
              <w:rPr>
                <w:rFonts w:hint="eastAsia" w:ascii="宋体" w:hAnsi="宋体"/>
                <w:szCs w:val="21"/>
              </w:rPr>
              <w:t>邮政编码</w:t>
            </w:r>
          </w:p>
        </w:tc>
        <w:tc>
          <w:tcPr>
            <w:tcW w:w="2385" w:type="dxa"/>
            <w:gridSpan w:val="3"/>
            <w:vAlign w:val="center"/>
          </w:tcPr>
          <w:p w14:paraId="6F918630">
            <w:pPr>
              <w:contextualSpacing/>
              <w:jc w:val="center"/>
              <w:rPr>
                <w:rFonts w:ascii="宋体" w:hAnsi="宋体"/>
                <w:szCs w:val="21"/>
              </w:rPr>
            </w:pPr>
          </w:p>
        </w:tc>
      </w:tr>
      <w:tr w14:paraId="2431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5C682F9C">
            <w:pPr>
              <w:contextualSpacing/>
              <w:jc w:val="center"/>
              <w:rPr>
                <w:rFonts w:ascii="宋体" w:hAnsi="宋体"/>
                <w:szCs w:val="21"/>
              </w:rPr>
            </w:pPr>
            <w:r>
              <w:rPr>
                <w:rFonts w:hint="eastAsia" w:ascii="宋体" w:hAnsi="宋体"/>
                <w:szCs w:val="21"/>
              </w:rPr>
              <w:t>联系方式</w:t>
            </w:r>
          </w:p>
        </w:tc>
        <w:tc>
          <w:tcPr>
            <w:tcW w:w="897" w:type="dxa"/>
            <w:vAlign w:val="center"/>
          </w:tcPr>
          <w:p w14:paraId="73B92C5D">
            <w:pPr>
              <w:contextualSpacing/>
              <w:jc w:val="center"/>
              <w:rPr>
                <w:rFonts w:ascii="宋体" w:hAnsi="宋体"/>
                <w:szCs w:val="21"/>
              </w:rPr>
            </w:pPr>
            <w:r>
              <w:rPr>
                <w:rFonts w:hint="eastAsia" w:ascii="宋体" w:hAnsi="宋体"/>
                <w:szCs w:val="21"/>
              </w:rPr>
              <w:t>联系人</w:t>
            </w:r>
          </w:p>
        </w:tc>
        <w:tc>
          <w:tcPr>
            <w:tcW w:w="2492" w:type="dxa"/>
            <w:gridSpan w:val="4"/>
            <w:vAlign w:val="center"/>
          </w:tcPr>
          <w:p w14:paraId="641623A7">
            <w:pPr>
              <w:contextualSpacing/>
              <w:jc w:val="center"/>
              <w:rPr>
                <w:rFonts w:ascii="宋体" w:hAnsi="宋体"/>
                <w:szCs w:val="21"/>
              </w:rPr>
            </w:pPr>
          </w:p>
        </w:tc>
        <w:tc>
          <w:tcPr>
            <w:tcW w:w="1246" w:type="dxa"/>
            <w:vAlign w:val="center"/>
          </w:tcPr>
          <w:p w14:paraId="112408F3">
            <w:pPr>
              <w:contextualSpacing/>
              <w:jc w:val="center"/>
              <w:rPr>
                <w:rFonts w:ascii="宋体" w:hAnsi="宋体"/>
                <w:szCs w:val="21"/>
              </w:rPr>
            </w:pPr>
            <w:r>
              <w:rPr>
                <w:rFonts w:hint="eastAsia" w:ascii="宋体" w:hAnsi="宋体"/>
                <w:szCs w:val="21"/>
              </w:rPr>
              <w:t>电话</w:t>
            </w:r>
          </w:p>
        </w:tc>
        <w:tc>
          <w:tcPr>
            <w:tcW w:w="2385" w:type="dxa"/>
            <w:gridSpan w:val="3"/>
            <w:vAlign w:val="center"/>
          </w:tcPr>
          <w:p w14:paraId="36F55C0D">
            <w:pPr>
              <w:contextualSpacing/>
              <w:jc w:val="center"/>
              <w:rPr>
                <w:rFonts w:ascii="宋体" w:hAnsi="宋体"/>
                <w:szCs w:val="21"/>
              </w:rPr>
            </w:pPr>
          </w:p>
        </w:tc>
      </w:tr>
      <w:tr w14:paraId="5BC9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4E0F513">
            <w:pPr>
              <w:contextualSpacing/>
              <w:jc w:val="center"/>
              <w:rPr>
                <w:rFonts w:ascii="宋体" w:hAnsi="宋体"/>
                <w:szCs w:val="21"/>
              </w:rPr>
            </w:pPr>
          </w:p>
        </w:tc>
        <w:tc>
          <w:tcPr>
            <w:tcW w:w="897" w:type="dxa"/>
            <w:vAlign w:val="center"/>
          </w:tcPr>
          <w:p w14:paraId="0589E5FC">
            <w:pPr>
              <w:contextualSpacing/>
              <w:jc w:val="center"/>
              <w:rPr>
                <w:rFonts w:ascii="宋体" w:hAnsi="宋体"/>
                <w:szCs w:val="21"/>
              </w:rPr>
            </w:pPr>
            <w:r>
              <w:rPr>
                <w:rFonts w:hint="eastAsia" w:ascii="宋体" w:hAnsi="宋体"/>
                <w:szCs w:val="21"/>
              </w:rPr>
              <w:t>传真</w:t>
            </w:r>
          </w:p>
        </w:tc>
        <w:tc>
          <w:tcPr>
            <w:tcW w:w="2492" w:type="dxa"/>
            <w:gridSpan w:val="4"/>
            <w:vAlign w:val="center"/>
          </w:tcPr>
          <w:p w14:paraId="3E0B9A22">
            <w:pPr>
              <w:contextualSpacing/>
              <w:jc w:val="center"/>
              <w:rPr>
                <w:rFonts w:ascii="宋体" w:hAnsi="宋体"/>
                <w:szCs w:val="21"/>
              </w:rPr>
            </w:pPr>
          </w:p>
        </w:tc>
        <w:tc>
          <w:tcPr>
            <w:tcW w:w="1246" w:type="dxa"/>
            <w:vAlign w:val="center"/>
          </w:tcPr>
          <w:p w14:paraId="17010448">
            <w:pPr>
              <w:contextualSpacing/>
              <w:jc w:val="center"/>
              <w:rPr>
                <w:rFonts w:ascii="宋体" w:hAnsi="宋体"/>
                <w:szCs w:val="21"/>
              </w:rPr>
            </w:pPr>
            <w:r>
              <w:rPr>
                <w:rFonts w:hint="eastAsia" w:ascii="宋体" w:hAnsi="宋体"/>
                <w:szCs w:val="21"/>
              </w:rPr>
              <w:t>网址</w:t>
            </w:r>
          </w:p>
        </w:tc>
        <w:tc>
          <w:tcPr>
            <w:tcW w:w="2385" w:type="dxa"/>
            <w:gridSpan w:val="3"/>
            <w:vAlign w:val="center"/>
          </w:tcPr>
          <w:p w14:paraId="2AE11D82">
            <w:pPr>
              <w:contextualSpacing/>
              <w:jc w:val="center"/>
              <w:rPr>
                <w:rFonts w:ascii="宋体" w:hAnsi="宋体"/>
                <w:szCs w:val="21"/>
              </w:rPr>
            </w:pPr>
          </w:p>
        </w:tc>
      </w:tr>
      <w:tr w14:paraId="2F67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6ED7F58">
            <w:pPr>
              <w:contextualSpacing/>
              <w:jc w:val="center"/>
              <w:rPr>
                <w:rFonts w:ascii="宋体" w:hAnsi="宋体"/>
                <w:szCs w:val="21"/>
              </w:rPr>
            </w:pPr>
            <w:r>
              <w:rPr>
                <w:rFonts w:hint="eastAsia" w:ascii="宋体" w:hAnsi="宋体"/>
                <w:szCs w:val="21"/>
              </w:rPr>
              <w:t>组织结构</w:t>
            </w:r>
          </w:p>
        </w:tc>
        <w:tc>
          <w:tcPr>
            <w:tcW w:w="7020" w:type="dxa"/>
            <w:gridSpan w:val="9"/>
            <w:vAlign w:val="center"/>
          </w:tcPr>
          <w:p w14:paraId="47F9F134">
            <w:pPr>
              <w:contextualSpacing/>
              <w:jc w:val="center"/>
              <w:rPr>
                <w:rFonts w:ascii="宋体" w:hAnsi="宋体"/>
                <w:szCs w:val="21"/>
              </w:rPr>
            </w:pPr>
          </w:p>
        </w:tc>
      </w:tr>
      <w:tr w14:paraId="66B9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CFB27C">
            <w:pPr>
              <w:contextualSpacing/>
              <w:jc w:val="center"/>
              <w:rPr>
                <w:rFonts w:ascii="宋体" w:hAnsi="宋体"/>
                <w:szCs w:val="21"/>
              </w:rPr>
            </w:pPr>
            <w:r>
              <w:rPr>
                <w:rFonts w:hint="eastAsia" w:ascii="宋体" w:hAnsi="宋体"/>
                <w:szCs w:val="21"/>
              </w:rPr>
              <w:t>法定代表人</w:t>
            </w:r>
          </w:p>
        </w:tc>
        <w:tc>
          <w:tcPr>
            <w:tcW w:w="897" w:type="dxa"/>
            <w:vAlign w:val="center"/>
          </w:tcPr>
          <w:p w14:paraId="1A6AA153">
            <w:pPr>
              <w:contextualSpacing/>
              <w:jc w:val="center"/>
              <w:rPr>
                <w:rFonts w:ascii="宋体" w:hAnsi="宋体"/>
                <w:szCs w:val="21"/>
              </w:rPr>
            </w:pPr>
            <w:r>
              <w:rPr>
                <w:rFonts w:hint="eastAsia" w:ascii="宋体" w:hAnsi="宋体"/>
                <w:szCs w:val="21"/>
              </w:rPr>
              <w:t>姓名</w:t>
            </w:r>
          </w:p>
        </w:tc>
        <w:tc>
          <w:tcPr>
            <w:tcW w:w="1021" w:type="dxa"/>
            <w:vAlign w:val="center"/>
          </w:tcPr>
          <w:p w14:paraId="53048AE5">
            <w:pPr>
              <w:contextualSpacing/>
              <w:jc w:val="center"/>
              <w:rPr>
                <w:rFonts w:ascii="宋体" w:hAnsi="宋体"/>
                <w:szCs w:val="21"/>
              </w:rPr>
            </w:pPr>
          </w:p>
        </w:tc>
        <w:tc>
          <w:tcPr>
            <w:tcW w:w="1276" w:type="dxa"/>
            <w:gridSpan w:val="2"/>
            <w:vAlign w:val="center"/>
          </w:tcPr>
          <w:p w14:paraId="738CC8A9">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32BBB0A8">
            <w:pPr>
              <w:contextualSpacing/>
              <w:jc w:val="center"/>
              <w:rPr>
                <w:rFonts w:ascii="宋体" w:hAnsi="宋体"/>
                <w:szCs w:val="21"/>
              </w:rPr>
            </w:pPr>
          </w:p>
        </w:tc>
        <w:tc>
          <w:tcPr>
            <w:tcW w:w="709" w:type="dxa"/>
            <w:vAlign w:val="center"/>
          </w:tcPr>
          <w:p w14:paraId="4951976E">
            <w:pPr>
              <w:contextualSpacing/>
              <w:jc w:val="center"/>
              <w:rPr>
                <w:rFonts w:ascii="宋体" w:hAnsi="宋体"/>
                <w:szCs w:val="21"/>
              </w:rPr>
            </w:pPr>
            <w:r>
              <w:rPr>
                <w:rFonts w:hint="eastAsia" w:ascii="宋体" w:hAnsi="宋体"/>
                <w:szCs w:val="21"/>
              </w:rPr>
              <w:t>电话</w:t>
            </w:r>
          </w:p>
        </w:tc>
        <w:tc>
          <w:tcPr>
            <w:tcW w:w="1416" w:type="dxa"/>
            <w:vAlign w:val="center"/>
          </w:tcPr>
          <w:p w14:paraId="4250669E">
            <w:pPr>
              <w:contextualSpacing/>
              <w:jc w:val="center"/>
              <w:rPr>
                <w:rFonts w:ascii="宋体" w:hAnsi="宋体"/>
                <w:szCs w:val="21"/>
              </w:rPr>
            </w:pPr>
          </w:p>
        </w:tc>
      </w:tr>
      <w:tr w14:paraId="7790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389250">
            <w:pPr>
              <w:contextualSpacing/>
              <w:jc w:val="center"/>
              <w:rPr>
                <w:rFonts w:ascii="宋体" w:hAnsi="宋体"/>
                <w:szCs w:val="21"/>
              </w:rPr>
            </w:pPr>
            <w:r>
              <w:rPr>
                <w:rFonts w:hint="eastAsia" w:ascii="宋体" w:hAnsi="宋体"/>
                <w:szCs w:val="21"/>
              </w:rPr>
              <w:t>技术负责人</w:t>
            </w:r>
          </w:p>
        </w:tc>
        <w:tc>
          <w:tcPr>
            <w:tcW w:w="897" w:type="dxa"/>
            <w:vAlign w:val="center"/>
          </w:tcPr>
          <w:p w14:paraId="34F26869">
            <w:pPr>
              <w:contextualSpacing/>
              <w:jc w:val="center"/>
              <w:rPr>
                <w:rFonts w:ascii="宋体" w:hAnsi="宋体"/>
                <w:szCs w:val="21"/>
              </w:rPr>
            </w:pPr>
            <w:r>
              <w:rPr>
                <w:rFonts w:hint="eastAsia" w:ascii="宋体" w:hAnsi="宋体"/>
                <w:szCs w:val="21"/>
              </w:rPr>
              <w:t>姓名</w:t>
            </w:r>
          </w:p>
        </w:tc>
        <w:tc>
          <w:tcPr>
            <w:tcW w:w="1021" w:type="dxa"/>
            <w:vAlign w:val="center"/>
          </w:tcPr>
          <w:p w14:paraId="7CBDD026">
            <w:pPr>
              <w:contextualSpacing/>
              <w:jc w:val="center"/>
              <w:rPr>
                <w:rFonts w:ascii="宋体" w:hAnsi="宋体"/>
                <w:szCs w:val="21"/>
              </w:rPr>
            </w:pPr>
          </w:p>
        </w:tc>
        <w:tc>
          <w:tcPr>
            <w:tcW w:w="1276" w:type="dxa"/>
            <w:gridSpan w:val="2"/>
            <w:vAlign w:val="center"/>
          </w:tcPr>
          <w:p w14:paraId="18BA0F25">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7A16F9BF">
            <w:pPr>
              <w:contextualSpacing/>
              <w:jc w:val="center"/>
              <w:rPr>
                <w:rFonts w:ascii="宋体" w:hAnsi="宋体"/>
                <w:szCs w:val="21"/>
              </w:rPr>
            </w:pPr>
          </w:p>
        </w:tc>
        <w:tc>
          <w:tcPr>
            <w:tcW w:w="709" w:type="dxa"/>
            <w:vAlign w:val="center"/>
          </w:tcPr>
          <w:p w14:paraId="364F427F">
            <w:pPr>
              <w:contextualSpacing/>
              <w:jc w:val="center"/>
              <w:rPr>
                <w:rFonts w:ascii="宋体" w:hAnsi="宋体"/>
                <w:szCs w:val="21"/>
              </w:rPr>
            </w:pPr>
            <w:r>
              <w:rPr>
                <w:rFonts w:hint="eastAsia" w:ascii="宋体" w:hAnsi="宋体"/>
                <w:szCs w:val="21"/>
              </w:rPr>
              <w:t>电话</w:t>
            </w:r>
          </w:p>
        </w:tc>
        <w:tc>
          <w:tcPr>
            <w:tcW w:w="1416" w:type="dxa"/>
            <w:vAlign w:val="center"/>
          </w:tcPr>
          <w:p w14:paraId="5E355EE3">
            <w:pPr>
              <w:contextualSpacing/>
              <w:jc w:val="center"/>
              <w:rPr>
                <w:rFonts w:ascii="宋体" w:hAnsi="宋体"/>
                <w:szCs w:val="21"/>
              </w:rPr>
            </w:pPr>
          </w:p>
        </w:tc>
      </w:tr>
      <w:tr w14:paraId="2D40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3B67475">
            <w:pPr>
              <w:contextualSpacing/>
              <w:jc w:val="center"/>
              <w:rPr>
                <w:rFonts w:ascii="宋体" w:hAnsi="宋体"/>
                <w:szCs w:val="21"/>
              </w:rPr>
            </w:pPr>
            <w:r>
              <w:rPr>
                <w:rFonts w:hint="eastAsia" w:ascii="宋体" w:hAnsi="宋体"/>
                <w:szCs w:val="21"/>
              </w:rPr>
              <w:t>成立时间</w:t>
            </w:r>
          </w:p>
        </w:tc>
        <w:tc>
          <w:tcPr>
            <w:tcW w:w="1918" w:type="dxa"/>
            <w:gridSpan w:val="2"/>
            <w:vAlign w:val="center"/>
          </w:tcPr>
          <w:p w14:paraId="2FC658B5">
            <w:pPr>
              <w:contextualSpacing/>
              <w:jc w:val="center"/>
              <w:rPr>
                <w:rFonts w:ascii="宋体" w:hAnsi="宋体"/>
                <w:szCs w:val="21"/>
              </w:rPr>
            </w:pPr>
          </w:p>
        </w:tc>
        <w:tc>
          <w:tcPr>
            <w:tcW w:w="5102" w:type="dxa"/>
            <w:gridSpan w:val="7"/>
            <w:vAlign w:val="center"/>
          </w:tcPr>
          <w:p w14:paraId="4B6708DA">
            <w:pPr>
              <w:contextualSpacing/>
              <w:jc w:val="center"/>
              <w:rPr>
                <w:rFonts w:ascii="宋体" w:hAnsi="宋体"/>
                <w:szCs w:val="21"/>
              </w:rPr>
            </w:pPr>
            <w:r>
              <w:rPr>
                <w:rFonts w:hint="eastAsia" w:ascii="宋体" w:hAnsi="宋体"/>
                <w:szCs w:val="21"/>
              </w:rPr>
              <w:t>员工总人数：</w:t>
            </w:r>
          </w:p>
        </w:tc>
      </w:tr>
      <w:tr w14:paraId="4F5A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FBEBB71">
            <w:pPr>
              <w:contextualSpacing/>
              <w:jc w:val="center"/>
              <w:rPr>
                <w:rFonts w:ascii="宋体" w:hAnsi="宋体"/>
                <w:szCs w:val="21"/>
              </w:rPr>
            </w:pPr>
            <w:r>
              <w:rPr>
                <w:rFonts w:hint="eastAsia" w:ascii="宋体" w:hAnsi="宋体"/>
                <w:szCs w:val="21"/>
              </w:rPr>
              <w:t>企业资质等级</w:t>
            </w:r>
          </w:p>
        </w:tc>
        <w:tc>
          <w:tcPr>
            <w:tcW w:w="897" w:type="dxa"/>
            <w:vAlign w:val="center"/>
          </w:tcPr>
          <w:p w14:paraId="4106C3C4">
            <w:pPr>
              <w:contextualSpacing/>
              <w:jc w:val="center"/>
              <w:rPr>
                <w:rFonts w:ascii="宋体" w:hAnsi="宋体"/>
                <w:szCs w:val="21"/>
              </w:rPr>
            </w:pPr>
          </w:p>
        </w:tc>
        <w:tc>
          <w:tcPr>
            <w:tcW w:w="1021" w:type="dxa"/>
            <w:vAlign w:val="center"/>
          </w:tcPr>
          <w:p w14:paraId="53DC73EE">
            <w:pPr>
              <w:contextualSpacing/>
              <w:jc w:val="center"/>
              <w:rPr>
                <w:rFonts w:ascii="宋体" w:hAnsi="宋体"/>
                <w:szCs w:val="21"/>
              </w:rPr>
            </w:pPr>
          </w:p>
        </w:tc>
        <w:tc>
          <w:tcPr>
            <w:tcW w:w="993" w:type="dxa"/>
            <w:vMerge w:val="restart"/>
            <w:vAlign w:val="center"/>
          </w:tcPr>
          <w:p w14:paraId="4857250C">
            <w:pPr>
              <w:contextualSpacing/>
              <w:jc w:val="center"/>
              <w:rPr>
                <w:rFonts w:ascii="宋体" w:hAnsi="宋体"/>
                <w:szCs w:val="21"/>
              </w:rPr>
            </w:pPr>
            <w:r>
              <w:rPr>
                <w:rFonts w:hint="eastAsia" w:ascii="宋体" w:hAnsi="宋体"/>
                <w:szCs w:val="21"/>
              </w:rPr>
              <w:t>其中</w:t>
            </w:r>
          </w:p>
        </w:tc>
        <w:tc>
          <w:tcPr>
            <w:tcW w:w="1984" w:type="dxa"/>
            <w:gridSpan w:val="4"/>
            <w:vAlign w:val="center"/>
          </w:tcPr>
          <w:p w14:paraId="74154976">
            <w:pPr>
              <w:contextualSpacing/>
              <w:jc w:val="center"/>
              <w:rPr>
                <w:rFonts w:ascii="宋体" w:hAnsi="宋体"/>
                <w:szCs w:val="21"/>
              </w:rPr>
            </w:pPr>
            <w:r>
              <w:rPr>
                <w:rFonts w:hint="eastAsia" w:ascii="宋体" w:hAnsi="宋体"/>
                <w:szCs w:val="21"/>
              </w:rPr>
              <w:t>项目负责人</w:t>
            </w:r>
          </w:p>
        </w:tc>
        <w:tc>
          <w:tcPr>
            <w:tcW w:w="2125" w:type="dxa"/>
            <w:gridSpan w:val="2"/>
            <w:vAlign w:val="center"/>
          </w:tcPr>
          <w:p w14:paraId="61B2FF08">
            <w:pPr>
              <w:contextualSpacing/>
              <w:jc w:val="center"/>
              <w:rPr>
                <w:rFonts w:ascii="宋体" w:hAnsi="宋体"/>
                <w:szCs w:val="21"/>
              </w:rPr>
            </w:pPr>
          </w:p>
        </w:tc>
      </w:tr>
      <w:tr w14:paraId="7A70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73EC773">
            <w:pPr>
              <w:contextualSpacing/>
              <w:jc w:val="center"/>
              <w:rPr>
                <w:rFonts w:ascii="宋体" w:hAnsi="宋体"/>
                <w:szCs w:val="21"/>
              </w:rPr>
            </w:pPr>
            <w:r>
              <w:rPr>
                <w:rFonts w:hint="eastAsia" w:ascii="宋体" w:hAnsi="宋体"/>
                <w:szCs w:val="21"/>
              </w:rPr>
              <w:t>营业执照号</w:t>
            </w:r>
          </w:p>
        </w:tc>
        <w:tc>
          <w:tcPr>
            <w:tcW w:w="897" w:type="dxa"/>
            <w:vAlign w:val="center"/>
          </w:tcPr>
          <w:p w14:paraId="5BF45EB3">
            <w:pPr>
              <w:contextualSpacing/>
              <w:jc w:val="center"/>
              <w:rPr>
                <w:rFonts w:ascii="宋体" w:hAnsi="宋体"/>
                <w:szCs w:val="21"/>
              </w:rPr>
            </w:pPr>
          </w:p>
        </w:tc>
        <w:tc>
          <w:tcPr>
            <w:tcW w:w="1021" w:type="dxa"/>
            <w:vAlign w:val="center"/>
          </w:tcPr>
          <w:p w14:paraId="7438A5D6">
            <w:pPr>
              <w:contextualSpacing/>
              <w:jc w:val="center"/>
              <w:rPr>
                <w:rFonts w:ascii="宋体" w:hAnsi="宋体"/>
                <w:szCs w:val="21"/>
              </w:rPr>
            </w:pPr>
          </w:p>
        </w:tc>
        <w:tc>
          <w:tcPr>
            <w:tcW w:w="993" w:type="dxa"/>
            <w:vMerge w:val="continue"/>
            <w:vAlign w:val="center"/>
          </w:tcPr>
          <w:p w14:paraId="34EA7C7F">
            <w:pPr>
              <w:contextualSpacing/>
              <w:jc w:val="center"/>
              <w:rPr>
                <w:rFonts w:ascii="宋体" w:hAnsi="宋体"/>
                <w:szCs w:val="21"/>
              </w:rPr>
            </w:pPr>
          </w:p>
        </w:tc>
        <w:tc>
          <w:tcPr>
            <w:tcW w:w="1984" w:type="dxa"/>
            <w:gridSpan w:val="4"/>
            <w:vAlign w:val="center"/>
          </w:tcPr>
          <w:p w14:paraId="5629D37A">
            <w:pPr>
              <w:contextualSpacing/>
              <w:jc w:val="center"/>
              <w:rPr>
                <w:rFonts w:ascii="宋体" w:hAnsi="宋体"/>
                <w:szCs w:val="21"/>
              </w:rPr>
            </w:pPr>
            <w:r>
              <w:rPr>
                <w:rFonts w:hint="eastAsia" w:ascii="宋体" w:hAnsi="宋体"/>
                <w:szCs w:val="21"/>
              </w:rPr>
              <w:t>高级职称人员</w:t>
            </w:r>
          </w:p>
        </w:tc>
        <w:tc>
          <w:tcPr>
            <w:tcW w:w="2125" w:type="dxa"/>
            <w:gridSpan w:val="2"/>
            <w:vAlign w:val="center"/>
          </w:tcPr>
          <w:p w14:paraId="6B3127FA">
            <w:pPr>
              <w:contextualSpacing/>
              <w:jc w:val="center"/>
              <w:rPr>
                <w:rFonts w:ascii="宋体" w:hAnsi="宋体"/>
                <w:szCs w:val="21"/>
              </w:rPr>
            </w:pPr>
          </w:p>
        </w:tc>
      </w:tr>
      <w:tr w14:paraId="74BE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A4BA33E">
            <w:pPr>
              <w:contextualSpacing/>
              <w:jc w:val="center"/>
              <w:rPr>
                <w:rFonts w:ascii="宋体" w:hAnsi="宋体"/>
                <w:szCs w:val="21"/>
              </w:rPr>
            </w:pPr>
            <w:r>
              <w:rPr>
                <w:rFonts w:hint="eastAsia" w:ascii="宋体" w:hAnsi="宋体"/>
                <w:szCs w:val="21"/>
              </w:rPr>
              <w:t>注册资金</w:t>
            </w:r>
          </w:p>
        </w:tc>
        <w:tc>
          <w:tcPr>
            <w:tcW w:w="897" w:type="dxa"/>
            <w:vAlign w:val="center"/>
          </w:tcPr>
          <w:p w14:paraId="3FB305C4">
            <w:pPr>
              <w:contextualSpacing/>
              <w:jc w:val="center"/>
              <w:rPr>
                <w:rFonts w:ascii="宋体" w:hAnsi="宋体"/>
                <w:szCs w:val="21"/>
              </w:rPr>
            </w:pPr>
          </w:p>
        </w:tc>
        <w:tc>
          <w:tcPr>
            <w:tcW w:w="1021" w:type="dxa"/>
            <w:vAlign w:val="center"/>
          </w:tcPr>
          <w:p w14:paraId="59FC1329">
            <w:pPr>
              <w:contextualSpacing/>
              <w:jc w:val="center"/>
              <w:rPr>
                <w:rFonts w:ascii="宋体" w:hAnsi="宋体"/>
                <w:szCs w:val="21"/>
              </w:rPr>
            </w:pPr>
          </w:p>
        </w:tc>
        <w:tc>
          <w:tcPr>
            <w:tcW w:w="993" w:type="dxa"/>
            <w:vMerge w:val="continue"/>
            <w:vAlign w:val="center"/>
          </w:tcPr>
          <w:p w14:paraId="7E501327">
            <w:pPr>
              <w:contextualSpacing/>
              <w:jc w:val="center"/>
              <w:rPr>
                <w:rFonts w:ascii="宋体" w:hAnsi="宋体"/>
                <w:szCs w:val="21"/>
              </w:rPr>
            </w:pPr>
          </w:p>
        </w:tc>
        <w:tc>
          <w:tcPr>
            <w:tcW w:w="1984" w:type="dxa"/>
            <w:gridSpan w:val="4"/>
            <w:vAlign w:val="center"/>
          </w:tcPr>
          <w:p w14:paraId="7D97BDCB">
            <w:pPr>
              <w:contextualSpacing/>
              <w:jc w:val="center"/>
              <w:rPr>
                <w:rFonts w:ascii="宋体" w:hAnsi="宋体"/>
                <w:szCs w:val="21"/>
              </w:rPr>
            </w:pPr>
            <w:r>
              <w:rPr>
                <w:rFonts w:hint="eastAsia" w:ascii="宋体" w:hAnsi="宋体"/>
                <w:szCs w:val="21"/>
              </w:rPr>
              <w:t>中级职称人员</w:t>
            </w:r>
          </w:p>
        </w:tc>
        <w:tc>
          <w:tcPr>
            <w:tcW w:w="2125" w:type="dxa"/>
            <w:gridSpan w:val="2"/>
            <w:vAlign w:val="center"/>
          </w:tcPr>
          <w:p w14:paraId="3E74ABEF">
            <w:pPr>
              <w:contextualSpacing/>
              <w:jc w:val="center"/>
              <w:rPr>
                <w:rFonts w:ascii="宋体" w:hAnsi="宋体"/>
                <w:szCs w:val="21"/>
              </w:rPr>
            </w:pPr>
          </w:p>
        </w:tc>
      </w:tr>
      <w:tr w14:paraId="08C6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96E2B7F">
            <w:pPr>
              <w:contextualSpacing/>
              <w:jc w:val="center"/>
              <w:rPr>
                <w:rFonts w:ascii="宋体" w:hAnsi="宋体"/>
                <w:szCs w:val="21"/>
              </w:rPr>
            </w:pPr>
            <w:r>
              <w:rPr>
                <w:rFonts w:hint="eastAsia" w:ascii="宋体" w:hAnsi="宋体"/>
                <w:szCs w:val="21"/>
              </w:rPr>
              <w:t>开户银行</w:t>
            </w:r>
          </w:p>
        </w:tc>
        <w:tc>
          <w:tcPr>
            <w:tcW w:w="897" w:type="dxa"/>
            <w:vAlign w:val="center"/>
          </w:tcPr>
          <w:p w14:paraId="4D674668">
            <w:pPr>
              <w:contextualSpacing/>
              <w:jc w:val="center"/>
              <w:rPr>
                <w:rFonts w:ascii="宋体" w:hAnsi="宋体"/>
                <w:szCs w:val="21"/>
              </w:rPr>
            </w:pPr>
          </w:p>
        </w:tc>
        <w:tc>
          <w:tcPr>
            <w:tcW w:w="1021" w:type="dxa"/>
            <w:vAlign w:val="center"/>
          </w:tcPr>
          <w:p w14:paraId="7EE75117">
            <w:pPr>
              <w:contextualSpacing/>
              <w:jc w:val="center"/>
              <w:rPr>
                <w:rFonts w:ascii="宋体" w:hAnsi="宋体"/>
                <w:szCs w:val="21"/>
              </w:rPr>
            </w:pPr>
          </w:p>
        </w:tc>
        <w:tc>
          <w:tcPr>
            <w:tcW w:w="993" w:type="dxa"/>
            <w:vMerge w:val="continue"/>
            <w:vAlign w:val="center"/>
          </w:tcPr>
          <w:p w14:paraId="4090C554">
            <w:pPr>
              <w:contextualSpacing/>
              <w:jc w:val="center"/>
              <w:rPr>
                <w:rFonts w:ascii="宋体" w:hAnsi="宋体"/>
                <w:szCs w:val="21"/>
              </w:rPr>
            </w:pPr>
          </w:p>
        </w:tc>
        <w:tc>
          <w:tcPr>
            <w:tcW w:w="1984" w:type="dxa"/>
            <w:gridSpan w:val="4"/>
            <w:vAlign w:val="center"/>
          </w:tcPr>
          <w:p w14:paraId="28210250">
            <w:pPr>
              <w:contextualSpacing/>
              <w:jc w:val="center"/>
              <w:rPr>
                <w:rFonts w:ascii="宋体" w:hAnsi="宋体"/>
                <w:szCs w:val="21"/>
              </w:rPr>
            </w:pPr>
            <w:r>
              <w:rPr>
                <w:rFonts w:hint="eastAsia" w:ascii="宋体" w:hAnsi="宋体"/>
                <w:szCs w:val="21"/>
              </w:rPr>
              <w:t>初级职称人员</w:t>
            </w:r>
          </w:p>
        </w:tc>
        <w:tc>
          <w:tcPr>
            <w:tcW w:w="2125" w:type="dxa"/>
            <w:gridSpan w:val="2"/>
            <w:vAlign w:val="center"/>
          </w:tcPr>
          <w:p w14:paraId="4B0E503C">
            <w:pPr>
              <w:contextualSpacing/>
              <w:jc w:val="center"/>
              <w:rPr>
                <w:rFonts w:ascii="宋体" w:hAnsi="宋体"/>
                <w:szCs w:val="21"/>
              </w:rPr>
            </w:pPr>
          </w:p>
        </w:tc>
      </w:tr>
      <w:tr w14:paraId="7978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D0CEC37">
            <w:pPr>
              <w:contextualSpacing/>
              <w:jc w:val="center"/>
              <w:rPr>
                <w:rFonts w:ascii="宋体" w:hAnsi="宋体"/>
                <w:szCs w:val="21"/>
              </w:rPr>
            </w:pPr>
            <w:r>
              <w:rPr>
                <w:rFonts w:hint="eastAsia" w:ascii="宋体" w:hAnsi="宋体"/>
                <w:szCs w:val="21"/>
              </w:rPr>
              <w:t>账号</w:t>
            </w:r>
          </w:p>
        </w:tc>
        <w:tc>
          <w:tcPr>
            <w:tcW w:w="897" w:type="dxa"/>
            <w:vAlign w:val="center"/>
          </w:tcPr>
          <w:p w14:paraId="3567A6F6">
            <w:pPr>
              <w:contextualSpacing/>
              <w:jc w:val="center"/>
              <w:rPr>
                <w:rFonts w:ascii="宋体" w:hAnsi="宋体"/>
                <w:szCs w:val="21"/>
              </w:rPr>
            </w:pPr>
          </w:p>
        </w:tc>
        <w:tc>
          <w:tcPr>
            <w:tcW w:w="1021" w:type="dxa"/>
            <w:vAlign w:val="center"/>
          </w:tcPr>
          <w:p w14:paraId="476950B7">
            <w:pPr>
              <w:contextualSpacing/>
              <w:jc w:val="center"/>
              <w:rPr>
                <w:rFonts w:ascii="宋体" w:hAnsi="宋体"/>
                <w:szCs w:val="21"/>
              </w:rPr>
            </w:pPr>
          </w:p>
        </w:tc>
        <w:tc>
          <w:tcPr>
            <w:tcW w:w="993" w:type="dxa"/>
            <w:vMerge w:val="continue"/>
            <w:vAlign w:val="center"/>
          </w:tcPr>
          <w:p w14:paraId="373AAD5F">
            <w:pPr>
              <w:contextualSpacing/>
              <w:jc w:val="center"/>
              <w:rPr>
                <w:rFonts w:ascii="宋体" w:hAnsi="宋体"/>
                <w:szCs w:val="21"/>
              </w:rPr>
            </w:pPr>
          </w:p>
        </w:tc>
        <w:tc>
          <w:tcPr>
            <w:tcW w:w="1984" w:type="dxa"/>
            <w:gridSpan w:val="4"/>
            <w:vAlign w:val="center"/>
          </w:tcPr>
          <w:p w14:paraId="3AEAA078">
            <w:pPr>
              <w:contextualSpacing/>
              <w:jc w:val="center"/>
              <w:rPr>
                <w:rFonts w:ascii="宋体" w:hAnsi="宋体"/>
                <w:szCs w:val="21"/>
              </w:rPr>
            </w:pPr>
            <w:r>
              <w:rPr>
                <w:rFonts w:hint="eastAsia" w:ascii="宋体" w:hAnsi="宋体"/>
                <w:szCs w:val="21"/>
              </w:rPr>
              <w:t>技工</w:t>
            </w:r>
          </w:p>
        </w:tc>
        <w:tc>
          <w:tcPr>
            <w:tcW w:w="2125" w:type="dxa"/>
            <w:gridSpan w:val="2"/>
            <w:vAlign w:val="center"/>
          </w:tcPr>
          <w:p w14:paraId="72CEA892">
            <w:pPr>
              <w:contextualSpacing/>
              <w:jc w:val="center"/>
              <w:rPr>
                <w:rFonts w:ascii="宋体" w:hAnsi="宋体"/>
                <w:szCs w:val="21"/>
              </w:rPr>
            </w:pPr>
          </w:p>
        </w:tc>
      </w:tr>
      <w:tr w14:paraId="5DE4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vAlign w:val="center"/>
          </w:tcPr>
          <w:p w14:paraId="4420C7B4">
            <w:pPr>
              <w:contextualSpacing/>
              <w:jc w:val="center"/>
              <w:rPr>
                <w:rFonts w:ascii="宋体" w:hAnsi="宋体"/>
                <w:szCs w:val="21"/>
              </w:rPr>
            </w:pPr>
            <w:r>
              <w:rPr>
                <w:rFonts w:hint="eastAsia" w:ascii="宋体" w:hAnsi="宋体"/>
                <w:szCs w:val="21"/>
              </w:rPr>
              <w:t>经营范围</w:t>
            </w:r>
          </w:p>
        </w:tc>
        <w:tc>
          <w:tcPr>
            <w:tcW w:w="7020" w:type="dxa"/>
            <w:gridSpan w:val="9"/>
            <w:vAlign w:val="center"/>
          </w:tcPr>
          <w:p w14:paraId="21C4D8B6">
            <w:pPr>
              <w:contextualSpacing/>
              <w:jc w:val="center"/>
              <w:rPr>
                <w:rFonts w:ascii="宋体" w:hAnsi="宋体"/>
                <w:szCs w:val="21"/>
              </w:rPr>
            </w:pPr>
          </w:p>
        </w:tc>
      </w:tr>
      <w:tr w14:paraId="7035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6DD7C9">
            <w:pPr>
              <w:contextualSpacing/>
              <w:jc w:val="center"/>
              <w:rPr>
                <w:rFonts w:ascii="宋体" w:hAnsi="宋体"/>
                <w:szCs w:val="21"/>
              </w:rPr>
            </w:pPr>
            <w:r>
              <w:rPr>
                <w:rFonts w:hint="eastAsia" w:ascii="宋体" w:hAnsi="宋体"/>
                <w:szCs w:val="21"/>
              </w:rPr>
              <w:t>备注</w:t>
            </w:r>
          </w:p>
        </w:tc>
        <w:tc>
          <w:tcPr>
            <w:tcW w:w="7020" w:type="dxa"/>
            <w:gridSpan w:val="9"/>
            <w:vAlign w:val="center"/>
          </w:tcPr>
          <w:p w14:paraId="738A9651">
            <w:pPr>
              <w:contextualSpacing/>
              <w:jc w:val="center"/>
              <w:rPr>
                <w:rFonts w:ascii="宋体" w:hAnsi="宋体"/>
                <w:szCs w:val="21"/>
              </w:rPr>
            </w:pPr>
          </w:p>
        </w:tc>
      </w:tr>
    </w:tbl>
    <w:p w14:paraId="5512BA90">
      <w:pPr>
        <w:spacing w:line="360" w:lineRule="auto"/>
        <w:ind w:firstLine="420" w:firstLineChars="200"/>
        <w:rPr>
          <w:rFonts w:ascii="宋体" w:cs="宋体"/>
          <w:szCs w:val="21"/>
        </w:rPr>
      </w:pPr>
      <w:r>
        <w:rPr>
          <w:rFonts w:hint="eastAsia" w:ascii="宋体" w:hAnsi="宋体" w:cs="宋体"/>
          <w:szCs w:val="21"/>
        </w:rPr>
        <w:t>就我们所知，兹证明上述声明是真实的、正确的、并提供了全部能提供资料和数据，我们同意遵照贵方要求出示此证明文件。</w:t>
      </w:r>
    </w:p>
    <w:p w14:paraId="270914E6">
      <w:pPr>
        <w:spacing w:line="360" w:lineRule="auto"/>
        <w:ind w:firstLine="420" w:firstLineChars="200"/>
        <w:rPr>
          <w:rFonts w:ascii="宋体" w:hAnsi="宋体" w:cs="宋体"/>
          <w:szCs w:val="21"/>
        </w:rPr>
      </w:pPr>
    </w:p>
    <w:p w14:paraId="529BB096">
      <w:pPr>
        <w:snapToGrid w:val="0"/>
        <w:spacing w:line="360" w:lineRule="auto"/>
        <w:ind w:firstLine="420" w:firstLineChars="200"/>
        <w:jc w:val="center"/>
        <w:rPr>
          <w:rFonts w:ascii="宋体"/>
          <w:b/>
        </w:rPr>
      </w:pPr>
      <w:r>
        <w:rPr>
          <w:rFonts w:ascii="宋体" w:hAnsi="宋体" w:cs="宋体"/>
          <w:szCs w:val="21"/>
        </w:rPr>
        <w:br w:type="page"/>
      </w:r>
      <w:r>
        <w:rPr>
          <w:rFonts w:hint="eastAsia" w:ascii="宋体" w:hAnsi="宋体" w:cs="宋体"/>
          <w:szCs w:val="21"/>
        </w:rPr>
        <w:t>附件５　公司近年承接与本需求类似项目一览表</w:t>
      </w:r>
    </w:p>
    <w:p w14:paraId="6CBE8949">
      <w:pPr>
        <w:pStyle w:val="12"/>
        <w:spacing w:line="360" w:lineRule="auto"/>
        <w:rPr>
          <w:rFonts w:ascii="宋体" w:hAnsi="宋体"/>
        </w:rPr>
      </w:pPr>
    </w:p>
    <w:tbl>
      <w:tblPr>
        <w:tblStyle w:val="44"/>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
        <w:gridCol w:w="1440"/>
        <w:gridCol w:w="1740"/>
        <w:gridCol w:w="1260"/>
        <w:gridCol w:w="1620"/>
        <w:gridCol w:w="1680"/>
      </w:tblGrid>
      <w:tr w14:paraId="0F48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restart"/>
            <w:vAlign w:val="center"/>
          </w:tcPr>
          <w:p w14:paraId="7BA63278">
            <w:pPr>
              <w:pStyle w:val="25"/>
              <w:spacing w:before="120" w:after="120"/>
              <w:jc w:val="center"/>
              <w:rPr>
                <w:rFonts w:hAnsi="宋体"/>
                <w:b/>
                <w:szCs w:val="21"/>
              </w:rPr>
            </w:pPr>
            <w:r>
              <w:rPr>
                <w:rFonts w:hint="eastAsia" w:hAnsi="宋体"/>
                <w:b/>
                <w:szCs w:val="21"/>
              </w:rPr>
              <w:t>序号</w:t>
            </w:r>
          </w:p>
        </w:tc>
        <w:tc>
          <w:tcPr>
            <w:tcW w:w="742" w:type="dxa"/>
            <w:vMerge w:val="restart"/>
            <w:tcBorders>
              <w:right w:val="single" w:color="000000" w:sz="4" w:space="0"/>
            </w:tcBorders>
            <w:vAlign w:val="center"/>
          </w:tcPr>
          <w:p w14:paraId="56BE35F0">
            <w:pPr>
              <w:pStyle w:val="25"/>
              <w:spacing w:before="120" w:after="120"/>
              <w:jc w:val="center"/>
              <w:rPr>
                <w:rFonts w:hAnsi="宋体"/>
                <w:b/>
                <w:szCs w:val="21"/>
              </w:rPr>
            </w:pPr>
            <w:r>
              <w:rPr>
                <w:rFonts w:hint="eastAsia" w:hAnsi="宋体"/>
                <w:b/>
                <w:szCs w:val="21"/>
              </w:rPr>
              <w:t>年份</w:t>
            </w:r>
          </w:p>
        </w:tc>
        <w:tc>
          <w:tcPr>
            <w:tcW w:w="1440" w:type="dxa"/>
            <w:vMerge w:val="restart"/>
            <w:vAlign w:val="center"/>
          </w:tcPr>
          <w:p w14:paraId="77BD19FF">
            <w:pPr>
              <w:pStyle w:val="25"/>
              <w:spacing w:before="120" w:after="120"/>
              <w:jc w:val="center"/>
              <w:rPr>
                <w:rFonts w:hAnsi="宋体"/>
                <w:b/>
                <w:szCs w:val="21"/>
              </w:rPr>
            </w:pPr>
            <w:r>
              <w:rPr>
                <w:rFonts w:hint="eastAsia" w:hAnsi="宋体"/>
                <w:b/>
                <w:szCs w:val="21"/>
              </w:rPr>
              <w:t>项目名称</w:t>
            </w:r>
          </w:p>
        </w:tc>
        <w:tc>
          <w:tcPr>
            <w:tcW w:w="4620" w:type="dxa"/>
            <w:gridSpan w:val="3"/>
            <w:vAlign w:val="center"/>
          </w:tcPr>
          <w:p w14:paraId="7F77BF99">
            <w:pPr>
              <w:pStyle w:val="25"/>
              <w:spacing w:before="120" w:after="120"/>
              <w:jc w:val="center"/>
              <w:rPr>
                <w:rFonts w:hAnsi="宋体"/>
                <w:b/>
                <w:szCs w:val="21"/>
              </w:rPr>
            </w:pPr>
            <w:r>
              <w:rPr>
                <w:rFonts w:hint="eastAsia" w:hAnsi="宋体"/>
                <w:b/>
                <w:szCs w:val="21"/>
              </w:rPr>
              <w:t>业主情况</w:t>
            </w:r>
          </w:p>
        </w:tc>
        <w:tc>
          <w:tcPr>
            <w:tcW w:w="1680" w:type="dxa"/>
            <w:vMerge w:val="restart"/>
            <w:vAlign w:val="center"/>
          </w:tcPr>
          <w:p w14:paraId="3132DB5B">
            <w:pPr>
              <w:pStyle w:val="25"/>
              <w:spacing w:before="120" w:after="120"/>
              <w:jc w:val="center"/>
              <w:rPr>
                <w:rFonts w:hAnsi="宋体"/>
                <w:b/>
                <w:szCs w:val="21"/>
              </w:rPr>
            </w:pPr>
            <w:r>
              <w:rPr>
                <w:rFonts w:hint="eastAsia" w:hAnsi="宋体"/>
                <w:b/>
                <w:szCs w:val="21"/>
              </w:rPr>
              <w:t>合同金额</w:t>
            </w:r>
          </w:p>
          <w:p w14:paraId="79FB91C6">
            <w:pPr>
              <w:pStyle w:val="25"/>
              <w:spacing w:before="120" w:after="120"/>
              <w:jc w:val="center"/>
              <w:rPr>
                <w:rFonts w:hAnsi="宋体"/>
                <w:b/>
                <w:szCs w:val="21"/>
              </w:rPr>
            </w:pPr>
            <w:r>
              <w:rPr>
                <w:rFonts w:hint="eastAsia" w:hAnsi="宋体"/>
                <w:b/>
                <w:szCs w:val="21"/>
              </w:rPr>
              <w:t>（万元）</w:t>
            </w:r>
          </w:p>
        </w:tc>
      </w:tr>
      <w:tr w14:paraId="159E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continue"/>
            <w:vAlign w:val="center"/>
          </w:tcPr>
          <w:p w14:paraId="60B70856">
            <w:pPr>
              <w:widowControl/>
              <w:jc w:val="center"/>
              <w:rPr>
                <w:rFonts w:ascii="宋体"/>
                <w:b/>
                <w:szCs w:val="21"/>
              </w:rPr>
            </w:pPr>
          </w:p>
        </w:tc>
        <w:tc>
          <w:tcPr>
            <w:tcW w:w="742" w:type="dxa"/>
            <w:vMerge w:val="continue"/>
            <w:tcBorders>
              <w:right w:val="single" w:color="000000" w:sz="4" w:space="0"/>
            </w:tcBorders>
            <w:vAlign w:val="center"/>
          </w:tcPr>
          <w:p w14:paraId="5982555B">
            <w:pPr>
              <w:widowControl/>
              <w:jc w:val="center"/>
              <w:rPr>
                <w:rFonts w:ascii="宋体"/>
                <w:b/>
                <w:szCs w:val="21"/>
              </w:rPr>
            </w:pPr>
          </w:p>
        </w:tc>
        <w:tc>
          <w:tcPr>
            <w:tcW w:w="1440" w:type="dxa"/>
            <w:vMerge w:val="continue"/>
            <w:vAlign w:val="center"/>
          </w:tcPr>
          <w:p w14:paraId="2FA75C37">
            <w:pPr>
              <w:widowControl/>
              <w:jc w:val="center"/>
              <w:rPr>
                <w:rFonts w:ascii="宋体"/>
                <w:b/>
                <w:szCs w:val="21"/>
              </w:rPr>
            </w:pPr>
          </w:p>
        </w:tc>
        <w:tc>
          <w:tcPr>
            <w:tcW w:w="1740" w:type="dxa"/>
            <w:vAlign w:val="center"/>
          </w:tcPr>
          <w:p w14:paraId="06C4838D">
            <w:pPr>
              <w:pStyle w:val="25"/>
              <w:spacing w:before="120" w:after="120"/>
              <w:jc w:val="center"/>
              <w:rPr>
                <w:rFonts w:hAnsi="宋体"/>
                <w:b/>
                <w:szCs w:val="21"/>
              </w:rPr>
            </w:pPr>
            <w:r>
              <w:rPr>
                <w:rFonts w:hint="eastAsia" w:hAnsi="宋体"/>
                <w:b/>
                <w:szCs w:val="21"/>
              </w:rPr>
              <w:t>单位名称</w:t>
            </w:r>
          </w:p>
        </w:tc>
        <w:tc>
          <w:tcPr>
            <w:tcW w:w="1260" w:type="dxa"/>
            <w:vAlign w:val="center"/>
          </w:tcPr>
          <w:p w14:paraId="3B1D797B">
            <w:pPr>
              <w:pStyle w:val="25"/>
              <w:spacing w:before="120" w:after="120"/>
              <w:jc w:val="center"/>
              <w:rPr>
                <w:rFonts w:hAnsi="宋体"/>
                <w:b/>
                <w:szCs w:val="21"/>
              </w:rPr>
            </w:pPr>
            <w:r>
              <w:rPr>
                <w:rFonts w:hint="eastAsia" w:hAnsi="宋体"/>
                <w:b/>
                <w:szCs w:val="21"/>
              </w:rPr>
              <w:t>经办人</w:t>
            </w:r>
          </w:p>
        </w:tc>
        <w:tc>
          <w:tcPr>
            <w:tcW w:w="1620" w:type="dxa"/>
            <w:vAlign w:val="center"/>
          </w:tcPr>
          <w:p w14:paraId="75C8144A">
            <w:pPr>
              <w:pStyle w:val="25"/>
              <w:spacing w:before="120" w:after="120"/>
              <w:jc w:val="center"/>
              <w:rPr>
                <w:rFonts w:hAnsi="宋体"/>
                <w:b/>
                <w:szCs w:val="21"/>
              </w:rPr>
            </w:pPr>
            <w:r>
              <w:rPr>
                <w:rFonts w:hint="eastAsia" w:hAnsi="宋体"/>
                <w:b/>
                <w:szCs w:val="21"/>
              </w:rPr>
              <w:t>联系方式</w:t>
            </w:r>
          </w:p>
        </w:tc>
        <w:tc>
          <w:tcPr>
            <w:tcW w:w="1680" w:type="dxa"/>
            <w:vMerge w:val="continue"/>
            <w:vAlign w:val="center"/>
          </w:tcPr>
          <w:p w14:paraId="6DE8073C">
            <w:pPr>
              <w:widowControl/>
              <w:jc w:val="center"/>
              <w:rPr>
                <w:rFonts w:ascii="宋体"/>
                <w:b/>
                <w:szCs w:val="21"/>
              </w:rPr>
            </w:pPr>
          </w:p>
        </w:tc>
      </w:tr>
      <w:tr w14:paraId="1784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5CF41498">
            <w:pPr>
              <w:pStyle w:val="25"/>
              <w:jc w:val="center"/>
              <w:rPr>
                <w:rFonts w:hAnsi="宋体"/>
                <w:szCs w:val="21"/>
              </w:rPr>
            </w:pPr>
            <w:r>
              <w:rPr>
                <w:rFonts w:hAnsi="宋体"/>
                <w:szCs w:val="21"/>
              </w:rPr>
              <w:t>1</w:t>
            </w:r>
          </w:p>
        </w:tc>
        <w:tc>
          <w:tcPr>
            <w:tcW w:w="742" w:type="dxa"/>
            <w:tcBorders>
              <w:right w:val="single" w:color="000000" w:sz="4" w:space="0"/>
            </w:tcBorders>
            <w:vAlign w:val="center"/>
          </w:tcPr>
          <w:p w14:paraId="0180B647">
            <w:pPr>
              <w:pStyle w:val="25"/>
              <w:jc w:val="center"/>
              <w:rPr>
                <w:rFonts w:hAnsi="宋体"/>
                <w:szCs w:val="21"/>
              </w:rPr>
            </w:pPr>
          </w:p>
        </w:tc>
        <w:tc>
          <w:tcPr>
            <w:tcW w:w="1440" w:type="dxa"/>
            <w:vAlign w:val="center"/>
          </w:tcPr>
          <w:p w14:paraId="025EDD00">
            <w:pPr>
              <w:pStyle w:val="25"/>
              <w:jc w:val="center"/>
              <w:rPr>
                <w:rFonts w:hAnsi="宋体"/>
                <w:szCs w:val="21"/>
              </w:rPr>
            </w:pPr>
          </w:p>
        </w:tc>
        <w:tc>
          <w:tcPr>
            <w:tcW w:w="1740" w:type="dxa"/>
            <w:vAlign w:val="center"/>
          </w:tcPr>
          <w:p w14:paraId="2E3141BC">
            <w:pPr>
              <w:pStyle w:val="25"/>
              <w:jc w:val="center"/>
              <w:rPr>
                <w:rFonts w:hAnsi="宋体"/>
                <w:szCs w:val="21"/>
              </w:rPr>
            </w:pPr>
          </w:p>
        </w:tc>
        <w:tc>
          <w:tcPr>
            <w:tcW w:w="1260" w:type="dxa"/>
            <w:vAlign w:val="center"/>
          </w:tcPr>
          <w:p w14:paraId="064C759A">
            <w:pPr>
              <w:pStyle w:val="25"/>
              <w:jc w:val="center"/>
              <w:rPr>
                <w:rFonts w:hAnsi="宋体"/>
                <w:szCs w:val="21"/>
              </w:rPr>
            </w:pPr>
          </w:p>
        </w:tc>
        <w:tc>
          <w:tcPr>
            <w:tcW w:w="1620" w:type="dxa"/>
            <w:vAlign w:val="center"/>
          </w:tcPr>
          <w:p w14:paraId="52AE287A">
            <w:pPr>
              <w:pStyle w:val="25"/>
              <w:jc w:val="center"/>
              <w:rPr>
                <w:rFonts w:hAnsi="宋体"/>
                <w:szCs w:val="21"/>
              </w:rPr>
            </w:pPr>
          </w:p>
        </w:tc>
        <w:tc>
          <w:tcPr>
            <w:tcW w:w="1680" w:type="dxa"/>
            <w:vAlign w:val="center"/>
          </w:tcPr>
          <w:p w14:paraId="367B3CB7">
            <w:pPr>
              <w:pStyle w:val="25"/>
              <w:jc w:val="center"/>
              <w:rPr>
                <w:rFonts w:hAnsi="宋体"/>
                <w:szCs w:val="21"/>
              </w:rPr>
            </w:pPr>
          </w:p>
        </w:tc>
      </w:tr>
      <w:tr w14:paraId="16AC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18DBDAD">
            <w:pPr>
              <w:pStyle w:val="25"/>
              <w:jc w:val="center"/>
              <w:rPr>
                <w:rFonts w:hAnsi="宋体"/>
                <w:szCs w:val="21"/>
              </w:rPr>
            </w:pPr>
            <w:r>
              <w:rPr>
                <w:rFonts w:hAnsi="宋体"/>
                <w:szCs w:val="21"/>
              </w:rPr>
              <w:t>2</w:t>
            </w:r>
          </w:p>
        </w:tc>
        <w:tc>
          <w:tcPr>
            <w:tcW w:w="742" w:type="dxa"/>
            <w:tcBorders>
              <w:right w:val="single" w:color="000000" w:sz="4" w:space="0"/>
            </w:tcBorders>
            <w:vAlign w:val="center"/>
          </w:tcPr>
          <w:p w14:paraId="45ACCF1F">
            <w:pPr>
              <w:pStyle w:val="25"/>
              <w:jc w:val="center"/>
              <w:rPr>
                <w:rFonts w:hAnsi="宋体"/>
                <w:szCs w:val="21"/>
              </w:rPr>
            </w:pPr>
          </w:p>
        </w:tc>
        <w:tc>
          <w:tcPr>
            <w:tcW w:w="1440" w:type="dxa"/>
            <w:vAlign w:val="center"/>
          </w:tcPr>
          <w:p w14:paraId="0E6C382B">
            <w:pPr>
              <w:pStyle w:val="25"/>
              <w:jc w:val="center"/>
              <w:rPr>
                <w:rFonts w:hAnsi="宋体"/>
                <w:szCs w:val="21"/>
              </w:rPr>
            </w:pPr>
          </w:p>
        </w:tc>
        <w:tc>
          <w:tcPr>
            <w:tcW w:w="1740" w:type="dxa"/>
            <w:vAlign w:val="center"/>
          </w:tcPr>
          <w:p w14:paraId="4EB8BCC5">
            <w:pPr>
              <w:pStyle w:val="25"/>
              <w:jc w:val="center"/>
              <w:rPr>
                <w:rFonts w:hAnsi="宋体"/>
                <w:szCs w:val="21"/>
              </w:rPr>
            </w:pPr>
          </w:p>
        </w:tc>
        <w:tc>
          <w:tcPr>
            <w:tcW w:w="1260" w:type="dxa"/>
            <w:vAlign w:val="center"/>
          </w:tcPr>
          <w:p w14:paraId="06B876E0">
            <w:pPr>
              <w:pStyle w:val="25"/>
              <w:jc w:val="center"/>
              <w:rPr>
                <w:rFonts w:hAnsi="宋体"/>
                <w:szCs w:val="21"/>
              </w:rPr>
            </w:pPr>
          </w:p>
        </w:tc>
        <w:tc>
          <w:tcPr>
            <w:tcW w:w="1620" w:type="dxa"/>
            <w:vAlign w:val="center"/>
          </w:tcPr>
          <w:p w14:paraId="3A314CA3">
            <w:pPr>
              <w:pStyle w:val="25"/>
              <w:jc w:val="center"/>
              <w:rPr>
                <w:rFonts w:hAnsi="宋体"/>
                <w:szCs w:val="21"/>
              </w:rPr>
            </w:pPr>
          </w:p>
        </w:tc>
        <w:tc>
          <w:tcPr>
            <w:tcW w:w="1680" w:type="dxa"/>
            <w:vAlign w:val="center"/>
          </w:tcPr>
          <w:p w14:paraId="25E40187">
            <w:pPr>
              <w:pStyle w:val="25"/>
              <w:jc w:val="center"/>
              <w:rPr>
                <w:rFonts w:hAnsi="宋体"/>
                <w:szCs w:val="21"/>
              </w:rPr>
            </w:pPr>
          </w:p>
        </w:tc>
      </w:tr>
      <w:tr w14:paraId="201E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7E879317">
            <w:pPr>
              <w:pStyle w:val="25"/>
              <w:jc w:val="center"/>
              <w:rPr>
                <w:rFonts w:hAnsi="宋体"/>
                <w:szCs w:val="21"/>
              </w:rPr>
            </w:pPr>
            <w:r>
              <w:rPr>
                <w:rFonts w:hAnsi="宋体"/>
                <w:szCs w:val="21"/>
              </w:rPr>
              <w:t>3</w:t>
            </w:r>
          </w:p>
        </w:tc>
        <w:tc>
          <w:tcPr>
            <w:tcW w:w="742" w:type="dxa"/>
            <w:tcBorders>
              <w:right w:val="single" w:color="000000" w:sz="4" w:space="0"/>
            </w:tcBorders>
            <w:vAlign w:val="center"/>
          </w:tcPr>
          <w:p w14:paraId="33FDC3D6">
            <w:pPr>
              <w:pStyle w:val="25"/>
              <w:jc w:val="center"/>
              <w:rPr>
                <w:rFonts w:hAnsi="宋体"/>
                <w:szCs w:val="21"/>
              </w:rPr>
            </w:pPr>
          </w:p>
        </w:tc>
        <w:tc>
          <w:tcPr>
            <w:tcW w:w="1440" w:type="dxa"/>
            <w:vAlign w:val="center"/>
          </w:tcPr>
          <w:p w14:paraId="74355425">
            <w:pPr>
              <w:pStyle w:val="25"/>
              <w:jc w:val="center"/>
              <w:rPr>
                <w:rFonts w:hAnsi="宋体"/>
                <w:szCs w:val="21"/>
              </w:rPr>
            </w:pPr>
          </w:p>
        </w:tc>
        <w:tc>
          <w:tcPr>
            <w:tcW w:w="1740" w:type="dxa"/>
            <w:vAlign w:val="center"/>
          </w:tcPr>
          <w:p w14:paraId="6028EFA9">
            <w:pPr>
              <w:pStyle w:val="25"/>
              <w:jc w:val="center"/>
              <w:rPr>
                <w:rFonts w:hAnsi="宋体"/>
                <w:szCs w:val="21"/>
              </w:rPr>
            </w:pPr>
          </w:p>
        </w:tc>
        <w:tc>
          <w:tcPr>
            <w:tcW w:w="1260" w:type="dxa"/>
            <w:vAlign w:val="center"/>
          </w:tcPr>
          <w:p w14:paraId="583FE146">
            <w:pPr>
              <w:pStyle w:val="25"/>
              <w:jc w:val="center"/>
              <w:rPr>
                <w:rFonts w:hAnsi="宋体"/>
                <w:szCs w:val="21"/>
              </w:rPr>
            </w:pPr>
          </w:p>
        </w:tc>
        <w:tc>
          <w:tcPr>
            <w:tcW w:w="1620" w:type="dxa"/>
            <w:vAlign w:val="center"/>
          </w:tcPr>
          <w:p w14:paraId="5850F95E">
            <w:pPr>
              <w:pStyle w:val="25"/>
              <w:jc w:val="center"/>
              <w:rPr>
                <w:rFonts w:hAnsi="宋体"/>
                <w:szCs w:val="21"/>
              </w:rPr>
            </w:pPr>
          </w:p>
        </w:tc>
        <w:tc>
          <w:tcPr>
            <w:tcW w:w="1680" w:type="dxa"/>
            <w:vAlign w:val="center"/>
          </w:tcPr>
          <w:p w14:paraId="2C875855">
            <w:pPr>
              <w:pStyle w:val="25"/>
              <w:jc w:val="center"/>
              <w:rPr>
                <w:rFonts w:hAnsi="宋体"/>
                <w:szCs w:val="21"/>
              </w:rPr>
            </w:pPr>
          </w:p>
        </w:tc>
      </w:tr>
      <w:tr w14:paraId="45CF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D2FCE26">
            <w:pPr>
              <w:pStyle w:val="25"/>
              <w:jc w:val="center"/>
              <w:rPr>
                <w:rFonts w:hAnsi="宋体"/>
                <w:szCs w:val="21"/>
              </w:rPr>
            </w:pPr>
            <w:r>
              <w:rPr>
                <w:rFonts w:hAnsi="宋体"/>
                <w:szCs w:val="21"/>
              </w:rPr>
              <w:t>4</w:t>
            </w:r>
          </w:p>
        </w:tc>
        <w:tc>
          <w:tcPr>
            <w:tcW w:w="742" w:type="dxa"/>
            <w:tcBorders>
              <w:right w:val="single" w:color="000000" w:sz="4" w:space="0"/>
            </w:tcBorders>
            <w:vAlign w:val="center"/>
          </w:tcPr>
          <w:p w14:paraId="5A42F4E3">
            <w:pPr>
              <w:pStyle w:val="25"/>
              <w:jc w:val="center"/>
              <w:rPr>
                <w:rFonts w:hAnsi="宋体"/>
                <w:szCs w:val="21"/>
              </w:rPr>
            </w:pPr>
          </w:p>
        </w:tc>
        <w:tc>
          <w:tcPr>
            <w:tcW w:w="1440" w:type="dxa"/>
            <w:vAlign w:val="center"/>
          </w:tcPr>
          <w:p w14:paraId="5E10CD9B">
            <w:pPr>
              <w:pStyle w:val="25"/>
              <w:jc w:val="center"/>
              <w:rPr>
                <w:rFonts w:hAnsi="宋体"/>
                <w:szCs w:val="21"/>
              </w:rPr>
            </w:pPr>
          </w:p>
        </w:tc>
        <w:tc>
          <w:tcPr>
            <w:tcW w:w="1740" w:type="dxa"/>
            <w:vAlign w:val="center"/>
          </w:tcPr>
          <w:p w14:paraId="157B2F4C">
            <w:pPr>
              <w:pStyle w:val="25"/>
              <w:jc w:val="center"/>
              <w:rPr>
                <w:rFonts w:hAnsi="宋体"/>
                <w:szCs w:val="21"/>
              </w:rPr>
            </w:pPr>
          </w:p>
        </w:tc>
        <w:tc>
          <w:tcPr>
            <w:tcW w:w="1260" w:type="dxa"/>
            <w:vAlign w:val="center"/>
          </w:tcPr>
          <w:p w14:paraId="685179D1">
            <w:pPr>
              <w:pStyle w:val="25"/>
              <w:jc w:val="center"/>
              <w:rPr>
                <w:rFonts w:hAnsi="宋体"/>
                <w:szCs w:val="21"/>
              </w:rPr>
            </w:pPr>
          </w:p>
        </w:tc>
        <w:tc>
          <w:tcPr>
            <w:tcW w:w="1620" w:type="dxa"/>
            <w:vAlign w:val="center"/>
          </w:tcPr>
          <w:p w14:paraId="69B9C873">
            <w:pPr>
              <w:pStyle w:val="25"/>
              <w:jc w:val="center"/>
              <w:rPr>
                <w:rFonts w:hAnsi="宋体"/>
                <w:szCs w:val="21"/>
              </w:rPr>
            </w:pPr>
          </w:p>
        </w:tc>
        <w:tc>
          <w:tcPr>
            <w:tcW w:w="1680" w:type="dxa"/>
            <w:vAlign w:val="center"/>
          </w:tcPr>
          <w:p w14:paraId="6C545452">
            <w:pPr>
              <w:pStyle w:val="25"/>
              <w:jc w:val="center"/>
              <w:rPr>
                <w:rFonts w:hAnsi="宋体"/>
                <w:szCs w:val="21"/>
              </w:rPr>
            </w:pPr>
          </w:p>
        </w:tc>
      </w:tr>
    </w:tbl>
    <w:p w14:paraId="740B9E17">
      <w:pPr>
        <w:spacing w:line="360" w:lineRule="auto"/>
        <w:ind w:right="4164" w:rightChars="1983"/>
        <w:rPr>
          <w:rFonts w:ascii="宋体"/>
          <w:szCs w:val="21"/>
        </w:rPr>
      </w:pPr>
    </w:p>
    <w:p w14:paraId="29D9AF0F">
      <w:pPr>
        <w:numPr>
          <w:ilvl w:val="0"/>
          <w:numId w:val="16"/>
        </w:numPr>
        <w:spacing w:line="360" w:lineRule="auto"/>
        <w:ind w:right="4164" w:rightChars="1983"/>
        <w:rPr>
          <w:rFonts w:ascii="宋体"/>
          <w:szCs w:val="21"/>
        </w:rPr>
      </w:pPr>
      <w:r>
        <w:rPr>
          <w:rFonts w:hint="eastAsia" w:ascii="宋体" w:hAnsi="宋体"/>
          <w:szCs w:val="21"/>
        </w:rPr>
        <w:t>需提供业绩证明文件。</w:t>
      </w:r>
    </w:p>
    <w:p w14:paraId="04DEAA4E">
      <w:pPr>
        <w:spacing w:line="360" w:lineRule="auto"/>
        <w:ind w:right="4164" w:rightChars="1983"/>
        <w:rPr>
          <w:rFonts w:ascii="宋体"/>
          <w:szCs w:val="21"/>
        </w:rPr>
      </w:pPr>
    </w:p>
    <w:p w14:paraId="71E854C2">
      <w:pPr>
        <w:spacing w:line="360" w:lineRule="auto"/>
        <w:ind w:right="4164" w:rightChars="1983"/>
        <w:rPr>
          <w:rFonts w:ascii="宋体"/>
          <w:color w:val="auto"/>
          <w:szCs w:val="21"/>
        </w:rPr>
      </w:pPr>
    </w:p>
    <w:p w14:paraId="20260811">
      <w:pPr>
        <w:spacing w:line="360" w:lineRule="auto"/>
        <w:jc w:val="left"/>
        <w:rPr>
          <w:rFonts w:ascii="宋体" w:hAnsi="宋体"/>
          <w:color w:val="auto"/>
          <w:szCs w:val="21"/>
        </w:rPr>
      </w:pP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盖章</w:t>
      </w:r>
      <w:r>
        <w:rPr>
          <w:rFonts w:hint="eastAsia" w:ascii="宋体" w:hAnsi="宋体"/>
          <w:color w:val="auto"/>
          <w:szCs w:val="21"/>
        </w:rPr>
        <w:t>）：　　　　　　</w:t>
      </w:r>
    </w:p>
    <w:p w14:paraId="58A36CB0">
      <w:pPr>
        <w:spacing w:line="360" w:lineRule="auto"/>
        <w:jc w:val="left"/>
        <w:rPr>
          <w:rFonts w:ascii="宋体"/>
          <w:szCs w:val="21"/>
        </w:rPr>
      </w:pPr>
      <w:r>
        <w:rPr>
          <w:rFonts w:hint="eastAsia" w:ascii="宋体" w:hAnsi="宋体"/>
          <w:color w:val="auto"/>
          <w:szCs w:val="21"/>
        </w:rPr>
        <w:t>法定代表人或其委托代理人：（签字或盖章）　</w:t>
      </w:r>
      <w:r>
        <w:rPr>
          <w:rFonts w:hint="eastAsia" w:ascii="宋体" w:hAnsi="宋体"/>
          <w:szCs w:val="21"/>
        </w:rPr>
        <w:t>　　　　　</w:t>
      </w:r>
    </w:p>
    <w:p w14:paraId="28CA06E1">
      <w:pPr>
        <w:spacing w:line="360" w:lineRule="auto"/>
        <w:jc w:val="left"/>
        <w:rPr>
          <w:rFonts w:ascii="宋体"/>
          <w:szCs w:val="21"/>
        </w:rPr>
      </w:pPr>
      <w:r>
        <w:rPr>
          <w:rFonts w:hint="eastAsia" w:ascii="宋体" w:hAnsi="宋体"/>
          <w:szCs w:val="21"/>
        </w:rPr>
        <w:t>日期：　　　　　　　　　　　</w:t>
      </w:r>
    </w:p>
    <w:p w14:paraId="4950C778">
      <w:pPr>
        <w:spacing w:line="360" w:lineRule="auto"/>
        <w:ind w:firstLine="420" w:firstLineChars="200"/>
        <w:jc w:val="center"/>
        <w:rPr>
          <w:rFonts w:ascii="宋体" w:cs="宋体"/>
          <w:szCs w:val="21"/>
        </w:rPr>
      </w:pPr>
    </w:p>
    <w:p w14:paraId="61098506">
      <w:pPr>
        <w:spacing w:line="360" w:lineRule="auto"/>
        <w:rPr>
          <w:rFonts w:ascii="宋体" w:cs="宋体"/>
          <w:szCs w:val="21"/>
        </w:rPr>
        <w:sectPr>
          <w:footerReference r:id="rId11" w:type="default"/>
          <w:pgSz w:w="11906" w:h="16838"/>
          <w:pgMar w:top="1418" w:right="1531" w:bottom="1418" w:left="1554" w:header="851" w:footer="680" w:gutter="0"/>
          <w:pgNumType w:fmt="numberInDash"/>
          <w:cols w:space="720" w:num="1"/>
          <w:docGrid w:linePitch="312" w:charSpace="0"/>
        </w:sectPr>
      </w:pPr>
    </w:p>
    <w:p w14:paraId="2AB27CAF">
      <w:pPr>
        <w:spacing w:line="360" w:lineRule="auto"/>
        <w:rPr>
          <w:rFonts w:ascii="宋体" w:cs="宋体"/>
          <w:szCs w:val="21"/>
        </w:rPr>
      </w:pPr>
    </w:p>
    <w:p w14:paraId="190059CD">
      <w:pPr>
        <w:spacing w:line="360" w:lineRule="auto"/>
        <w:ind w:firstLine="420" w:firstLineChars="200"/>
        <w:jc w:val="center"/>
        <w:rPr>
          <w:rFonts w:ascii="宋体" w:cs="宋体"/>
          <w:szCs w:val="21"/>
        </w:rPr>
      </w:pPr>
      <w:r>
        <w:rPr>
          <w:rFonts w:hint="eastAsia" w:ascii="宋体" w:hAnsi="宋体" w:cs="宋体"/>
          <w:szCs w:val="21"/>
        </w:rPr>
        <w:t>附件</w:t>
      </w:r>
      <w:r>
        <w:rPr>
          <w:rFonts w:ascii="宋体" w:hAnsi="宋体" w:cs="宋体"/>
          <w:szCs w:val="21"/>
        </w:rPr>
        <w:t>6</w:t>
      </w:r>
      <w:r>
        <w:rPr>
          <w:rFonts w:hint="eastAsia" w:ascii="宋体" w:hAnsi="宋体" w:cs="宋体"/>
          <w:szCs w:val="21"/>
        </w:rPr>
        <w:t>　响应表有关格式</w:t>
      </w:r>
    </w:p>
    <w:p w14:paraId="4B26E03A">
      <w:pPr>
        <w:spacing w:line="360" w:lineRule="auto"/>
        <w:ind w:firstLine="420" w:firstLineChars="200"/>
        <w:jc w:val="center"/>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、相关资质、证书汇总表</w:t>
      </w:r>
    </w:p>
    <w:p w14:paraId="390E8D33">
      <w:pPr>
        <w:pStyle w:val="12"/>
        <w:spacing w:line="360" w:lineRule="auto"/>
        <w:ind w:firstLine="0"/>
        <w:rPr>
          <w:rFonts w:ascii="宋体"/>
        </w:rPr>
      </w:pPr>
      <w:r>
        <w:rPr>
          <w:rFonts w:hint="eastAsia" w:ascii="宋体" w:hAnsi="宋体"/>
        </w:rPr>
        <w:t>项目名称：</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1"/>
        <w:gridCol w:w="1260"/>
        <w:gridCol w:w="2159"/>
        <w:gridCol w:w="1212"/>
      </w:tblGrid>
      <w:tr w14:paraId="2A1F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30" w:type="dxa"/>
            <w:vAlign w:val="center"/>
          </w:tcPr>
          <w:p w14:paraId="0C213765">
            <w:pPr>
              <w:jc w:val="center"/>
              <w:rPr>
                <w:rFonts w:ascii="宋体"/>
              </w:rPr>
            </w:pPr>
            <w:r>
              <w:rPr>
                <w:rFonts w:hint="eastAsia" w:ascii="宋体" w:hAnsi="宋体"/>
              </w:rPr>
              <w:t>序号</w:t>
            </w:r>
          </w:p>
        </w:tc>
        <w:tc>
          <w:tcPr>
            <w:tcW w:w="3061" w:type="dxa"/>
            <w:vAlign w:val="center"/>
          </w:tcPr>
          <w:p w14:paraId="4A9DBEED">
            <w:pPr>
              <w:jc w:val="center"/>
              <w:rPr>
                <w:rFonts w:ascii="宋体"/>
              </w:rPr>
            </w:pPr>
            <w:r>
              <w:rPr>
                <w:rFonts w:hint="eastAsia" w:ascii="宋体" w:hAnsi="宋体"/>
                <w:lang w:eastAsia="zh-CN"/>
              </w:rPr>
              <w:t>响应</w:t>
            </w:r>
            <w:r>
              <w:rPr>
                <w:rFonts w:hint="eastAsia" w:ascii="宋体" w:hAnsi="宋体"/>
              </w:rPr>
              <w:t>资质、证书名称</w:t>
            </w:r>
          </w:p>
        </w:tc>
        <w:tc>
          <w:tcPr>
            <w:tcW w:w="1260" w:type="dxa"/>
            <w:vAlign w:val="center"/>
          </w:tcPr>
          <w:p w14:paraId="7E24ABA7">
            <w:pPr>
              <w:jc w:val="center"/>
              <w:rPr>
                <w:rFonts w:ascii="宋体"/>
              </w:rPr>
            </w:pPr>
            <w:r>
              <w:rPr>
                <w:rFonts w:hint="eastAsia" w:ascii="宋体" w:hAnsi="宋体"/>
              </w:rPr>
              <w:t>数量</w:t>
            </w:r>
          </w:p>
        </w:tc>
        <w:tc>
          <w:tcPr>
            <w:tcW w:w="2159" w:type="dxa"/>
            <w:vAlign w:val="center"/>
          </w:tcPr>
          <w:p w14:paraId="3BF83A80">
            <w:pPr>
              <w:jc w:val="center"/>
              <w:rPr>
                <w:rFonts w:ascii="宋体"/>
              </w:rPr>
            </w:pPr>
            <w:r>
              <w:rPr>
                <w:rFonts w:hint="eastAsia" w:ascii="宋体" w:hAnsi="宋体"/>
              </w:rPr>
              <w:t>详细内容所在</w:t>
            </w:r>
          </w:p>
          <w:p w14:paraId="48749834">
            <w:pPr>
              <w:jc w:val="center"/>
              <w:rPr>
                <w:rFonts w:ascii="宋体"/>
              </w:rPr>
            </w:pPr>
            <w:r>
              <w:rPr>
                <w:rFonts w:hint="eastAsia" w:ascii="宋体" w:hAnsi="宋体"/>
                <w:lang w:eastAsia="zh-CN"/>
              </w:rPr>
              <w:t>响应</w:t>
            </w:r>
            <w:r>
              <w:rPr>
                <w:rFonts w:hint="eastAsia" w:ascii="宋体" w:hAnsi="宋体"/>
              </w:rPr>
              <w:t>文件页次</w:t>
            </w:r>
          </w:p>
        </w:tc>
        <w:tc>
          <w:tcPr>
            <w:tcW w:w="1212" w:type="dxa"/>
            <w:vAlign w:val="center"/>
          </w:tcPr>
          <w:p w14:paraId="7B5CA734">
            <w:pPr>
              <w:jc w:val="center"/>
              <w:rPr>
                <w:rFonts w:ascii="宋体"/>
              </w:rPr>
            </w:pPr>
            <w:r>
              <w:rPr>
                <w:rFonts w:hint="eastAsia" w:ascii="宋体" w:hAnsi="宋体"/>
              </w:rPr>
              <w:t>备注</w:t>
            </w:r>
          </w:p>
        </w:tc>
      </w:tr>
      <w:tr w14:paraId="0F4D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55912BE9">
            <w:pPr>
              <w:spacing w:line="360" w:lineRule="auto"/>
              <w:jc w:val="center"/>
              <w:rPr>
                <w:rFonts w:ascii="宋体" w:hAnsi="宋体"/>
              </w:rPr>
            </w:pPr>
            <w:r>
              <w:rPr>
                <w:rFonts w:ascii="宋体" w:hAnsi="宋体"/>
              </w:rPr>
              <w:t>1</w:t>
            </w:r>
          </w:p>
        </w:tc>
        <w:tc>
          <w:tcPr>
            <w:tcW w:w="3061" w:type="dxa"/>
            <w:vAlign w:val="center"/>
          </w:tcPr>
          <w:p w14:paraId="55EAEB02">
            <w:pPr>
              <w:spacing w:line="360" w:lineRule="auto"/>
              <w:jc w:val="center"/>
              <w:rPr>
                <w:rFonts w:ascii="宋体"/>
                <w:szCs w:val="21"/>
              </w:rPr>
            </w:pPr>
          </w:p>
        </w:tc>
        <w:tc>
          <w:tcPr>
            <w:tcW w:w="1260" w:type="dxa"/>
            <w:vAlign w:val="center"/>
          </w:tcPr>
          <w:p w14:paraId="12B02D3E">
            <w:pPr>
              <w:spacing w:line="360" w:lineRule="auto"/>
              <w:jc w:val="center"/>
              <w:rPr>
                <w:rFonts w:ascii="宋体"/>
              </w:rPr>
            </w:pPr>
          </w:p>
        </w:tc>
        <w:tc>
          <w:tcPr>
            <w:tcW w:w="2159" w:type="dxa"/>
            <w:vAlign w:val="center"/>
          </w:tcPr>
          <w:p w14:paraId="3FEF6FE1">
            <w:pPr>
              <w:spacing w:line="360" w:lineRule="auto"/>
              <w:jc w:val="center"/>
              <w:rPr>
                <w:rFonts w:ascii="宋体"/>
              </w:rPr>
            </w:pPr>
          </w:p>
        </w:tc>
        <w:tc>
          <w:tcPr>
            <w:tcW w:w="1212" w:type="dxa"/>
            <w:vAlign w:val="center"/>
          </w:tcPr>
          <w:p w14:paraId="77A2B5CA">
            <w:pPr>
              <w:spacing w:line="360" w:lineRule="auto"/>
              <w:jc w:val="center"/>
              <w:rPr>
                <w:rFonts w:ascii="宋体"/>
              </w:rPr>
            </w:pPr>
          </w:p>
        </w:tc>
      </w:tr>
      <w:tr w14:paraId="13DD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30B4F54A">
            <w:pPr>
              <w:spacing w:line="360" w:lineRule="auto"/>
              <w:jc w:val="center"/>
              <w:rPr>
                <w:rFonts w:ascii="宋体" w:hAnsi="宋体"/>
              </w:rPr>
            </w:pPr>
            <w:r>
              <w:rPr>
                <w:rFonts w:ascii="宋体" w:hAnsi="宋体"/>
              </w:rPr>
              <w:t>2</w:t>
            </w:r>
          </w:p>
        </w:tc>
        <w:tc>
          <w:tcPr>
            <w:tcW w:w="3061" w:type="dxa"/>
            <w:vAlign w:val="center"/>
          </w:tcPr>
          <w:p w14:paraId="7CEC11DB">
            <w:pPr>
              <w:spacing w:line="360" w:lineRule="auto"/>
              <w:jc w:val="center"/>
              <w:rPr>
                <w:rFonts w:ascii="宋体"/>
                <w:szCs w:val="21"/>
              </w:rPr>
            </w:pPr>
          </w:p>
        </w:tc>
        <w:tc>
          <w:tcPr>
            <w:tcW w:w="1260" w:type="dxa"/>
            <w:vAlign w:val="center"/>
          </w:tcPr>
          <w:p w14:paraId="04B7EBFD">
            <w:pPr>
              <w:spacing w:line="360" w:lineRule="auto"/>
              <w:jc w:val="center"/>
              <w:rPr>
                <w:rFonts w:ascii="宋体"/>
              </w:rPr>
            </w:pPr>
          </w:p>
        </w:tc>
        <w:tc>
          <w:tcPr>
            <w:tcW w:w="2159" w:type="dxa"/>
            <w:vAlign w:val="center"/>
          </w:tcPr>
          <w:p w14:paraId="11B43A22">
            <w:pPr>
              <w:spacing w:line="360" w:lineRule="auto"/>
              <w:jc w:val="center"/>
              <w:rPr>
                <w:rFonts w:ascii="宋体"/>
              </w:rPr>
            </w:pPr>
          </w:p>
        </w:tc>
        <w:tc>
          <w:tcPr>
            <w:tcW w:w="1212" w:type="dxa"/>
            <w:vAlign w:val="center"/>
          </w:tcPr>
          <w:p w14:paraId="6EA2AFCB">
            <w:pPr>
              <w:spacing w:line="360" w:lineRule="auto"/>
              <w:jc w:val="center"/>
              <w:rPr>
                <w:rFonts w:ascii="宋体"/>
              </w:rPr>
            </w:pPr>
          </w:p>
        </w:tc>
      </w:tr>
      <w:tr w14:paraId="1DCF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8900066">
            <w:pPr>
              <w:spacing w:line="360" w:lineRule="auto"/>
              <w:jc w:val="center"/>
              <w:rPr>
                <w:rFonts w:ascii="宋体" w:hAnsi="宋体"/>
              </w:rPr>
            </w:pPr>
            <w:r>
              <w:rPr>
                <w:rFonts w:ascii="宋体" w:hAnsi="宋体"/>
              </w:rPr>
              <w:t>3</w:t>
            </w:r>
          </w:p>
        </w:tc>
        <w:tc>
          <w:tcPr>
            <w:tcW w:w="3061" w:type="dxa"/>
            <w:vAlign w:val="center"/>
          </w:tcPr>
          <w:p w14:paraId="0220B8C1">
            <w:pPr>
              <w:spacing w:line="360" w:lineRule="auto"/>
              <w:jc w:val="center"/>
              <w:rPr>
                <w:rFonts w:ascii="宋体"/>
                <w:szCs w:val="21"/>
              </w:rPr>
            </w:pPr>
          </w:p>
        </w:tc>
        <w:tc>
          <w:tcPr>
            <w:tcW w:w="1260" w:type="dxa"/>
            <w:vAlign w:val="center"/>
          </w:tcPr>
          <w:p w14:paraId="357D29E8">
            <w:pPr>
              <w:spacing w:line="360" w:lineRule="auto"/>
              <w:jc w:val="center"/>
              <w:rPr>
                <w:rFonts w:ascii="宋体"/>
              </w:rPr>
            </w:pPr>
          </w:p>
        </w:tc>
        <w:tc>
          <w:tcPr>
            <w:tcW w:w="2159" w:type="dxa"/>
            <w:vAlign w:val="center"/>
          </w:tcPr>
          <w:p w14:paraId="662EE3C0">
            <w:pPr>
              <w:spacing w:line="360" w:lineRule="auto"/>
              <w:jc w:val="center"/>
              <w:rPr>
                <w:rFonts w:ascii="宋体"/>
              </w:rPr>
            </w:pPr>
          </w:p>
        </w:tc>
        <w:tc>
          <w:tcPr>
            <w:tcW w:w="1212" w:type="dxa"/>
            <w:vAlign w:val="center"/>
          </w:tcPr>
          <w:p w14:paraId="2B535471">
            <w:pPr>
              <w:spacing w:line="360" w:lineRule="auto"/>
              <w:jc w:val="center"/>
              <w:rPr>
                <w:rFonts w:ascii="宋体"/>
              </w:rPr>
            </w:pPr>
          </w:p>
        </w:tc>
      </w:tr>
      <w:tr w14:paraId="3728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2B036D7A">
            <w:pPr>
              <w:spacing w:line="360" w:lineRule="auto"/>
              <w:jc w:val="center"/>
              <w:rPr>
                <w:rFonts w:ascii="宋体" w:hAnsi="宋体"/>
              </w:rPr>
            </w:pPr>
            <w:r>
              <w:rPr>
                <w:rFonts w:ascii="宋体" w:hAnsi="宋体"/>
              </w:rPr>
              <w:t>4</w:t>
            </w:r>
          </w:p>
        </w:tc>
        <w:tc>
          <w:tcPr>
            <w:tcW w:w="3061" w:type="dxa"/>
            <w:vAlign w:val="center"/>
          </w:tcPr>
          <w:p w14:paraId="0A26D9E6">
            <w:pPr>
              <w:spacing w:line="360" w:lineRule="auto"/>
              <w:jc w:val="center"/>
              <w:rPr>
                <w:rFonts w:ascii="宋体"/>
                <w:szCs w:val="21"/>
              </w:rPr>
            </w:pPr>
          </w:p>
        </w:tc>
        <w:tc>
          <w:tcPr>
            <w:tcW w:w="1260" w:type="dxa"/>
            <w:vAlign w:val="center"/>
          </w:tcPr>
          <w:p w14:paraId="7B8231D3">
            <w:pPr>
              <w:spacing w:line="360" w:lineRule="auto"/>
              <w:jc w:val="center"/>
              <w:rPr>
                <w:rFonts w:ascii="宋体"/>
              </w:rPr>
            </w:pPr>
          </w:p>
        </w:tc>
        <w:tc>
          <w:tcPr>
            <w:tcW w:w="2159" w:type="dxa"/>
            <w:vAlign w:val="center"/>
          </w:tcPr>
          <w:p w14:paraId="59DB74CA">
            <w:pPr>
              <w:spacing w:line="360" w:lineRule="auto"/>
              <w:jc w:val="center"/>
              <w:rPr>
                <w:rFonts w:ascii="宋体"/>
              </w:rPr>
            </w:pPr>
          </w:p>
        </w:tc>
        <w:tc>
          <w:tcPr>
            <w:tcW w:w="1212" w:type="dxa"/>
            <w:vAlign w:val="center"/>
          </w:tcPr>
          <w:p w14:paraId="3E2268D8">
            <w:pPr>
              <w:spacing w:line="360" w:lineRule="auto"/>
              <w:jc w:val="center"/>
              <w:rPr>
                <w:rFonts w:ascii="宋体"/>
              </w:rPr>
            </w:pPr>
          </w:p>
        </w:tc>
      </w:tr>
      <w:tr w14:paraId="136F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F54CC24">
            <w:pPr>
              <w:spacing w:line="360" w:lineRule="auto"/>
              <w:jc w:val="center"/>
              <w:rPr>
                <w:rFonts w:ascii="宋体" w:hAnsi="宋体"/>
              </w:rPr>
            </w:pPr>
            <w:r>
              <w:rPr>
                <w:rFonts w:ascii="宋体" w:hAnsi="宋体"/>
              </w:rPr>
              <w:t>5</w:t>
            </w:r>
          </w:p>
        </w:tc>
        <w:tc>
          <w:tcPr>
            <w:tcW w:w="3061" w:type="dxa"/>
            <w:vAlign w:val="center"/>
          </w:tcPr>
          <w:p w14:paraId="03ABF244">
            <w:pPr>
              <w:spacing w:line="360" w:lineRule="auto"/>
              <w:jc w:val="center"/>
              <w:rPr>
                <w:rFonts w:ascii="宋体"/>
                <w:szCs w:val="21"/>
              </w:rPr>
            </w:pPr>
          </w:p>
        </w:tc>
        <w:tc>
          <w:tcPr>
            <w:tcW w:w="1260" w:type="dxa"/>
            <w:vAlign w:val="center"/>
          </w:tcPr>
          <w:p w14:paraId="626F2491">
            <w:pPr>
              <w:spacing w:line="360" w:lineRule="auto"/>
              <w:jc w:val="center"/>
              <w:rPr>
                <w:rFonts w:ascii="宋体"/>
              </w:rPr>
            </w:pPr>
          </w:p>
        </w:tc>
        <w:tc>
          <w:tcPr>
            <w:tcW w:w="2159" w:type="dxa"/>
            <w:vAlign w:val="center"/>
          </w:tcPr>
          <w:p w14:paraId="7316C76F">
            <w:pPr>
              <w:spacing w:line="360" w:lineRule="auto"/>
              <w:jc w:val="center"/>
              <w:rPr>
                <w:rFonts w:ascii="宋体"/>
              </w:rPr>
            </w:pPr>
          </w:p>
        </w:tc>
        <w:tc>
          <w:tcPr>
            <w:tcW w:w="1212" w:type="dxa"/>
            <w:vAlign w:val="center"/>
          </w:tcPr>
          <w:p w14:paraId="7D7EFF6A">
            <w:pPr>
              <w:spacing w:line="360" w:lineRule="auto"/>
              <w:jc w:val="center"/>
              <w:rPr>
                <w:rFonts w:ascii="宋体"/>
              </w:rPr>
            </w:pPr>
          </w:p>
        </w:tc>
      </w:tr>
      <w:tr w14:paraId="1033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0AE1D1C">
            <w:pPr>
              <w:spacing w:line="360" w:lineRule="auto"/>
              <w:jc w:val="center"/>
              <w:rPr>
                <w:rFonts w:ascii="宋体" w:hAnsi="宋体"/>
              </w:rPr>
            </w:pPr>
            <w:r>
              <w:rPr>
                <w:rFonts w:ascii="宋体" w:hAnsi="宋体"/>
              </w:rPr>
              <w:t>6</w:t>
            </w:r>
          </w:p>
        </w:tc>
        <w:tc>
          <w:tcPr>
            <w:tcW w:w="3061" w:type="dxa"/>
            <w:vAlign w:val="center"/>
          </w:tcPr>
          <w:p w14:paraId="4F78452F">
            <w:pPr>
              <w:spacing w:line="360" w:lineRule="auto"/>
              <w:jc w:val="center"/>
              <w:rPr>
                <w:rFonts w:ascii="宋体"/>
                <w:szCs w:val="21"/>
              </w:rPr>
            </w:pPr>
          </w:p>
        </w:tc>
        <w:tc>
          <w:tcPr>
            <w:tcW w:w="1260" w:type="dxa"/>
            <w:vAlign w:val="center"/>
          </w:tcPr>
          <w:p w14:paraId="3589E071">
            <w:pPr>
              <w:spacing w:line="360" w:lineRule="auto"/>
              <w:jc w:val="center"/>
              <w:rPr>
                <w:rFonts w:ascii="宋体"/>
              </w:rPr>
            </w:pPr>
          </w:p>
        </w:tc>
        <w:tc>
          <w:tcPr>
            <w:tcW w:w="2159" w:type="dxa"/>
            <w:vAlign w:val="center"/>
          </w:tcPr>
          <w:p w14:paraId="4D45FCA8">
            <w:pPr>
              <w:spacing w:line="360" w:lineRule="auto"/>
              <w:jc w:val="center"/>
              <w:rPr>
                <w:rFonts w:ascii="宋体"/>
              </w:rPr>
            </w:pPr>
          </w:p>
        </w:tc>
        <w:tc>
          <w:tcPr>
            <w:tcW w:w="1212" w:type="dxa"/>
            <w:vAlign w:val="center"/>
          </w:tcPr>
          <w:p w14:paraId="6D1CE2BA">
            <w:pPr>
              <w:spacing w:line="360" w:lineRule="auto"/>
              <w:jc w:val="center"/>
              <w:rPr>
                <w:rFonts w:ascii="宋体"/>
              </w:rPr>
            </w:pPr>
          </w:p>
        </w:tc>
      </w:tr>
      <w:tr w14:paraId="5757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374BB39">
            <w:pPr>
              <w:spacing w:line="360" w:lineRule="auto"/>
              <w:jc w:val="center"/>
              <w:rPr>
                <w:rFonts w:ascii="宋体" w:hAnsi="宋体"/>
              </w:rPr>
            </w:pPr>
            <w:r>
              <w:rPr>
                <w:rFonts w:ascii="宋体" w:hAnsi="宋体"/>
              </w:rPr>
              <w:t>7</w:t>
            </w:r>
          </w:p>
        </w:tc>
        <w:tc>
          <w:tcPr>
            <w:tcW w:w="3061" w:type="dxa"/>
            <w:vAlign w:val="center"/>
          </w:tcPr>
          <w:p w14:paraId="19291E8B">
            <w:pPr>
              <w:spacing w:line="360" w:lineRule="auto"/>
              <w:jc w:val="center"/>
              <w:rPr>
                <w:rFonts w:ascii="宋体"/>
                <w:szCs w:val="21"/>
              </w:rPr>
            </w:pPr>
          </w:p>
        </w:tc>
        <w:tc>
          <w:tcPr>
            <w:tcW w:w="1260" w:type="dxa"/>
            <w:vAlign w:val="center"/>
          </w:tcPr>
          <w:p w14:paraId="3D1827C2">
            <w:pPr>
              <w:spacing w:line="360" w:lineRule="auto"/>
              <w:jc w:val="center"/>
              <w:rPr>
                <w:rFonts w:ascii="宋体"/>
              </w:rPr>
            </w:pPr>
          </w:p>
        </w:tc>
        <w:tc>
          <w:tcPr>
            <w:tcW w:w="2159" w:type="dxa"/>
            <w:vAlign w:val="center"/>
          </w:tcPr>
          <w:p w14:paraId="2874B3B2">
            <w:pPr>
              <w:spacing w:line="360" w:lineRule="auto"/>
              <w:jc w:val="center"/>
              <w:rPr>
                <w:rFonts w:ascii="宋体"/>
              </w:rPr>
            </w:pPr>
          </w:p>
        </w:tc>
        <w:tc>
          <w:tcPr>
            <w:tcW w:w="1212" w:type="dxa"/>
            <w:vAlign w:val="center"/>
          </w:tcPr>
          <w:p w14:paraId="5F05A2CE">
            <w:pPr>
              <w:spacing w:line="360" w:lineRule="auto"/>
              <w:jc w:val="center"/>
              <w:rPr>
                <w:rFonts w:ascii="宋体"/>
              </w:rPr>
            </w:pPr>
          </w:p>
        </w:tc>
      </w:tr>
      <w:tr w14:paraId="2F46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00DC3850">
            <w:pPr>
              <w:spacing w:line="360" w:lineRule="auto"/>
              <w:jc w:val="center"/>
              <w:rPr>
                <w:rFonts w:ascii="宋体" w:hAnsi="宋体"/>
              </w:rPr>
            </w:pPr>
            <w:r>
              <w:rPr>
                <w:rFonts w:ascii="宋体" w:hAnsi="宋体"/>
              </w:rPr>
              <w:t>8</w:t>
            </w:r>
          </w:p>
        </w:tc>
        <w:tc>
          <w:tcPr>
            <w:tcW w:w="3061" w:type="dxa"/>
            <w:vAlign w:val="center"/>
          </w:tcPr>
          <w:p w14:paraId="7FFF7B4F">
            <w:pPr>
              <w:spacing w:line="360" w:lineRule="auto"/>
              <w:jc w:val="center"/>
              <w:rPr>
                <w:rFonts w:ascii="宋体"/>
                <w:szCs w:val="21"/>
              </w:rPr>
            </w:pPr>
          </w:p>
        </w:tc>
        <w:tc>
          <w:tcPr>
            <w:tcW w:w="1260" w:type="dxa"/>
            <w:vAlign w:val="center"/>
          </w:tcPr>
          <w:p w14:paraId="43EBD0DA">
            <w:pPr>
              <w:spacing w:line="360" w:lineRule="auto"/>
              <w:jc w:val="center"/>
              <w:rPr>
                <w:rFonts w:ascii="宋体"/>
              </w:rPr>
            </w:pPr>
          </w:p>
        </w:tc>
        <w:tc>
          <w:tcPr>
            <w:tcW w:w="2159" w:type="dxa"/>
            <w:vAlign w:val="center"/>
          </w:tcPr>
          <w:p w14:paraId="54B9AF87">
            <w:pPr>
              <w:spacing w:line="360" w:lineRule="auto"/>
              <w:jc w:val="center"/>
              <w:rPr>
                <w:rFonts w:ascii="宋体"/>
              </w:rPr>
            </w:pPr>
          </w:p>
        </w:tc>
        <w:tc>
          <w:tcPr>
            <w:tcW w:w="1212" w:type="dxa"/>
            <w:vAlign w:val="center"/>
          </w:tcPr>
          <w:p w14:paraId="14CF7481">
            <w:pPr>
              <w:spacing w:line="360" w:lineRule="auto"/>
              <w:jc w:val="center"/>
              <w:rPr>
                <w:rFonts w:ascii="宋体"/>
              </w:rPr>
            </w:pPr>
          </w:p>
        </w:tc>
      </w:tr>
      <w:tr w14:paraId="019B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60538E9D">
            <w:pPr>
              <w:spacing w:line="360" w:lineRule="auto"/>
              <w:jc w:val="center"/>
              <w:rPr>
                <w:rFonts w:ascii="宋体" w:hAnsi="宋体"/>
              </w:rPr>
            </w:pPr>
            <w:r>
              <w:rPr>
                <w:rFonts w:ascii="宋体" w:hAnsi="宋体"/>
              </w:rPr>
              <w:t>9</w:t>
            </w:r>
          </w:p>
        </w:tc>
        <w:tc>
          <w:tcPr>
            <w:tcW w:w="3061" w:type="dxa"/>
            <w:vAlign w:val="center"/>
          </w:tcPr>
          <w:p w14:paraId="5D55E531">
            <w:pPr>
              <w:spacing w:line="360" w:lineRule="auto"/>
              <w:jc w:val="center"/>
              <w:rPr>
                <w:rFonts w:ascii="宋体"/>
                <w:szCs w:val="21"/>
              </w:rPr>
            </w:pPr>
          </w:p>
        </w:tc>
        <w:tc>
          <w:tcPr>
            <w:tcW w:w="1260" w:type="dxa"/>
            <w:vAlign w:val="center"/>
          </w:tcPr>
          <w:p w14:paraId="5A889E5F">
            <w:pPr>
              <w:spacing w:line="360" w:lineRule="auto"/>
              <w:jc w:val="center"/>
              <w:rPr>
                <w:rFonts w:ascii="宋体"/>
              </w:rPr>
            </w:pPr>
          </w:p>
        </w:tc>
        <w:tc>
          <w:tcPr>
            <w:tcW w:w="2159" w:type="dxa"/>
            <w:vAlign w:val="center"/>
          </w:tcPr>
          <w:p w14:paraId="57CB2ADD">
            <w:pPr>
              <w:spacing w:line="360" w:lineRule="auto"/>
              <w:jc w:val="center"/>
              <w:rPr>
                <w:rFonts w:ascii="宋体"/>
              </w:rPr>
            </w:pPr>
          </w:p>
        </w:tc>
        <w:tc>
          <w:tcPr>
            <w:tcW w:w="1212" w:type="dxa"/>
            <w:vAlign w:val="center"/>
          </w:tcPr>
          <w:p w14:paraId="54347B65">
            <w:pPr>
              <w:spacing w:line="360" w:lineRule="auto"/>
              <w:jc w:val="center"/>
              <w:rPr>
                <w:rFonts w:ascii="宋体"/>
              </w:rPr>
            </w:pPr>
          </w:p>
        </w:tc>
      </w:tr>
      <w:tr w14:paraId="59EB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9F85C21">
            <w:pPr>
              <w:spacing w:line="360" w:lineRule="auto"/>
              <w:jc w:val="center"/>
              <w:rPr>
                <w:rFonts w:ascii="宋体" w:hAnsi="宋体"/>
              </w:rPr>
            </w:pPr>
            <w:r>
              <w:rPr>
                <w:rFonts w:ascii="宋体" w:hAnsi="宋体"/>
              </w:rPr>
              <w:t>10</w:t>
            </w:r>
          </w:p>
        </w:tc>
        <w:tc>
          <w:tcPr>
            <w:tcW w:w="3061" w:type="dxa"/>
            <w:vAlign w:val="center"/>
          </w:tcPr>
          <w:p w14:paraId="2CB11D1C">
            <w:pPr>
              <w:spacing w:line="360" w:lineRule="auto"/>
              <w:jc w:val="center"/>
              <w:rPr>
                <w:rFonts w:ascii="宋体"/>
                <w:szCs w:val="21"/>
              </w:rPr>
            </w:pPr>
          </w:p>
        </w:tc>
        <w:tc>
          <w:tcPr>
            <w:tcW w:w="1260" w:type="dxa"/>
            <w:vAlign w:val="center"/>
          </w:tcPr>
          <w:p w14:paraId="06030780">
            <w:pPr>
              <w:spacing w:line="360" w:lineRule="auto"/>
              <w:jc w:val="center"/>
              <w:rPr>
                <w:rFonts w:ascii="宋体"/>
              </w:rPr>
            </w:pPr>
          </w:p>
        </w:tc>
        <w:tc>
          <w:tcPr>
            <w:tcW w:w="2159" w:type="dxa"/>
            <w:vAlign w:val="center"/>
          </w:tcPr>
          <w:p w14:paraId="36963547">
            <w:pPr>
              <w:spacing w:line="360" w:lineRule="auto"/>
              <w:jc w:val="center"/>
              <w:rPr>
                <w:rFonts w:ascii="宋体"/>
              </w:rPr>
            </w:pPr>
          </w:p>
        </w:tc>
        <w:tc>
          <w:tcPr>
            <w:tcW w:w="1212" w:type="dxa"/>
            <w:vAlign w:val="center"/>
          </w:tcPr>
          <w:p w14:paraId="6DBF9362">
            <w:pPr>
              <w:spacing w:line="360" w:lineRule="auto"/>
              <w:jc w:val="center"/>
              <w:rPr>
                <w:rFonts w:ascii="宋体"/>
              </w:rPr>
            </w:pPr>
          </w:p>
        </w:tc>
      </w:tr>
    </w:tbl>
    <w:p w14:paraId="0837FBFA">
      <w:pPr>
        <w:spacing w:line="360" w:lineRule="auto"/>
        <w:ind w:firstLine="3780" w:firstLineChars="1800"/>
        <w:rPr>
          <w:rFonts w:ascii="宋体"/>
        </w:rPr>
      </w:pPr>
    </w:p>
    <w:p w14:paraId="097EFDAF">
      <w:pPr>
        <w:spacing w:line="360" w:lineRule="auto"/>
        <w:jc w:val="left"/>
        <w:rPr>
          <w:rFonts w:ascii="宋体" w:hAnsi="宋体"/>
          <w:color w:val="auto"/>
          <w:szCs w:val="21"/>
        </w:rPr>
      </w:pPr>
      <w:r>
        <w:rPr>
          <w:rFonts w:hint="eastAsia" w:ascii="宋体" w:hAnsi="宋体"/>
          <w:szCs w:val="21"/>
          <w:lang w:eastAsia="zh-CN"/>
        </w:rPr>
        <w:t>响应单位</w:t>
      </w:r>
      <w:r>
        <w:rPr>
          <w:rFonts w:hint="eastAsia" w:ascii="宋体" w:hAnsi="宋体"/>
          <w:szCs w:val="21"/>
        </w:rPr>
        <w:t>：</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　　　　　　</w:t>
      </w:r>
    </w:p>
    <w:p w14:paraId="1B59512D">
      <w:pPr>
        <w:spacing w:line="360" w:lineRule="auto"/>
        <w:jc w:val="left"/>
        <w:rPr>
          <w:rFonts w:ascii="宋体"/>
          <w:szCs w:val="21"/>
        </w:rPr>
      </w:pPr>
      <w:r>
        <w:rPr>
          <w:rFonts w:hint="eastAsia" w:ascii="宋体" w:hAnsi="宋体"/>
          <w:color w:val="auto"/>
          <w:szCs w:val="21"/>
        </w:rPr>
        <w:t>法定代表人或其委托代理人：（签字或盖章）</w:t>
      </w:r>
      <w:r>
        <w:rPr>
          <w:rFonts w:hint="eastAsia" w:ascii="宋体" w:hAnsi="宋体"/>
          <w:szCs w:val="21"/>
        </w:rPr>
        <w:t>　　　　　　</w:t>
      </w:r>
    </w:p>
    <w:p w14:paraId="57A50DD5">
      <w:pPr>
        <w:spacing w:line="360" w:lineRule="auto"/>
        <w:jc w:val="left"/>
        <w:rPr>
          <w:rFonts w:ascii="宋体" w:hAnsi="宋体"/>
          <w:szCs w:val="21"/>
        </w:rPr>
      </w:pPr>
      <w:r>
        <w:rPr>
          <w:rFonts w:hint="eastAsia" w:ascii="宋体" w:hAnsi="宋体"/>
          <w:szCs w:val="21"/>
        </w:rPr>
        <w:t>日期：　　　　　　　　　　　</w:t>
      </w:r>
    </w:p>
    <w:p w14:paraId="1E47A99F">
      <w:pPr>
        <w:spacing w:line="360" w:lineRule="auto"/>
        <w:jc w:val="left"/>
        <w:rPr>
          <w:rFonts w:ascii="宋体"/>
          <w:szCs w:val="21"/>
        </w:rPr>
      </w:pPr>
    </w:p>
    <w:p w14:paraId="6F6D01D6">
      <w:pPr>
        <w:spacing w:line="360" w:lineRule="auto"/>
        <w:jc w:val="center"/>
        <w:rPr>
          <w:rFonts w:ascii="宋体" w:cs="宋体"/>
          <w:szCs w:val="21"/>
        </w:rPr>
      </w:pPr>
      <w:r>
        <w:rPr>
          <w:rFonts w:ascii="宋体"/>
          <w:szCs w:val="21"/>
        </w:rPr>
        <w:br w:type="page"/>
      </w:r>
      <w:r>
        <w:rPr>
          <w:rFonts w:hint="eastAsia" w:ascii="宋体"/>
          <w:szCs w:val="21"/>
        </w:rPr>
        <w:t>6-</w:t>
      </w:r>
      <w:r>
        <w:rPr>
          <w:rFonts w:ascii="宋体" w:hAnsi="宋体" w:cs="宋体"/>
          <w:szCs w:val="21"/>
        </w:rPr>
        <w:t>2</w:t>
      </w:r>
      <w:r>
        <w:rPr>
          <w:rFonts w:hint="eastAsia" w:ascii="宋体" w:hAnsi="宋体" w:cs="宋体"/>
          <w:szCs w:val="21"/>
        </w:rPr>
        <w:t>、项目管理机构人员情况表</w:t>
      </w:r>
    </w:p>
    <w:p w14:paraId="15028C10">
      <w:pPr>
        <w:spacing w:afterLines="100" w:line="360" w:lineRule="auto"/>
        <w:jc w:val="center"/>
        <w:outlineLvl w:val="3"/>
        <w:rPr>
          <w:rFonts w:ascii="宋体"/>
          <w:szCs w:val="21"/>
        </w:rPr>
      </w:pPr>
      <w:bookmarkStart w:id="596" w:name="_Toc364679642"/>
      <w:r>
        <w:rPr>
          <w:rFonts w:hint="eastAsia" w:ascii="宋体" w:hAnsi="宋体"/>
          <w:szCs w:val="21"/>
        </w:rPr>
        <w:t>项目管理机构人员组成表</w:t>
      </w:r>
      <w:bookmarkEnd w:id="596"/>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4"/>
        <w:gridCol w:w="1120"/>
        <w:gridCol w:w="765"/>
        <w:gridCol w:w="781"/>
        <w:gridCol w:w="841"/>
        <w:gridCol w:w="2094"/>
        <w:gridCol w:w="703"/>
      </w:tblGrid>
      <w:tr w14:paraId="4F88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restart"/>
            <w:vAlign w:val="center"/>
          </w:tcPr>
          <w:p w14:paraId="01AC762C">
            <w:pPr>
              <w:jc w:val="center"/>
              <w:rPr>
                <w:rFonts w:ascii="宋体"/>
                <w:szCs w:val="21"/>
              </w:rPr>
            </w:pPr>
            <w:r>
              <w:rPr>
                <w:rFonts w:hint="eastAsia" w:ascii="宋体" w:hAnsi="宋体"/>
                <w:szCs w:val="21"/>
              </w:rPr>
              <w:t>职务</w:t>
            </w:r>
          </w:p>
        </w:tc>
        <w:tc>
          <w:tcPr>
            <w:tcW w:w="703" w:type="dxa"/>
            <w:vMerge w:val="restart"/>
            <w:vAlign w:val="center"/>
          </w:tcPr>
          <w:p w14:paraId="26309A5D">
            <w:pPr>
              <w:jc w:val="center"/>
              <w:rPr>
                <w:rFonts w:ascii="宋体"/>
                <w:szCs w:val="21"/>
              </w:rPr>
            </w:pPr>
            <w:r>
              <w:rPr>
                <w:rFonts w:hint="eastAsia" w:ascii="宋体" w:hAnsi="宋体"/>
                <w:szCs w:val="21"/>
              </w:rPr>
              <w:t>姓名</w:t>
            </w:r>
          </w:p>
        </w:tc>
        <w:tc>
          <w:tcPr>
            <w:tcW w:w="704" w:type="dxa"/>
            <w:vMerge w:val="restart"/>
            <w:vAlign w:val="center"/>
          </w:tcPr>
          <w:p w14:paraId="609B485B">
            <w:pPr>
              <w:jc w:val="center"/>
              <w:rPr>
                <w:rFonts w:ascii="宋体"/>
                <w:szCs w:val="21"/>
              </w:rPr>
            </w:pPr>
            <w:r>
              <w:rPr>
                <w:rFonts w:hint="eastAsia" w:ascii="宋体" w:hAnsi="宋体"/>
                <w:szCs w:val="21"/>
              </w:rPr>
              <w:t>职称</w:t>
            </w:r>
          </w:p>
        </w:tc>
        <w:tc>
          <w:tcPr>
            <w:tcW w:w="5601" w:type="dxa"/>
            <w:gridSpan w:val="5"/>
            <w:vAlign w:val="center"/>
          </w:tcPr>
          <w:p w14:paraId="70C1EE8F">
            <w:pPr>
              <w:jc w:val="center"/>
              <w:rPr>
                <w:rFonts w:ascii="宋体"/>
                <w:szCs w:val="21"/>
              </w:rPr>
            </w:pPr>
            <w:r>
              <w:rPr>
                <w:rFonts w:hint="eastAsia" w:ascii="宋体" w:hAnsi="宋体"/>
                <w:szCs w:val="21"/>
              </w:rPr>
              <w:t>执业或职业资格证明</w:t>
            </w:r>
          </w:p>
        </w:tc>
        <w:tc>
          <w:tcPr>
            <w:tcW w:w="703" w:type="dxa"/>
            <w:vMerge w:val="restart"/>
            <w:vAlign w:val="center"/>
          </w:tcPr>
          <w:p w14:paraId="53E318B4">
            <w:pPr>
              <w:jc w:val="center"/>
              <w:rPr>
                <w:rFonts w:ascii="宋体"/>
                <w:szCs w:val="21"/>
              </w:rPr>
            </w:pPr>
            <w:r>
              <w:rPr>
                <w:rFonts w:hint="eastAsia" w:ascii="宋体" w:hAnsi="宋体"/>
                <w:szCs w:val="21"/>
              </w:rPr>
              <w:t>备注</w:t>
            </w:r>
          </w:p>
        </w:tc>
      </w:tr>
      <w:tr w14:paraId="2F90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continue"/>
            <w:vAlign w:val="center"/>
          </w:tcPr>
          <w:p w14:paraId="07CBD669">
            <w:pPr>
              <w:jc w:val="center"/>
              <w:rPr>
                <w:rFonts w:ascii="宋体"/>
                <w:szCs w:val="21"/>
              </w:rPr>
            </w:pPr>
          </w:p>
        </w:tc>
        <w:tc>
          <w:tcPr>
            <w:tcW w:w="703" w:type="dxa"/>
            <w:vMerge w:val="continue"/>
            <w:vAlign w:val="center"/>
          </w:tcPr>
          <w:p w14:paraId="1C0F4907">
            <w:pPr>
              <w:jc w:val="center"/>
              <w:rPr>
                <w:rFonts w:ascii="宋体"/>
                <w:szCs w:val="21"/>
              </w:rPr>
            </w:pPr>
          </w:p>
        </w:tc>
        <w:tc>
          <w:tcPr>
            <w:tcW w:w="704" w:type="dxa"/>
            <w:vMerge w:val="continue"/>
            <w:vAlign w:val="center"/>
          </w:tcPr>
          <w:p w14:paraId="4B970515">
            <w:pPr>
              <w:jc w:val="center"/>
              <w:rPr>
                <w:rFonts w:ascii="宋体"/>
                <w:szCs w:val="21"/>
              </w:rPr>
            </w:pPr>
          </w:p>
        </w:tc>
        <w:tc>
          <w:tcPr>
            <w:tcW w:w="1120" w:type="dxa"/>
            <w:vAlign w:val="center"/>
          </w:tcPr>
          <w:p w14:paraId="52A70A7A">
            <w:pPr>
              <w:jc w:val="center"/>
              <w:rPr>
                <w:rFonts w:ascii="宋体"/>
                <w:szCs w:val="21"/>
              </w:rPr>
            </w:pPr>
            <w:r>
              <w:rPr>
                <w:rFonts w:hint="eastAsia" w:ascii="宋体" w:hAnsi="宋体"/>
                <w:szCs w:val="21"/>
              </w:rPr>
              <w:t>证书名称</w:t>
            </w:r>
          </w:p>
        </w:tc>
        <w:tc>
          <w:tcPr>
            <w:tcW w:w="765" w:type="dxa"/>
            <w:vAlign w:val="center"/>
          </w:tcPr>
          <w:p w14:paraId="3ED46E4F">
            <w:pPr>
              <w:jc w:val="center"/>
              <w:rPr>
                <w:rFonts w:ascii="宋体"/>
                <w:szCs w:val="21"/>
              </w:rPr>
            </w:pPr>
            <w:r>
              <w:rPr>
                <w:rFonts w:hint="eastAsia" w:ascii="宋体" w:hAnsi="宋体"/>
                <w:szCs w:val="21"/>
              </w:rPr>
              <w:t>级别</w:t>
            </w:r>
          </w:p>
        </w:tc>
        <w:tc>
          <w:tcPr>
            <w:tcW w:w="781" w:type="dxa"/>
            <w:vAlign w:val="center"/>
          </w:tcPr>
          <w:p w14:paraId="31C0EFFC">
            <w:pPr>
              <w:jc w:val="center"/>
              <w:rPr>
                <w:rFonts w:ascii="宋体"/>
                <w:szCs w:val="21"/>
              </w:rPr>
            </w:pPr>
            <w:r>
              <w:rPr>
                <w:rFonts w:hint="eastAsia" w:ascii="宋体" w:hAnsi="宋体"/>
                <w:szCs w:val="21"/>
              </w:rPr>
              <w:t>证号</w:t>
            </w:r>
          </w:p>
        </w:tc>
        <w:tc>
          <w:tcPr>
            <w:tcW w:w="841" w:type="dxa"/>
            <w:vAlign w:val="center"/>
          </w:tcPr>
          <w:p w14:paraId="1C75836C">
            <w:pPr>
              <w:jc w:val="center"/>
              <w:rPr>
                <w:rFonts w:ascii="宋体"/>
                <w:szCs w:val="21"/>
              </w:rPr>
            </w:pPr>
            <w:r>
              <w:rPr>
                <w:rFonts w:hint="eastAsia" w:ascii="宋体" w:hAnsi="宋体"/>
                <w:szCs w:val="21"/>
              </w:rPr>
              <w:t>专业</w:t>
            </w:r>
          </w:p>
        </w:tc>
        <w:tc>
          <w:tcPr>
            <w:tcW w:w="2094" w:type="dxa"/>
            <w:vAlign w:val="center"/>
          </w:tcPr>
          <w:p w14:paraId="7C202FD8">
            <w:pPr>
              <w:jc w:val="center"/>
              <w:rPr>
                <w:rFonts w:ascii="宋体"/>
                <w:szCs w:val="21"/>
              </w:rPr>
            </w:pPr>
            <w:r>
              <w:rPr>
                <w:rFonts w:hint="eastAsia" w:ascii="宋体" w:hAnsi="宋体"/>
                <w:szCs w:val="21"/>
              </w:rPr>
              <w:t>养老保险号</w:t>
            </w:r>
          </w:p>
        </w:tc>
        <w:tc>
          <w:tcPr>
            <w:tcW w:w="703" w:type="dxa"/>
            <w:vMerge w:val="continue"/>
            <w:vAlign w:val="center"/>
          </w:tcPr>
          <w:p w14:paraId="57113ED7">
            <w:pPr>
              <w:jc w:val="center"/>
              <w:rPr>
                <w:rFonts w:ascii="宋体"/>
                <w:szCs w:val="21"/>
              </w:rPr>
            </w:pPr>
          </w:p>
        </w:tc>
      </w:tr>
      <w:tr w14:paraId="30D7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3A08E43">
            <w:pPr>
              <w:spacing w:line="360" w:lineRule="auto"/>
              <w:jc w:val="center"/>
              <w:rPr>
                <w:rFonts w:ascii="宋体"/>
                <w:szCs w:val="21"/>
              </w:rPr>
            </w:pPr>
          </w:p>
        </w:tc>
        <w:tc>
          <w:tcPr>
            <w:tcW w:w="703" w:type="dxa"/>
            <w:vAlign w:val="center"/>
          </w:tcPr>
          <w:p w14:paraId="21069337">
            <w:pPr>
              <w:spacing w:line="360" w:lineRule="auto"/>
              <w:jc w:val="center"/>
              <w:rPr>
                <w:rFonts w:ascii="宋体"/>
                <w:szCs w:val="21"/>
              </w:rPr>
            </w:pPr>
          </w:p>
        </w:tc>
        <w:tc>
          <w:tcPr>
            <w:tcW w:w="704" w:type="dxa"/>
            <w:vAlign w:val="center"/>
          </w:tcPr>
          <w:p w14:paraId="4738BC06">
            <w:pPr>
              <w:spacing w:line="360" w:lineRule="auto"/>
              <w:jc w:val="center"/>
              <w:rPr>
                <w:rFonts w:ascii="宋体"/>
                <w:szCs w:val="21"/>
              </w:rPr>
            </w:pPr>
          </w:p>
        </w:tc>
        <w:tc>
          <w:tcPr>
            <w:tcW w:w="1120" w:type="dxa"/>
            <w:vAlign w:val="center"/>
          </w:tcPr>
          <w:p w14:paraId="26D92D4A">
            <w:pPr>
              <w:spacing w:line="360" w:lineRule="auto"/>
              <w:jc w:val="center"/>
              <w:rPr>
                <w:rFonts w:ascii="宋体"/>
                <w:szCs w:val="21"/>
              </w:rPr>
            </w:pPr>
          </w:p>
        </w:tc>
        <w:tc>
          <w:tcPr>
            <w:tcW w:w="765" w:type="dxa"/>
            <w:vAlign w:val="center"/>
          </w:tcPr>
          <w:p w14:paraId="51BA7AB2">
            <w:pPr>
              <w:spacing w:line="360" w:lineRule="auto"/>
              <w:jc w:val="center"/>
              <w:rPr>
                <w:rFonts w:ascii="宋体"/>
                <w:szCs w:val="21"/>
              </w:rPr>
            </w:pPr>
          </w:p>
        </w:tc>
        <w:tc>
          <w:tcPr>
            <w:tcW w:w="781" w:type="dxa"/>
            <w:vAlign w:val="center"/>
          </w:tcPr>
          <w:p w14:paraId="1689F1DB">
            <w:pPr>
              <w:spacing w:line="360" w:lineRule="auto"/>
              <w:jc w:val="center"/>
              <w:rPr>
                <w:rFonts w:ascii="宋体"/>
                <w:szCs w:val="21"/>
              </w:rPr>
            </w:pPr>
          </w:p>
        </w:tc>
        <w:tc>
          <w:tcPr>
            <w:tcW w:w="841" w:type="dxa"/>
            <w:vAlign w:val="center"/>
          </w:tcPr>
          <w:p w14:paraId="5428061A">
            <w:pPr>
              <w:spacing w:line="360" w:lineRule="auto"/>
              <w:jc w:val="center"/>
              <w:rPr>
                <w:rFonts w:ascii="宋体"/>
                <w:szCs w:val="21"/>
              </w:rPr>
            </w:pPr>
          </w:p>
        </w:tc>
        <w:tc>
          <w:tcPr>
            <w:tcW w:w="2094" w:type="dxa"/>
            <w:vAlign w:val="center"/>
          </w:tcPr>
          <w:p w14:paraId="663E30A0">
            <w:pPr>
              <w:spacing w:line="360" w:lineRule="auto"/>
              <w:jc w:val="center"/>
              <w:rPr>
                <w:rFonts w:ascii="宋体"/>
                <w:szCs w:val="21"/>
              </w:rPr>
            </w:pPr>
          </w:p>
        </w:tc>
        <w:tc>
          <w:tcPr>
            <w:tcW w:w="703" w:type="dxa"/>
            <w:vAlign w:val="center"/>
          </w:tcPr>
          <w:p w14:paraId="08829E0F">
            <w:pPr>
              <w:spacing w:line="360" w:lineRule="auto"/>
              <w:jc w:val="center"/>
              <w:rPr>
                <w:rFonts w:ascii="宋体"/>
                <w:szCs w:val="21"/>
              </w:rPr>
            </w:pPr>
          </w:p>
        </w:tc>
      </w:tr>
      <w:tr w14:paraId="788C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AC96222">
            <w:pPr>
              <w:spacing w:line="360" w:lineRule="auto"/>
              <w:jc w:val="center"/>
              <w:rPr>
                <w:rFonts w:ascii="宋体"/>
                <w:szCs w:val="21"/>
              </w:rPr>
            </w:pPr>
          </w:p>
        </w:tc>
        <w:tc>
          <w:tcPr>
            <w:tcW w:w="703" w:type="dxa"/>
            <w:vAlign w:val="center"/>
          </w:tcPr>
          <w:p w14:paraId="667AB5CF">
            <w:pPr>
              <w:spacing w:line="360" w:lineRule="auto"/>
              <w:jc w:val="center"/>
              <w:rPr>
                <w:rFonts w:ascii="宋体"/>
                <w:szCs w:val="21"/>
              </w:rPr>
            </w:pPr>
          </w:p>
        </w:tc>
        <w:tc>
          <w:tcPr>
            <w:tcW w:w="704" w:type="dxa"/>
            <w:vAlign w:val="center"/>
          </w:tcPr>
          <w:p w14:paraId="66F2CD2A">
            <w:pPr>
              <w:spacing w:line="360" w:lineRule="auto"/>
              <w:jc w:val="center"/>
              <w:rPr>
                <w:rFonts w:ascii="宋体"/>
                <w:szCs w:val="21"/>
              </w:rPr>
            </w:pPr>
          </w:p>
        </w:tc>
        <w:tc>
          <w:tcPr>
            <w:tcW w:w="1120" w:type="dxa"/>
            <w:vAlign w:val="center"/>
          </w:tcPr>
          <w:p w14:paraId="25A05185">
            <w:pPr>
              <w:spacing w:line="360" w:lineRule="auto"/>
              <w:jc w:val="center"/>
              <w:rPr>
                <w:rFonts w:ascii="宋体"/>
                <w:szCs w:val="21"/>
              </w:rPr>
            </w:pPr>
          </w:p>
        </w:tc>
        <w:tc>
          <w:tcPr>
            <w:tcW w:w="765" w:type="dxa"/>
            <w:vAlign w:val="center"/>
          </w:tcPr>
          <w:p w14:paraId="5D66912B">
            <w:pPr>
              <w:spacing w:line="360" w:lineRule="auto"/>
              <w:jc w:val="center"/>
              <w:rPr>
                <w:rFonts w:ascii="宋体"/>
                <w:szCs w:val="21"/>
              </w:rPr>
            </w:pPr>
          </w:p>
        </w:tc>
        <w:tc>
          <w:tcPr>
            <w:tcW w:w="781" w:type="dxa"/>
            <w:vAlign w:val="center"/>
          </w:tcPr>
          <w:p w14:paraId="2B1CB3A8">
            <w:pPr>
              <w:spacing w:line="360" w:lineRule="auto"/>
              <w:jc w:val="center"/>
              <w:rPr>
                <w:rFonts w:ascii="宋体"/>
                <w:szCs w:val="21"/>
              </w:rPr>
            </w:pPr>
          </w:p>
        </w:tc>
        <w:tc>
          <w:tcPr>
            <w:tcW w:w="841" w:type="dxa"/>
            <w:vAlign w:val="center"/>
          </w:tcPr>
          <w:p w14:paraId="4BF2B6E9">
            <w:pPr>
              <w:spacing w:line="360" w:lineRule="auto"/>
              <w:jc w:val="center"/>
              <w:rPr>
                <w:rFonts w:ascii="宋体"/>
                <w:szCs w:val="21"/>
              </w:rPr>
            </w:pPr>
          </w:p>
        </w:tc>
        <w:tc>
          <w:tcPr>
            <w:tcW w:w="2094" w:type="dxa"/>
            <w:vAlign w:val="center"/>
          </w:tcPr>
          <w:p w14:paraId="7EE79965">
            <w:pPr>
              <w:spacing w:line="360" w:lineRule="auto"/>
              <w:jc w:val="center"/>
              <w:rPr>
                <w:rFonts w:ascii="宋体"/>
                <w:szCs w:val="21"/>
              </w:rPr>
            </w:pPr>
          </w:p>
        </w:tc>
        <w:tc>
          <w:tcPr>
            <w:tcW w:w="703" w:type="dxa"/>
            <w:vAlign w:val="center"/>
          </w:tcPr>
          <w:p w14:paraId="6AF90CD0">
            <w:pPr>
              <w:spacing w:line="360" w:lineRule="auto"/>
              <w:jc w:val="center"/>
              <w:rPr>
                <w:rFonts w:ascii="宋体"/>
                <w:szCs w:val="21"/>
              </w:rPr>
            </w:pPr>
          </w:p>
        </w:tc>
      </w:tr>
      <w:tr w14:paraId="3F1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4A06F08">
            <w:pPr>
              <w:spacing w:line="360" w:lineRule="auto"/>
              <w:jc w:val="center"/>
              <w:rPr>
                <w:rFonts w:ascii="宋体"/>
                <w:szCs w:val="21"/>
              </w:rPr>
            </w:pPr>
          </w:p>
        </w:tc>
        <w:tc>
          <w:tcPr>
            <w:tcW w:w="703" w:type="dxa"/>
            <w:vAlign w:val="center"/>
          </w:tcPr>
          <w:p w14:paraId="56080FA5">
            <w:pPr>
              <w:spacing w:line="360" w:lineRule="auto"/>
              <w:jc w:val="center"/>
              <w:rPr>
                <w:rFonts w:ascii="宋体"/>
                <w:szCs w:val="21"/>
              </w:rPr>
            </w:pPr>
          </w:p>
        </w:tc>
        <w:tc>
          <w:tcPr>
            <w:tcW w:w="704" w:type="dxa"/>
            <w:vAlign w:val="center"/>
          </w:tcPr>
          <w:p w14:paraId="061A413C">
            <w:pPr>
              <w:spacing w:line="360" w:lineRule="auto"/>
              <w:jc w:val="center"/>
              <w:rPr>
                <w:rFonts w:ascii="宋体"/>
                <w:szCs w:val="21"/>
              </w:rPr>
            </w:pPr>
          </w:p>
        </w:tc>
        <w:tc>
          <w:tcPr>
            <w:tcW w:w="1120" w:type="dxa"/>
            <w:vAlign w:val="center"/>
          </w:tcPr>
          <w:p w14:paraId="6E66C2D9">
            <w:pPr>
              <w:spacing w:line="360" w:lineRule="auto"/>
              <w:jc w:val="center"/>
              <w:rPr>
                <w:rFonts w:ascii="宋体"/>
                <w:szCs w:val="21"/>
              </w:rPr>
            </w:pPr>
          </w:p>
        </w:tc>
        <w:tc>
          <w:tcPr>
            <w:tcW w:w="765" w:type="dxa"/>
            <w:vAlign w:val="center"/>
          </w:tcPr>
          <w:p w14:paraId="16701AE5">
            <w:pPr>
              <w:spacing w:line="360" w:lineRule="auto"/>
              <w:jc w:val="center"/>
              <w:rPr>
                <w:rFonts w:ascii="宋体"/>
                <w:szCs w:val="21"/>
              </w:rPr>
            </w:pPr>
          </w:p>
        </w:tc>
        <w:tc>
          <w:tcPr>
            <w:tcW w:w="781" w:type="dxa"/>
            <w:vAlign w:val="center"/>
          </w:tcPr>
          <w:p w14:paraId="5CE5F9E5">
            <w:pPr>
              <w:spacing w:line="360" w:lineRule="auto"/>
              <w:jc w:val="center"/>
              <w:rPr>
                <w:rFonts w:ascii="宋体"/>
                <w:szCs w:val="21"/>
              </w:rPr>
            </w:pPr>
          </w:p>
        </w:tc>
        <w:tc>
          <w:tcPr>
            <w:tcW w:w="841" w:type="dxa"/>
            <w:vAlign w:val="center"/>
          </w:tcPr>
          <w:p w14:paraId="2B68025C">
            <w:pPr>
              <w:spacing w:line="360" w:lineRule="auto"/>
              <w:jc w:val="center"/>
              <w:rPr>
                <w:rFonts w:ascii="宋体"/>
                <w:szCs w:val="21"/>
              </w:rPr>
            </w:pPr>
          </w:p>
        </w:tc>
        <w:tc>
          <w:tcPr>
            <w:tcW w:w="2094" w:type="dxa"/>
            <w:vAlign w:val="center"/>
          </w:tcPr>
          <w:p w14:paraId="19834760">
            <w:pPr>
              <w:spacing w:line="360" w:lineRule="auto"/>
              <w:jc w:val="center"/>
              <w:rPr>
                <w:rFonts w:ascii="宋体"/>
                <w:szCs w:val="21"/>
              </w:rPr>
            </w:pPr>
          </w:p>
        </w:tc>
        <w:tc>
          <w:tcPr>
            <w:tcW w:w="703" w:type="dxa"/>
            <w:vAlign w:val="center"/>
          </w:tcPr>
          <w:p w14:paraId="73C63EEE">
            <w:pPr>
              <w:spacing w:line="360" w:lineRule="auto"/>
              <w:jc w:val="center"/>
              <w:rPr>
                <w:rFonts w:ascii="宋体"/>
                <w:szCs w:val="21"/>
              </w:rPr>
            </w:pPr>
          </w:p>
        </w:tc>
      </w:tr>
      <w:tr w14:paraId="0EFB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488F5F4">
            <w:pPr>
              <w:spacing w:line="360" w:lineRule="auto"/>
              <w:jc w:val="center"/>
              <w:rPr>
                <w:rFonts w:ascii="宋体"/>
                <w:szCs w:val="21"/>
              </w:rPr>
            </w:pPr>
          </w:p>
        </w:tc>
        <w:tc>
          <w:tcPr>
            <w:tcW w:w="703" w:type="dxa"/>
            <w:vAlign w:val="center"/>
          </w:tcPr>
          <w:p w14:paraId="0FB9950F">
            <w:pPr>
              <w:spacing w:line="360" w:lineRule="auto"/>
              <w:jc w:val="center"/>
              <w:rPr>
                <w:rFonts w:ascii="宋体"/>
                <w:szCs w:val="21"/>
              </w:rPr>
            </w:pPr>
          </w:p>
        </w:tc>
        <w:tc>
          <w:tcPr>
            <w:tcW w:w="704" w:type="dxa"/>
            <w:vAlign w:val="center"/>
          </w:tcPr>
          <w:p w14:paraId="399C8B88">
            <w:pPr>
              <w:spacing w:line="360" w:lineRule="auto"/>
              <w:jc w:val="center"/>
              <w:rPr>
                <w:rFonts w:ascii="宋体"/>
                <w:szCs w:val="21"/>
              </w:rPr>
            </w:pPr>
          </w:p>
        </w:tc>
        <w:tc>
          <w:tcPr>
            <w:tcW w:w="1120" w:type="dxa"/>
            <w:vAlign w:val="center"/>
          </w:tcPr>
          <w:p w14:paraId="19401D5C">
            <w:pPr>
              <w:spacing w:line="360" w:lineRule="auto"/>
              <w:jc w:val="center"/>
              <w:rPr>
                <w:rFonts w:ascii="宋体"/>
                <w:szCs w:val="21"/>
              </w:rPr>
            </w:pPr>
          </w:p>
        </w:tc>
        <w:tc>
          <w:tcPr>
            <w:tcW w:w="765" w:type="dxa"/>
            <w:vAlign w:val="center"/>
          </w:tcPr>
          <w:p w14:paraId="13348CC0">
            <w:pPr>
              <w:spacing w:line="360" w:lineRule="auto"/>
              <w:jc w:val="center"/>
              <w:rPr>
                <w:rFonts w:ascii="宋体"/>
                <w:szCs w:val="21"/>
              </w:rPr>
            </w:pPr>
          </w:p>
        </w:tc>
        <w:tc>
          <w:tcPr>
            <w:tcW w:w="781" w:type="dxa"/>
            <w:vAlign w:val="center"/>
          </w:tcPr>
          <w:p w14:paraId="72E8DBA2">
            <w:pPr>
              <w:spacing w:line="360" w:lineRule="auto"/>
              <w:jc w:val="center"/>
              <w:rPr>
                <w:rFonts w:ascii="宋体"/>
                <w:szCs w:val="21"/>
              </w:rPr>
            </w:pPr>
          </w:p>
        </w:tc>
        <w:tc>
          <w:tcPr>
            <w:tcW w:w="841" w:type="dxa"/>
            <w:vAlign w:val="center"/>
          </w:tcPr>
          <w:p w14:paraId="47A21346">
            <w:pPr>
              <w:spacing w:line="360" w:lineRule="auto"/>
              <w:jc w:val="center"/>
              <w:rPr>
                <w:rFonts w:ascii="宋体"/>
                <w:szCs w:val="21"/>
              </w:rPr>
            </w:pPr>
          </w:p>
        </w:tc>
        <w:tc>
          <w:tcPr>
            <w:tcW w:w="2094" w:type="dxa"/>
            <w:vAlign w:val="center"/>
          </w:tcPr>
          <w:p w14:paraId="4D455278">
            <w:pPr>
              <w:spacing w:line="360" w:lineRule="auto"/>
              <w:jc w:val="center"/>
              <w:rPr>
                <w:rFonts w:ascii="宋体"/>
                <w:szCs w:val="21"/>
              </w:rPr>
            </w:pPr>
          </w:p>
        </w:tc>
        <w:tc>
          <w:tcPr>
            <w:tcW w:w="703" w:type="dxa"/>
            <w:vAlign w:val="center"/>
          </w:tcPr>
          <w:p w14:paraId="5D2B6D35">
            <w:pPr>
              <w:spacing w:line="360" w:lineRule="auto"/>
              <w:jc w:val="center"/>
              <w:rPr>
                <w:rFonts w:ascii="宋体"/>
                <w:szCs w:val="21"/>
              </w:rPr>
            </w:pPr>
          </w:p>
        </w:tc>
      </w:tr>
      <w:tr w14:paraId="5CFC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F93CF1B">
            <w:pPr>
              <w:spacing w:line="360" w:lineRule="auto"/>
              <w:jc w:val="center"/>
              <w:rPr>
                <w:rFonts w:ascii="宋体"/>
                <w:szCs w:val="21"/>
              </w:rPr>
            </w:pPr>
          </w:p>
        </w:tc>
        <w:tc>
          <w:tcPr>
            <w:tcW w:w="703" w:type="dxa"/>
            <w:vAlign w:val="center"/>
          </w:tcPr>
          <w:p w14:paraId="346C742E">
            <w:pPr>
              <w:spacing w:line="360" w:lineRule="auto"/>
              <w:jc w:val="center"/>
              <w:rPr>
                <w:rFonts w:ascii="宋体"/>
                <w:szCs w:val="21"/>
              </w:rPr>
            </w:pPr>
          </w:p>
        </w:tc>
        <w:tc>
          <w:tcPr>
            <w:tcW w:w="704" w:type="dxa"/>
            <w:vAlign w:val="center"/>
          </w:tcPr>
          <w:p w14:paraId="648A56F0">
            <w:pPr>
              <w:spacing w:line="360" w:lineRule="auto"/>
              <w:jc w:val="center"/>
              <w:rPr>
                <w:rFonts w:ascii="宋体"/>
                <w:szCs w:val="21"/>
              </w:rPr>
            </w:pPr>
          </w:p>
        </w:tc>
        <w:tc>
          <w:tcPr>
            <w:tcW w:w="1120" w:type="dxa"/>
            <w:vAlign w:val="center"/>
          </w:tcPr>
          <w:p w14:paraId="377A3A84">
            <w:pPr>
              <w:spacing w:line="360" w:lineRule="auto"/>
              <w:jc w:val="center"/>
              <w:rPr>
                <w:rFonts w:ascii="宋体"/>
                <w:szCs w:val="21"/>
              </w:rPr>
            </w:pPr>
          </w:p>
        </w:tc>
        <w:tc>
          <w:tcPr>
            <w:tcW w:w="765" w:type="dxa"/>
            <w:vAlign w:val="center"/>
          </w:tcPr>
          <w:p w14:paraId="0B500D08">
            <w:pPr>
              <w:spacing w:line="360" w:lineRule="auto"/>
              <w:jc w:val="center"/>
              <w:rPr>
                <w:rFonts w:ascii="宋体"/>
                <w:szCs w:val="21"/>
              </w:rPr>
            </w:pPr>
          </w:p>
        </w:tc>
        <w:tc>
          <w:tcPr>
            <w:tcW w:w="781" w:type="dxa"/>
            <w:vAlign w:val="center"/>
          </w:tcPr>
          <w:p w14:paraId="7E174445">
            <w:pPr>
              <w:spacing w:line="360" w:lineRule="auto"/>
              <w:jc w:val="center"/>
              <w:rPr>
                <w:rFonts w:ascii="宋体"/>
                <w:szCs w:val="21"/>
              </w:rPr>
            </w:pPr>
          </w:p>
        </w:tc>
        <w:tc>
          <w:tcPr>
            <w:tcW w:w="841" w:type="dxa"/>
            <w:vAlign w:val="center"/>
          </w:tcPr>
          <w:p w14:paraId="7DC2DF0D">
            <w:pPr>
              <w:spacing w:line="360" w:lineRule="auto"/>
              <w:jc w:val="center"/>
              <w:rPr>
                <w:rFonts w:ascii="宋体"/>
                <w:szCs w:val="21"/>
              </w:rPr>
            </w:pPr>
          </w:p>
        </w:tc>
        <w:tc>
          <w:tcPr>
            <w:tcW w:w="2094" w:type="dxa"/>
            <w:vAlign w:val="center"/>
          </w:tcPr>
          <w:p w14:paraId="453E7571">
            <w:pPr>
              <w:spacing w:line="360" w:lineRule="auto"/>
              <w:jc w:val="center"/>
              <w:rPr>
                <w:rFonts w:ascii="宋体"/>
                <w:szCs w:val="21"/>
              </w:rPr>
            </w:pPr>
          </w:p>
        </w:tc>
        <w:tc>
          <w:tcPr>
            <w:tcW w:w="703" w:type="dxa"/>
            <w:vAlign w:val="center"/>
          </w:tcPr>
          <w:p w14:paraId="01EF45FF">
            <w:pPr>
              <w:spacing w:line="360" w:lineRule="auto"/>
              <w:jc w:val="center"/>
              <w:rPr>
                <w:rFonts w:ascii="宋体"/>
                <w:szCs w:val="21"/>
              </w:rPr>
            </w:pPr>
          </w:p>
        </w:tc>
      </w:tr>
      <w:tr w14:paraId="281B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36144D3">
            <w:pPr>
              <w:spacing w:line="360" w:lineRule="auto"/>
              <w:jc w:val="center"/>
              <w:rPr>
                <w:rFonts w:ascii="宋体"/>
                <w:szCs w:val="21"/>
              </w:rPr>
            </w:pPr>
          </w:p>
        </w:tc>
        <w:tc>
          <w:tcPr>
            <w:tcW w:w="703" w:type="dxa"/>
            <w:vAlign w:val="center"/>
          </w:tcPr>
          <w:p w14:paraId="7B63AC73">
            <w:pPr>
              <w:spacing w:line="360" w:lineRule="auto"/>
              <w:jc w:val="center"/>
              <w:rPr>
                <w:rFonts w:ascii="宋体"/>
                <w:szCs w:val="21"/>
              </w:rPr>
            </w:pPr>
          </w:p>
        </w:tc>
        <w:tc>
          <w:tcPr>
            <w:tcW w:w="704" w:type="dxa"/>
            <w:vAlign w:val="center"/>
          </w:tcPr>
          <w:p w14:paraId="2888A49F">
            <w:pPr>
              <w:spacing w:line="360" w:lineRule="auto"/>
              <w:jc w:val="center"/>
              <w:rPr>
                <w:rFonts w:ascii="宋体"/>
                <w:szCs w:val="21"/>
              </w:rPr>
            </w:pPr>
          </w:p>
        </w:tc>
        <w:tc>
          <w:tcPr>
            <w:tcW w:w="1120" w:type="dxa"/>
            <w:vAlign w:val="center"/>
          </w:tcPr>
          <w:p w14:paraId="080D54B6">
            <w:pPr>
              <w:spacing w:line="360" w:lineRule="auto"/>
              <w:jc w:val="center"/>
              <w:rPr>
                <w:rFonts w:ascii="宋体"/>
                <w:szCs w:val="21"/>
              </w:rPr>
            </w:pPr>
          </w:p>
        </w:tc>
        <w:tc>
          <w:tcPr>
            <w:tcW w:w="765" w:type="dxa"/>
            <w:vAlign w:val="center"/>
          </w:tcPr>
          <w:p w14:paraId="78B03FED">
            <w:pPr>
              <w:spacing w:line="360" w:lineRule="auto"/>
              <w:jc w:val="center"/>
              <w:rPr>
                <w:rFonts w:ascii="宋体"/>
                <w:szCs w:val="21"/>
              </w:rPr>
            </w:pPr>
          </w:p>
        </w:tc>
        <w:tc>
          <w:tcPr>
            <w:tcW w:w="781" w:type="dxa"/>
            <w:vAlign w:val="center"/>
          </w:tcPr>
          <w:p w14:paraId="7A542B51">
            <w:pPr>
              <w:spacing w:line="360" w:lineRule="auto"/>
              <w:jc w:val="center"/>
              <w:rPr>
                <w:rFonts w:ascii="宋体"/>
                <w:szCs w:val="21"/>
              </w:rPr>
            </w:pPr>
          </w:p>
        </w:tc>
        <w:tc>
          <w:tcPr>
            <w:tcW w:w="841" w:type="dxa"/>
            <w:vAlign w:val="center"/>
          </w:tcPr>
          <w:p w14:paraId="0E67EDDE">
            <w:pPr>
              <w:spacing w:line="360" w:lineRule="auto"/>
              <w:jc w:val="center"/>
              <w:rPr>
                <w:rFonts w:ascii="宋体"/>
                <w:szCs w:val="21"/>
              </w:rPr>
            </w:pPr>
          </w:p>
        </w:tc>
        <w:tc>
          <w:tcPr>
            <w:tcW w:w="2094" w:type="dxa"/>
            <w:vAlign w:val="center"/>
          </w:tcPr>
          <w:p w14:paraId="1DD77356">
            <w:pPr>
              <w:spacing w:line="360" w:lineRule="auto"/>
              <w:jc w:val="center"/>
              <w:rPr>
                <w:rFonts w:ascii="宋体"/>
                <w:szCs w:val="21"/>
              </w:rPr>
            </w:pPr>
          </w:p>
        </w:tc>
        <w:tc>
          <w:tcPr>
            <w:tcW w:w="703" w:type="dxa"/>
            <w:vAlign w:val="center"/>
          </w:tcPr>
          <w:p w14:paraId="2ABEEBD6">
            <w:pPr>
              <w:spacing w:line="360" w:lineRule="auto"/>
              <w:jc w:val="center"/>
              <w:rPr>
                <w:rFonts w:ascii="宋体"/>
                <w:szCs w:val="21"/>
              </w:rPr>
            </w:pPr>
          </w:p>
        </w:tc>
      </w:tr>
      <w:tr w14:paraId="76F2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9EC6367">
            <w:pPr>
              <w:spacing w:line="360" w:lineRule="auto"/>
              <w:jc w:val="center"/>
              <w:rPr>
                <w:rFonts w:ascii="宋体"/>
                <w:szCs w:val="21"/>
              </w:rPr>
            </w:pPr>
          </w:p>
        </w:tc>
        <w:tc>
          <w:tcPr>
            <w:tcW w:w="703" w:type="dxa"/>
            <w:vAlign w:val="center"/>
          </w:tcPr>
          <w:p w14:paraId="74950E86">
            <w:pPr>
              <w:spacing w:line="360" w:lineRule="auto"/>
              <w:jc w:val="center"/>
              <w:rPr>
                <w:rFonts w:ascii="宋体"/>
                <w:szCs w:val="21"/>
              </w:rPr>
            </w:pPr>
          </w:p>
        </w:tc>
        <w:tc>
          <w:tcPr>
            <w:tcW w:w="704" w:type="dxa"/>
            <w:vAlign w:val="center"/>
          </w:tcPr>
          <w:p w14:paraId="5F902715">
            <w:pPr>
              <w:spacing w:line="360" w:lineRule="auto"/>
              <w:jc w:val="center"/>
              <w:rPr>
                <w:rFonts w:ascii="宋体"/>
                <w:szCs w:val="21"/>
              </w:rPr>
            </w:pPr>
          </w:p>
        </w:tc>
        <w:tc>
          <w:tcPr>
            <w:tcW w:w="1120" w:type="dxa"/>
            <w:vAlign w:val="center"/>
          </w:tcPr>
          <w:p w14:paraId="7AB424A5">
            <w:pPr>
              <w:spacing w:line="360" w:lineRule="auto"/>
              <w:jc w:val="center"/>
              <w:rPr>
                <w:rFonts w:ascii="宋体"/>
                <w:szCs w:val="21"/>
              </w:rPr>
            </w:pPr>
          </w:p>
        </w:tc>
        <w:tc>
          <w:tcPr>
            <w:tcW w:w="765" w:type="dxa"/>
            <w:vAlign w:val="center"/>
          </w:tcPr>
          <w:p w14:paraId="032716EE">
            <w:pPr>
              <w:spacing w:line="360" w:lineRule="auto"/>
              <w:jc w:val="center"/>
              <w:rPr>
                <w:rFonts w:ascii="宋体"/>
                <w:szCs w:val="21"/>
              </w:rPr>
            </w:pPr>
          </w:p>
        </w:tc>
        <w:tc>
          <w:tcPr>
            <w:tcW w:w="781" w:type="dxa"/>
            <w:vAlign w:val="center"/>
          </w:tcPr>
          <w:p w14:paraId="133CA948">
            <w:pPr>
              <w:spacing w:line="360" w:lineRule="auto"/>
              <w:jc w:val="center"/>
              <w:rPr>
                <w:rFonts w:ascii="宋体"/>
                <w:szCs w:val="21"/>
              </w:rPr>
            </w:pPr>
          </w:p>
        </w:tc>
        <w:tc>
          <w:tcPr>
            <w:tcW w:w="841" w:type="dxa"/>
            <w:vAlign w:val="center"/>
          </w:tcPr>
          <w:p w14:paraId="5B6F862C">
            <w:pPr>
              <w:spacing w:line="360" w:lineRule="auto"/>
              <w:jc w:val="center"/>
              <w:rPr>
                <w:rFonts w:ascii="宋体"/>
                <w:szCs w:val="21"/>
              </w:rPr>
            </w:pPr>
          </w:p>
        </w:tc>
        <w:tc>
          <w:tcPr>
            <w:tcW w:w="2094" w:type="dxa"/>
            <w:vAlign w:val="center"/>
          </w:tcPr>
          <w:p w14:paraId="57870D4B">
            <w:pPr>
              <w:spacing w:line="360" w:lineRule="auto"/>
              <w:jc w:val="center"/>
              <w:rPr>
                <w:rFonts w:ascii="宋体"/>
                <w:szCs w:val="21"/>
              </w:rPr>
            </w:pPr>
          </w:p>
        </w:tc>
        <w:tc>
          <w:tcPr>
            <w:tcW w:w="703" w:type="dxa"/>
            <w:vAlign w:val="center"/>
          </w:tcPr>
          <w:p w14:paraId="7223BA14">
            <w:pPr>
              <w:spacing w:line="360" w:lineRule="auto"/>
              <w:jc w:val="center"/>
              <w:rPr>
                <w:rFonts w:ascii="宋体"/>
                <w:szCs w:val="21"/>
              </w:rPr>
            </w:pPr>
          </w:p>
        </w:tc>
      </w:tr>
      <w:tr w14:paraId="3E70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E50F2D">
            <w:pPr>
              <w:spacing w:line="360" w:lineRule="auto"/>
              <w:jc w:val="center"/>
              <w:rPr>
                <w:rFonts w:ascii="宋体"/>
                <w:szCs w:val="21"/>
              </w:rPr>
            </w:pPr>
          </w:p>
        </w:tc>
        <w:tc>
          <w:tcPr>
            <w:tcW w:w="703" w:type="dxa"/>
            <w:vAlign w:val="center"/>
          </w:tcPr>
          <w:p w14:paraId="18B5B510">
            <w:pPr>
              <w:spacing w:line="360" w:lineRule="auto"/>
              <w:jc w:val="center"/>
              <w:rPr>
                <w:rFonts w:ascii="宋体"/>
                <w:szCs w:val="21"/>
              </w:rPr>
            </w:pPr>
          </w:p>
        </w:tc>
        <w:tc>
          <w:tcPr>
            <w:tcW w:w="704" w:type="dxa"/>
            <w:vAlign w:val="center"/>
          </w:tcPr>
          <w:p w14:paraId="4230FC14">
            <w:pPr>
              <w:spacing w:line="360" w:lineRule="auto"/>
              <w:jc w:val="center"/>
              <w:rPr>
                <w:rFonts w:ascii="宋体"/>
                <w:szCs w:val="21"/>
              </w:rPr>
            </w:pPr>
          </w:p>
        </w:tc>
        <w:tc>
          <w:tcPr>
            <w:tcW w:w="1120" w:type="dxa"/>
            <w:vAlign w:val="center"/>
          </w:tcPr>
          <w:p w14:paraId="062474C3">
            <w:pPr>
              <w:spacing w:line="360" w:lineRule="auto"/>
              <w:jc w:val="center"/>
              <w:rPr>
                <w:rFonts w:ascii="宋体"/>
                <w:szCs w:val="21"/>
              </w:rPr>
            </w:pPr>
          </w:p>
        </w:tc>
        <w:tc>
          <w:tcPr>
            <w:tcW w:w="765" w:type="dxa"/>
            <w:vAlign w:val="center"/>
          </w:tcPr>
          <w:p w14:paraId="4015C663">
            <w:pPr>
              <w:spacing w:line="360" w:lineRule="auto"/>
              <w:jc w:val="center"/>
              <w:rPr>
                <w:rFonts w:ascii="宋体"/>
                <w:szCs w:val="21"/>
              </w:rPr>
            </w:pPr>
          </w:p>
        </w:tc>
        <w:tc>
          <w:tcPr>
            <w:tcW w:w="781" w:type="dxa"/>
            <w:vAlign w:val="center"/>
          </w:tcPr>
          <w:p w14:paraId="3B03E3F0">
            <w:pPr>
              <w:spacing w:line="360" w:lineRule="auto"/>
              <w:jc w:val="center"/>
              <w:rPr>
                <w:rFonts w:ascii="宋体"/>
                <w:szCs w:val="21"/>
              </w:rPr>
            </w:pPr>
          </w:p>
        </w:tc>
        <w:tc>
          <w:tcPr>
            <w:tcW w:w="841" w:type="dxa"/>
            <w:vAlign w:val="center"/>
          </w:tcPr>
          <w:p w14:paraId="36784F9D">
            <w:pPr>
              <w:spacing w:line="360" w:lineRule="auto"/>
              <w:jc w:val="center"/>
              <w:rPr>
                <w:rFonts w:ascii="宋体"/>
                <w:szCs w:val="21"/>
              </w:rPr>
            </w:pPr>
          </w:p>
        </w:tc>
        <w:tc>
          <w:tcPr>
            <w:tcW w:w="2094" w:type="dxa"/>
            <w:vAlign w:val="center"/>
          </w:tcPr>
          <w:p w14:paraId="618545B7">
            <w:pPr>
              <w:spacing w:line="360" w:lineRule="auto"/>
              <w:jc w:val="center"/>
              <w:rPr>
                <w:rFonts w:ascii="宋体"/>
                <w:szCs w:val="21"/>
              </w:rPr>
            </w:pPr>
          </w:p>
        </w:tc>
        <w:tc>
          <w:tcPr>
            <w:tcW w:w="703" w:type="dxa"/>
            <w:vAlign w:val="center"/>
          </w:tcPr>
          <w:p w14:paraId="583F3AF3">
            <w:pPr>
              <w:spacing w:line="360" w:lineRule="auto"/>
              <w:jc w:val="center"/>
              <w:rPr>
                <w:rFonts w:ascii="宋体"/>
                <w:szCs w:val="21"/>
              </w:rPr>
            </w:pPr>
          </w:p>
        </w:tc>
      </w:tr>
      <w:tr w14:paraId="582B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848B631">
            <w:pPr>
              <w:spacing w:line="360" w:lineRule="auto"/>
              <w:jc w:val="center"/>
              <w:rPr>
                <w:rFonts w:ascii="宋体"/>
                <w:szCs w:val="21"/>
              </w:rPr>
            </w:pPr>
          </w:p>
        </w:tc>
        <w:tc>
          <w:tcPr>
            <w:tcW w:w="703" w:type="dxa"/>
            <w:vAlign w:val="center"/>
          </w:tcPr>
          <w:p w14:paraId="42CBE02A">
            <w:pPr>
              <w:spacing w:line="360" w:lineRule="auto"/>
              <w:jc w:val="center"/>
              <w:rPr>
                <w:rFonts w:ascii="宋体"/>
                <w:szCs w:val="21"/>
              </w:rPr>
            </w:pPr>
          </w:p>
        </w:tc>
        <w:tc>
          <w:tcPr>
            <w:tcW w:w="704" w:type="dxa"/>
            <w:vAlign w:val="center"/>
          </w:tcPr>
          <w:p w14:paraId="19C559F1">
            <w:pPr>
              <w:spacing w:line="360" w:lineRule="auto"/>
              <w:jc w:val="center"/>
              <w:rPr>
                <w:rFonts w:ascii="宋体"/>
                <w:szCs w:val="21"/>
              </w:rPr>
            </w:pPr>
          </w:p>
        </w:tc>
        <w:tc>
          <w:tcPr>
            <w:tcW w:w="1120" w:type="dxa"/>
            <w:vAlign w:val="center"/>
          </w:tcPr>
          <w:p w14:paraId="5DC99F0D">
            <w:pPr>
              <w:spacing w:line="360" w:lineRule="auto"/>
              <w:jc w:val="center"/>
              <w:rPr>
                <w:rFonts w:ascii="宋体"/>
                <w:szCs w:val="21"/>
              </w:rPr>
            </w:pPr>
          </w:p>
        </w:tc>
        <w:tc>
          <w:tcPr>
            <w:tcW w:w="765" w:type="dxa"/>
            <w:vAlign w:val="center"/>
          </w:tcPr>
          <w:p w14:paraId="5CF4DD60">
            <w:pPr>
              <w:spacing w:line="360" w:lineRule="auto"/>
              <w:jc w:val="center"/>
              <w:rPr>
                <w:rFonts w:ascii="宋体"/>
                <w:szCs w:val="21"/>
              </w:rPr>
            </w:pPr>
          </w:p>
        </w:tc>
        <w:tc>
          <w:tcPr>
            <w:tcW w:w="781" w:type="dxa"/>
            <w:vAlign w:val="center"/>
          </w:tcPr>
          <w:p w14:paraId="19108344">
            <w:pPr>
              <w:spacing w:line="360" w:lineRule="auto"/>
              <w:jc w:val="center"/>
              <w:rPr>
                <w:rFonts w:ascii="宋体"/>
                <w:szCs w:val="21"/>
              </w:rPr>
            </w:pPr>
          </w:p>
        </w:tc>
        <w:tc>
          <w:tcPr>
            <w:tcW w:w="841" w:type="dxa"/>
            <w:vAlign w:val="center"/>
          </w:tcPr>
          <w:p w14:paraId="3AA949D9">
            <w:pPr>
              <w:spacing w:line="360" w:lineRule="auto"/>
              <w:jc w:val="center"/>
              <w:rPr>
                <w:rFonts w:ascii="宋体"/>
                <w:szCs w:val="21"/>
              </w:rPr>
            </w:pPr>
          </w:p>
        </w:tc>
        <w:tc>
          <w:tcPr>
            <w:tcW w:w="2094" w:type="dxa"/>
            <w:vAlign w:val="center"/>
          </w:tcPr>
          <w:p w14:paraId="4D37D62A">
            <w:pPr>
              <w:spacing w:line="360" w:lineRule="auto"/>
              <w:jc w:val="center"/>
              <w:rPr>
                <w:rFonts w:ascii="宋体"/>
                <w:szCs w:val="21"/>
              </w:rPr>
            </w:pPr>
          </w:p>
        </w:tc>
        <w:tc>
          <w:tcPr>
            <w:tcW w:w="703" w:type="dxa"/>
            <w:vAlign w:val="center"/>
          </w:tcPr>
          <w:p w14:paraId="7377DF5D">
            <w:pPr>
              <w:spacing w:line="360" w:lineRule="auto"/>
              <w:jc w:val="center"/>
              <w:rPr>
                <w:rFonts w:ascii="宋体"/>
                <w:szCs w:val="21"/>
              </w:rPr>
            </w:pPr>
          </w:p>
        </w:tc>
      </w:tr>
      <w:tr w14:paraId="4182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4AC7A1">
            <w:pPr>
              <w:spacing w:line="360" w:lineRule="auto"/>
              <w:jc w:val="center"/>
              <w:rPr>
                <w:rFonts w:ascii="宋体"/>
                <w:szCs w:val="21"/>
              </w:rPr>
            </w:pPr>
          </w:p>
        </w:tc>
        <w:tc>
          <w:tcPr>
            <w:tcW w:w="703" w:type="dxa"/>
            <w:vAlign w:val="center"/>
          </w:tcPr>
          <w:p w14:paraId="74D9243A">
            <w:pPr>
              <w:spacing w:line="360" w:lineRule="auto"/>
              <w:jc w:val="center"/>
              <w:rPr>
                <w:rFonts w:ascii="宋体"/>
                <w:szCs w:val="21"/>
              </w:rPr>
            </w:pPr>
          </w:p>
        </w:tc>
        <w:tc>
          <w:tcPr>
            <w:tcW w:w="704" w:type="dxa"/>
            <w:vAlign w:val="center"/>
          </w:tcPr>
          <w:p w14:paraId="58A6EDBB">
            <w:pPr>
              <w:spacing w:line="360" w:lineRule="auto"/>
              <w:jc w:val="center"/>
              <w:rPr>
                <w:rFonts w:ascii="宋体"/>
                <w:szCs w:val="21"/>
              </w:rPr>
            </w:pPr>
          </w:p>
        </w:tc>
        <w:tc>
          <w:tcPr>
            <w:tcW w:w="1120" w:type="dxa"/>
            <w:vAlign w:val="center"/>
          </w:tcPr>
          <w:p w14:paraId="7EFC9ECC">
            <w:pPr>
              <w:spacing w:line="360" w:lineRule="auto"/>
              <w:jc w:val="center"/>
              <w:rPr>
                <w:rFonts w:ascii="宋体"/>
                <w:szCs w:val="21"/>
              </w:rPr>
            </w:pPr>
          </w:p>
        </w:tc>
        <w:tc>
          <w:tcPr>
            <w:tcW w:w="765" w:type="dxa"/>
            <w:vAlign w:val="center"/>
          </w:tcPr>
          <w:p w14:paraId="0C3640B2">
            <w:pPr>
              <w:spacing w:line="360" w:lineRule="auto"/>
              <w:jc w:val="center"/>
              <w:rPr>
                <w:rFonts w:ascii="宋体"/>
                <w:szCs w:val="21"/>
              </w:rPr>
            </w:pPr>
          </w:p>
        </w:tc>
        <w:tc>
          <w:tcPr>
            <w:tcW w:w="781" w:type="dxa"/>
            <w:vAlign w:val="center"/>
          </w:tcPr>
          <w:p w14:paraId="02E5719B">
            <w:pPr>
              <w:spacing w:line="360" w:lineRule="auto"/>
              <w:jc w:val="center"/>
              <w:rPr>
                <w:rFonts w:ascii="宋体"/>
                <w:szCs w:val="21"/>
              </w:rPr>
            </w:pPr>
          </w:p>
        </w:tc>
        <w:tc>
          <w:tcPr>
            <w:tcW w:w="841" w:type="dxa"/>
            <w:vAlign w:val="center"/>
          </w:tcPr>
          <w:p w14:paraId="1B82CA35">
            <w:pPr>
              <w:spacing w:line="360" w:lineRule="auto"/>
              <w:jc w:val="center"/>
              <w:rPr>
                <w:rFonts w:ascii="宋体"/>
                <w:szCs w:val="21"/>
              </w:rPr>
            </w:pPr>
          </w:p>
        </w:tc>
        <w:tc>
          <w:tcPr>
            <w:tcW w:w="2094" w:type="dxa"/>
            <w:vAlign w:val="center"/>
          </w:tcPr>
          <w:p w14:paraId="579840C6">
            <w:pPr>
              <w:spacing w:line="360" w:lineRule="auto"/>
              <w:jc w:val="center"/>
              <w:rPr>
                <w:rFonts w:ascii="宋体"/>
                <w:szCs w:val="21"/>
              </w:rPr>
            </w:pPr>
          </w:p>
        </w:tc>
        <w:tc>
          <w:tcPr>
            <w:tcW w:w="703" w:type="dxa"/>
            <w:vAlign w:val="center"/>
          </w:tcPr>
          <w:p w14:paraId="1D5EF039">
            <w:pPr>
              <w:spacing w:line="360" w:lineRule="auto"/>
              <w:jc w:val="center"/>
              <w:rPr>
                <w:rFonts w:ascii="宋体"/>
                <w:szCs w:val="21"/>
              </w:rPr>
            </w:pPr>
          </w:p>
        </w:tc>
      </w:tr>
      <w:tr w14:paraId="14FA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0DE6F14">
            <w:pPr>
              <w:spacing w:line="360" w:lineRule="auto"/>
              <w:jc w:val="center"/>
              <w:rPr>
                <w:rFonts w:ascii="宋体"/>
                <w:szCs w:val="21"/>
              </w:rPr>
            </w:pPr>
          </w:p>
        </w:tc>
        <w:tc>
          <w:tcPr>
            <w:tcW w:w="703" w:type="dxa"/>
            <w:vAlign w:val="center"/>
          </w:tcPr>
          <w:p w14:paraId="1D58C4D0">
            <w:pPr>
              <w:spacing w:line="360" w:lineRule="auto"/>
              <w:jc w:val="center"/>
              <w:rPr>
                <w:rFonts w:ascii="宋体"/>
                <w:szCs w:val="21"/>
              </w:rPr>
            </w:pPr>
          </w:p>
        </w:tc>
        <w:tc>
          <w:tcPr>
            <w:tcW w:w="704" w:type="dxa"/>
            <w:vAlign w:val="center"/>
          </w:tcPr>
          <w:p w14:paraId="2CEBA115">
            <w:pPr>
              <w:spacing w:line="360" w:lineRule="auto"/>
              <w:jc w:val="center"/>
              <w:rPr>
                <w:rFonts w:ascii="宋体"/>
                <w:szCs w:val="21"/>
              </w:rPr>
            </w:pPr>
          </w:p>
        </w:tc>
        <w:tc>
          <w:tcPr>
            <w:tcW w:w="1120" w:type="dxa"/>
            <w:vAlign w:val="center"/>
          </w:tcPr>
          <w:p w14:paraId="2E5E1B02">
            <w:pPr>
              <w:spacing w:line="360" w:lineRule="auto"/>
              <w:jc w:val="center"/>
              <w:rPr>
                <w:rFonts w:ascii="宋体"/>
                <w:szCs w:val="21"/>
              </w:rPr>
            </w:pPr>
          </w:p>
        </w:tc>
        <w:tc>
          <w:tcPr>
            <w:tcW w:w="765" w:type="dxa"/>
            <w:vAlign w:val="center"/>
          </w:tcPr>
          <w:p w14:paraId="5330168F">
            <w:pPr>
              <w:spacing w:line="360" w:lineRule="auto"/>
              <w:jc w:val="center"/>
              <w:rPr>
                <w:rFonts w:ascii="宋体"/>
                <w:szCs w:val="21"/>
              </w:rPr>
            </w:pPr>
          </w:p>
        </w:tc>
        <w:tc>
          <w:tcPr>
            <w:tcW w:w="781" w:type="dxa"/>
            <w:vAlign w:val="center"/>
          </w:tcPr>
          <w:p w14:paraId="1B9D73A7">
            <w:pPr>
              <w:spacing w:line="360" w:lineRule="auto"/>
              <w:jc w:val="center"/>
              <w:rPr>
                <w:rFonts w:ascii="宋体"/>
                <w:szCs w:val="21"/>
              </w:rPr>
            </w:pPr>
          </w:p>
        </w:tc>
        <w:tc>
          <w:tcPr>
            <w:tcW w:w="841" w:type="dxa"/>
            <w:vAlign w:val="center"/>
          </w:tcPr>
          <w:p w14:paraId="4C6C8831">
            <w:pPr>
              <w:spacing w:line="360" w:lineRule="auto"/>
              <w:jc w:val="center"/>
              <w:rPr>
                <w:rFonts w:ascii="宋体"/>
                <w:szCs w:val="21"/>
              </w:rPr>
            </w:pPr>
          </w:p>
        </w:tc>
        <w:tc>
          <w:tcPr>
            <w:tcW w:w="2094" w:type="dxa"/>
            <w:vAlign w:val="center"/>
          </w:tcPr>
          <w:p w14:paraId="3D7A9728">
            <w:pPr>
              <w:spacing w:line="360" w:lineRule="auto"/>
              <w:jc w:val="center"/>
              <w:rPr>
                <w:rFonts w:ascii="宋体"/>
                <w:szCs w:val="21"/>
              </w:rPr>
            </w:pPr>
          </w:p>
        </w:tc>
        <w:tc>
          <w:tcPr>
            <w:tcW w:w="703" w:type="dxa"/>
            <w:vAlign w:val="center"/>
          </w:tcPr>
          <w:p w14:paraId="02742436">
            <w:pPr>
              <w:spacing w:line="360" w:lineRule="auto"/>
              <w:jc w:val="center"/>
              <w:rPr>
                <w:rFonts w:ascii="宋体"/>
                <w:szCs w:val="21"/>
              </w:rPr>
            </w:pPr>
          </w:p>
        </w:tc>
      </w:tr>
      <w:tr w14:paraId="3E50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055F039">
            <w:pPr>
              <w:spacing w:line="360" w:lineRule="auto"/>
              <w:jc w:val="center"/>
              <w:rPr>
                <w:rFonts w:ascii="宋体"/>
                <w:szCs w:val="21"/>
              </w:rPr>
            </w:pPr>
          </w:p>
        </w:tc>
        <w:tc>
          <w:tcPr>
            <w:tcW w:w="703" w:type="dxa"/>
            <w:vAlign w:val="center"/>
          </w:tcPr>
          <w:p w14:paraId="313E04E9">
            <w:pPr>
              <w:spacing w:line="360" w:lineRule="auto"/>
              <w:jc w:val="center"/>
              <w:rPr>
                <w:rFonts w:ascii="宋体"/>
                <w:szCs w:val="21"/>
              </w:rPr>
            </w:pPr>
          </w:p>
        </w:tc>
        <w:tc>
          <w:tcPr>
            <w:tcW w:w="704" w:type="dxa"/>
            <w:vAlign w:val="center"/>
          </w:tcPr>
          <w:p w14:paraId="219BE8F5">
            <w:pPr>
              <w:spacing w:line="360" w:lineRule="auto"/>
              <w:jc w:val="center"/>
              <w:rPr>
                <w:rFonts w:ascii="宋体"/>
                <w:szCs w:val="21"/>
              </w:rPr>
            </w:pPr>
          </w:p>
        </w:tc>
        <w:tc>
          <w:tcPr>
            <w:tcW w:w="1120" w:type="dxa"/>
            <w:vAlign w:val="center"/>
          </w:tcPr>
          <w:p w14:paraId="00C6B649">
            <w:pPr>
              <w:spacing w:line="360" w:lineRule="auto"/>
              <w:jc w:val="center"/>
              <w:rPr>
                <w:rFonts w:ascii="宋体"/>
                <w:szCs w:val="21"/>
              </w:rPr>
            </w:pPr>
          </w:p>
        </w:tc>
        <w:tc>
          <w:tcPr>
            <w:tcW w:w="765" w:type="dxa"/>
            <w:vAlign w:val="center"/>
          </w:tcPr>
          <w:p w14:paraId="3A0FF5D5">
            <w:pPr>
              <w:spacing w:line="360" w:lineRule="auto"/>
              <w:jc w:val="center"/>
              <w:rPr>
                <w:rFonts w:ascii="宋体"/>
                <w:szCs w:val="21"/>
              </w:rPr>
            </w:pPr>
          </w:p>
        </w:tc>
        <w:tc>
          <w:tcPr>
            <w:tcW w:w="781" w:type="dxa"/>
            <w:vAlign w:val="center"/>
          </w:tcPr>
          <w:p w14:paraId="1A037448">
            <w:pPr>
              <w:spacing w:line="360" w:lineRule="auto"/>
              <w:jc w:val="center"/>
              <w:rPr>
                <w:rFonts w:ascii="宋体"/>
                <w:szCs w:val="21"/>
              </w:rPr>
            </w:pPr>
          </w:p>
        </w:tc>
        <w:tc>
          <w:tcPr>
            <w:tcW w:w="841" w:type="dxa"/>
            <w:vAlign w:val="center"/>
          </w:tcPr>
          <w:p w14:paraId="4B7C464B">
            <w:pPr>
              <w:spacing w:line="360" w:lineRule="auto"/>
              <w:jc w:val="center"/>
              <w:rPr>
                <w:rFonts w:ascii="宋体"/>
                <w:szCs w:val="21"/>
              </w:rPr>
            </w:pPr>
          </w:p>
        </w:tc>
        <w:tc>
          <w:tcPr>
            <w:tcW w:w="2094" w:type="dxa"/>
            <w:vAlign w:val="center"/>
          </w:tcPr>
          <w:p w14:paraId="3EDCE756">
            <w:pPr>
              <w:spacing w:line="360" w:lineRule="auto"/>
              <w:jc w:val="center"/>
              <w:rPr>
                <w:rFonts w:ascii="宋体"/>
                <w:szCs w:val="21"/>
              </w:rPr>
            </w:pPr>
          </w:p>
        </w:tc>
        <w:tc>
          <w:tcPr>
            <w:tcW w:w="703" w:type="dxa"/>
            <w:vAlign w:val="center"/>
          </w:tcPr>
          <w:p w14:paraId="0D0A68B6">
            <w:pPr>
              <w:spacing w:line="360" w:lineRule="auto"/>
              <w:jc w:val="center"/>
              <w:rPr>
                <w:rFonts w:ascii="宋体"/>
                <w:szCs w:val="21"/>
              </w:rPr>
            </w:pPr>
          </w:p>
        </w:tc>
      </w:tr>
      <w:tr w14:paraId="13A7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4A1E87A">
            <w:pPr>
              <w:spacing w:line="360" w:lineRule="auto"/>
              <w:jc w:val="center"/>
              <w:rPr>
                <w:rFonts w:ascii="宋体"/>
                <w:szCs w:val="21"/>
              </w:rPr>
            </w:pPr>
          </w:p>
        </w:tc>
        <w:tc>
          <w:tcPr>
            <w:tcW w:w="703" w:type="dxa"/>
            <w:vAlign w:val="center"/>
          </w:tcPr>
          <w:p w14:paraId="432FA75B">
            <w:pPr>
              <w:spacing w:line="360" w:lineRule="auto"/>
              <w:jc w:val="center"/>
              <w:rPr>
                <w:rFonts w:ascii="宋体"/>
                <w:szCs w:val="21"/>
              </w:rPr>
            </w:pPr>
          </w:p>
        </w:tc>
        <w:tc>
          <w:tcPr>
            <w:tcW w:w="704" w:type="dxa"/>
            <w:vAlign w:val="center"/>
          </w:tcPr>
          <w:p w14:paraId="773F73EC">
            <w:pPr>
              <w:spacing w:line="360" w:lineRule="auto"/>
              <w:jc w:val="center"/>
              <w:rPr>
                <w:rFonts w:ascii="宋体"/>
                <w:szCs w:val="21"/>
              </w:rPr>
            </w:pPr>
          </w:p>
        </w:tc>
        <w:tc>
          <w:tcPr>
            <w:tcW w:w="1120" w:type="dxa"/>
            <w:vAlign w:val="center"/>
          </w:tcPr>
          <w:p w14:paraId="00E5C38A">
            <w:pPr>
              <w:spacing w:line="360" w:lineRule="auto"/>
              <w:jc w:val="center"/>
              <w:rPr>
                <w:rFonts w:ascii="宋体"/>
                <w:szCs w:val="21"/>
              </w:rPr>
            </w:pPr>
          </w:p>
        </w:tc>
        <w:tc>
          <w:tcPr>
            <w:tcW w:w="765" w:type="dxa"/>
            <w:vAlign w:val="center"/>
          </w:tcPr>
          <w:p w14:paraId="670B2BA0">
            <w:pPr>
              <w:spacing w:line="360" w:lineRule="auto"/>
              <w:jc w:val="center"/>
              <w:rPr>
                <w:rFonts w:ascii="宋体"/>
                <w:szCs w:val="21"/>
              </w:rPr>
            </w:pPr>
          </w:p>
        </w:tc>
        <w:tc>
          <w:tcPr>
            <w:tcW w:w="781" w:type="dxa"/>
            <w:vAlign w:val="center"/>
          </w:tcPr>
          <w:p w14:paraId="2F681CD8">
            <w:pPr>
              <w:spacing w:line="360" w:lineRule="auto"/>
              <w:jc w:val="center"/>
              <w:rPr>
                <w:rFonts w:ascii="宋体"/>
                <w:szCs w:val="21"/>
              </w:rPr>
            </w:pPr>
          </w:p>
        </w:tc>
        <w:tc>
          <w:tcPr>
            <w:tcW w:w="841" w:type="dxa"/>
            <w:vAlign w:val="center"/>
          </w:tcPr>
          <w:p w14:paraId="0EF86133">
            <w:pPr>
              <w:spacing w:line="360" w:lineRule="auto"/>
              <w:jc w:val="center"/>
              <w:rPr>
                <w:rFonts w:ascii="宋体"/>
                <w:szCs w:val="21"/>
              </w:rPr>
            </w:pPr>
          </w:p>
        </w:tc>
        <w:tc>
          <w:tcPr>
            <w:tcW w:w="2094" w:type="dxa"/>
            <w:vAlign w:val="center"/>
          </w:tcPr>
          <w:p w14:paraId="7594822F">
            <w:pPr>
              <w:spacing w:line="360" w:lineRule="auto"/>
              <w:jc w:val="center"/>
              <w:rPr>
                <w:rFonts w:ascii="宋体"/>
                <w:szCs w:val="21"/>
              </w:rPr>
            </w:pPr>
          </w:p>
        </w:tc>
        <w:tc>
          <w:tcPr>
            <w:tcW w:w="703" w:type="dxa"/>
            <w:vAlign w:val="center"/>
          </w:tcPr>
          <w:p w14:paraId="6C3F9B6A">
            <w:pPr>
              <w:spacing w:line="360" w:lineRule="auto"/>
              <w:jc w:val="center"/>
              <w:rPr>
                <w:rFonts w:ascii="宋体"/>
                <w:szCs w:val="21"/>
              </w:rPr>
            </w:pPr>
          </w:p>
        </w:tc>
      </w:tr>
      <w:tr w14:paraId="0B26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3B33211">
            <w:pPr>
              <w:spacing w:line="360" w:lineRule="auto"/>
              <w:jc w:val="center"/>
              <w:rPr>
                <w:rFonts w:ascii="宋体"/>
                <w:szCs w:val="21"/>
              </w:rPr>
            </w:pPr>
          </w:p>
        </w:tc>
        <w:tc>
          <w:tcPr>
            <w:tcW w:w="703" w:type="dxa"/>
            <w:vAlign w:val="center"/>
          </w:tcPr>
          <w:p w14:paraId="2F933813">
            <w:pPr>
              <w:spacing w:line="360" w:lineRule="auto"/>
              <w:jc w:val="center"/>
              <w:rPr>
                <w:rFonts w:ascii="宋体"/>
                <w:szCs w:val="21"/>
              </w:rPr>
            </w:pPr>
          </w:p>
        </w:tc>
        <w:tc>
          <w:tcPr>
            <w:tcW w:w="704" w:type="dxa"/>
            <w:vAlign w:val="center"/>
          </w:tcPr>
          <w:p w14:paraId="2192BD08">
            <w:pPr>
              <w:spacing w:line="360" w:lineRule="auto"/>
              <w:jc w:val="center"/>
              <w:rPr>
                <w:rFonts w:ascii="宋体"/>
                <w:szCs w:val="21"/>
              </w:rPr>
            </w:pPr>
          </w:p>
        </w:tc>
        <w:tc>
          <w:tcPr>
            <w:tcW w:w="1120" w:type="dxa"/>
            <w:vAlign w:val="center"/>
          </w:tcPr>
          <w:p w14:paraId="5C2E0E99">
            <w:pPr>
              <w:spacing w:line="360" w:lineRule="auto"/>
              <w:jc w:val="center"/>
              <w:rPr>
                <w:rFonts w:ascii="宋体"/>
                <w:szCs w:val="21"/>
              </w:rPr>
            </w:pPr>
          </w:p>
        </w:tc>
        <w:tc>
          <w:tcPr>
            <w:tcW w:w="765" w:type="dxa"/>
            <w:vAlign w:val="center"/>
          </w:tcPr>
          <w:p w14:paraId="726AC26F">
            <w:pPr>
              <w:spacing w:line="360" w:lineRule="auto"/>
              <w:jc w:val="center"/>
              <w:rPr>
                <w:rFonts w:ascii="宋体"/>
                <w:szCs w:val="21"/>
              </w:rPr>
            </w:pPr>
          </w:p>
        </w:tc>
        <w:tc>
          <w:tcPr>
            <w:tcW w:w="781" w:type="dxa"/>
            <w:vAlign w:val="center"/>
          </w:tcPr>
          <w:p w14:paraId="273FCAC9">
            <w:pPr>
              <w:spacing w:line="360" w:lineRule="auto"/>
              <w:jc w:val="center"/>
              <w:rPr>
                <w:rFonts w:ascii="宋体"/>
                <w:szCs w:val="21"/>
              </w:rPr>
            </w:pPr>
          </w:p>
        </w:tc>
        <w:tc>
          <w:tcPr>
            <w:tcW w:w="841" w:type="dxa"/>
            <w:vAlign w:val="center"/>
          </w:tcPr>
          <w:p w14:paraId="2C220AE7">
            <w:pPr>
              <w:spacing w:line="360" w:lineRule="auto"/>
              <w:jc w:val="center"/>
              <w:rPr>
                <w:rFonts w:ascii="宋体"/>
                <w:szCs w:val="21"/>
              </w:rPr>
            </w:pPr>
          </w:p>
        </w:tc>
        <w:tc>
          <w:tcPr>
            <w:tcW w:w="2094" w:type="dxa"/>
            <w:vAlign w:val="center"/>
          </w:tcPr>
          <w:p w14:paraId="65A6C6C8">
            <w:pPr>
              <w:spacing w:line="360" w:lineRule="auto"/>
              <w:jc w:val="center"/>
              <w:rPr>
                <w:rFonts w:ascii="宋体"/>
                <w:szCs w:val="21"/>
              </w:rPr>
            </w:pPr>
          </w:p>
        </w:tc>
        <w:tc>
          <w:tcPr>
            <w:tcW w:w="703" w:type="dxa"/>
            <w:vAlign w:val="center"/>
          </w:tcPr>
          <w:p w14:paraId="4FECCAE7">
            <w:pPr>
              <w:spacing w:line="360" w:lineRule="auto"/>
              <w:jc w:val="center"/>
              <w:rPr>
                <w:rFonts w:ascii="宋体"/>
                <w:szCs w:val="21"/>
              </w:rPr>
            </w:pPr>
          </w:p>
        </w:tc>
      </w:tr>
      <w:tr w14:paraId="09FE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2A11057">
            <w:pPr>
              <w:spacing w:line="360" w:lineRule="auto"/>
              <w:jc w:val="center"/>
              <w:rPr>
                <w:rFonts w:ascii="宋体"/>
                <w:szCs w:val="21"/>
              </w:rPr>
            </w:pPr>
          </w:p>
        </w:tc>
        <w:tc>
          <w:tcPr>
            <w:tcW w:w="703" w:type="dxa"/>
            <w:vAlign w:val="center"/>
          </w:tcPr>
          <w:p w14:paraId="1345AC5D">
            <w:pPr>
              <w:spacing w:line="360" w:lineRule="auto"/>
              <w:jc w:val="center"/>
              <w:rPr>
                <w:rFonts w:ascii="宋体"/>
                <w:szCs w:val="21"/>
              </w:rPr>
            </w:pPr>
          </w:p>
        </w:tc>
        <w:tc>
          <w:tcPr>
            <w:tcW w:w="704" w:type="dxa"/>
            <w:vAlign w:val="center"/>
          </w:tcPr>
          <w:p w14:paraId="58A5AAAE">
            <w:pPr>
              <w:spacing w:line="360" w:lineRule="auto"/>
              <w:jc w:val="center"/>
              <w:rPr>
                <w:rFonts w:ascii="宋体"/>
                <w:szCs w:val="21"/>
              </w:rPr>
            </w:pPr>
          </w:p>
        </w:tc>
        <w:tc>
          <w:tcPr>
            <w:tcW w:w="1120" w:type="dxa"/>
            <w:vAlign w:val="center"/>
          </w:tcPr>
          <w:p w14:paraId="5538C35E">
            <w:pPr>
              <w:spacing w:line="360" w:lineRule="auto"/>
              <w:jc w:val="center"/>
              <w:rPr>
                <w:rFonts w:ascii="宋体"/>
                <w:szCs w:val="21"/>
              </w:rPr>
            </w:pPr>
          </w:p>
        </w:tc>
        <w:tc>
          <w:tcPr>
            <w:tcW w:w="765" w:type="dxa"/>
            <w:vAlign w:val="center"/>
          </w:tcPr>
          <w:p w14:paraId="1CDD5CDB">
            <w:pPr>
              <w:spacing w:line="360" w:lineRule="auto"/>
              <w:jc w:val="center"/>
              <w:rPr>
                <w:rFonts w:ascii="宋体"/>
                <w:szCs w:val="21"/>
              </w:rPr>
            </w:pPr>
          </w:p>
        </w:tc>
        <w:tc>
          <w:tcPr>
            <w:tcW w:w="781" w:type="dxa"/>
            <w:vAlign w:val="center"/>
          </w:tcPr>
          <w:p w14:paraId="0B33BB8F">
            <w:pPr>
              <w:spacing w:line="360" w:lineRule="auto"/>
              <w:jc w:val="center"/>
              <w:rPr>
                <w:rFonts w:ascii="宋体"/>
                <w:szCs w:val="21"/>
              </w:rPr>
            </w:pPr>
          </w:p>
        </w:tc>
        <w:tc>
          <w:tcPr>
            <w:tcW w:w="841" w:type="dxa"/>
            <w:vAlign w:val="center"/>
          </w:tcPr>
          <w:p w14:paraId="3442F73F">
            <w:pPr>
              <w:spacing w:line="360" w:lineRule="auto"/>
              <w:jc w:val="center"/>
              <w:rPr>
                <w:rFonts w:ascii="宋体"/>
                <w:szCs w:val="21"/>
              </w:rPr>
            </w:pPr>
          </w:p>
        </w:tc>
        <w:tc>
          <w:tcPr>
            <w:tcW w:w="2094" w:type="dxa"/>
            <w:vAlign w:val="center"/>
          </w:tcPr>
          <w:p w14:paraId="65F126FA">
            <w:pPr>
              <w:spacing w:line="360" w:lineRule="auto"/>
              <w:jc w:val="center"/>
              <w:rPr>
                <w:rFonts w:ascii="宋体"/>
                <w:szCs w:val="21"/>
              </w:rPr>
            </w:pPr>
          </w:p>
        </w:tc>
        <w:tc>
          <w:tcPr>
            <w:tcW w:w="703" w:type="dxa"/>
            <w:vAlign w:val="center"/>
          </w:tcPr>
          <w:p w14:paraId="23C248A9">
            <w:pPr>
              <w:spacing w:line="360" w:lineRule="auto"/>
              <w:jc w:val="center"/>
              <w:rPr>
                <w:rFonts w:ascii="宋体"/>
                <w:szCs w:val="21"/>
              </w:rPr>
            </w:pPr>
          </w:p>
        </w:tc>
      </w:tr>
      <w:tr w14:paraId="72DE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F9EB1B0">
            <w:pPr>
              <w:spacing w:line="360" w:lineRule="auto"/>
              <w:jc w:val="center"/>
              <w:rPr>
                <w:rFonts w:ascii="宋体"/>
                <w:szCs w:val="21"/>
              </w:rPr>
            </w:pPr>
          </w:p>
        </w:tc>
        <w:tc>
          <w:tcPr>
            <w:tcW w:w="703" w:type="dxa"/>
            <w:vAlign w:val="center"/>
          </w:tcPr>
          <w:p w14:paraId="23242115">
            <w:pPr>
              <w:spacing w:line="360" w:lineRule="auto"/>
              <w:jc w:val="center"/>
              <w:rPr>
                <w:rFonts w:ascii="宋体"/>
                <w:szCs w:val="21"/>
              </w:rPr>
            </w:pPr>
          </w:p>
        </w:tc>
        <w:tc>
          <w:tcPr>
            <w:tcW w:w="704" w:type="dxa"/>
            <w:vAlign w:val="center"/>
          </w:tcPr>
          <w:p w14:paraId="02C283A6">
            <w:pPr>
              <w:spacing w:line="360" w:lineRule="auto"/>
              <w:jc w:val="center"/>
              <w:rPr>
                <w:rFonts w:ascii="宋体"/>
                <w:szCs w:val="21"/>
              </w:rPr>
            </w:pPr>
          </w:p>
        </w:tc>
        <w:tc>
          <w:tcPr>
            <w:tcW w:w="1120" w:type="dxa"/>
            <w:vAlign w:val="center"/>
          </w:tcPr>
          <w:p w14:paraId="042F8DE7">
            <w:pPr>
              <w:spacing w:line="360" w:lineRule="auto"/>
              <w:jc w:val="center"/>
              <w:rPr>
                <w:rFonts w:ascii="宋体"/>
                <w:szCs w:val="21"/>
              </w:rPr>
            </w:pPr>
          </w:p>
        </w:tc>
        <w:tc>
          <w:tcPr>
            <w:tcW w:w="765" w:type="dxa"/>
            <w:vAlign w:val="center"/>
          </w:tcPr>
          <w:p w14:paraId="7E738F2D">
            <w:pPr>
              <w:spacing w:line="360" w:lineRule="auto"/>
              <w:jc w:val="center"/>
              <w:rPr>
                <w:rFonts w:ascii="宋体"/>
                <w:szCs w:val="21"/>
              </w:rPr>
            </w:pPr>
          </w:p>
        </w:tc>
        <w:tc>
          <w:tcPr>
            <w:tcW w:w="781" w:type="dxa"/>
            <w:vAlign w:val="center"/>
          </w:tcPr>
          <w:p w14:paraId="2C31A127">
            <w:pPr>
              <w:spacing w:line="360" w:lineRule="auto"/>
              <w:jc w:val="center"/>
              <w:rPr>
                <w:rFonts w:ascii="宋体"/>
                <w:szCs w:val="21"/>
              </w:rPr>
            </w:pPr>
          </w:p>
        </w:tc>
        <w:tc>
          <w:tcPr>
            <w:tcW w:w="841" w:type="dxa"/>
            <w:vAlign w:val="center"/>
          </w:tcPr>
          <w:p w14:paraId="4060119F">
            <w:pPr>
              <w:spacing w:line="360" w:lineRule="auto"/>
              <w:jc w:val="center"/>
              <w:rPr>
                <w:rFonts w:ascii="宋体"/>
                <w:szCs w:val="21"/>
              </w:rPr>
            </w:pPr>
          </w:p>
        </w:tc>
        <w:tc>
          <w:tcPr>
            <w:tcW w:w="2094" w:type="dxa"/>
            <w:vAlign w:val="center"/>
          </w:tcPr>
          <w:p w14:paraId="541A9C38">
            <w:pPr>
              <w:spacing w:line="360" w:lineRule="auto"/>
              <w:jc w:val="center"/>
              <w:rPr>
                <w:rFonts w:ascii="宋体"/>
                <w:szCs w:val="21"/>
              </w:rPr>
            </w:pPr>
          </w:p>
        </w:tc>
        <w:tc>
          <w:tcPr>
            <w:tcW w:w="703" w:type="dxa"/>
            <w:vAlign w:val="center"/>
          </w:tcPr>
          <w:p w14:paraId="4F21C011">
            <w:pPr>
              <w:spacing w:line="360" w:lineRule="auto"/>
              <w:jc w:val="center"/>
              <w:rPr>
                <w:rFonts w:ascii="宋体"/>
                <w:szCs w:val="21"/>
              </w:rPr>
            </w:pPr>
          </w:p>
        </w:tc>
      </w:tr>
      <w:tr w14:paraId="17F3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AC5A1E4">
            <w:pPr>
              <w:spacing w:line="360" w:lineRule="auto"/>
              <w:jc w:val="center"/>
              <w:rPr>
                <w:rFonts w:ascii="宋体"/>
                <w:szCs w:val="21"/>
              </w:rPr>
            </w:pPr>
          </w:p>
        </w:tc>
        <w:tc>
          <w:tcPr>
            <w:tcW w:w="703" w:type="dxa"/>
            <w:vAlign w:val="center"/>
          </w:tcPr>
          <w:p w14:paraId="09C6A99A">
            <w:pPr>
              <w:spacing w:line="360" w:lineRule="auto"/>
              <w:jc w:val="center"/>
              <w:rPr>
                <w:rFonts w:ascii="宋体"/>
                <w:szCs w:val="21"/>
              </w:rPr>
            </w:pPr>
          </w:p>
        </w:tc>
        <w:tc>
          <w:tcPr>
            <w:tcW w:w="704" w:type="dxa"/>
            <w:vAlign w:val="center"/>
          </w:tcPr>
          <w:p w14:paraId="18C0237B">
            <w:pPr>
              <w:spacing w:line="360" w:lineRule="auto"/>
              <w:jc w:val="center"/>
              <w:rPr>
                <w:rFonts w:ascii="宋体"/>
                <w:szCs w:val="21"/>
              </w:rPr>
            </w:pPr>
          </w:p>
        </w:tc>
        <w:tc>
          <w:tcPr>
            <w:tcW w:w="1120" w:type="dxa"/>
            <w:vAlign w:val="center"/>
          </w:tcPr>
          <w:p w14:paraId="3C1F6543">
            <w:pPr>
              <w:spacing w:line="360" w:lineRule="auto"/>
              <w:jc w:val="center"/>
              <w:rPr>
                <w:rFonts w:ascii="宋体"/>
                <w:szCs w:val="21"/>
              </w:rPr>
            </w:pPr>
          </w:p>
        </w:tc>
        <w:tc>
          <w:tcPr>
            <w:tcW w:w="765" w:type="dxa"/>
            <w:vAlign w:val="center"/>
          </w:tcPr>
          <w:p w14:paraId="5BEF5831">
            <w:pPr>
              <w:spacing w:line="360" w:lineRule="auto"/>
              <w:jc w:val="center"/>
              <w:rPr>
                <w:rFonts w:ascii="宋体"/>
                <w:szCs w:val="21"/>
              </w:rPr>
            </w:pPr>
          </w:p>
        </w:tc>
        <w:tc>
          <w:tcPr>
            <w:tcW w:w="781" w:type="dxa"/>
            <w:vAlign w:val="center"/>
          </w:tcPr>
          <w:p w14:paraId="7DD1C802">
            <w:pPr>
              <w:spacing w:line="360" w:lineRule="auto"/>
              <w:jc w:val="center"/>
              <w:rPr>
                <w:rFonts w:ascii="宋体"/>
                <w:szCs w:val="21"/>
              </w:rPr>
            </w:pPr>
          </w:p>
        </w:tc>
        <w:tc>
          <w:tcPr>
            <w:tcW w:w="841" w:type="dxa"/>
            <w:vAlign w:val="center"/>
          </w:tcPr>
          <w:p w14:paraId="2B15BCEA">
            <w:pPr>
              <w:spacing w:line="360" w:lineRule="auto"/>
              <w:jc w:val="center"/>
              <w:rPr>
                <w:rFonts w:ascii="宋体"/>
                <w:szCs w:val="21"/>
              </w:rPr>
            </w:pPr>
          </w:p>
        </w:tc>
        <w:tc>
          <w:tcPr>
            <w:tcW w:w="2094" w:type="dxa"/>
            <w:vAlign w:val="center"/>
          </w:tcPr>
          <w:p w14:paraId="582BD6BA">
            <w:pPr>
              <w:spacing w:line="360" w:lineRule="auto"/>
              <w:jc w:val="center"/>
              <w:rPr>
                <w:rFonts w:ascii="宋体"/>
                <w:szCs w:val="21"/>
              </w:rPr>
            </w:pPr>
          </w:p>
        </w:tc>
        <w:tc>
          <w:tcPr>
            <w:tcW w:w="703" w:type="dxa"/>
            <w:vAlign w:val="center"/>
          </w:tcPr>
          <w:p w14:paraId="3F4D0916">
            <w:pPr>
              <w:spacing w:line="360" w:lineRule="auto"/>
              <w:jc w:val="center"/>
              <w:rPr>
                <w:rFonts w:ascii="宋体"/>
                <w:szCs w:val="21"/>
              </w:rPr>
            </w:pPr>
          </w:p>
        </w:tc>
      </w:tr>
      <w:tr w14:paraId="1C8D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EC5359F">
            <w:pPr>
              <w:spacing w:line="360" w:lineRule="auto"/>
              <w:jc w:val="center"/>
              <w:rPr>
                <w:rFonts w:ascii="宋体"/>
                <w:szCs w:val="21"/>
              </w:rPr>
            </w:pPr>
          </w:p>
        </w:tc>
        <w:tc>
          <w:tcPr>
            <w:tcW w:w="703" w:type="dxa"/>
            <w:vAlign w:val="center"/>
          </w:tcPr>
          <w:p w14:paraId="0991E64A">
            <w:pPr>
              <w:spacing w:line="360" w:lineRule="auto"/>
              <w:jc w:val="center"/>
              <w:rPr>
                <w:rFonts w:ascii="宋体"/>
                <w:szCs w:val="21"/>
              </w:rPr>
            </w:pPr>
          </w:p>
        </w:tc>
        <w:tc>
          <w:tcPr>
            <w:tcW w:w="704" w:type="dxa"/>
            <w:vAlign w:val="center"/>
          </w:tcPr>
          <w:p w14:paraId="15228AB2">
            <w:pPr>
              <w:spacing w:line="360" w:lineRule="auto"/>
              <w:jc w:val="center"/>
              <w:rPr>
                <w:rFonts w:ascii="宋体"/>
                <w:szCs w:val="21"/>
              </w:rPr>
            </w:pPr>
          </w:p>
        </w:tc>
        <w:tc>
          <w:tcPr>
            <w:tcW w:w="1120" w:type="dxa"/>
            <w:vAlign w:val="center"/>
          </w:tcPr>
          <w:p w14:paraId="0A5EC858">
            <w:pPr>
              <w:spacing w:line="360" w:lineRule="auto"/>
              <w:jc w:val="center"/>
              <w:rPr>
                <w:rFonts w:ascii="宋体"/>
                <w:szCs w:val="21"/>
              </w:rPr>
            </w:pPr>
          </w:p>
        </w:tc>
        <w:tc>
          <w:tcPr>
            <w:tcW w:w="765" w:type="dxa"/>
            <w:vAlign w:val="center"/>
          </w:tcPr>
          <w:p w14:paraId="235479F3">
            <w:pPr>
              <w:spacing w:line="360" w:lineRule="auto"/>
              <w:jc w:val="center"/>
              <w:rPr>
                <w:rFonts w:ascii="宋体"/>
                <w:szCs w:val="21"/>
              </w:rPr>
            </w:pPr>
          </w:p>
        </w:tc>
        <w:tc>
          <w:tcPr>
            <w:tcW w:w="781" w:type="dxa"/>
            <w:vAlign w:val="center"/>
          </w:tcPr>
          <w:p w14:paraId="523BDCCC">
            <w:pPr>
              <w:spacing w:line="360" w:lineRule="auto"/>
              <w:jc w:val="center"/>
              <w:rPr>
                <w:rFonts w:ascii="宋体"/>
                <w:szCs w:val="21"/>
              </w:rPr>
            </w:pPr>
          </w:p>
        </w:tc>
        <w:tc>
          <w:tcPr>
            <w:tcW w:w="841" w:type="dxa"/>
            <w:vAlign w:val="center"/>
          </w:tcPr>
          <w:p w14:paraId="07AEF4F6">
            <w:pPr>
              <w:spacing w:line="360" w:lineRule="auto"/>
              <w:jc w:val="center"/>
              <w:rPr>
                <w:rFonts w:ascii="宋体"/>
                <w:szCs w:val="21"/>
              </w:rPr>
            </w:pPr>
          </w:p>
        </w:tc>
        <w:tc>
          <w:tcPr>
            <w:tcW w:w="2094" w:type="dxa"/>
            <w:vAlign w:val="center"/>
          </w:tcPr>
          <w:p w14:paraId="692CB6B4">
            <w:pPr>
              <w:spacing w:line="360" w:lineRule="auto"/>
              <w:jc w:val="center"/>
              <w:rPr>
                <w:rFonts w:ascii="宋体"/>
                <w:szCs w:val="21"/>
              </w:rPr>
            </w:pPr>
          </w:p>
        </w:tc>
        <w:tc>
          <w:tcPr>
            <w:tcW w:w="703" w:type="dxa"/>
            <w:vAlign w:val="center"/>
          </w:tcPr>
          <w:p w14:paraId="2C82E7AE">
            <w:pPr>
              <w:spacing w:line="360" w:lineRule="auto"/>
              <w:jc w:val="center"/>
              <w:rPr>
                <w:rFonts w:ascii="宋体"/>
                <w:szCs w:val="21"/>
              </w:rPr>
            </w:pPr>
          </w:p>
        </w:tc>
      </w:tr>
      <w:tr w14:paraId="01CE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FBFB449">
            <w:pPr>
              <w:spacing w:line="360" w:lineRule="auto"/>
              <w:jc w:val="center"/>
              <w:rPr>
                <w:rFonts w:ascii="宋体"/>
                <w:szCs w:val="21"/>
              </w:rPr>
            </w:pPr>
          </w:p>
        </w:tc>
        <w:tc>
          <w:tcPr>
            <w:tcW w:w="703" w:type="dxa"/>
            <w:vAlign w:val="center"/>
          </w:tcPr>
          <w:p w14:paraId="7C8DDF07">
            <w:pPr>
              <w:spacing w:line="360" w:lineRule="auto"/>
              <w:jc w:val="center"/>
              <w:rPr>
                <w:rFonts w:ascii="宋体"/>
                <w:szCs w:val="21"/>
              </w:rPr>
            </w:pPr>
          </w:p>
        </w:tc>
        <w:tc>
          <w:tcPr>
            <w:tcW w:w="704" w:type="dxa"/>
            <w:vAlign w:val="center"/>
          </w:tcPr>
          <w:p w14:paraId="4E97E48D">
            <w:pPr>
              <w:spacing w:line="360" w:lineRule="auto"/>
              <w:jc w:val="center"/>
              <w:rPr>
                <w:rFonts w:ascii="宋体"/>
                <w:szCs w:val="21"/>
              </w:rPr>
            </w:pPr>
          </w:p>
        </w:tc>
        <w:tc>
          <w:tcPr>
            <w:tcW w:w="1120" w:type="dxa"/>
            <w:vAlign w:val="center"/>
          </w:tcPr>
          <w:p w14:paraId="65C1F58C">
            <w:pPr>
              <w:spacing w:line="360" w:lineRule="auto"/>
              <w:jc w:val="center"/>
              <w:rPr>
                <w:rFonts w:ascii="宋体"/>
                <w:szCs w:val="21"/>
              </w:rPr>
            </w:pPr>
          </w:p>
        </w:tc>
        <w:tc>
          <w:tcPr>
            <w:tcW w:w="765" w:type="dxa"/>
            <w:vAlign w:val="center"/>
          </w:tcPr>
          <w:p w14:paraId="0C58E59B">
            <w:pPr>
              <w:spacing w:line="360" w:lineRule="auto"/>
              <w:jc w:val="center"/>
              <w:rPr>
                <w:rFonts w:ascii="宋体"/>
                <w:szCs w:val="21"/>
              </w:rPr>
            </w:pPr>
          </w:p>
        </w:tc>
        <w:tc>
          <w:tcPr>
            <w:tcW w:w="781" w:type="dxa"/>
            <w:vAlign w:val="center"/>
          </w:tcPr>
          <w:p w14:paraId="76E5793D">
            <w:pPr>
              <w:spacing w:line="360" w:lineRule="auto"/>
              <w:jc w:val="center"/>
              <w:rPr>
                <w:rFonts w:ascii="宋体"/>
                <w:szCs w:val="21"/>
              </w:rPr>
            </w:pPr>
          </w:p>
        </w:tc>
        <w:tc>
          <w:tcPr>
            <w:tcW w:w="841" w:type="dxa"/>
            <w:vAlign w:val="center"/>
          </w:tcPr>
          <w:p w14:paraId="3C4C2D44">
            <w:pPr>
              <w:spacing w:line="360" w:lineRule="auto"/>
              <w:jc w:val="center"/>
              <w:rPr>
                <w:rFonts w:ascii="宋体"/>
                <w:szCs w:val="21"/>
              </w:rPr>
            </w:pPr>
          </w:p>
        </w:tc>
        <w:tc>
          <w:tcPr>
            <w:tcW w:w="2094" w:type="dxa"/>
            <w:vAlign w:val="center"/>
          </w:tcPr>
          <w:p w14:paraId="0D8EC8E2">
            <w:pPr>
              <w:spacing w:line="360" w:lineRule="auto"/>
              <w:jc w:val="center"/>
              <w:rPr>
                <w:rFonts w:ascii="宋体"/>
                <w:szCs w:val="21"/>
              </w:rPr>
            </w:pPr>
          </w:p>
        </w:tc>
        <w:tc>
          <w:tcPr>
            <w:tcW w:w="703" w:type="dxa"/>
            <w:vAlign w:val="center"/>
          </w:tcPr>
          <w:p w14:paraId="0FB12249">
            <w:pPr>
              <w:spacing w:line="360" w:lineRule="auto"/>
              <w:jc w:val="center"/>
              <w:rPr>
                <w:rFonts w:ascii="宋体"/>
                <w:szCs w:val="21"/>
              </w:rPr>
            </w:pPr>
          </w:p>
        </w:tc>
      </w:tr>
    </w:tbl>
    <w:p w14:paraId="28246503">
      <w:pPr>
        <w:spacing w:line="360" w:lineRule="auto"/>
        <w:rPr>
          <w:rFonts w:ascii="宋体"/>
          <w:szCs w:val="21"/>
        </w:rPr>
      </w:pPr>
    </w:p>
    <w:p w14:paraId="37E5D216">
      <w:pPr>
        <w:spacing w:line="360" w:lineRule="auto"/>
        <w:rPr>
          <w:rFonts w:ascii="宋体"/>
          <w:szCs w:val="21"/>
        </w:rPr>
      </w:pPr>
    </w:p>
    <w:p w14:paraId="3C455F95">
      <w:pPr>
        <w:spacing w:beforeLines="50" w:afterLines="100" w:line="360" w:lineRule="auto"/>
        <w:outlineLvl w:val="3"/>
        <w:rPr>
          <w:rFonts w:ascii="宋体"/>
          <w:szCs w:val="21"/>
        </w:rPr>
        <w:sectPr>
          <w:pgSz w:w="11906" w:h="16838"/>
          <w:pgMar w:top="1418" w:right="1531" w:bottom="1418" w:left="1554" w:header="851" w:footer="680" w:gutter="0"/>
          <w:pgNumType w:fmt="numberInDash"/>
          <w:cols w:space="720" w:num="1"/>
          <w:docGrid w:linePitch="312" w:charSpace="0"/>
        </w:sectPr>
      </w:pPr>
      <w:bookmarkStart w:id="597" w:name="_Toc364679643"/>
    </w:p>
    <w:p w14:paraId="46D8C8F5">
      <w:pPr>
        <w:spacing w:line="360" w:lineRule="auto"/>
        <w:jc w:val="center"/>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、主要人员简历表</w:t>
      </w:r>
      <w:bookmarkEnd w:id="597"/>
    </w:p>
    <w:p w14:paraId="7C0A20AC">
      <w:pPr>
        <w:spacing w:line="360" w:lineRule="auto"/>
        <w:jc w:val="center"/>
        <w:rPr>
          <w:rFonts w:ascii="宋体"/>
          <w:szCs w:val="21"/>
        </w:rPr>
      </w:pPr>
      <w:r>
        <w:rPr>
          <w:rFonts w:ascii="宋体" w:hAnsi="宋体"/>
          <w:szCs w:val="21"/>
        </w:rPr>
        <w:t>1</w:t>
      </w:r>
      <w:r>
        <w:rPr>
          <w:rFonts w:hint="eastAsia" w:ascii="宋体" w:hAnsi="宋体"/>
          <w:szCs w:val="21"/>
        </w:rPr>
        <w:t>）项目负责人简历表</w:t>
      </w:r>
    </w:p>
    <w:p w14:paraId="2E6842B5">
      <w:pPr>
        <w:spacing w:line="360" w:lineRule="auto"/>
        <w:rPr>
          <w:rFonts w:ascii="宋体"/>
          <w:szCs w:val="21"/>
        </w:rPr>
      </w:pPr>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23"/>
        <w:gridCol w:w="1123"/>
        <w:gridCol w:w="139"/>
        <w:gridCol w:w="1123"/>
        <w:gridCol w:w="1822"/>
        <w:gridCol w:w="2101"/>
      </w:tblGrid>
      <w:tr w14:paraId="6F65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73711C6C">
            <w:pPr>
              <w:jc w:val="center"/>
              <w:rPr>
                <w:rFonts w:ascii="宋体"/>
                <w:szCs w:val="21"/>
              </w:rPr>
            </w:pPr>
            <w:r>
              <w:rPr>
                <w:rFonts w:hint="eastAsia" w:ascii="宋体" w:hAnsi="宋体"/>
                <w:szCs w:val="21"/>
              </w:rPr>
              <w:t>姓名</w:t>
            </w:r>
          </w:p>
        </w:tc>
        <w:tc>
          <w:tcPr>
            <w:tcW w:w="1023" w:type="dxa"/>
            <w:vAlign w:val="center"/>
          </w:tcPr>
          <w:p w14:paraId="036B7F66">
            <w:pPr>
              <w:jc w:val="center"/>
              <w:rPr>
                <w:rFonts w:ascii="宋体"/>
                <w:szCs w:val="21"/>
              </w:rPr>
            </w:pPr>
          </w:p>
        </w:tc>
        <w:tc>
          <w:tcPr>
            <w:tcW w:w="1123" w:type="dxa"/>
            <w:vAlign w:val="center"/>
          </w:tcPr>
          <w:p w14:paraId="5895F69E">
            <w:pPr>
              <w:jc w:val="center"/>
              <w:rPr>
                <w:rFonts w:ascii="宋体"/>
                <w:szCs w:val="21"/>
              </w:rPr>
            </w:pPr>
            <w:r>
              <w:rPr>
                <w:rFonts w:hint="eastAsia" w:ascii="宋体" w:hAnsi="宋体"/>
                <w:szCs w:val="21"/>
              </w:rPr>
              <w:t>出生年月</w:t>
            </w:r>
          </w:p>
        </w:tc>
        <w:tc>
          <w:tcPr>
            <w:tcW w:w="1262" w:type="dxa"/>
            <w:gridSpan w:val="2"/>
            <w:vAlign w:val="center"/>
          </w:tcPr>
          <w:p w14:paraId="51CC56DA">
            <w:pPr>
              <w:jc w:val="center"/>
              <w:rPr>
                <w:rFonts w:ascii="宋体"/>
                <w:szCs w:val="21"/>
              </w:rPr>
            </w:pPr>
          </w:p>
        </w:tc>
        <w:tc>
          <w:tcPr>
            <w:tcW w:w="1822" w:type="dxa"/>
            <w:vAlign w:val="center"/>
          </w:tcPr>
          <w:p w14:paraId="5D458C3A">
            <w:pPr>
              <w:jc w:val="center"/>
              <w:rPr>
                <w:rFonts w:ascii="宋体"/>
                <w:szCs w:val="21"/>
              </w:rPr>
            </w:pPr>
            <w:r>
              <w:rPr>
                <w:rFonts w:hint="eastAsia" w:ascii="宋体" w:hAnsi="宋体"/>
                <w:szCs w:val="21"/>
              </w:rPr>
              <w:t>学历</w:t>
            </w:r>
          </w:p>
        </w:tc>
        <w:tc>
          <w:tcPr>
            <w:tcW w:w="2101" w:type="dxa"/>
            <w:vAlign w:val="center"/>
          </w:tcPr>
          <w:p w14:paraId="78A8BA2D">
            <w:pPr>
              <w:jc w:val="center"/>
              <w:rPr>
                <w:rFonts w:ascii="宋体"/>
                <w:szCs w:val="21"/>
              </w:rPr>
            </w:pPr>
          </w:p>
        </w:tc>
      </w:tr>
      <w:tr w14:paraId="3E11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4024AAAA">
            <w:pPr>
              <w:jc w:val="center"/>
              <w:rPr>
                <w:rFonts w:ascii="宋体"/>
                <w:szCs w:val="21"/>
              </w:rPr>
            </w:pPr>
            <w:r>
              <w:rPr>
                <w:rFonts w:hint="eastAsia" w:ascii="宋体" w:hAnsi="宋体"/>
                <w:szCs w:val="21"/>
              </w:rPr>
              <w:t>职称</w:t>
            </w:r>
          </w:p>
        </w:tc>
        <w:tc>
          <w:tcPr>
            <w:tcW w:w="1023" w:type="dxa"/>
            <w:vAlign w:val="center"/>
          </w:tcPr>
          <w:p w14:paraId="5725AB61">
            <w:pPr>
              <w:jc w:val="center"/>
              <w:rPr>
                <w:rFonts w:ascii="宋体"/>
                <w:szCs w:val="21"/>
              </w:rPr>
            </w:pPr>
          </w:p>
        </w:tc>
        <w:tc>
          <w:tcPr>
            <w:tcW w:w="1123" w:type="dxa"/>
            <w:vAlign w:val="center"/>
          </w:tcPr>
          <w:p w14:paraId="4EFB93BC">
            <w:pPr>
              <w:jc w:val="center"/>
              <w:rPr>
                <w:rFonts w:ascii="宋体"/>
                <w:szCs w:val="21"/>
              </w:rPr>
            </w:pPr>
            <w:r>
              <w:rPr>
                <w:rFonts w:hint="eastAsia" w:ascii="宋体" w:hAnsi="宋体"/>
                <w:szCs w:val="21"/>
              </w:rPr>
              <w:t>职务</w:t>
            </w:r>
          </w:p>
        </w:tc>
        <w:tc>
          <w:tcPr>
            <w:tcW w:w="1262" w:type="dxa"/>
            <w:gridSpan w:val="2"/>
            <w:vAlign w:val="center"/>
          </w:tcPr>
          <w:p w14:paraId="1294D6EA">
            <w:pPr>
              <w:jc w:val="center"/>
              <w:rPr>
                <w:rFonts w:ascii="宋体"/>
                <w:szCs w:val="21"/>
              </w:rPr>
            </w:pPr>
          </w:p>
        </w:tc>
        <w:tc>
          <w:tcPr>
            <w:tcW w:w="1822" w:type="dxa"/>
            <w:vAlign w:val="center"/>
          </w:tcPr>
          <w:p w14:paraId="71163160">
            <w:pPr>
              <w:jc w:val="center"/>
              <w:rPr>
                <w:rFonts w:ascii="宋体"/>
                <w:szCs w:val="21"/>
              </w:rPr>
            </w:pPr>
            <w:r>
              <w:rPr>
                <w:rFonts w:hint="eastAsia" w:ascii="宋体" w:hAnsi="宋体"/>
                <w:szCs w:val="21"/>
              </w:rPr>
              <w:t>拟在本工程任职</w:t>
            </w:r>
          </w:p>
        </w:tc>
        <w:tc>
          <w:tcPr>
            <w:tcW w:w="2101" w:type="dxa"/>
            <w:vAlign w:val="center"/>
          </w:tcPr>
          <w:p w14:paraId="7437070D">
            <w:pPr>
              <w:jc w:val="center"/>
              <w:rPr>
                <w:rFonts w:ascii="宋体"/>
                <w:szCs w:val="21"/>
              </w:rPr>
            </w:pPr>
            <w:r>
              <w:rPr>
                <w:rFonts w:hint="eastAsia" w:ascii="宋体" w:hAnsi="宋体"/>
                <w:szCs w:val="21"/>
              </w:rPr>
              <w:t>项目负责人</w:t>
            </w:r>
          </w:p>
        </w:tc>
      </w:tr>
      <w:tr w14:paraId="775A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BEEB88B">
            <w:pPr>
              <w:jc w:val="center"/>
              <w:rPr>
                <w:rFonts w:ascii="宋体"/>
                <w:szCs w:val="21"/>
              </w:rPr>
            </w:pPr>
            <w:r>
              <w:rPr>
                <w:rFonts w:hint="eastAsia" w:ascii="宋体" w:hAnsi="宋体"/>
                <w:szCs w:val="21"/>
              </w:rPr>
              <w:t>注册建造师执业资格等级</w:t>
            </w:r>
          </w:p>
        </w:tc>
        <w:tc>
          <w:tcPr>
            <w:tcW w:w="1262" w:type="dxa"/>
            <w:gridSpan w:val="2"/>
            <w:vAlign w:val="center"/>
          </w:tcPr>
          <w:p w14:paraId="4F231A73">
            <w:pPr>
              <w:jc w:val="center"/>
              <w:rPr>
                <w:rFonts w:ascii="宋体"/>
                <w:szCs w:val="21"/>
              </w:rPr>
            </w:pPr>
            <w:r>
              <w:rPr>
                <w:rFonts w:hint="eastAsia" w:ascii="宋体" w:hAnsi="宋体"/>
                <w:szCs w:val="21"/>
              </w:rPr>
              <w:t>级</w:t>
            </w:r>
          </w:p>
        </w:tc>
        <w:tc>
          <w:tcPr>
            <w:tcW w:w="1822" w:type="dxa"/>
            <w:vAlign w:val="center"/>
          </w:tcPr>
          <w:p w14:paraId="3E4B42F9">
            <w:pPr>
              <w:jc w:val="center"/>
              <w:rPr>
                <w:rFonts w:ascii="宋体"/>
                <w:szCs w:val="21"/>
              </w:rPr>
            </w:pPr>
            <w:r>
              <w:rPr>
                <w:rFonts w:hint="eastAsia" w:ascii="宋体" w:hAnsi="宋体"/>
                <w:szCs w:val="21"/>
              </w:rPr>
              <w:t>建造师专业</w:t>
            </w:r>
          </w:p>
        </w:tc>
        <w:tc>
          <w:tcPr>
            <w:tcW w:w="2101" w:type="dxa"/>
            <w:vAlign w:val="center"/>
          </w:tcPr>
          <w:p w14:paraId="3EDC4DD2">
            <w:pPr>
              <w:jc w:val="center"/>
              <w:rPr>
                <w:rFonts w:ascii="宋体"/>
                <w:szCs w:val="21"/>
              </w:rPr>
            </w:pPr>
          </w:p>
        </w:tc>
      </w:tr>
      <w:tr w14:paraId="27B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67117BE">
            <w:pPr>
              <w:jc w:val="center"/>
              <w:rPr>
                <w:rFonts w:ascii="宋体"/>
                <w:szCs w:val="21"/>
              </w:rPr>
            </w:pPr>
            <w:r>
              <w:rPr>
                <w:rFonts w:hint="eastAsia" w:ascii="宋体" w:hAnsi="宋体"/>
                <w:szCs w:val="21"/>
              </w:rPr>
              <w:t>安全生产考核合格证书</w:t>
            </w:r>
          </w:p>
        </w:tc>
        <w:tc>
          <w:tcPr>
            <w:tcW w:w="5185" w:type="dxa"/>
            <w:gridSpan w:val="4"/>
            <w:vAlign w:val="center"/>
          </w:tcPr>
          <w:p w14:paraId="660884E2">
            <w:pPr>
              <w:jc w:val="center"/>
              <w:rPr>
                <w:rFonts w:ascii="宋体"/>
                <w:szCs w:val="21"/>
              </w:rPr>
            </w:pPr>
          </w:p>
        </w:tc>
      </w:tr>
      <w:tr w14:paraId="3320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775D29F">
            <w:pPr>
              <w:jc w:val="center"/>
              <w:rPr>
                <w:rFonts w:ascii="宋体"/>
                <w:szCs w:val="21"/>
              </w:rPr>
            </w:pPr>
            <w:r>
              <w:rPr>
                <w:rFonts w:hint="eastAsia" w:ascii="宋体" w:hAnsi="宋体"/>
                <w:szCs w:val="21"/>
              </w:rPr>
              <w:t>毕业学校</w:t>
            </w:r>
          </w:p>
        </w:tc>
        <w:tc>
          <w:tcPr>
            <w:tcW w:w="7331" w:type="dxa"/>
            <w:gridSpan w:val="6"/>
            <w:vAlign w:val="center"/>
          </w:tcPr>
          <w:p w14:paraId="6292A6F0">
            <w:pPr>
              <w:ind w:firstLine="840" w:firstLineChars="400"/>
              <w:rPr>
                <w:rFonts w:ascii="宋体"/>
                <w:szCs w:val="21"/>
              </w:rPr>
            </w:pPr>
            <w:r>
              <w:rPr>
                <w:rFonts w:hint="eastAsia" w:ascii="宋体" w:hAnsi="宋体"/>
                <w:szCs w:val="21"/>
              </w:rPr>
              <w:t>年毕业于学校专业</w:t>
            </w:r>
          </w:p>
        </w:tc>
      </w:tr>
      <w:tr w14:paraId="6CF4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4" w:type="dxa"/>
            <w:gridSpan w:val="7"/>
            <w:vAlign w:val="center"/>
          </w:tcPr>
          <w:p w14:paraId="186AA799">
            <w:pPr>
              <w:jc w:val="center"/>
              <w:rPr>
                <w:rFonts w:ascii="宋体"/>
                <w:szCs w:val="21"/>
              </w:rPr>
            </w:pPr>
            <w:r>
              <w:rPr>
                <w:rFonts w:hint="eastAsia" w:ascii="宋体" w:hAnsi="宋体"/>
                <w:szCs w:val="21"/>
              </w:rPr>
              <w:t>主要工作经历</w:t>
            </w:r>
          </w:p>
        </w:tc>
      </w:tr>
      <w:tr w14:paraId="602A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5F81DAAB">
            <w:pPr>
              <w:jc w:val="center"/>
              <w:rPr>
                <w:rFonts w:ascii="宋体"/>
                <w:szCs w:val="21"/>
              </w:rPr>
            </w:pPr>
            <w:r>
              <w:rPr>
                <w:rFonts w:hint="eastAsia" w:ascii="宋体" w:hAnsi="宋体"/>
                <w:szCs w:val="21"/>
              </w:rPr>
              <w:t>时间</w:t>
            </w:r>
          </w:p>
        </w:tc>
        <w:tc>
          <w:tcPr>
            <w:tcW w:w="2285" w:type="dxa"/>
            <w:gridSpan w:val="3"/>
            <w:vAlign w:val="center"/>
          </w:tcPr>
          <w:p w14:paraId="4C3F1854">
            <w:pPr>
              <w:jc w:val="center"/>
              <w:rPr>
                <w:rFonts w:ascii="宋体"/>
                <w:szCs w:val="21"/>
              </w:rPr>
            </w:pPr>
            <w:r>
              <w:rPr>
                <w:rFonts w:hint="eastAsia" w:ascii="宋体" w:hAnsi="宋体"/>
                <w:szCs w:val="21"/>
              </w:rPr>
              <w:t>参加过的类似</w:t>
            </w:r>
          </w:p>
          <w:p w14:paraId="3CB2007F">
            <w:pPr>
              <w:jc w:val="center"/>
              <w:rPr>
                <w:rFonts w:ascii="宋体"/>
                <w:szCs w:val="21"/>
              </w:rPr>
            </w:pPr>
            <w:r>
              <w:rPr>
                <w:rFonts w:hint="eastAsia" w:ascii="宋体" w:hAnsi="宋体"/>
                <w:szCs w:val="21"/>
              </w:rPr>
              <w:t>项目名称</w:t>
            </w:r>
          </w:p>
        </w:tc>
        <w:tc>
          <w:tcPr>
            <w:tcW w:w="1123" w:type="dxa"/>
            <w:vAlign w:val="center"/>
          </w:tcPr>
          <w:p w14:paraId="0B75A915">
            <w:pPr>
              <w:jc w:val="center"/>
              <w:rPr>
                <w:rFonts w:ascii="宋体"/>
                <w:szCs w:val="21"/>
              </w:rPr>
            </w:pPr>
            <w:r>
              <w:rPr>
                <w:rFonts w:hint="eastAsia" w:ascii="宋体" w:hAnsi="宋体"/>
                <w:szCs w:val="21"/>
              </w:rPr>
              <w:t>担任职务</w:t>
            </w:r>
          </w:p>
        </w:tc>
        <w:tc>
          <w:tcPr>
            <w:tcW w:w="1822" w:type="dxa"/>
            <w:vAlign w:val="center"/>
          </w:tcPr>
          <w:p w14:paraId="55D53141">
            <w:pPr>
              <w:jc w:val="center"/>
              <w:rPr>
                <w:rFonts w:ascii="宋体"/>
                <w:szCs w:val="21"/>
              </w:rPr>
            </w:pPr>
            <w:r>
              <w:rPr>
                <w:rFonts w:hint="eastAsia" w:ascii="宋体" w:hAnsi="宋体"/>
                <w:szCs w:val="21"/>
              </w:rPr>
              <w:t>工程概况说明</w:t>
            </w:r>
          </w:p>
        </w:tc>
        <w:tc>
          <w:tcPr>
            <w:tcW w:w="2101" w:type="dxa"/>
            <w:vAlign w:val="center"/>
          </w:tcPr>
          <w:p w14:paraId="104EFB96">
            <w:pPr>
              <w:jc w:val="center"/>
              <w:rPr>
                <w:rFonts w:ascii="宋体"/>
                <w:szCs w:val="21"/>
              </w:rPr>
            </w:pPr>
            <w:r>
              <w:rPr>
                <w:rFonts w:hint="eastAsia" w:ascii="宋体" w:hAnsi="宋体"/>
                <w:szCs w:val="21"/>
              </w:rPr>
              <w:t>发包人及联系电话</w:t>
            </w:r>
          </w:p>
        </w:tc>
      </w:tr>
      <w:tr w14:paraId="5CBA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7B50AB0">
            <w:pPr>
              <w:jc w:val="center"/>
              <w:rPr>
                <w:rFonts w:ascii="宋体"/>
                <w:szCs w:val="21"/>
              </w:rPr>
            </w:pPr>
          </w:p>
        </w:tc>
        <w:tc>
          <w:tcPr>
            <w:tcW w:w="2285" w:type="dxa"/>
            <w:gridSpan w:val="3"/>
            <w:vAlign w:val="center"/>
          </w:tcPr>
          <w:p w14:paraId="0DC2E622">
            <w:pPr>
              <w:jc w:val="center"/>
              <w:rPr>
                <w:rFonts w:ascii="宋体"/>
                <w:szCs w:val="21"/>
              </w:rPr>
            </w:pPr>
          </w:p>
        </w:tc>
        <w:tc>
          <w:tcPr>
            <w:tcW w:w="1123" w:type="dxa"/>
            <w:vAlign w:val="center"/>
          </w:tcPr>
          <w:p w14:paraId="58251FBD">
            <w:pPr>
              <w:jc w:val="center"/>
              <w:rPr>
                <w:rFonts w:ascii="宋体"/>
                <w:szCs w:val="21"/>
              </w:rPr>
            </w:pPr>
          </w:p>
        </w:tc>
        <w:tc>
          <w:tcPr>
            <w:tcW w:w="1822" w:type="dxa"/>
            <w:vAlign w:val="center"/>
          </w:tcPr>
          <w:p w14:paraId="2E706434">
            <w:pPr>
              <w:jc w:val="center"/>
              <w:rPr>
                <w:rFonts w:ascii="宋体"/>
                <w:szCs w:val="21"/>
              </w:rPr>
            </w:pPr>
          </w:p>
        </w:tc>
        <w:tc>
          <w:tcPr>
            <w:tcW w:w="2101" w:type="dxa"/>
            <w:vAlign w:val="center"/>
          </w:tcPr>
          <w:p w14:paraId="52734408">
            <w:pPr>
              <w:jc w:val="center"/>
              <w:rPr>
                <w:rFonts w:ascii="宋体"/>
                <w:szCs w:val="21"/>
              </w:rPr>
            </w:pPr>
          </w:p>
        </w:tc>
      </w:tr>
      <w:tr w14:paraId="6314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33C1812">
            <w:pPr>
              <w:jc w:val="center"/>
              <w:rPr>
                <w:rFonts w:ascii="宋体"/>
                <w:szCs w:val="21"/>
              </w:rPr>
            </w:pPr>
          </w:p>
        </w:tc>
        <w:tc>
          <w:tcPr>
            <w:tcW w:w="2285" w:type="dxa"/>
            <w:gridSpan w:val="3"/>
            <w:vAlign w:val="center"/>
          </w:tcPr>
          <w:p w14:paraId="61DF2D29">
            <w:pPr>
              <w:jc w:val="center"/>
              <w:rPr>
                <w:rFonts w:ascii="宋体"/>
                <w:szCs w:val="21"/>
              </w:rPr>
            </w:pPr>
          </w:p>
        </w:tc>
        <w:tc>
          <w:tcPr>
            <w:tcW w:w="1123" w:type="dxa"/>
            <w:vAlign w:val="center"/>
          </w:tcPr>
          <w:p w14:paraId="540156B3">
            <w:pPr>
              <w:jc w:val="center"/>
              <w:rPr>
                <w:rFonts w:ascii="宋体"/>
                <w:szCs w:val="21"/>
              </w:rPr>
            </w:pPr>
          </w:p>
        </w:tc>
        <w:tc>
          <w:tcPr>
            <w:tcW w:w="1822" w:type="dxa"/>
            <w:vAlign w:val="center"/>
          </w:tcPr>
          <w:p w14:paraId="2244C80D">
            <w:pPr>
              <w:jc w:val="center"/>
              <w:rPr>
                <w:rFonts w:ascii="宋体"/>
                <w:szCs w:val="21"/>
              </w:rPr>
            </w:pPr>
          </w:p>
        </w:tc>
        <w:tc>
          <w:tcPr>
            <w:tcW w:w="2101" w:type="dxa"/>
            <w:vAlign w:val="center"/>
          </w:tcPr>
          <w:p w14:paraId="0BA48353">
            <w:pPr>
              <w:jc w:val="center"/>
              <w:rPr>
                <w:rFonts w:ascii="宋体"/>
                <w:szCs w:val="21"/>
              </w:rPr>
            </w:pPr>
          </w:p>
        </w:tc>
      </w:tr>
      <w:tr w14:paraId="1C2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68797E3">
            <w:pPr>
              <w:jc w:val="center"/>
              <w:rPr>
                <w:rFonts w:ascii="宋体"/>
                <w:szCs w:val="21"/>
              </w:rPr>
            </w:pPr>
          </w:p>
        </w:tc>
        <w:tc>
          <w:tcPr>
            <w:tcW w:w="2285" w:type="dxa"/>
            <w:gridSpan w:val="3"/>
            <w:vAlign w:val="center"/>
          </w:tcPr>
          <w:p w14:paraId="7A46F4B8">
            <w:pPr>
              <w:jc w:val="center"/>
              <w:rPr>
                <w:rFonts w:ascii="宋体"/>
                <w:szCs w:val="21"/>
              </w:rPr>
            </w:pPr>
          </w:p>
        </w:tc>
        <w:tc>
          <w:tcPr>
            <w:tcW w:w="1123" w:type="dxa"/>
            <w:vAlign w:val="center"/>
          </w:tcPr>
          <w:p w14:paraId="60482655">
            <w:pPr>
              <w:jc w:val="center"/>
              <w:rPr>
                <w:rFonts w:ascii="宋体"/>
                <w:szCs w:val="21"/>
              </w:rPr>
            </w:pPr>
          </w:p>
        </w:tc>
        <w:tc>
          <w:tcPr>
            <w:tcW w:w="1822" w:type="dxa"/>
            <w:vAlign w:val="center"/>
          </w:tcPr>
          <w:p w14:paraId="4956C2B8">
            <w:pPr>
              <w:jc w:val="center"/>
              <w:rPr>
                <w:rFonts w:ascii="宋体"/>
                <w:szCs w:val="21"/>
              </w:rPr>
            </w:pPr>
          </w:p>
        </w:tc>
        <w:tc>
          <w:tcPr>
            <w:tcW w:w="2101" w:type="dxa"/>
            <w:vAlign w:val="center"/>
          </w:tcPr>
          <w:p w14:paraId="128458B8">
            <w:pPr>
              <w:jc w:val="center"/>
              <w:rPr>
                <w:rFonts w:ascii="宋体"/>
                <w:szCs w:val="21"/>
              </w:rPr>
            </w:pPr>
          </w:p>
        </w:tc>
      </w:tr>
      <w:tr w14:paraId="7C0A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1819006">
            <w:pPr>
              <w:jc w:val="center"/>
              <w:rPr>
                <w:rFonts w:ascii="宋体"/>
                <w:szCs w:val="21"/>
              </w:rPr>
            </w:pPr>
          </w:p>
        </w:tc>
        <w:tc>
          <w:tcPr>
            <w:tcW w:w="2285" w:type="dxa"/>
            <w:gridSpan w:val="3"/>
            <w:vAlign w:val="center"/>
          </w:tcPr>
          <w:p w14:paraId="757730FD">
            <w:pPr>
              <w:jc w:val="center"/>
              <w:rPr>
                <w:rFonts w:ascii="宋体"/>
                <w:szCs w:val="21"/>
              </w:rPr>
            </w:pPr>
          </w:p>
        </w:tc>
        <w:tc>
          <w:tcPr>
            <w:tcW w:w="1123" w:type="dxa"/>
            <w:vAlign w:val="center"/>
          </w:tcPr>
          <w:p w14:paraId="25A9A865">
            <w:pPr>
              <w:jc w:val="center"/>
              <w:rPr>
                <w:rFonts w:ascii="宋体"/>
                <w:szCs w:val="21"/>
              </w:rPr>
            </w:pPr>
          </w:p>
        </w:tc>
        <w:tc>
          <w:tcPr>
            <w:tcW w:w="1822" w:type="dxa"/>
            <w:vAlign w:val="center"/>
          </w:tcPr>
          <w:p w14:paraId="3A53CAB0">
            <w:pPr>
              <w:jc w:val="center"/>
              <w:rPr>
                <w:rFonts w:ascii="宋体"/>
                <w:szCs w:val="21"/>
              </w:rPr>
            </w:pPr>
          </w:p>
        </w:tc>
        <w:tc>
          <w:tcPr>
            <w:tcW w:w="2101" w:type="dxa"/>
            <w:vAlign w:val="center"/>
          </w:tcPr>
          <w:p w14:paraId="244E74BD">
            <w:pPr>
              <w:jc w:val="center"/>
              <w:rPr>
                <w:rFonts w:ascii="宋体"/>
                <w:szCs w:val="21"/>
              </w:rPr>
            </w:pPr>
          </w:p>
        </w:tc>
      </w:tr>
      <w:tr w14:paraId="4927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9FAB527">
            <w:pPr>
              <w:jc w:val="center"/>
              <w:rPr>
                <w:rFonts w:ascii="宋体"/>
                <w:szCs w:val="21"/>
              </w:rPr>
            </w:pPr>
          </w:p>
        </w:tc>
        <w:tc>
          <w:tcPr>
            <w:tcW w:w="2285" w:type="dxa"/>
            <w:gridSpan w:val="3"/>
            <w:vAlign w:val="center"/>
          </w:tcPr>
          <w:p w14:paraId="2F470448">
            <w:pPr>
              <w:jc w:val="center"/>
              <w:rPr>
                <w:rFonts w:ascii="宋体"/>
                <w:szCs w:val="21"/>
              </w:rPr>
            </w:pPr>
          </w:p>
        </w:tc>
        <w:tc>
          <w:tcPr>
            <w:tcW w:w="1123" w:type="dxa"/>
            <w:vAlign w:val="center"/>
          </w:tcPr>
          <w:p w14:paraId="7FCA9871">
            <w:pPr>
              <w:jc w:val="center"/>
              <w:rPr>
                <w:rFonts w:ascii="宋体"/>
                <w:szCs w:val="21"/>
              </w:rPr>
            </w:pPr>
          </w:p>
        </w:tc>
        <w:tc>
          <w:tcPr>
            <w:tcW w:w="1822" w:type="dxa"/>
            <w:vAlign w:val="center"/>
          </w:tcPr>
          <w:p w14:paraId="172BB5B7">
            <w:pPr>
              <w:jc w:val="center"/>
              <w:rPr>
                <w:rFonts w:ascii="宋体"/>
                <w:szCs w:val="21"/>
              </w:rPr>
            </w:pPr>
          </w:p>
        </w:tc>
        <w:tc>
          <w:tcPr>
            <w:tcW w:w="2101" w:type="dxa"/>
            <w:vAlign w:val="center"/>
          </w:tcPr>
          <w:p w14:paraId="731024D1">
            <w:pPr>
              <w:jc w:val="center"/>
              <w:rPr>
                <w:rFonts w:ascii="宋体"/>
                <w:szCs w:val="21"/>
              </w:rPr>
            </w:pPr>
          </w:p>
        </w:tc>
      </w:tr>
      <w:tr w14:paraId="1137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3E6851C">
            <w:pPr>
              <w:jc w:val="center"/>
              <w:rPr>
                <w:rFonts w:ascii="宋体"/>
                <w:szCs w:val="21"/>
              </w:rPr>
            </w:pPr>
          </w:p>
        </w:tc>
        <w:tc>
          <w:tcPr>
            <w:tcW w:w="2285" w:type="dxa"/>
            <w:gridSpan w:val="3"/>
            <w:vAlign w:val="center"/>
          </w:tcPr>
          <w:p w14:paraId="152A1A1F">
            <w:pPr>
              <w:jc w:val="center"/>
              <w:rPr>
                <w:rFonts w:ascii="宋体"/>
                <w:szCs w:val="21"/>
              </w:rPr>
            </w:pPr>
          </w:p>
        </w:tc>
        <w:tc>
          <w:tcPr>
            <w:tcW w:w="1123" w:type="dxa"/>
            <w:vAlign w:val="center"/>
          </w:tcPr>
          <w:p w14:paraId="1388FAD9">
            <w:pPr>
              <w:jc w:val="center"/>
              <w:rPr>
                <w:rFonts w:ascii="宋体"/>
                <w:szCs w:val="21"/>
              </w:rPr>
            </w:pPr>
          </w:p>
        </w:tc>
        <w:tc>
          <w:tcPr>
            <w:tcW w:w="1822" w:type="dxa"/>
            <w:vAlign w:val="center"/>
          </w:tcPr>
          <w:p w14:paraId="2B848522">
            <w:pPr>
              <w:jc w:val="center"/>
              <w:rPr>
                <w:rFonts w:ascii="宋体"/>
                <w:szCs w:val="21"/>
              </w:rPr>
            </w:pPr>
          </w:p>
        </w:tc>
        <w:tc>
          <w:tcPr>
            <w:tcW w:w="2101" w:type="dxa"/>
            <w:vAlign w:val="center"/>
          </w:tcPr>
          <w:p w14:paraId="402C13C8">
            <w:pPr>
              <w:jc w:val="center"/>
              <w:rPr>
                <w:rFonts w:ascii="宋体"/>
                <w:szCs w:val="21"/>
              </w:rPr>
            </w:pPr>
          </w:p>
        </w:tc>
      </w:tr>
      <w:tr w14:paraId="1F12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22B961D">
            <w:pPr>
              <w:jc w:val="center"/>
              <w:rPr>
                <w:rFonts w:ascii="宋体"/>
                <w:szCs w:val="21"/>
              </w:rPr>
            </w:pPr>
          </w:p>
        </w:tc>
        <w:tc>
          <w:tcPr>
            <w:tcW w:w="2285" w:type="dxa"/>
            <w:gridSpan w:val="3"/>
            <w:vAlign w:val="center"/>
          </w:tcPr>
          <w:p w14:paraId="5A0C80DD">
            <w:pPr>
              <w:jc w:val="center"/>
              <w:rPr>
                <w:rFonts w:ascii="宋体"/>
                <w:szCs w:val="21"/>
              </w:rPr>
            </w:pPr>
          </w:p>
        </w:tc>
        <w:tc>
          <w:tcPr>
            <w:tcW w:w="1123" w:type="dxa"/>
            <w:vAlign w:val="center"/>
          </w:tcPr>
          <w:p w14:paraId="0616BBD3">
            <w:pPr>
              <w:jc w:val="center"/>
              <w:rPr>
                <w:rFonts w:ascii="宋体"/>
                <w:szCs w:val="21"/>
              </w:rPr>
            </w:pPr>
          </w:p>
        </w:tc>
        <w:tc>
          <w:tcPr>
            <w:tcW w:w="1822" w:type="dxa"/>
            <w:vAlign w:val="center"/>
          </w:tcPr>
          <w:p w14:paraId="701909B2">
            <w:pPr>
              <w:jc w:val="center"/>
              <w:rPr>
                <w:rFonts w:ascii="宋体"/>
                <w:szCs w:val="21"/>
              </w:rPr>
            </w:pPr>
          </w:p>
        </w:tc>
        <w:tc>
          <w:tcPr>
            <w:tcW w:w="2101" w:type="dxa"/>
            <w:vAlign w:val="center"/>
          </w:tcPr>
          <w:p w14:paraId="02B3B8F6">
            <w:pPr>
              <w:jc w:val="center"/>
              <w:rPr>
                <w:rFonts w:ascii="宋体"/>
                <w:szCs w:val="21"/>
              </w:rPr>
            </w:pPr>
          </w:p>
        </w:tc>
      </w:tr>
      <w:tr w14:paraId="0934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1249FF2">
            <w:pPr>
              <w:jc w:val="center"/>
              <w:rPr>
                <w:rFonts w:ascii="宋体"/>
                <w:szCs w:val="21"/>
              </w:rPr>
            </w:pPr>
          </w:p>
        </w:tc>
        <w:tc>
          <w:tcPr>
            <w:tcW w:w="2285" w:type="dxa"/>
            <w:gridSpan w:val="3"/>
            <w:vAlign w:val="center"/>
          </w:tcPr>
          <w:p w14:paraId="43F5CA42">
            <w:pPr>
              <w:jc w:val="center"/>
              <w:rPr>
                <w:rFonts w:ascii="宋体"/>
                <w:szCs w:val="21"/>
              </w:rPr>
            </w:pPr>
          </w:p>
        </w:tc>
        <w:tc>
          <w:tcPr>
            <w:tcW w:w="1123" w:type="dxa"/>
            <w:vAlign w:val="center"/>
          </w:tcPr>
          <w:p w14:paraId="6124B742">
            <w:pPr>
              <w:jc w:val="center"/>
              <w:rPr>
                <w:rFonts w:ascii="宋体"/>
                <w:szCs w:val="21"/>
              </w:rPr>
            </w:pPr>
          </w:p>
        </w:tc>
        <w:tc>
          <w:tcPr>
            <w:tcW w:w="1822" w:type="dxa"/>
            <w:vAlign w:val="center"/>
          </w:tcPr>
          <w:p w14:paraId="3FC546C2">
            <w:pPr>
              <w:jc w:val="center"/>
              <w:rPr>
                <w:rFonts w:ascii="宋体"/>
                <w:szCs w:val="21"/>
              </w:rPr>
            </w:pPr>
          </w:p>
        </w:tc>
        <w:tc>
          <w:tcPr>
            <w:tcW w:w="2101" w:type="dxa"/>
            <w:vAlign w:val="center"/>
          </w:tcPr>
          <w:p w14:paraId="0762EAE7">
            <w:pPr>
              <w:jc w:val="center"/>
              <w:rPr>
                <w:rFonts w:ascii="宋体"/>
                <w:szCs w:val="21"/>
              </w:rPr>
            </w:pPr>
          </w:p>
        </w:tc>
      </w:tr>
      <w:tr w14:paraId="66BD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9E68D82">
            <w:pPr>
              <w:jc w:val="center"/>
              <w:rPr>
                <w:rFonts w:ascii="宋体"/>
                <w:szCs w:val="21"/>
              </w:rPr>
            </w:pPr>
          </w:p>
        </w:tc>
        <w:tc>
          <w:tcPr>
            <w:tcW w:w="2285" w:type="dxa"/>
            <w:gridSpan w:val="3"/>
            <w:vAlign w:val="center"/>
          </w:tcPr>
          <w:p w14:paraId="5CF6496C">
            <w:pPr>
              <w:jc w:val="center"/>
              <w:rPr>
                <w:rFonts w:ascii="宋体"/>
                <w:szCs w:val="21"/>
              </w:rPr>
            </w:pPr>
          </w:p>
        </w:tc>
        <w:tc>
          <w:tcPr>
            <w:tcW w:w="1123" w:type="dxa"/>
            <w:vAlign w:val="center"/>
          </w:tcPr>
          <w:p w14:paraId="05B5C8F9">
            <w:pPr>
              <w:jc w:val="center"/>
              <w:rPr>
                <w:rFonts w:ascii="宋体"/>
                <w:szCs w:val="21"/>
              </w:rPr>
            </w:pPr>
          </w:p>
        </w:tc>
        <w:tc>
          <w:tcPr>
            <w:tcW w:w="1822" w:type="dxa"/>
            <w:vAlign w:val="center"/>
          </w:tcPr>
          <w:p w14:paraId="53DC5263">
            <w:pPr>
              <w:jc w:val="center"/>
              <w:rPr>
                <w:rFonts w:ascii="宋体"/>
                <w:szCs w:val="21"/>
              </w:rPr>
            </w:pPr>
          </w:p>
        </w:tc>
        <w:tc>
          <w:tcPr>
            <w:tcW w:w="2101" w:type="dxa"/>
            <w:vAlign w:val="center"/>
          </w:tcPr>
          <w:p w14:paraId="785054B2">
            <w:pPr>
              <w:jc w:val="center"/>
              <w:rPr>
                <w:rFonts w:ascii="宋体"/>
                <w:szCs w:val="21"/>
              </w:rPr>
            </w:pPr>
          </w:p>
        </w:tc>
      </w:tr>
    </w:tbl>
    <w:p w14:paraId="7C0AF35A">
      <w:pPr>
        <w:spacing w:line="360" w:lineRule="auto"/>
        <w:ind w:firstLine="420" w:firstLineChars="200"/>
        <w:rPr>
          <w:rFonts w:ascii="宋体"/>
          <w:szCs w:val="21"/>
        </w:rPr>
      </w:pPr>
      <w:r>
        <w:rPr>
          <w:rFonts w:hint="eastAsia" w:ascii="宋体" w:hAnsi="宋体"/>
          <w:szCs w:val="21"/>
        </w:rPr>
        <w:t>应附建造师执业注册证书、安全生产考核合格证书、身份证、职称证、学历证、养老保险复印件（退休人员可提供退休证和聘用证）。</w:t>
      </w:r>
    </w:p>
    <w:p w14:paraId="4F8DC67F">
      <w:pPr>
        <w:spacing w:line="360" w:lineRule="auto"/>
        <w:jc w:val="center"/>
        <w:rPr>
          <w:rFonts w:ascii="宋体"/>
          <w:szCs w:val="21"/>
        </w:rPr>
      </w:pPr>
      <w:r>
        <w:rPr>
          <w:rFonts w:ascii="宋体"/>
          <w:szCs w:val="21"/>
        </w:rPr>
        <w:br w:type="page"/>
      </w:r>
      <w:r>
        <w:rPr>
          <w:rFonts w:ascii="宋体" w:hAnsi="宋体"/>
          <w:szCs w:val="21"/>
        </w:rPr>
        <w:t>2</w:t>
      </w:r>
      <w:r>
        <w:rPr>
          <w:rFonts w:hint="eastAsia" w:ascii="宋体" w:hAnsi="宋体"/>
          <w:szCs w:val="21"/>
        </w:rPr>
        <w:t>）主要项目管理人员简历表</w:t>
      </w:r>
    </w:p>
    <w:p w14:paraId="652C98CE">
      <w:pPr>
        <w:spacing w:line="360" w:lineRule="auto"/>
        <w:rPr>
          <w:rFonts w:ascii="宋体"/>
          <w:szCs w:val="21"/>
        </w:rPr>
      </w:pPr>
    </w:p>
    <w:tbl>
      <w:tblPr>
        <w:tblStyle w:val="4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2"/>
        <w:gridCol w:w="2070"/>
        <w:gridCol w:w="2074"/>
        <w:gridCol w:w="2070"/>
      </w:tblGrid>
      <w:tr w14:paraId="4A21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792D66A">
            <w:pPr>
              <w:jc w:val="center"/>
              <w:rPr>
                <w:rFonts w:ascii="宋体"/>
                <w:szCs w:val="21"/>
              </w:rPr>
            </w:pPr>
            <w:r>
              <w:rPr>
                <w:rFonts w:hint="eastAsia" w:ascii="宋体" w:hAnsi="宋体"/>
                <w:szCs w:val="21"/>
              </w:rPr>
              <w:t>岗位名称</w:t>
            </w:r>
          </w:p>
        </w:tc>
        <w:tc>
          <w:tcPr>
            <w:tcW w:w="6214" w:type="dxa"/>
            <w:gridSpan w:val="3"/>
            <w:vAlign w:val="center"/>
          </w:tcPr>
          <w:p w14:paraId="1EF8516E">
            <w:pPr>
              <w:jc w:val="center"/>
              <w:rPr>
                <w:rFonts w:ascii="宋体"/>
                <w:szCs w:val="21"/>
              </w:rPr>
            </w:pPr>
          </w:p>
        </w:tc>
      </w:tr>
      <w:tr w14:paraId="24AB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0BAAFDFA">
            <w:pPr>
              <w:jc w:val="center"/>
              <w:rPr>
                <w:rFonts w:ascii="宋体"/>
                <w:szCs w:val="21"/>
              </w:rPr>
            </w:pPr>
            <w:r>
              <w:rPr>
                <w:rFonts w:hint="eastAsia" w:ascii="宋体" w:hAnsi="宋体"/>
                <w:szCs w:val="21"/>
              </w:rPr>
              <w:t>姓名</w:t>
            </w:r>
          </w:p>
        </w:tc>
        <w:tc>
          <w:tcPr>
            <w:tcW w:w="2070" w:type="dxa"/>
            <w:vAlign w:val="center"/>
          </w:tcPr>
          <w:p w14:paraId="24F0691E">
            <w:pPr>
              <w:jc w:val="center"/>
              <w:rPr>
                <w:rFonts w:ascii="宋体"/>
                <w:szCs w:val="21"/>
              </w:rPr>
            </w:pPr>
          </w:p>
        </w:tc>
        <w:tc>
          <w:tcPr>
            <w:tcW w:w="2074" w:type="dxa"/>
            <w:vAlign w:val="center"/>
          </w:tcPr>
          <w:p w14:paraId="5A126681">
            <w:pPr>
              <w:jc w:val="center"/>
              <w:rPr>
                <w:rFonts w:ascii="宋体"/>
                <w:szCs w:val="21"/>
              </w:rPr>
            </w:pPr>
            <w:r>
              <w:rPr>
                <w:rFonts w:hint="eastAsia" w:ascii="宋体" w:hAnsi="宋体"/>
                <w:szCs w:val="21"/>
              </w:rPr>
              <w:t>年龄</w:t>
            </w:r>
          </w:p>
        </w:tc>
        <w:tc>
          <w:tcPr>
            <w:tcW w:w="2070" w:type="dxa"/>
            <w:vAlign w:val="center"/>
          </w:tcPr>
          <w:p w14:paraId="06C2D134">
            <w:pPr>
              <w:jc w:val="center"/>
              <w:rPr>
                <w:rFonts w:ascii="宋体"/>
                <w:szCs w:val="21"/>
              </w:rPr>
            </w:pPr>
          </w:p>
        </w:tc>
      </w:tr>
      <w:tr w14:paraId="652A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106357E">
            <w:pPr>
              <w:jc w:val="center"/>
              <w:rPr>
                <w:rFonts w:ascii="宋体"/>
                <w:szCs w:val="21"/>
              </w:rPr>
            </w:pPr>
            <w:r>
              <w:rPr>
                <w:rFonts w:hint="eastAsia" w:ascii="宋体" w:hAnsi="宋体"/>
                <w:szCs w:val="21"/>
              </w:rPr>
              <w:t>性别</w:t>
            </w:r>
          </w:p>
        </w:tc>
        <w:tc>
          <w:tcPr>
            <w:tcW w:w="2070" w:type="dxa"/>
            <w:vAlign w:val="center"/>
          </w:tcPr>
          <w:p w14:paraId="2FC27F10">
            <w:pPr>
              <w:jc w:val="center"/>
              <w:rPr>
                <w:rFonts w:ascii="宋体"/>
                <w:szCs w:val="21"/>
              </w:rPr>
            </w:pPr>
          </w:p>
        </w:tc>
        <w:tc>
          <w:tcPr>
            <w:tcW w:w="2074" w:type="dxa"/>
            <w:vAlign w:val="center"/>
          </w:tcPr>
          <w:p w14:paraId="48C16303">
            <w:pPr>
              <w:jc w:val="center"/>
              <w:rPr>
                <w:rFonts w:ascii="宋体"/>
                <w:szCs w:val="21"/>
              </w:rPr>
            </w:pPr>
            <w:r>
              <w:rPr>
                <w:rFonts w:hint="eastAsia" w:ascii="宋体" w:hAnsi="宋体"/>
                <w:szCs w:val="21"/>
              </w:rPr>
              <w:t>毕业学校</w:t>
            </w:r>
          </w:p>
        </w:tc>
        <w:tc>
          <w:tcPr>
            <w:tcW w:w="2070" w:type="dxa"/>
            <w:vAlign w:val="center"/>
          </w:tcPr>
          <w:p w14:paraId="16ECD956">
            <w:pPr>
              <w:jc w:val="center"/>
              <w:rPr>
                <w:rFonts w:ascii="宋体"/>
                <w:szCs w:val="21"/>
              </w:rPr>
            </w:pPr>
          </w:p>
        </w:tc>
      </w:tr>
      <w:tr w14:paraId="04D1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AB46708">
            <w:pPr>
              <w:jc w:val="center"/>
              <w:rPr>
                <w:rFonts w:ascii="宋体"/>
                <w:szCs w:val="21"/>
              </w:rPr>
            </w:pPr>
            <w:r>
              <w:rPr>
                <w:rFonts w:hint="eastAsia" w:ascii="宋体" w:hAnsi="宋体"/>
                <w:szCs w:val="21"/>
              </w:rPr>
              <w:t>学历和专业</w:t>
            </w:r>
          </w:p>
        </w:tc>
        <w:tc>
          <w:tcPr>
            <w:tcW w:w="2070" w:type="dxa"/>
            <w:vAlign w:val="center"/>
          </w:tcPr>
          <w:p w14:paraId="649940A2">
            <w:pPr>
              <w:jc w:val="center"/>
              <w:rPr>
                <w:rFonts w:ascii="宋体"/>
                <w:szCs w:val="21"/>
              </w:rPr>
            </w:pPr>
          </w:p>
        </w:tc>
        <w:tc>
          <w:tcPr>
            <w:tcW w:w="2074" w:type="dxa"/>
            <w:vAlign w:val="center"/>
          </w:tcPr>
          <w:p w14:paraId="2E8D387F">
            <w:pPr>
              <w:jc w:val="center"/>
              <w:rPr>
                <w:rFonts w:ascii="宋体"/>
                <w:szCs w:val="21"/>
              </w:rPr>
            </w:pPr>
            <w:r>
              <w:rPr>
                <w:rFonts w:hint="eastAsia" w:ascii="宋体" w:hAnsi="宋体"/>
                <w:szCs w:val="21"/>
              </w:rPr>
              <w:t>毕业时间</w:t>
            </w:r>
          </w:p>
        </w:tc>
        <w:tc>
          <w:tcPr>
            <w:tcW w:w="2070" w:type="dxa"/>
            <w:vAlign w:val="center"/>
          </w:tcPr>
          <w:p w14:paraId="2425DB86">
            <w:pPr>
              <w:jc w:val="center"/>
              <w:rPr>
                <w:rFonts w:ascii="宋体"/>
                <w:szCs w:val="21"/>
              </w:rPr>
            </w:pPr>
          </w:p>
        </w:tc>
      </w:tr>
      <w:tr w14:paraId="396B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0E6F1E6">
            <w:pPr>
              <w:jc w:val="center"/>
              <w:rPr>
                <w:rFonts w:ascii="宋体"/>
                <w:szCs w:val="21"/>
              </w:rPr>
            </w:pPr>
            <w:r>
              <w:rPr>
                <w:rFonts w:hint="eastAsia" w:ascii="宋体" w:hAnsi="宋体"/>
                <w:szCs w:val="21"/>
              </w:rPr>
              <w:t>拥有的执业资格</w:t>
            </w:r>
          </w:p>
        </w:tc>
        <w:tc>
          <w:tcPr>
            <w:tcW w:w="2070" w:type="dxa"/>
            <w:vAlign w:val="center"/>
          </w:tcPr>
          <w:p w14:paraId="58DAD405">
            <w:pPr>
              <w:jc w:val="center"/>
              <w:rPr>
                <w:rFonts w:ascii="宋体"/>
                <w:szCs w:val="21"/>
              </w:rPr>
            </w:pPr>
          </w:p>
        </w:tc>
        <w:tc>
          <w:tcPr>
            <w:tcW w:w="2074" w:type="dxa"/>
            <w:vAlign w:val="center"/>
          </w:tcPr>
          <w:p w14:paraId="70B846CE">
            <w:pPr>
              <w:jc w:val="center"/>
              <w:rPr>
                <w:rFonts w:ascii="宋体"/>
                <w:szCs w:val="21"/>
              </w:rPr>
            </w:pPr>
            <w:r>
              <w:rPr>
                <w:rFonts w:hint="eastAsia" w:ascii="宋体" w:hAnsi="宋体"/>
                <w:szCs w:val="21"/>
              </w:rPr>
              <w:t>专业职称</w:t>
            </w:r>
          </w:p>
        </w:tc>
        <w:tc>
          <w:tcPr>
            <w:tcW w:w="2070" w:type="dxa"/>
            <w:vAlign w:val="center"/>
          </w:tcPr>
          <w:p w14:paraId="14644CB0">
            <w:pPr>
              <w:jc w:val="center"/>
              <w:rPr>
                <w:rFonts w:ascii="宋体"/>
                <w:szCs w:val="21"/>
              </w:rPr>
            </w:pPr>
          </w:p>
        </w:tc>
      </w:tr>
      <w:tr w14:paraId="263A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8916248">
            <w:pPr>
              <w:jc w:val="center"/>
              <w:rPr>
                <w:rFonts w:ascii="宋体"/>
                <w:szCs w:val="21"/>
              </w:rPr>
            </w:pPr>
            <w:r>
              <w:rPr>
                <w:rFonts w:hint="eastAsia" w:ascii="宋体" w:hAnsi="宋体"/>
                <w:szCs w:val="21"/>
              </w:rPr>
              <w:t>执业资格证书编号</w:t>
            </w:r>
          </w:p>
        </w:tc>
        <w:tc>
          <w:tcPr>
            <w:tcW w:w="2070" w:type="dxa"/>
            <w:vAlign w:val="center"/>
          </w:tcPr>
          <w:p w14:paraId="1259A34E">
            <w:pPr>
              <w:jc w:val="center"/>
              <w:rPr>
                <w:rFonts w:ascii="宋体"/>
                <w:szCs w:val="21"/>
              </w:rPr>
            </w:pPr>
          </w:p>
        </w:tc>
        <w:tc>
          <w:tcPr>
            <w:tcW w:w="2074" w:type="dxa"/>
            <w:vAlign w:val="center"/>
          </w:tcPr>
          <w:p w14:paraId="347C39B1">
            <w:pPr>
              <w:jc w:val="center"/>
              <w:rPr>
                <w:rFonts w:ascii="宋体"/>
                <w:szCs w:val="21"/>
              </w:rPr>
            </w:pPr>
            <w:r>
              <w:rPr>
                <w:rFonts w:hint="eastAsia" w:ascii="宋体" w:hAnsi="宋体"/>
                <w:szCs w:val="21"/>
              </w:rPr>
              <w:t>工作年限</w:t>
            </w:r>
          </w:p>
        </w:tc>
        <w:tc>
          <w:tcPr>
            <w:tcW w:w="2070" w:type="dxa"/>
            <w:vAlign w:val="center"/>
          </w:tcPr>
          <w:p w14:paraId="19F87365">
            <w:pPr>
              <w:jc w:val="center"/>
              <w:rPr>
                <w:rFonts w:ascii="宋体"/>
                <w:szCs w:val="21"/>
              </w:rPr>
            </w:pPr>
          </w:p>
        </w:tc>
      </w:tr>
      <w:tr w14:paraId="2C34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jc w:val="center"/>
        </w:trPr>
        <w:tc>
          <w:tcPr>
            <w:tcW w:w="2102" w:type="dxa"/>
            <w:vAlign w:val="center"/>
          </w:tcPr>
          <w:p w14:paraId="625D46CF">
            <w:pPr>
              <w:ind w:firstLine="1050" w:firstLineChars="500"/>
              <w:rPr>
                <w:rFonts w:ascii="宋体"/>
                <w:szCs w:val="21"/>
              </w:rPr>
            </w:pPr>
            <w:r>
              <w:rPr>
                <w:rFonts w:hint="eastAsia" w:ascii="宋体" w:hAnsi="宋体"/>
                <w:szCs w:val="21"/>
              </w:rPr>
              <w:t>主</w:t>
            </w:r>
          </w:p>
          <w:p w14:paraId="7CF375AD">
            <w:pPr>
              <w:ind w:firstLine="1050" w:firstLineChars="500"/>
              <w:rPr>
                <w:rFonts w:ascii="宋体"/>
                <w:szCs w:val="21"/>
              </w:rPr>
            </w:pPr>
            <w:r>
              <w:rPr>
                <w:rFonts w:hint="eastAsia" w:ascii="宋体" w:hAnsi="宋体"/>
                <w:szCs w:val="21"/>
              </w:rPr>
              <w:t>要</w:t>
            </w:r>
          </w:p>
          <w:p w14:paraId="3B4BA9B1">
            <w:pPr>
              <w:ind w:firstLine="1050" w:firstLineChars="500"/>
              <w:rPr>
                <w:rFonts w:ascii="宋体"/>
                <w:szCs w:val="21"/>
              </w:rPr>
            </w:pPr>
            <w:r>
              <w:rPr>
                <w:rFonts w:hint="eastAsia" w:ascii="宋体" w:hAnsi="宋体"/>
                <w:szCs w:val="21"/>
              </w:rPr>
              <w:t>工</w:t>
            </w:r>
          </w:p>
          <w:p w14:paraId="25A3B97E">
            <w:pPr>
              <w:ind w:firstLine="1050" w:firstLineChars="500"/>
              <w:rPr>
                <w:rFonts w:ascii="宋体"/>
                <w:szCs w:val="21"/>
              </w:rPr>
            </w:pPr>
            <w:r>
              <w:rPr>
                <w:rFonts w:hint="eastAsia" w:ascii="宋体" w:hAnsi="宋体"/>
                <w:szCs w:val="21"/>
              </w:rPr>
              <w:t>作</w:t>
            </w:r>
          </w:p>
          <w:p w14:paraId="2B12AB09">
            <w:pPr>
              <w:ind w:firstLine="1050" w:firstLineChars="500"/>
              <w:rPr>
                <w:rFonts w:ascii="宋体"/>
                <w:szCs w:val="21"/>
              </w:rPr>
            </w:pPr>
            <w:r>
              <w:rPr>
                <w:rFonts w:hint="eastAsia" w:ascii="宋体" w:hAnsi="宋体"/>
                <w:szCs w:val="21"/>
              </w:rPr>
              <w:t>业</w:t>
            </w:r>
          </w:p>
          <w:p w14:paraId="3E008119">
            <w:pPr>
              <w:ind w:firstLine="1050" w:firstLineChars="500"/>
              <w:rPr>
                <w:rFonts w:ascii="宋体"/>
                <w:szCs w:val="21"/>
              </w:rPr>
            </w:pPr>
            <w:r>
              <w:rPr>
                <w:rFonts w:hint="eastAsia" w:ascii="宋体" w:hAnsi="宋体"/>
                <w:szCs w:val="21"/>
              </w:rPr>
              <w:t>绩</w:t>
            </w:r>
          </w:p>
          <w:p w14:paraId="4D3D0FF7">
            <w:pPr>
              <w:ind w:firstLine="1050" w:firstLineChars="500"/>
              <w:rPr>
                <w:rFonts w:ascii="宋体"/>
                <w:szCs w:val="21"/>
              </w:rPr>
            </w:pPr>
            <w:r>
              <w:rPr>
                <w:rFonts w:hint="eastAsia" w:ascii="宋体" w:hAnsi="宋体"/>
                <w:szCs w:val="21"/>
              </w:rPr>
              <w:t>及</w:t>
            </w:r>
          </w:p>
          <w:p w14:paraId="63FDFCF0">
            <w:pPr>
              <w:ind w:firstLine="1050" w:firstLineChars="500"/>
              <w:rPr>
                <w:rFonts w:ascii="宋体"/>
                <w:szCs w:val="21"/>
              </w:rPr>
            </w:pPr>
            <w:r>
              <w:rPr>
                <w:rFonts w:hint="eastAsia" w:ascii="宋体" w:hAnsi="宋体"/>
                <w:szCs w:val="21"/>
              </w:rPr>
              <w:t>担</w:t>
            </w:r>
          </w:p>
          <w:p w14:paraId="1C036B61">
            <w:pPr>
              <w:ind w:firstLine="1050" w:firstLineChars="500"/>
              <w:rPr>
                <w:rFonts w:ascii="宋体"/>
                <w:szCs w:val="21"/>
              </w:rPr>
            </w:pPr>
            <w:r>
              <w:rPr>
                <w:rFonts w:hint="eastAsia" w:ascii="宋体" w:hAnsi="宋体"/>
                <w:szCs w:val="21"/>
              </w:rPr>
              <w:t>任</w:t>
            </w:r>
          </w:p>
          <w:p w14:paraId="192E1BF2">
            <w:pPr>
              <w:ind w:firstLine="1050" w:firstLineChars="500"/>
              <w:rPr>
                <w:rFonts w:ascii="宋体"/>
                <w:szCs w:val="21"/>
              </w:rPr>
            </w:pPr>
            <w:r>
              <w:rPr>
                <w:rFonts w:hint="eastAsia" w:ascii="宋体" w:hAnsi="宋体"/>
                <w:szCs w:val="21"/>
              </w:rPr>
              <w:t>的</w:t>
            </w:r>
          </w:p>
          <w:p w14:paraId="7D544B24">
            <w:pPr>
              <w:ind w:firstLine="1050" w:firstLineChars="500"/>
              <w:rPr>
                <w:rFonts w:ascii="宋体"/>
                <w:szCs w:val="21"/>
              </w:rPr>
            </w:pPr>
            <w:r>
              <w:rPr>
                <w:rFonts w:hint="eastAsia" w:ascii="宋体" w:hAnsi="宋体"/>
                <w:szCs w:val="21"/>
              </w:rPr>
              <w:t>主</w:t>
            </w:r>
          </w:p>
          <w:p w14:paraId="27D0D43C">
            <w:pPr>
              <w:ind w:firstLine="1050" w:firstLineChars="500"/>
              <w:rPr>
                <w:rFonts w:ascii="宋体"/>
                <w:szCs w:val="21"/>
              </w:rPr>
            </w:pPr>
            <w:r>
              <w:rPr>
                <w:rFonts w:hint="eastAsia" w:ascii="宋体" w:hAnsi="宋体"/>
                <w:szCs w:val="21"/>
              </w:rPr>
              <w:t>要</w:t>
            </w:r>
          </w:p>
          <w:p w14:paraId="229FCE7B">
            <w:pPr>
              <w:ind w:firstLine="1050" w:firstLineChars="500"/>
              <w:rPr>
                <w:rFonts w:ascii="宋体"/>
                <w:szCs w:val="21"/>
              </w:rPr>
            </w:pPr>
            <w:r>
              <w:rPr>
                <w:rFonts w:hint="eastAsia" w:ascii="宋体" w:hAnsi="宋体"/>
                <w:szCs w:val="21"/>
              </w:rPr>
              <w:t>工</w:t>
            </w:r>
          </w:p>
          <w:p w14:paraId="19D85852">
            <w:pPr>
              <w:ind w:firstLine="1050" w:firstLineChars="500"/>
              <w:rPr>
                <w:rFonts w:ascii="宋体"/>
                <w:szCs w:val="21"/>
              </w:rPr>
            </w:pPr>
            <w:r>
              <w:rPr>
                <w:rFonts w:hint="eastAsia" w:ascii="宋体" w:hAnsi="宋体"/>
                <w:szCs w:val="21"/>
              </w:rPr>
              <w:t>作</w:t>
            </w:r>
          </w:p>
          <w:p w14:paraId="22523FA5">
            <w:pPr>
              <w:rPr>
                <w:rFonts w:ascii="宋体"/>
                <w:szCs w:val="21"/>
              </w:rPr>
            </w:pPr>
          </w:p>
        </w:tc>
        <w:tc>
          <w:tcPr>
            <w:tcW w:w="6214" w:type="dxa"/>
            <w:gridSpan w:val="3"/>
          </w:tcPr>
          <w:p w14:paraId="231CA09E">
            <w:pPr>
              <w:jc w:val="center"/>
              <w:rPr>
                <w:rFonts w:ascii="宋体"/>
                <w:szCs w:val="21"/>
              </w:rPr>
            </w:pPr>
          </w:p>
        </w:tc>
      </w:tr>
    </w:tbl>
    <w:p w14:paraId="73BC17D2">
      <w:pPr>
        <w:spacing w:line="360" w:lineRule="auto"/>
        <w:rPr>
          <w:rFonts w:ascii="宋体"/>
          <w:szCs w:val="21"/>
        </w:rPr>
      </w:pPr>
    </w:p>
    <w:p w14:paraId="25107A41">
      <w:pPr>
        <w:spacing w:line="360" w:lineRule="auto"/>
        <w:ind w:firstLine="420" w:firstLineChars="200"/>
        <w:rPr>
          <w:rFonts w:ascii="宋体"/>
          <w:szCs w:val="21"/>
        </w:rPr>
      </w:pPr>
      <w:r>
        <w:rPr>
          <w:rFonts w:hint="eastAsia" w:ascii="宋体" w:hAnsi="宋体"/>
          <w:szCs w:val="21"/>
        </w:rPr>
        <w:t>主要项目管理人员指拟任项目副经理、技术负责人、合同商务负责人、专职质量管理人员、专职安全生产管理人员及其他关键岗位人员等。应附执业资格或岗位证书、身份证、职称证、学历证、养老保险复印件（退休人员可提供退休证和聘用证），专职安全生产管理人员应附安全生产考核合格证书复印件。</w:t>
      </w:r>
    </w:p>
    <w:p w14:paraId="7995B309">
      <w:pPr>
        <w:spacing w:line="360" w:lineRule="auto"/>
        <w:rPr>
          <w:rFonts w:ascii="宋体"/>
          <w:sz w:val="24"/>
          <w:szCs w:val="24"/>
          <w:u w:val="single"/>
        </w:rPr>
      </w:pPr>
    </w:p>
    <w:p w14:paraId="0953CE42">
      <w:pPr>
        <w:spacing w:line="360" w:lineRule="auto"/>
        <w:rPr>
          <w:rFonts w:ascii="宋体"/>
          <w:sz w:val="24"/>
          <w:szCs w:val="24"/>
          <w:u w:val="single"/>
        </w:rPr>
      </w:pPr>
      <w:r>
        <w:rPr>
          <w:rFonts w:ascii="宋体"/>
          <w:sz w:val="24"/>
          <w:szCs w:val="24"/>
          <w:u w:val="single"/>
        </w:rPr>
        <w:br w:type="page"/>
      </w:r>
    </w:p>
    <w:p w14:paraId="6F5AC856">
      <w:pPr>
        <w:tabs>
          <w:tab w:val="left" w:pos="425"/>
        </w:tabs>
        <w:spacing w:beforeLines="50" w:line="360" w:lineRule="auto"/>
        <w:outlineLvl w:val="3"/>
        <w:rPr>
          <w:rFonts w:ascii="宋体"/>
          <w:szCs w:val="21"/>
        </w:rPr>
      </w:pPr>
      <w:bookmarkStart w:id="598" w:name="_Toc364679650"/>
      <w:r>
        <w:rPr>
          <w:rFonts w:hint="eastAsia" w:ascii="宋体" w:hAnsi="宋体"/>
          <w:szCs w:val="21"/>
        </w:rPr>
        <w:t>6-</w:t>
      </w:r>
      <w:r>
        <w:rPr>
          <w:rFonts w:ascii="宋体" w:hAnsi="宋体"/>
          <w:szCs w:val="21"/>
        </w:rPr>
        <w:t>4</w:t>
      </w:r>
      <w:r>
        <w:rPr>
          <w:rFonts w:hint="eastAsia" w:ascii="宋体" w:hAnsi="宋体"/>
          <w:szCs w:val="21"/>
        </w:rPr>
        <w:t>、近年信誉情况</w:t>
      </w:r>
      <w:bookmarkEnd w:id="598"/>
      <w:r>
        <w:rPr>
          <w:rFonts w:hint="eastAsia" w:ascii="宋体" w:hAnsi="宋体"/>
          <w:szCs w:val="21"/>
        </w:rPr>
        <w:t>（</w:t>
      </w:r>
      <w:r>
        <w:rPr>
          <w:rFonts w:ascii="宋体" w:hAnsi="宋体" w:cs="楷体_GB2312"/>
          <w:szCs w:val="21"/>
        </w:rPr>
        <w:t>201</w:t>
      </w:r>
      <w:r>
        <w:rPr>
          <w:rFonts w:hint="eastAsia" w:ascii="宋体" w:hAnsi="宋体" w:cs="楷体_GB2312"/>
          <w:szCs w:val="21"/>
        </w:rPr>
        <w:t>7年起）</w:t>
      </w:r>
    </w:p>
    <w:p w14:paraId="7C5C1584">
      <w:pPr>
        <w:spacing w:before="120" w:line="360" w:lineRule="auto"/>
        <w:ind w:firstLine="420" w:firstLineChars="200"/>
        <w:rPr>
          <w:rFonts w:ascii="宋体"/>
          <w:szCs w:val="21"/>
        </w:rPr>
      </w:pPr>
      <w:r>
        <w:rPr>
          <w:rFonts w:hint="eastAsia" w:ascii="宋体" w:hAnsi="宋体"/>
          <w:szCs w:val="21"/>
        </w:rPr>
        <w:t>指企业是否具备管理体系证书，行贿犯罪记录，企业信用情况，荣誉情况、履约情况，有未出现重大工程质量和安全事故不良记录，是否处于破产清偿状态以及诉讼及仲裁等内容。其中诉讼及仲裁仅限于</w:t>
      </w:r>
      <w:r>
        <w:rPr>
          <w:rFonts w:hint="eastAsia" w:ascii="宋体" w:hAnsi="宋体"/>
          <w:szCs w:val="21"/>
          <w:lang w:eastAsia="zh-CN"/>
        </w:rPr>
        <w:t>响应单位</w:t>
      </w:r>
      <w:r>
        <w:rPr>
          <w:rFonts w:hint="eastAsia" w:ascii="宋体" w:hAnsi="宋体"/>
          <w:szCs w:val="21"/>
        </w:rPr>
        <w:t>败诉的，且与履行施工承包合同有关的案件，不包括调解结案以及未裁决的仲裁或未终审判决的诉讼。应说明相关情况，法院或仲裁机构已作出判决或裁决的，应附此类判决、裁决等有关法律文书。</w:t>
      </w:r>
    </w:p>
    <w:p w14:paraId="04850D15">
      <w:pPr>
        <w:tabs>
          <w:tab w:val="left" w:pos="425"/>
        </w:tabs>
        <w:spacing w:beforeLines="50" w:line="360" w:lineRule="auto"/>
        <w:ind w:firstLine="411" w:firstLineChars="196"/>
        <w:rPr>
          <w:rFonts w:ascii="宋体"/>
          <w:szCs w:val="21"/>
        </w:rPr>
      </w:pPr>
      <w:r>
        <w:rPr>
          <w:rFonts w:hint="eastAsia" w:ascii="宋体" w:hAnsi="宋体"/>
          <w:szCs w:val="21"/>
          <w:lang w:eastAsia="zh-CN"/>
        </w:rPr>
        <w:t>响应单位</w:t>
      </w:r>
      <w:r>
        <w:rPr>
          <w:rFonts w:hint="eastAsia" w:ascii="宋体" w:hAnsi="宋体"/>
          <w:szCs w:val="21"/>
        </w:rPr>
        <w:t>须知前附表规定就上述内容需提供相关支持性材料的，应附有关材料复印件。</w:t>
      </w:r>
    </w:p>
    <w:p w14:paraId="643585C8">
      <w:pPr>
        <w:spacing w:before="120" w:after="240" w:line="360" w:lineRule="auto"/>
        <w:rPr>
          <w:rFonts w:ascii="宋体"/>
          <w:szCs w:val="21"/>
        </w:rPr>
      </w:pPr>
    </w:p>
    <w:p w14:paraId="2E8367C0">
      <w:pPr>
        <w:spacing w:before="120" w:after="240" w:line="360" w:lineRule="auto"/>
        <w:outlineLvl w:val="2"/>
        <w:rPr>
          <w:rFonts w:ascii="宋体"/>
          <w:szCs w:val="21"/>
        </w:rPr>
      </w:pPr>
      <w:bookmarkStart w:id="599" w:name="_Toc441587486"/>
      <w:bookmarkStart w:id="600" w:name="_Toc364679651"/>
      <w:bookmarkStart w:id="601" w:name="_Toc364682250"/>
      <w:r>
        <w:rPr>
          <w:rFonts w:hint="eastAsia" w:ascii="宋体" w:hAnsi="宋体"/>
          <w:szCs w:val="21"/>
        </w:rPr>
        <w:t>6-</w:t>
      </w:r>
      <w:r>
        <w:rPr>
          <w:rFonts w:ascii="宋体" w:hAnsi="宋体"/>
          <w:szCs w:val="21"/>
        </w:rPr>
        <w:t>5</w:t>
      </w:r>
      <w:r>
        <w:rPr>
          <w:rFonts w:hint="eastAsia" w:ascii="宋体" w:hAnsi="宋体"/>
          <w:szCs w:val="21"/>
        </w:rPr>
        <w:t>、其他材料</w:t>
      </w:r>
      <w:bookmarkEnd w:id="599"/>
      <w:bookmarkEnd w:id="600"/>
      <w:bookmarkEnd w:id="601"/>
    </w:p>
    <w:p w14:paraId="16D88F00">
      <w:pPr>
        <w:spacing w:line="360" w:lineRule="auto"/>
        <w:ind w:firstLine="420" w:firstLineChars="200"/>
        <w:rPr>
          <w:rFonts w:ascii="宋体"/>
          <w:szCs w:val="21"/>
        </w:rPr>
      </w:pPr>
    </w:p>
    <w:p w14:paraId="6333F990">
      <w:pPr>
        <w:widowControl/>
        <w:spacing w:line="360" w:lineRule="auto"/>
        <w:jc w:val="center"/>
        <w:rPr>
          <w:rFonts w:ascii="宋体" w:cs="宋体"/>
          <w:szCs w:val="21"/>
        </w:rPr>
      </w:pPr>
    </w:p>
    <w:p w14:paraId="51AEA8E2">
      <w:pPr>
        <w:widowControl/>
        <w:spacing w:line="360" w:lineRule="auto"/>
        <w:jc w:val="center"/>
        <w:rPr>
          <w:rFonts w:ascii="宋体" w:cs="宋体"/>
          <w:szCs w:val="21"/>
        </w:rPr>
      </w:pPr>
    </w:p>
    <w:p w14:paraId="223C2220">
      <w:pPr>
        <w:widowControl/>
        <w:spacing w:line="360" w:lineRule="auto"/>
        <w:jc w:val="center"/>
        <w:rPr>
          <w:rFonts w:ascii="宋体" w:cs="宋体"/>
          <w:szCs w:val="21"/>
        </w:rPr>
      </w:pPr>
    </w:p>
    <w:p w14:paraId="34A60FF5">
      <w:pPr>
        <w:widowControl/>
        <w:spacing w:line="360" w:lineRule="auto"/>
        <w:jc w:val="center"/>
        <w:rPr>
          <w:rFonts w:ascii="宋体" w:cs="宋体"/>
          <w:szCs w:val="21"/>
        </w:rPr>
      </w:pPr>
    </w:p>
    <w:p w14:paraId="255A0F1E">
      <w:pPr>
        <w:widowControl/>
        <w:spacing w:line="360" w:lineRule="auto"/>
        <w:jc w:val="center"/>
        <w:rPr>
          <w:rFonts w:ascii="宋体" w:cs="宋体"/>
          <w:szCs w:val="21"/>
        </w:rPr>
        <w:sectPr>
          <w:pgSz w:w="11906" w:h="16838"/>
          <w:pgMar w:top="1418" w:right="1531" w:bottom="1418" w:left="1554" w:header="851" w:footer="680" w:gutter="0"/>
          <w:pgNumType w:fmt="numberInDash"/>
          <w:cols w:space="720" w:num="1"/>
          <w:docGrid w:linePitch="312" w:charSpace="0"/>
        </w:sectPr>
      </w:pPr>
    </w:p>
    <w:p w14:paraId="0C2A7AA7">
      <w:pPr>
        <w:widowControl/>
        <w:spacing w:line="360" w:lineRule="auto"/>
        <w:jc w:val="left"/>
        <w:rPr>
          <w:rFonts w:ascii="宋体" w:cs="宋体"/>
          <w:szCs w:val="21"/>
        </w:rPr>
      </w:pPr>
      <w:r>
        <w:rPr>
          <w:rFonts w:hint="eastAsia" w:ascii="宋体" w:hAnsi="宋体" w:cs="宋体"/>
          <w:szCs w:val="21"/>
        </w:rPr>
        <w:t>附件7中小企业声明函</w:t>
      </w:r>
    </w:p>
    <w:p w14:paraId="7458AD47">
      <w:pPr>
        <w:widowControl/>
        <w:spacing w:line="360" w:lineRule="auto"/>
        <w:jc w:val="center"/>
        <w:rPr>
          <w:rFonts w:ascii="宋体" w:cs="宋体"/>
          <w:szCs w:val="21"/>
        </w:rPr>
      </w:pPr>
    </w:p>
    <w:p w14:paraId="6583840F">
      <w:pPr>
        <w:spacing w:line="510" w:lineRule="exact"/>
        <w:ind w:left="1698" w:right="1855"/>
        <w:jc w:val="center"/>
        <w:rPr>
          <w:rFonts w:ascii="宋体" w:hAnsi="宋体" w:cs="宋体"/>
          <w:sz w:val="24"/>
          <w:szCs w:val="24"/>
        </w:rPr>
      </w:pPr>
      <w:r>
        <w:rPr>
          <w:rFonts w:hint="eastAsia" w:ascii="宋体" w:hAnsi="宋体" w:cs="宋体"/>
          <w:spacing w:val="2"/>
          <w:position w:val="-1"/>
          <w:sz w:val="24"/>
          <w:szCs w:val="24"/>
        </w:rPr>
        <w:t>中</w:t>
      </w:r>
      <w:r>
        <w:rPr>
          <w:rFonts w:hint="eastAsia" w:ascii="宋体" w:hAnsi="宋体" w:cs="宋体"/>
          <w:position w:val="-1"/>
          <w:sz w:val="24"/>
          <w:szCs w:val="24"/>
        </w:rPr>
        <w:t>小</w:t>
      </w:r>
      <w:r>
        <w:rPr>
          <w:rFonts w:hint="eastAsia" w:ascii="宋体" w:hAnsi="宋体" w:cs="宋体"/>
          <w:spacing w:val="2"/>
          <w:position w:val="-1"/>
          <w:sz w:val="24"/>
          <w:szCs w:val="24"/>
        </w:rPr>
        <w:t>企</w:t>
      </w:r>
      <w:r>
        <w:rPr>
          <w:rFonts w:hint="eastAsia" w:ascii="宋体" w:hAnsi="宋体" w:cs="宋体"/>
          <w:position w:val="-1"/>
          <w:sz w:val="24"/>
          <w:szCs w:val="24"/>
        </w:rPr>
        <w:t>业</w:t>
      </w:r>
      <w:r>
        <w:rPr>
          <w:rFonts w:hint="eastAsia" w:ascii="宋体" w:hAnsi="宋体" w:cs="宋体"/>
          <w:spacing w:val="2"/>
          <w:position w:val="-1"/>
          <w:sz w:val="24"/>
          <w:szCs w:val="24"/>
        </w:rPr>
        <w:t>声明</w:t>
      </w:r>
      <w:r>
        <w:rPr>
          <w:rFonts w:hint="eastAsia" w:ascii="宋体" w:hAnsi="宋体" w:cs="宋体"/>
          <w:position w:val="-1"/>
          <w:sz w:val="24"/>
          <w:szCs w:val="24"/>
        </w:rPr>
        <w:t>函</w:t>
      </w:r>
      <w:r>
        <w:rPr>
          <w:rFonts w:hint="eastAsia" w:ascii="宋体" w:hAnsi="宋体" w:cs="宋体"/>
          <w:spacing w:val="2"/>
          <w:position w:val="-1"/>
          <w:sz w:val="24"/>
          <w:szCs w:val="24"/>
        </w:rPr>
        <w:t>（</w:t>
      </w:r>
      <w:r>
        <w:rPr>
          <w:rFonts w:hint="eastAsia" w:ascii="宋体" w:hAnsi="宋体" w:cs="宋体"/>
          <w:position w:val="-1"/>
          <w:sz w:val="24"/>
          <w:szCs w:val="24"/>
        </w:rPr>
        <w:t>工</w:t>
      </w:r>
      <w:r>
        <w:rPr>
          <w:rFonts w:hint="eastAsia" w:ascii="宋体" w:hAnsi="宋体" w:cs="宋体"/>
          <w:spacing w:val="2"/>
          <w:position w:val="-1"/>
          <w:sz w:val="24"/>
          <w:szCs w:val="24"/>
        </w:rPr>
        <w:t>程</w:t>
      </w:r>
      <w:r>
        <w:rPr>
          <w:rFonts w:hint="eastAsia" w:ascii="宋体" w:hAnsi="宋体" w:cs="宋体"/>
          <w:position w:val="-1"/>
          <w:sz w:val="24"/>
          <w:szCs w:val="24"/>
        </w:rPr>
        <w:t>、</w:t>
      </w:r>
      <w:r>
        <w:rPr>
          <w:rFonts w:hint="eastAsia" w:ascii="宋体" w:hAnsi="宋体" w:cs="宋体"/>
          <w:spacing w:val="2"/>
          <w:position w:val="-1"/>
          <w:sz w:val="24"/>
          <w:szCs w:val="24"/>
        </w:rPr>
        <w:t>服务</w:t>
      </w:r>
      <w:r>
        <w:rPr>
          <w:rFonts w:hint="eastAsia" w:ascii="宋体" w:hAnsi="宋体" w:cs="宋体"/>
          <w:position w:val="-1"/>
          <w:sz w:val="24"/>
          <w:szCs w:val="24"/>
        </w:rPr>
        <w:t>）</w:t>
      </w:r>
    </w:p>
    <w:p w14:paraId="7BCB197C">
      <w:pPr>
        <w:spacing w:before="6" w:line="130" w:lineRule="exact"/>
        <w:jc w:val="left"/>
        <w:rPr>
          <w:rFonts w:ascii="宋体" w:hAnsi="宋体" w:cs="宋体"/>
          <w:sz w:val="24"/>
          <w:szCs w:val="24"/>
        </w:rPr>
      </w:pPr>
    </w:p>
    <w:p w14:paraId="120BA916">
      <w:pPr>
        <w:spacing w:line="200" w:lineRule="exact"/>
        <w:jc w:val="left"/>
        <w:rPr>
          <w:rFonts w:ascii="宋体" w:hAnsi="宋体" w:cs="宋体"/>
          <w:sz w:val="24"/>
          <w:szCs w:val="24"/>
        </w:rPr>
      </w:pPr>
    </w:p>
    <w:p w14:paraId="7A980168">
      <w:pPr>
        <w:spacing w:line="200" w:lineRule="exact"/>
        <w:jc w:val="left"/>
        <w:rPr>
          <w:rFonts w:ascii="宋体" w:hAnsi="宋体" w:cs="宋体"/>
          <w:sz w:val="24"/>
          <w:szCs w:val="24"/>
        </w:rPr>
      </w:pPr>
    </w:p>
    <w:p w14:paraId="52CA6351">
      <w:pPr>
        <w:kinsoku w:val="0"/>
        <w:adjustRightInd w:val="0"/>
        <w:spacing w:line="360" w:lineRule="auto"/>
        <w:ind w:firstLine="504" w:firstLineChars="200"/>
        <w:rPr>
          <w:rFonts w:hint="eastAsia" w:ascii="宋体" w:hAnsi="宋体"/>
          <w:spacing w:val="6"/>
          <w:sz w:val="24"/>
          <w:szCs w:val="24"/>
        </w:rPr>
      </w:pPr>
      <w:bookmarkStart w:id="602" w:name="_Toc267261701"/>
      <w:r>
        <w:rPr>
          <w:rFonts w:hint="eastAsia" w:ascii="宋体" w:hAnsi="宋体"/>
          <w:spacing w:val="6"/>
          <w:sz w:val="24"/>
          <w:szCs w:val="24"/>
        </w:rPr>
        <w:t>本公司（联合体）郑重声明，根据《政府采购促进中小企业发展管理办法》（财库﹝2020﹞46 号）的规定，本公司 （联合体）参加</w:t>
      </w:r>
      <w:r>
        <w:rPr>
          <w:rFonts w:hint="eastAsia" w:ascii="宋体" w:hAnsi="宋体"/>
          <w:spacing w:val="6"/>
          <w:sz w:val="24"/>
          <w:szCs w:val="24"/>
          <w:u w:val="single"/>
        </w:rPr>
        <w:t>（单位名称）</w:t>
      </w:r>
      <w:r>
        <w:rPr>
          <w:rFonts w:hint="eastAsia" w:ascii="宋体" w:hAnsi="宋体"/>
          <w:spacing w:val="6"/>
          <w:sz w:val="24"/>
          <w:szCs w:val="24"/>
        </w:rPr>
        <w:t>的</w:t>
      </w:r>
      <w:r>
        <w:rPr>
          <w:rFonts w:hint="eastAsia" w:ascii="宋体" w:hAnsi="宋体"/>
          <w:spacing w:val="6"/>
          <w:sz w:val="24"/>
          <w:szCs w:val="24"/>
          <w:u w:val="single"/>
        </w:rPr>
        <w:t>（项目名称）</w:t>
      </w:r>
      <w:r>
        <w:rPr>
          <w:rFonts w:hint="eastAsia" w:ascii="宋体" w:hAnsi="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97D3C61">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1.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万元1，属于（中型企业、小型企业、微型企业）； </w:t>
      </w:r>
    </w:p>
    <w:p w14:paraId="2A19665F">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2.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w:t>
      </w:r>
      <w:r>
        <w:rPr>
          <w:rFonts w:hint="eastAsia" w:ascii="宋体" w:hAnsi="宋体"/>
          <w:spacing w:val="6"/>
          <w:sz w:val="24"/>
          <w:szCs w:val="24"/>
          <w:u w:val="single"/>
        </w:rPr>
        <w:t xml:space="preserve">    </w:t>
      </w:r>
      <w:r>
        <w:rPr>
          <w:rFonts w:hint="eastAsia" w:ascii="宋体" w:hAnsi="宋体"/>
          <w:spacing w:val="6"/>
          <w:sz w:val="24"/>
          <w:szCs w:val="24"/>
        </w:rPr>
        <w:t>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万元，属于（中型企业、 小型企业、微型企业）； </w:t>
      </w:r>
    </w:p>
    <w:p w14:paraId="0DEE83C3">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w:t>
      </w:r>
    </w:p>
    <w:p w14:paraId="25E4BAA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以上企业，不属于大企业的分支机构，不存在控股股东为大企业的情形，也不存在与大企业的负责人为同一人的情形。</w:t>
      </w:r>
    </w:p>
    <w:p w14:paraId="642D13B5">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本企业对上述声明内容的真实性负责。如有虚假，将依法承担相应责任。 </w:t>
      </w:r>
    </w:p>
    <w:p w14:paraId="18FE9613">
      <w:pPr>
        <w:kinsoku w:val="0"/>
        <w:adjustRightInd w:val="0"/>
        <w:spacing w:line="360" w:lineRule="auto"/>
        <w:ind w:firstLine="504" w:firstLineChars="200"/>
        <w:rPr>
          <w:rFonts w:hint="eastAsia" w:ascii="宋体" w:hAnsi="宋体"/>
          <w:spacing w:val="6"/>
          <w:sz w:val="24"/>
          <w:szCs w:val="24"/>
        </w:rPr>
      </w:pPr>
    </w:p>
    <w:p w14:paraId="6536BF22">
      <w:pPr>
        <w:kinsoku w:val="0"/>
        <w:adjustRightInd w:val="0"/>
        <w:spacing w:line="360" w:lineRule="auto"/>
        <w:ind w:firstLine="504" w:firstLineChars="200"/>
        <w:rPr>
          <w:rFonts w:hint="eastAsia" w:ascii="宋体" w:hAnsi="宋体"/>
          <w:spacing w:val="6"/>
          <w:sz w:val="24"/>
          <w:szCs w:val="24"/>
        </w:rPr>
      </w:pPr>
    </w:p>
    <w:p w14:paraId="35847EC0">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企业名称（盖章）： </w:t>
      </w:r>
    </w:p>
    <w:p w14:paraId="558427D6">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日 期： </w:t>
      </w:r>
    </w:p>
    <w:p w14:paraId="425ED3D7">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rPr>
        <w:br w:type="page"/>
      </w:r>
      <w:r>
        <w:rPr>
          <w:rFonts w:hint="eastAsia" w:ascii="宋体" w:hAnsi="宋体" w:cs="宋体"/>
          <w:color w:val="000000"/>
          <w:szCs w:val="21"/>
          <w:highlight w:val="none"/>
        </w:rPr>
        <w:t>附</w:t>
      </w:r>
      <w:bookmarkStart w:id="603" w:name="_Toc296891059"/>
      <w:bookmarkStart w:id="604" w:name="_Toc296944570"/>
      <w:bookmarkStart w:id="605" w:name="_Toc296347230"/>
      <w:bookmarkStart w:id="606" w:name="_Toc296891271"/>
      <w:bookmarkStart w:id="607" w:name="_Toc296503231"/>
      <w:bookmarkStart w:id="608" w:name="_Toc296346732"/>
      <w:r>
        <w:rPr>
          <w:rFonts w:hint="eastAsia" w:ascii="宋体" w:hAnsi="宋体" w:cs="宋体"/>
          <w:color w:val="000000"/>
          <w:szCs w:val="21"/>
          <w:highlight w:val="none"/>
        </w:rPr>
        <w:t>件8</w:t>
      </w:r>
      <w:bookmarkEnd w:id="602"/>
      <w:bookmarkEnd w:id="603"/>
      <w:bookmarkEnd w:id="604"/>
      <w:bookmarkEnd w:id="605"/>
      <w:bookmarkEnd w:id="606"/>
      <w:bookmarkEnd w:id="607"/>
      <w:bookmarkEnd w:id="608"/>
    </w:p>
    <w:p w14:paraId="1EBF0318">
      <w:pPr>
        <w:spacing w:line="360" w:lineRule="auto"/>
        <w:jc w:val="both"/>
        <w:rPr>
          <w:rFonts w:hint="eastAsia" w:ascii="宋体" w:hAnsi="宋体" w:cs="宋体"/>
          <w:color w:val="000000"/>
          <w:szCs w:val="21"/>
          <w:highlight w:val="none"/>
          <w:lang w:val="en-US" w:eastAsia="zh-CN"/>
        </w:rPr>
      </w:pPr>
    </w:p>
    <w:p w14:paraId="3C8A11CB">
      <w:pPr>
        <w:spacing w:line="360" w:lineRule="auto"/>
        <w:jc w:val="center"/>
        <w:rPr>
          <w:rFonts w:hint="eastAsia" w:eastAsiaTheme="minorEastAsia"/>
          <w:sz w:val="21"/>
          <w:szCs w:val="21"/>
          <w:lang w:eastAsia="zh-CN"/>
        </w:rPr>
      </w:pPr>
      <w:r>
        <w:rPr>
          <w:rFonts w:hint="eastAsia"/>
          <w:sz w:val="21"/>
          <w:szCs w:val="21"/>
          <w:lang w:eastAsia="zh-CN"/>
        </w:rPr>
        <w:t>关于保障农民工工资不拖欠的承诺函</w:t>
      </w:r>
    </w:p>
    <w:p w14:paraId="01D80F5E">
      <w:pPr>
        <w:spacing w:line="360" w:lineRule="auto"/>
        <w:rPr>
          <w:rFonts w:hint="eastAsia"/>
          <w:sz w:val="21"/>
          <w:szCs w:val="21"/>
        </w:rPr>
      </w:pPr>
    </w:p>
    <w:p w14:paraId="5F43C23A">
      <w:pPr>
        <w:spacing w:line="360" w:lineRule="auto"/>
        <w:rPr>
          <w:rFonts w:hint="eastAsia"/>
          <w:sz w:val="21"/>
          <w:szCs w:val="21"/>
        </w:rPr>
      </w:pPr>
    </w:p>
    <w:p w14:paraId="70C19C0C">
      <w:pPr>
        <w:spacing w:line="360" w:lineRule="auto"/>
        <w:ind w:firstLine="420" w:firstLineChars="200"/>
        <w:rPr>
          <w:rFonts w:hint="eastAsia" w:eastAsia="宋体"/>
          <w:sz w:val="21"/>
          <w:szCs w:val="21"/>
          <w:lang w:val="en-US" w:eastAsia="zh-CN"/>
        </w:rPr>
      </w:pPr>
      <w:r>
        <w:rPr>
          <w:rFonts w:hint="eastAsia"/>
          <w:sz w:val="21"/>
          <w:szCs w:val="21"/>
        </w:rPr>
        <w:t>为保护农民工的合法权益，不拖欠农民工工资， 对农民工工资的支付作如下郑重承诺</w:t>
      </w:r>
      <w:r>
        <w:rPr>
          <w:rFonts w:hint="eastAsia"/>
          <w:sz w:val="21"/>
          <w:szCs w:val="21"/>
          <w:lang w:eastAsia="zh-CN"/>
        </w:rPr>
        <w:t>：</w:t>
      </w:r>
    </w:p>
    <w:p w14:paraId="5ECC17A2">
      <w:pPr>
        <w:spacing w:line="360" w:lineRule="auto"/>
        <w:rPr>
          <w:rFonts w:hint="eastAsia"/>
          <w:sz w:val="21"/>
          <w:szCs w:val="21"/>
        </w:rPr>
      </w:pPr>
      <w:r>
        <w:rPr>
          <w:rFonts w:hint="eastAsia"/>
          <w:sz w:val="21"/>
          <w:szCs w:val="21"/>
        </w:rPr>
        <w:t>1、严格执行《中华人民共和国劳动法》、劳动部《工资支付暂行规定》、《</w:t>
      </w:r>
      <w:r>
        <w:rPr>
          <w:rFonts w:hint="eastAsia"/>
          <w:sz w:val="21"/>
          <w:szCs w:val="21"/>
          <w:lang w:eastAsia="zh-CN"/>
        </w:rPr>
        <w:t>保障农民工工资支付条例</w:t>
      </w:r>
      <w:r>
        <w:rPr>
          <w:rFonts w:hint="eastAsia"/>
          <w:sz w:val="21"/>
          <w:szCs w:val="21"/>
        </w:rPr>
        <w:t>》以及合同文件等有关规定，并按相关规定雇佣和使用农民工，依法和农民工签订劳务合同。</w:t>
      </w:r>
    </w:p>
    <w:p w14:paraId="1DABFFB8">
      <w:pPr>
        <w:spacing w:line="360" w:lineRule="auto"/>
        <w:rPr>
          <w:rFonts w:hint="eastAsia" w:eastAsia="宋体"/>
          <w:sz w:val="21"/>
          <w:szCs w:val="21"/>
          <w:lang w:eastAsia="zh-CN"/>
        </w:rPr>
      </w:pPr>
      <w:r>
        <w:rPr>
          <w:rFonts w:hint="eastAsia"/>
          <w:sz w:val="21"/>
          <w:szCs w:val="21"/>
        </w:rPr>
        <w:t>2、保证</w:t>
      </w:r>
      <w:r>
        <w:rPr>
          <w:rFonts w:hint="eastAsia"/>
          <w:sz w:val="21"/>
          <w:szCs w:val="21"/>
          <w:lang w:eastAsia="zh-CN"/>
        </w:rPr>
        <w:t>执行农民工工资专用账户，承诺</w:t>
      </w:r>
      <w:r>
        <w:rPr>
          <w:rFonts w:hint="eastAsia"/>
          <w:sz w:val="21"/>
          <w:szCs w:val="21"/>
        </w:rPr>
        <w:t>如期、足额支付工资，并</w:t>
      </w:r>
      <w:r>
        <w:rPr>
          <w:rFonts w:hint="eastAsia"/>
          <w:sz w:val="21"/>
          <w:szCs w:val="21"/>
          <w:lang w:eastAsia="zh-CN"/>
        </w:rPr>
        <w:t>将</w:t>
      </w:r>
      <w:r>
        <w:rPr>
          <w:rFonts w:hint="eastAsia"/>
          <w:sz w:val="21"/>
          <w:szCs w:val="21"/>
        </w:rPr>
        <w:t>工资直接发放给农民工本人</w:t>
      </w:r>
      <w:r>
        <w:rPr>
          <w:rFonts w:hint="eastAsia"/>
          <w:sz w:val="21"/>
          <w:szCs w:val="21"/>
          <w:lang w:eastAsia="zh-CN"/>
        </w:rPr>
        <w:t>，支付进度款时提供相应依据。</w:t>
      </w:r>
    </w:p>
    <w:p w14:paraId="0BCA1A01">
      <w:pPr>
        <w:spacing w:line="360" w:lineRule="auto"/>
        <w:rPr>
          <w:rFonts w:hint="eastAsia"/>
          <w:sz w:val="21"/>
          <w:szCs w:val="21"/>
        </w:rPr>
      </w:pPr>
      <w:r>
        <w:rPr>
          <w:rFonts w:hint="eastAsia"/>
          <w:sz w:val="21"/>
          <w:szCs w:val="21"/>
        </w:rPr>
        <w:t>按劳务合同约定标准支付农民工工资，不低于当地社会平均工资水平</w:t>
      </w:r>
    </w:p>
    <w:p w14:paraId="6FDBDD7D">
      <w:pPr>
        <w:spacing w:line="360" w:lineRule="auto"/>
        <w:rPr>
          <w:rFonts w:hint="eastAsia"/>
          <w:sz w:val="21"/>
          <w:szCs w:val="21"/>
        </w:rPr>
      </w:pPr>
      <w:r>
        <w:rPr>
          <w:rFonts w:hint="eastAsia"/>
          <w:sz w:val="21"/>
          <w:szCs w:val="21"/>
          <w:lang w:val="en-US" w:eastAsia="zh-CN"/>
        </w:rPr>
        <w:t>3</w:t>
      </w:r>
      <w:r>
        <w:rPr>
          <w:rFonts w:hint="eastAsia"/>
          <w:sz w:val="21"/>
          <w:szCs w:val="21"/>
        </w:rPr>
        <w:t>、如果发生违反规定拖欠或克扣农民工工资行为，造成农民工</w:t>
      </w:r>
      <w:r>
        <w:rPr>
          <w:rFonts w:hint="eastAsia"/>
          <w:sz w:val="21"/>
          <w:szCs w:val="21"/>
          <w:lang w:eastAsia="zh-CN"/>
        </w:rPr>
        <w:t>投诉</w:t>
      </w:r>
      <w:r>
        <w:rPr>
          <w:rFonts w:hint="eastAsia"/>
          <w:sz w:val="21"/>
          <w:szCs w:val="21"/>
        </w:rPr>
        <w:t>等行为，除按有关合同条款接受罚款外，并由我单位承担因此而引发的法律、经济等一切责任。</w:t>
      </w:r>
    </w:p>
    <w:p w14:paraId="4FDC9875">
      <w:pPr>
        <w:spacing w:line="360" w:lineRule="auto"/>
        <w:rPr>
          <w:rFonts w:hint="eastAsia"/>
          <w:sz w:val="21"/>
          <w:szCs w:val="21"/>
        </w:rPr>
      </w:pPr>
    </w:p>
    <w:p w14:paraId="7913D75B">
      <w:pPr>
        <w:spacing w:line="360" w:lineRule="auto"/>
        <w:rPr>
          <w:rFonts w:hint="eastAsia"/>
          <w:sz w:val="21"/>
          <w:szCs w:val="21"/>
        </w:rPr>
      </w:pPr>
    </w:p>
    <w:p w14:paraId="1ED3DE30">
      <w:pPr>
        <w:spacing w:line="360" w:lineRule="auto"/>
        <w:jc w:val="left"/>
        <w:rPr>
          <w:rFonts w:hint="eastAsia" w:eastAsia="宋体"/>
          <w:sz w:val="21"/>
          <w:szCs w:val="21"/>
          <w:lang w:eastAsia="zh-CN"/>
        </w:rPr>
      </w:pPr>
      <w:r>
        <w:rPr>
          <w:rFonts w:hint="eastAsia"/>
          <w:sz w:val="21"/>
          <w:szCs w:val="21"/>
        </w:rPr>
        <w:t>承诺人</w:t>
      </w:r>
      <w:r>
        <w:rPr>
          <w:rFonts w:hint="eastAsia"/>
          <w:sz w:val="21"/>
          <w:szCs w:val="21"/>
          <w:lang w:eastAsia="zh-CN"/>
        </w:rPr>
        <w:t>（盖章）：</w:t>
      </w:r>
    </w:p>
    <w:p w14:paraId="7C7855ED">
      <w:pPr>
        <w:spacing w:line="360" w:lineRule="auto"/>
        <w:rPr>
          <w:rFonts w:hint="eastAsia"/>
          <w:sz w:val="21"/>
          <w:szCs w:val="21"/>
          <w:lang w:eastAsia="zh-CN"/>
        </w:rPr>
      </w:pPr>
      <w:r>
        <w:rPr>
          <w:rFonts w:hint="eastAsia" w:ascii="宋体" w:hAnsi="宋体" w:cs="宋体"/>
          <w:color w:val="auto"/>
          <w:szCs w:val="21"/>
        </w:rPr>
        <w:t>法定代表人或其委托代理人：（签字）</w:t>
      </w:r>
    </w:p>
    <w:p w14:paraId="42E02A97">
      <w:pPr>
        <w:spacing w:line="360" w:lineRule="auto"/>
        <w:jc w:val="left"/>
        <w:rPr>
          <w:rFonts w:hint="eastAsia" w:eastAsiaTheme="minorEastAsia"/>
          <w:sz w:val="28"/>
          <w:szCs w:val="28"/>
          <w:lang w:eastAsia="zh-CN"/>
        </w:rPr>
      </w:pPr>
      <w:r>
        <w:rPr>
          <w:rFonts w:hint="eastAsia"/>
          <w:sz w:val="21"/>
          <w:szCs w:val="21"/>
          <w:lang w:eastAsia="zh-CN"/>
        </w:rPr>
        <w:t>日期：</w:t>
      </w:r>
      <w:r>
        <w:rPr>
          <w:rFonts w:hint="eastAsia" w:ascii="宋体" w:hAnsi="宋体" w:cs="宋体"/>
          <w:color w:val="000000"/>
          <w:szCs w:val="21"/>
        </w:rPr>
        <w:t>年月日</w:t>
      </w:r>
    </w:p>
    <w:p w14:paraId="4C366E3F">
      <w:pPr>
        <w:spacing w:line="360" w:lineRule="auto"/>
        <w:rPr>
          <w:rFonts w:ascii="宋体" w:hAnsi="宋体" w:cs="宋体"/>
          <w:color w:val="000000"/>
          <w:szCs w:val="21"/>
        </w:rPr>
      </w:pPr>
    </w:p>
    <w:p w14:paraId="32589EE7">
      <w:pPr>
        <w:pStyle w:val="41"/>
        <w:keepNext w:val="0"/>
        <w:keepLines w:val="0"/>
        <w:widowControl/>
        <w:suppressLineNumbers w:val="0"/>
        <w:spacing w:before="75" w:beforeAutospacing="0" w:after="75" w:afterAutospacing="0" w:line="600" w:lineRule="atLeast"/>
        <w:ind w:left="0" w:right="0" w:firstLine="0"/>
        <w:jc w:val="both"/>
        <w:rPr>
          <w:rFonts w:hint="eastAsia" w:ascii="宋体" w:hAnsi="宋体" w:eastAsia="宋体" w:cs="宋体"/>
          <w:color w:val="000000"/>
          <w:kern w:val="2"/>
          <w:sz w:val="21"/>
          <w:szCs w:val="21"/>
          <w:highlight w:val="none"/>
          <w:lang w:val="en-US" w:eastAsia="zh-CN" w:bidi="ar-SA"/>
        </w:rPr>
      </w:pPr>
      <w:r>
        <w:rPr>
          <w:rFonts w:ascii="宋体" w:hAnsi="宋体" w:cs="宋体"/>
          <w:color w:val="000000"/>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 xml:space="preserve"> </w:t>
      </w:r>
    </w:p>
    <w:p w14:paraId="4788E169">
      <w:pPr>
        <w:pStyle w:val="41"/>
        <w:keepNext w:val="0"/>
        <w:keepLines w:val="0"/>
        <w:widowControl/>
        <w:suppressLineNumbers w:val="0"/>
        <w:spacing w:before="75" w:beforeAutospacing="0" w:after="75" w:afterAutospacing="0" w:line="600" w:lineRule="atLeast"/>
        <w:ind w:left="0" w:right="0" w:firstLine="0"/>
        <w:jc w:val="center"/>
        <w:rPr>
          <w:rFonts w:hint="eastAsia" w:ascii="宋体" w:hAnsi="宋体" w:eastAsia="宋体" w:cs="宋体"/>
          <w:b/>
          <w:i w:val="0"/>
          <w:iCs w:val="0"/>
          <w:caps w:val="0"/>
          <w:spacing w:val="0"/>
          <w:sz w:val="24"/>
          <w:szCs w:val="24"/>
        </w:rPr>
      </w:pPr>
      <w:r>
        <w:rPr>
          <w:rFonts w:hint="eastAsia" w:ascii="Times New Roman" w:hAnsi="Times New Roman" w:eastAsia="宋体" w:cs="Times New Roman"/>
          <w:kern w:val="2"/>
          <w:sz w:val="24"/>
          <w:szCs w:val="24"/>
          <w:lang w:val="en-US" w:eastAsia="zh-CN" w:bidi="ar-SA"/>
        </w:rPr>
        <w:t>财务状况及税收、社会保障资金缴纳情况声明函</w:t>
      </w:r>
    </w:p>
    <w:p w14:paraId="121FD351">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209356A">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w:t>
      </w:r>
      <w:r>
        <w:rPr>
          <w:rFonts w:hint="eastAsia" w:ascii="宋体" w:hAnsi="宋体" w:eastAsia="宋体" w:cs="宋体"/>
          <w:i w:val="0"/>
          <w:iCs w:val="0"/>
          <w:caps w:val="0"/>
          <w:color w:val="000000"/>
          <w:spacing w:val="0"/>
          <w:sz w:val="24"/>
          <w:szCs w:val="24"/>
          <w:u w:val="single"/>
        </w:rPr>
        <w:t>（供应商名称）</w:t>
      </w:r>
      <w:r>
        <w:rPr>
          <w:rFonts w:hint="eastAsia" w:ascii="宋体" w:hAnsi="宋体" w:eastAsia="宋体" w:cs="宋体"/>
          <w:i w:val="0"/>
          <w:iCs w:val="0"/>
          <w:caps w:val="0"/>
          <w:color w:val="000000"/>
          <w:spacing w:val="0"/>
          <w:sz w:val="24"/>
          <w:szCs w:val="24"/>
        </w:rPr>
        <w:t>符合《中华人民共和国政府采购法》第二十二条第一款第（二）项、第（四）项规定条件，具体包括：</w:t>
      </w:r>
    </w:p>
    <w:p w14:paraId="3BA05A24">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具有健全的财务会计制度；</w:t>
      </w:r>
    </w:p>
    <w:p w14:paraId="6132F35B">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有依法缴纳税收和社会保障资金的良好记录。</w:t>
      </w:r>
    </w:p>
    <w:p w14:paraId="2335DED7">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特此声明。</w:t>
      </w:r>
    </w:p>
    <w:p w14:paraId="219BA4EC">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4CE2734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我方对上述声明的真实性负责。如有虚假，将依法承担相应责任。</w:t>
      </w:r>
    </w:p>
    <w:p w14:paraId="47D2F892">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9B23F2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供应商名称（公章）</w:t>
      </w:r>
    </w:p>
    <w:p w14:paraId="1BFC33BC">
      <w:pPr>
        <w:spacing w:line="360" w:lineRule="auto"/>
        <w:rPr>
          <w:rFonts w:hint="eastAsia" w:ascii="宋体" w:hAnsi="宋体" w:cs="宋体"/>
          <w:color w:val="auto"/>
          <w:szCs w:val="21"/>
        </w:rPr>
      </w:pPr>
      <w:r>
        <w:rPr>
          <w:rFonts w:hint="eastAsia" w:ascii="宋体" w:hAnsi="宋体" w:eastAsia="宋体" w:cs="宋体"/>
          <w:i w:val="0"/>
          <w:iCs w:val="0"/>
          <w:caps w:val="0"/>
          <w:color w:val="000000"/>
          <w:spacing w:val="0"/>
          <w:sz w:val="24"/>
          <w:szCs w:val="24"/>
        </w:rPr>
        <w:t>                                                                                            日期：</w:t>
      </w:r>
    </w:p>
    <w:p w14:paraId="491FD06B">
      <w:pPr>
        <w:spacing w:line="360" w:lineRule="auto"/>
        <w:ind w:right="150"/>
        <w:jc w:val="left"/>
        <w:rPr>
          <w:rFonts w:ascii="宋体" w:hAnsi="宋体" w:cs="宋体"/>
          <w:color w:val="000000"/>
          <w:szCs w:val="21"/>
        </w:rPr>
      </w:pPr>
    </w:p>
    <w:p w14:paraId="11AAFD8D">
      <w:pPr>
        <w:spacing w:line="360" w:lineRule="auto"/>
        <w:rPr>
          <w:rFonts w:ascii="宋体" w:hAnsi="宋体" w:cs="宋体"/>
          <w:szCs w:val="21"/>
        </w:rPr>
      </w:pPr>
    </w:p>
    <w:p w14:paraId="2876A6C6">
      <w:pPr>
        <w:spacing w:line="360" w:lineRule="auto"/>
        <w:rPr>
          <w:rFonts w:ascii="宋体" w:hAnsi="宋体" w:cs="宋体"/>
          <w:szCs w:val="21"/>
        </w:rPr>
      </w:pPr>
    </w:p>
    <w:sectPr>
      <w:footerReference r:id="rId12" w:type="default"/>
      <w:pgSz w:w="11906" w:h="16838"/>
      <w:pgMar w:top="1418" w:right="1531" w:bottom="1418" w:left="1554" w:header="851" w:footer="68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Courier">
    <w:panose1 w:val="02060409020205020404"/>
    <w:charset w:val="00"/>
    <w:family w:val="auto"/>
    <w:pitch w:val="default"/>
    <w:sig w:usb0="00000007" w:usb1="00000000" w:usb2="00000000" w:usb3="00000000" w:csb0="00000093"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微软雅黑"/>
    <w:panose1 w:val="00000000000000000000"/>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Microsoft JhengHei">
    <w:altName w:val="PMingLiU"/>
    <w:panose1 w:val="020B0604030504040204"/>
    <w:charset w:val="88"/>
    <w:family w:val="swiss"/>
    <w:pitch w:val="default"/>
    <w:sig w:usb0="00000000" w:usb1="00000000" w:usb2="00000016" w:usb3="00000000" w:csb0="00100009" w:csb1="00000000"/>
  </w:font>
  <w:font w:name="PMingLiU">
    <w:panose1 w:val="02020500000000000000"/>
    <w:charset w:val="88"/>
    <w:family w:val="auto"/>
    <w:pitch w:val="default"/>
    <w:sig w:usb0="A00002FF" w:usb1="28CFFCFA" w:usb2="00000016" w:usb3="00000000" w:csb0="00100001" w:csb1="00000000"/>
  </w:font>
  <w:font w:name="SymbolPS">
    <w:panose1 w:val="05050102010607020607"/>
    <w:charset w:val="00"/>
    <w:family w:val="auto"/>
    <w:pitch w:val="default"/>
    <w:sig w:usb0="00000000" w:usb1="00000000" w:usb2="00000000" w:usb3="00000000" w:csb0="0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F8DD6">
    <w:pPr>
      <w:pStyle w:val="30"/>
      <w:jc w:val="center"/>
    </w:pPr>
    <w:r>
      <w:fldChar w:fldCharType="begin"/>
    </w:r>
    <w:r>
      <w:instrText xml:space="preserve">PAGE   \* MERGEFORMAT</w:instrText>
    </w:r>
    <w:r>
      <w:fldChar w:fldCharType="separate"/>
    </w:r>
    <w:r>
      <w:rPr>
        <w:lang w:val="zh-CN"/>
      </w:rPr>
      <w:t>-</w:t>
    </w:r>
    <w:r>
      <w:t xml:space="preserve"> 13 -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819B">
    <w:pPr>
      <w:spacing w:line="200" w:lineRule="exact"/>
      <w:jc w:val="left"/>
      <w:rPr>
        <w:sz w:val="20"/>
      </w:rPr>
    </w:pPr>
    <w:r>
      <w:pict>
        <v:shape id="_x0000_s4097" o:spid="_x0000_s4097" o:spt="202" type="#_x0000_t202" style="position:absolute;left:0pt;margin-left:89pt;margin-top:758.55pt;height:23.5pt;width:37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18B87A1">
                <w:pPr>
                  <w:spacing w:line="221" w:lineRule="exact"/>
                  <w:ind w:left="20" w:right="-47"/>
                  <w:jc w:val="left"/>
                  <w:rPr>
                    <w:rFonts w:ascii="Microsoft JhengHei" w:hAnsi="Microsoft JhengHei" w:eastAsia="Microsoft JhengHei" w:cs="Microsoft JhengHei"/>
                    <w:sz w:val="18"/>
                    <w:szCs w:val="18"/>
                  </w:rPr>
                </w:pPr>
                <w:r>
                  <w:rPr>
                    <w:rFonts w:eastAsia="Times New Roman"/>
                    <w:position w:val="6"/>
                    <w:sz w:val="11"/>
                    <w:szCs w:val="11"/>
                  </w:rPr>
                  <w:t xml:space="preserve">1 </w:t>
                </w:r>
              </w:p>
              <w:p w14:paraId="38A69425">
                <w:pPr>
                  <w:spacing w:before="13"/>
                  <w:ind w:left="4047" w:right="3252"/>
                  <w:jc w:val="center"/>
                  <w:rPr>
                    <w:rFonts w:ascii="Calibri" w:hAnsi="Calibri" w:eastAsia="Calibri" w:cs="Calibri"/>
                    <w:sz w:val="18"/>
                    <w:szCs w:val="18"/>
                  </w:rPr>
                </w:pPr>
                <w:r>
                  <w:fldChar w:fldCharType="begin"/>
                </w:r>
                <w:r>
                  <w:rPr>
                    <w:rFonts w:ascii="Calibri" w:hAnsi="Calibri" w:eastAsia="Calibri" w:cs="Calibri"/>
                    <w:w w:val="99"/>
                    <w:sz w:val="18"/>
                    <w:szCs w:val="18"/>
                  </w:rPr>
                  <w:instrText xml:space="preserve"> PAGE </w:instrText>
                </w:r>
                <w:r>
                  <w:fldChar w:fldCharType="separate"/>
                </w:r>
                <w:r>
                  <w:rPr>
                    <w:rFonts w:ascii="Calibri" w:hAnsi="Calibri" w:eastAsia="Calibri" w:cs="Calibri"/>
                    <w:w w:val="99"/>
                    <w:sz w:val="18"/>
                    <w:szCs w:val="18"/>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6AE5">
    <w:pPr>
      <w:pStyle w:val="30"/>
      <w:jc w:val="center"/>
    </w:pPr>
    <w:r>
      <w:fldChar w:fldCharType="begin"/>
    </w:r>
    <w:r>
      <w:instrText xml:space="preserve">PAGE   \* MERGEFORMAT</w:instrText>
    </w:r>
    <w:r>
      <w:fldChar w:fldCharType="separate"/>
    </w:r>
    <w:r>
      <w:rPr>
        <w:lang w:val="zh-CN"/>
      </w:rPr>
      <w:t>-</w:t>
    </w:r>
    <w:r>
      <w:t xml:space="preserve"> 21 -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FF094">
    <w:pPr>
      <w:pStyle w:val="30"/>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6236F">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090A">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10</w:t>
    </w:r>
    <w:r>
      <w:fldChar w:fldCharType="end"/>
    </w:r>
  </w:p>
  <w:p w14:paraId="0DCE0AAB">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FE5C">
    <w:pPr>
      <w:pStyle w:val="30"/>
      <w:framePr w:wrap="around" w:vAnchor="text" w:hAnchor="margin" w:xAlign="center" w:y="1"/>
      <w:rPr>
        <w:rStyle w:val="48"/>
      </w:rPr>
    </w:pPr>
    <w:r>
      <w:fldChar w:fldCharType="begin"/>
    </w:r>
    <w:r>
      <w:rPr>
        <w:rStyle w:val="48"/>
      </w:rPr>
      <w:instrText xml:space="preserve">PAGE  </w:instrText>
    </w:r>
    <w:r>
      <w:fldChar w:fldCharType="end"/>
    </w:r>
  </w:p>
  <w:p w14:paraId="547348F4">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90E3">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14:paraId="48AFB238">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3C01">
    <w:pPr>
      <w:pStyle w:val="30"/>
      <w:jc w:val="center"/>
    </w:pPr>
    <w:r>
      <w:fldChar w:fldCharType="begin"/>
    </w:r>
    <w:r>
      <w:instrText xml:space="preserve">PAGE   \* MERGEFORMAT</w:instrText>
    </w:r>
    <w:r>
      <w:fldChar w:fldCharType="separate"/>
    </w:r>
    <w:r>
      <w:rPr>
        <w:lang w:val="zh-CN"/>
      </w:rPr>
      <w:t>-</w:t>
    </w:r>
    <w:r>
      <w:t xml:space="preserve"> 19 -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6B56">
    <w:pPr>
      <w:pStyle w:val="30"/>
      <w:jc w:val="center"/>
    </w:pPr>
    <w:r>
      <w:fldChar w:fldCharType="begin"/>
    </w:r>
    <w:r>
      <w:instrText xml:space="preserve">PAGE   \* MERGEFORMAT</w:instrText>
    </w:r>
    <w:r>
      <w:fldChar w:fldCharType="separate"/>
    </w:r>
    <w:r>
      <w:rPr>
        <w:lang w:val="zh-CN"/>
      </w:rPr>
      <w:t>-</w:t>
    </w:r>
    <w:r>
      <w:t xml:space="preserve"> 28 -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F4BA6"/>
    <w:multiLevelType w:val="multilevel"/>
    <w:tmpl w:val="1BEF4BA6"/>
    <w:lvl w:ilvl="0" w:tentative="0">
      <w:start w:val="1"/>
      <w:numFmt w:val="decimal"/>
      <w:suff w:val="nothing"/>
      <w:lvlText w:val="%1、"/>
      <w:lvlJc w:val="left"/>
      <w:pPr>
        <w:ind w:left="0" w:firstLine="0"/>
      </w:pPr>
      <w:rPr>
        <w:rFonts w:hint="eastAsia" w:ascii="华文宋体" w:hAnsi="华文宋体" w:eastAsia="华文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E43733"/>
    <w:multiLevelType w:val="multilevel"/>
    <w:tmpl w:val="2AE43733"/>
    <w:lvl w:ilvl="0" w:tentative="0">
      <w:start w:val="1"/>
      <w:numFmt w:val="decimal"/>
      <w:lvlText w:val="%1."/>
      <w:lvlJc w:val="left"/>
      <w:pPr>
        <w:tabs>
          <w:tab w:val="left" w:pos="1134"/>
        </w:tabs>
        <w:ind w:left="1134" w:hanging="1134"/>
      </w:pPr>
      <w:rPr>
        <w:rFonts w:hint="eastAsia" w:ascii="宋体" w:eastAsia="宋体" w:cs="Times New Roman"/>
        <w:b/>
        <w:i w:val="0"/>
        <w:sz w:val="21"/>
      </w:rPr>
    </w:lvl>
    <w:lvl w:ilvl="1" w:tentative="0">
      <w:start w:val="1"/>
      <w:numFmt w:val="decimal"/>
      <w:pStyle w:val="157"/>
      <w:lvlText w:val="%1.%2"/>
      <w:lvlJc w:val="left"/>
      <w:pPr>
        <w:tabs>
          <w:tab w:val="left" w:pos="1134"/>
        </w:tabs>
        <w:ind w:left="1134" w:hanging="1134"/>
      </w:pPr>
      <w:rPr>
        <w:rFonts w:hint="eastAsia" w:ascii="宋体" w:eastAsia="宋体" w:cs="Times New Roman"/>
        <w:b w:val="0"/>
        <w:i w:val="0"/>
        <w:sz w:val="21"/>
      </w:rPr>
    </w:lvl>
    <w:lvl w:ilvl="2" w:tentative="0">
      <w:start w:val="1"/>
      <w:numFmt w:val="decimal"/>
      <w:lvlText w:val="%1.%2.%3"/>
      <w:lvlJc w:val="left"/>
      <w:pPr>
        <w:tabs>
          <w:tab w:val="left" w:pos="1134"/>
        </w:tabs>
        <w:ind w:left="1134" w:hanging="1134"/>
      </w:pPr>
      <w:rPr>
        <w:rFonts w:hint="eastAsia" w:ascii="宋体" w:eastAsia="宋体" w:cs="Times New Roman"/>
        <w:sz w:val="21"/>
      </w:rPr>
    </w:lvl>
    <w:lvl w:ilvl="3" w:tentative="0">
      <w:start w:val="1"/>
      <w:numFmt w:val="decimal"/>
      <w:lvlText w:val="%1.%2.%3.%4"/>
      <w:lvlJc w:val="left"/>
      <w:pPr>
        <w:tabs>
          <w:tab w:val="left" w:pos="1080"/>
        </w:tabs>
        <w:ind w:left="660" w:hanging="660"/>
      </w:pPr>
      <w:rPr>
        <w:rFonts w:hint="eastAsia" w:cs="Times New Roman"/>
      </w:rPr>
    </w:lvl>
    <w:lvl w:ilvl="4" w:tentative="0">
      <w:start w:val="1"/>
      <w:numFmt w:val="decimal"/>
      <w:lvlText w:val="%1.%2.%3.%4.%5"/>
      <w:lvlJc w:val="left"/>
      <w:pPr>
        <w:tabs>
          <w:tab w:val="left" w:pos="660"/>
        </w:tabs>
        <w:ind w:left="660" w:hanging="660"/>
      </w:pPr>
      <w:rPr>
        <w:rFonts w:hint="eastAsia" w:cs="Times New Roman"/>
      </w:rPr>
    </w:lvl>
    <w:lvl w:ilvl="5" w:tentative="0">
      <w:start w:val="1"/>
      <w:numFmt w:val="decimal"/>
      <w:lvlText w:val="%1.%2.%3.%4.%5.%6"/>
      <w:lvlJc w:val="left"/>
      <w:pPr>
        <w:tabs>
          <w:tab w:val="left" w:pos="1440"/>
        </w:tabs>
        <w:ind w:left="660" w:hanging="660"/>
      </w:pPr>
      <w:rPr>
        <w:rFonts w:hint="eastAsia" w:cs="Times New Roman"/>
      </w:rPr>
    </w:lvl>
    <w:lvl w:ilvl="6" w:tentative="0">
      <w:start w:val="1"/>
      <w:numFmt w:val="decimal"/>
      <w:lvlText w:val="%1.%2.%3.%4.%5.%6.%7"/>
      <w:lvlJc w:val="left"/>
      <w:pPr>
        <w:tabs>
          <w:tab w:val="left" w:pos="660"/>
        </w:tabs>
        <w:ind w:left="660" w:hanging="660"/>
      </w:pPr>
      <w:rPr>
        <w:rFonts w:hint="eastAsia" w:cs="Times New Roman"/>
      </w:rPr>
    </w:lvl>
    <w:lvl w:ilvl="7" w:tentative="0">
      <w:start w:val="1"/>
      <w:numFmt w:val="decimal"/>
      <w:lvlText w:val="%1.%2.%3.%4.%5.%6.%7.%8"/>
      <w:lvlJc w:val="left"/>
      <w:pPr>
        <w:tabs>
          <w:tab w:val="left" w:pos="660"/>
        </w:tabs>
        <w:ind w:left="660" w:hanging="660"/>
      </w:pPr>
      <w:rPr>
        <w:rFonts w:hint="eastAsia" w:cs="Times New Roman"/>
      </w:rPr>
    </w:lvl>
    <w:lvl w:ilvl="8" w:tentative="0">
      <w:start w:val="1"/>
      <w:numFmt w:val="decimal"/>
      <w:lvlText w:val="%1.%2.%3.%4.%5.%6.%7.%8.%9"/>
      <w:lvlJc w:val="left"/>
      <w:pPr>
        <w:tabs>
          <w:tab w:val="left" w:pos="660"/>
        </w:tabs>
        <w:ind w:left="660" w:hanging="660"/>
      </w:pPr>
      <w:rPr>
        <w:rFonts w:hint="eastAsia" w:cs="Times New Roman"/>
      </w:rPr>
    </w:lvl>
  </w:abstractNum>
  <w:abstractNum w:abstractNumId="2">
    <w:nsid w:val="555EA3FA"/>
    <w:multiLevelType w:val="singleLevel"/>
    <w:tmpl w:val="555EA3FA"/>
    <w:lvl w:ilvl="0" w:tentative="0">
      <w:start w:val="1"/>
      <w:numFmt w:val="decimal"/>
      <w:suff w:val="nothing"/>
      <w:lvlText w:val="%1、"/>
      <w:lvlJc w:val="left"/>
      <w:rPr>
        <w:rFonts w:cs="Times New Roman"/>
      </w:rPr>
    </w:lvl>
  </w:abstractNum>
  <w:abstractNum w:abstractNumId="3">
    <w:nsid w:val="555EA441"/>
    <w:multiLevelType w:val="singleLevel"/>
    <w:tmpl w:val="555EA441"/>
    <w:lvl w:ilvl="0" w:tentative="0">
      <w:start w:val="2"/>
      <w:numFmt w:val="decimal"/>
      <w:suff w:val="nothing"/>
      <w:lvlText w:val="%1."/>
      <w:lvlJc w:val="left"/>
      <w:rPr>
        <w:rFonts w:cs="Times New Roman"/>
      </w:rPr>
    </w:lvl>
  </w:abstractNum>
  <w:abstractNum w:abstractNumId="4">
    <w:nsid w:val="555EAACA"/>
    <w:multiLevelType w:val="singleLevel"/>
    <w:tmpl w:val="555EAACA"/>
    <w:lvl w:ilvl="0" w:tentative="0">
      <w:start w:val="1"/>
      <w:numFmt w:val="decimal"/>
      <w:suff w:val="nothing"/>
      <w:lvlText w:val="（%1）"/>
      <w:lvlJc w:val="left"/>
      <w:rPr>
        <w:rFonts w:cs="Times New Roman"/>
      </w:rPr>
    </w:lvl>
  </w:abstractNum>
  <w:abstractNum w:abstractNumId="5">
    <w:nsid w:val="555EBA8A"/>
    <w:multiLevelType w:val="singleLevel"/>
    <w:tmpl w:val="555EBA8A"/>
    <w:lvl w:ilvl="0" w:tentative="0">
      <w:start w:val="1"/>
      <w:numFmt w:val="decimal"/>
      <w:suff w:val="nothing"/>
      <w:lvlText w:val="（%1）"/>
      <w:lvlJc w:val="left"/>
      <w:rPr>
        <w:rFonts w:cs="Times New Roman"/>
      </w:rPr>
    </w:lvl>
  </w:abstractNum>
  <w:abstractNum w:abstractNumId="6">
    <w:nsid w:val="555EBBA1"/>
    <w:multiLevelType w:val="singleLevel"/>
    <w:tmpl w:val="555EBBA1"/>
    <w:lvl w:ilvl="0" w:tentative="0">
      <w:start w:val="4"/>
      <w:numFmt w:val="decimal"/>
      <w:suff w:val="nothing"/>
      <w:lvlText w:val="%1."/>
      <w:lvlJc w:val="left"/>
      <w:rPr>
        <w:rFonts w:cs="Times New Roman"/>
      </w:rPr>
    </w:lvl>
  </w:abstractNum>
  <w:abstractNum w:abstractNumId="7">
    <w:nsid w:val="555EBC7D"/>
    <w:multiLevelType w:val="singleLevel"/>
    <w:tmpl w:val="555EBC7D"/>
    <w:lvl w:ilvl="0" w:tentative="0">
      <w:start w:val="1"/>
      <w:numFmt w:val="decimal"/>
      <w:suff w:val="nothing"/>
      <w:lvlText w:val="%1."/>
      <w:lvlJc w:val="left"/>
      <w:rPr>
        <w:rFonts w:cs="Times New Roman"/>
      </w:rPr>
    </w:lvl>
  </w:abstractNum>
  <w:abstractNum w:abstractNumId="8">
    <w:nsid w:val="555EBF3F"/>
    <w:multiLevelType w:val="singleLevel"/>
    <w:tmpl w:val="555EBF3F"/>
    <w:lvl w:ilvl="0" w:tentative="0">
      <w:start w:val="1"/>
      <w:numFmt w:val="decimal"/>
      <w:suff w:val="nothing"/>
      <w:lvlText w:val="%1."/>
      <w:lvlJc w:val="left"/>
      <w:rPr>
        <w:rFonts w:cs="Times New Roman"/>
      </w:rPr>
    </w:lvl>
  </w:abstractNum>
  <w:abstractNum w:abstractNumId="9">
    <w:nsid w:val="555EC3C8"/>
    <w:multiLevelType w:val="multilevel"/>
    <w:tmpl w:val="555EC3C8"/>
    <w:lvl w:ilvl="0" w:tentative="0">
      <w:start w:val="3"/>
      <w:numFmt w:val="decimal"/>
      <w:suff w:val="nothing"/>
      <w:lvlText w:val="%1."/>
      <w:lvlJc w:val="left"/>
      <w:rPr>
        <w:rFonts w:cs="Times New Roman"/>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55FE6ED"/>
    <w:multiLevelType w:val="singleLevel"/>
    <w:tmpl w:val="555FE6ED"/>
    <w:lvl w:ilvl="0" w:tentative="0">
      <w:start w:val="1"/>
      <w:numFmt w:val="decimal"/>
      <w:suff w:val="nothing"/>
      <w:lvlText w:val="%1."/>
      <w:lvlJc w:val="left"/>
      <w:rPr>
        <w:rFonts w:cs="Times New Roman"/>
      </w:rPr>
    </w:lvl>
  </w:abstractNum>
  <w:abstractNum w:abstractNumId="11">
    <w:nsid w:val="555FEA6A"/>
    <w:multiLevelType w:val="singleLevel"/>
    <w:tmpl w:val="555FEA6A"/>
    <w:lvl w:ilvl="0" w:tentative="0">
      <w:start w:val="1"/>
      <w:numFmt w:val="decimal"/>
      <w:suff w:val="nothing"/>
      <w:lvlText w:val="（%1）"/>
      <w:lvlJc w:val="left"/>
      <w:rPr>
        <w:rFonts w:cs="Times New Roman"/>
      </w:rPr>
    </w:lvl>
  </w:abstractNum>
  <w:abstractNum w:abstractNumId="12">
    <w:nsid w:val="555FEB23"/>
    <w:multiLevelType w:val="singleLevel"/>
    <w:tmpl w:val="555FEB23"/>
    <w:lvl w:ilvl="0" w:tentative="0">
      <w:start w:val="1"/>
      <w:numFmt w:val="decimal"/>
      <w:suff w:val="nothing"/>
      <w:lvlText w:val="（%1）"/>
      <w:lvlJc w:val="left"/>
      <w:rPr>
        <w:rFonts w:cs="Times New Roman"/>
      </w:rPr>
    </w:lvl>
  </w:abstractNum>
  <w:abstractNum w:abstractNumId="13">
    <w:nsid w:val="555FEB6A"/>
    <w:multiLevelType w:val="singleLevel"/>
    <w:tmpl w:val="555FEB6A"/>
    <w:lvl w:ilvl="0" w:tentative="0">
      <w:start w:val="5"/>
      <w:numFmt w:val="decimal"/>
      <w:suff w:val="nothing"/>
      <w:lvlText w:val="%1."/>
      <w:lvlJc w:val="left"/>
      <w:rPr>
        <w:rFonts w:cs="Times New Roman"/>
      </w:rPr>
    </w:lvl>
  </w:abstractNum>
  <w:abstractNum w:abstractNumId="14">
    <w:nsid w:val="69B05EE7"/>
    <w:multiLevelType w:val="multilevel"/>
    <w:tmpl w:val="69B05EE7"/>
    <w:lvl w:ilvl="0" w:tentative="0">
      <w:start w:val="1"/>
      <w:numFmt w:val="decimalFullWidth"/>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E567ECC"/>
    <w:multiLevelType w:val="multilevel"/>
    <w:tmpl w:val="7E567ECC"/>
    <w:lvl w:ilvl="0" w:tentative="0">
      <w:start w:val="1"/>
      <w:numFmt w:val="decimal"/>
      <w:lvlText w:val="%1、"/>
      <w:lvlJc w:val="left"/>
      <w:pPr>
        <w:tabs>
          <w:tab w:val="left" w:pos="420"/>
        </w:tabs>
        <w:ind w:left="420" w:hanging="42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gwZjk1ZGVkNTA3MGFkMjBjZDlmMDc3YzlmY2I5ZmQifQ=="/>
  </w:docVars>
  <w:rsids>
    <w:rsidRoot w:val="00172A27"/>
    <w:rsid w:val="00000114"/>
    <w:rsid w:val="00000BE3"/>
    <w:rsid w:val="00003D2B"/>
    <w:rsid w:val="000301F8"/>
    <w:rsid w:val="00033EC3"/>
    <w:rsid w:val="00057454"/>
    <w:rsid w:val="000638DD"/>
    <w:rsid w:val="00065DD1"/>
    <w:rsid w:val="000674F7"/>
    <w:rsid w:val="00086FD8"/>
    <w:rsid w:val="00095B5D"/>
    <w:rsid w:val="000C6C73"/>
    <w:rsid w:val="000C7E04"/>
    <w:rsid w:val="000D69DE"/>
    <w:rsid w:val="000E4B1A"/>
    <w:rsid w:val="000E5B77"/>
    <w:rsid w:val="000F00AF"/>
    <w:rsid w:val="000F1628"/>
    <w:rsid w:val="001013D4"/>
    <w:rsid w:val="00112E8C"/>
    <w:rsid w:val="001423A9"/>
    <w:rsid w:val="0014410D"/>
    <w:rsid w:val="00172A27"/>
    <w:rsid w:val="00175E06"/>
    <w:rsid w:val="001863B5"/>
    <w:rsid w:val="001911AA"/>
    <w:rsid w:val="00191E93"/>
    <w:rsid w:val="00197729"/>
    <w:rsid w:val="001B0587"/>
    <w:rsid w:val="001C367B"/>
    <w:rsid w:val="001C3DAD"/>
    <w:rsid w:val="001E1835"/>
    <w:rsid w:val="001E69C3"/>
    <w:rsid w:val="001F0452"/>
    <w:rsid w:val="001F11B3"/>
    <w:rsid w:val="0020725B"/>
    <w:rsid w:val="00207903"/>
    <w:rsid w:val="002277AA"/>
    <w:rsid w:val="00227851"/>
    <w:rsid w:val="00233852"/>
    <w:rsid w:val="00247C7C"/>
    <w:rsid w:val="0025018A"/>
    <w:rsid w:val="0026309E"/>
    <w:rsid w:val="002738C2"/>
    <w:rsid w:val="002A35DE"/>
    <w:rsid w:val="002B558E"/>
    <w:rsid w:val="002B704C"/>
    <w:rsid w:val="002C27CE"/>
    <w:rsid w:val="002C5213"/>
    <w:rsid w:val="002E5843"/>
    <w:rsid w:val="002F00E1"/>
    <w:rsid w:val="00320E09"/>
    <w:rsid w:val="00325E75"/>
    <w:rsid w:val="003324F2"/>
    <w:rsid w:val="00343043"/>
    <w:rsid w:val="00351EF6"/>
    <w:rsid w:val="00370741"/>
    <w:rsid w:val="003740AC"/>
    <w:rsid w:val="00374681"/>
    <w:rsid w:val="003779DA"/>
    <w:rsid w:val="00393AAA"/>
    <w:rsid w:val="00393D10"/>
    <w:rsid w:val="00395C75"/>
    <w:rsid w:val="00396912"/>
    <w:rsid w:val="003A2F7D"/>
    <w:rsid w:val="003B62A6"/>
    <w:rsid w:val="003C1BB1"/>
    <w:rsid w:val="003C4282"/>
    <w:rsid w:val="003C489B"/>
    <w:rsid w:val="00417B19"/>
    <w:rsid w:val="00426390"/>
    <w:rsid w:val="0042756A"/>
    <w:rsid w:val="0043392E"/>
    <w:rsid w:val="00441AF4"/>
    <w:rsid w:val="00444770"/>
    <w:rsid w:val="0046587F"/>
    <w:rsid w:val="00470F9E"/>
    <w:rsid w:val="00475C1B"/>
    <w:rsid w:val="00482B1B"/>
    <w:rsid w:val="00493191"/>
    <w:rsid w:val="004945CA"/>
    <w:rsid w:val="004A3BA0"/>
    <w:rsid w:val="004A7ABD"/>
    <w:rsid w:val="004B2AF6"/>
    <w:rsid w:val="004B7EF0"/>
    <w:rsid w:val="004D446D"/>
    <w:rsid w:val="004D677E"/>
    <w:rsid w:val="004F1855"/>
    <w:rsid w:val="004F46B4"/>
    <w:rsid w:val="00502FF1"/>
    <w:rsid w:val="005116E5"/>
    <w:rsid w:val="00511E1F"/>
    <w:rsid w:val="00537150"/>
    <w:rsid w:val="00544A22"/>
    <w:rsid w:val="00545E49"/>
    <w:rsid w:val="00553426"/>
    <w:rsid w:val="00553C08"/>
    <w:rsid w:val="00570A1E"/>
    <w:rsid w:val="00574C0D"/>
    <w:rsid w:val="0057647E"/>
    <w:rsid w:val="00577934"/>
    <w:rsid w:val="0059158A"/>
    <w:rsid w:val="0059251E"/>
    <w:rsid w:val="00593DA9"/>
    <w:rsid w:val="005942BE"/>
    <w:rsid w:val="0059775D"/>
    <w:rsid w:val="005A7FAB"/>
    <w:rsid w:val="005B0873"/>
    <w:rsid w:val="005B6E30"/>
    <w:rsid w:val="005C0202"/>
    <w:rsid w:val="005C7324"/>
    <w:rsid w:val="005D0BF8"/>
    <w:rsid w:val="005D730A"/>
    <w:rsid w:val="005D7FC9"/>
    <w:rsid w:val="0060195E"/>
    <w:rsid w:val="006067C4"/>
    <w:rsid w:val="00607FC5"/>
    <w:rsid w:val="0062317C"/>
    <w:rsid w:val="00624FF1"/>
    <w:rsid w:val="00630DA3"/>
    <w:rsid w:val="006364FA"/>
    <w:rsid w:val="006510B0"/>
    <w:rsid w:val="00655014"/>
    <w:rsid w:val="00660DF1"/>
    <w:rsid w:val="0067198B"/>
    <w:rsid w:val="00677EE9"/>
    <w:rsid w:val="0068630D"/>
    <w:rsid w:val="006863B3"/>
    <w:rsid w:val="00693515"/>
    <w:rsid w:val="00694EE3"/>
    <w:rsid w:val="006C0017"/>
    <w:rsid w:val="006C1FDE"/>
    <w:rsid w:val="006C34C4"/>
    <w:rsid w:val="006D41E8"/>
    <w:rsid w:val="006E1E60"/>
    <w:rsid w:val="006E3C8F"/>
    <w:rsid w:val="006F794A"/>
    <w:rsid w:val="006F7B55"/>
    <w:rsid w:val="007002AF"/>
    <w:rsid w:val="00732E39"/>
    <w:rsid w:val="007331B9"/>
    <w:rsid w:val="00734586"/>
    <w:rsid w:val="00747E00"/>
    <w:rsid w:val="007512E3"/>
    <w:rsid w:val="00754085"/>
    <w:rsid w:val="00765FF0"/>
    <w:rsid w:val="00775E59"/>
    <w:rsid w:val="00781A23"/>
    <w:rsid w:val="007826B7"/>
    <w:rsid w:val="00783119"/>
    <w:rsid w:val="00785D93"/>
    <w:rsid w:val="00795790"/>
    <w:rsid w:val="007958FF"/>
    <w:rsid w:val="007A6DA9"/>
    <w:rsid w:val="007A73D9"/>
    <w:rsid w:val="007A7A33"/>
    <w:rsid w:val="007B2190"/>
    <w:rsid w:val="007B77B4"/>
    <w:rsid w:val="007C01EE"/>
    <w:rsid w:val="007C0CE5"/>
    <w:rsid w:val="007C146F"/>
    <w:rsid w:val="007C2E92"/>
    <w:rsid w:val="007D6A7C"/>
    <w:rsid w:val="007E37C0"/>
    <w:rsid w:val="00800F20"/>
    <w:rsid w:val="00806E52"/>
    <w:rsid w:val="00810023"/>
    <w:rsid w:val="00815080"/>
    <w:rsid w:val="00834E44"/>
    <w:rsid w:val="008423C5"/>
    <w:rsid w:val="00847341"/>
    <w:rsid w:val="00850D4C"/>
    <w:rsid w:val="008605B5"/>
    <w:rsid w:val="008740FD"/>
    <w:rsid w:val="00892700"/>
    <w:rsid w:val="00892ABE"/>
    <w:rsid w:val="008A2F24"/>
    <w:rsid w:val="008A47DD"/>
    <w:rsid w:val="008B0848"/>
    <w:rsid w:val="008B0CDC"/>
    <w:rsid w:val="008C6456"/>
    <w:rsid w:val="008D0E1D"/>
    <w:rsid w:val="008D427B"/>
    <w:rsid w:val="008D7D0A"/>
    <w:rsid w:val="008E10D7"/>
    <w:rsid w:val="00912C5B"/>
    <w:rsid w:val="00934AFA"/>
    <w:rsid w:val="009478C2"/>
    <w:rsid w:val="009648C4"/>
    <w:rsid w:val="00971419"/>
    <w:rsid w:val="0097669D"/>
    <w:rsid w:val="00982DF8"/>
    <w:rsid w:val="0098791B"/>
    <w:rsid w:val="0099327B"/>
    <w:rsid w:val="009B64F3"/>
    <w:rsid w:val="009D1F77"/>
    <w:rsid w:val="009D706E"/>
    <w:rsid w:val="009E59B8"/>
    <w:rsid w:val="009F5992"/>
    <w:rsid w:val="00A160E7"/>
    <w:rsid w:val="00A22638"/>
    <w:rsid w:val="00A22A16"/>
    <w:rsid w:val="00A343EF"/>
    <w:rsid w:val="00A36397"/>
    <w:rsid w:val="00A457A7"/>
    <w:rsid w:val="00A61BB2"/>
    <w:rsid w:val="00A7008B"/>
    <w:rsid w:val="00A73AC3"/>
    <w:rsid w:val="00A7542E"/>
    <w:rsid w:val="00A90A2B"/>
    <w:rsid w:val="00A92D5E"/>
    <w:rsid w:val="00A94F9B"/>
    <w:rsid w:val="00A96029"/>
    <w:rsid w:val="00AA0CAD"/>
    <w:rsid w:val="00AA29AB"/>
    <w:rsid w:val="00AF7F12"/>
    <w:rsid w:val="00B111AD"/>
    <w:rsid w:val="00B2120A"/>
    <w:rsid w:val="00B3340C"/>
    <w:rsid w:val="00B36DAE"/>
    <w:rsid w:val="00B41920"/>
    <w:rsid w:val="00B45DF1"/>
    <w:rsid w:val="00B52D5A"/>
    <w:rsid w:val="00B74931"/>
    <w:rsid w:val="00B81F0B"/>
    <w:rsid w:val="00B83234"/>
    <w:rsid w:val="00B87C4B"/>
    <w:rsid w:val="00BA4DC6"/>
    <w:rsid w:val="00BC5610"/>
    <w:rsid w:val="00BC56E9"/>
    <w:rsid w:val="00BD21AD"/>
    <w:rsid w:val="00BD4704"/>
    <w:rsid w:val="00BD5EEA"/>
    <w:rsid w:val="00C0175C"/>
    <w:rsid w:val="00C03365"/>
    <w:rsid w:val="00C115CB"/>
    <w:rsid w:val="00C1393F"/>
    <w:rsid w:val="00C20F6E"/>
    <w:rsid w:val="00C25252"/>
    <w:rsid w:val="00C30CB5"/>
    <w:rsid w:val="00C4002F"/>
    <w:rsid w:val="00C43C08"/>
    <w:rsid w:val="00C6299C"/>
    <w:rsid w:val="00C661FF"/>
    <w:rsid w:val="00C8082E"/>
    <w:rsid w:val="00C911B3"/>
    <w:rsid w:val="00C93505"/>
    <w:rsid w:val="00C96B11"/>
    <w:rsid w:val="00CB0E88"/>
    <w:rsid w:val="00CF1C40"/>
    <w:rsid w:val="00CF7034"/>
    <w:rsid w:val="00D16850"/>
    <w:rsid w:val="00D16EBA"/>
    <w:rsid w:val="00D316FA"/>
    <w:rsid w:val="00D4196A"/>
    <w:rsid w:val="00D455A9"/>
    <w:rsid w:val="00D457BA"/>
    <w:rsid w:val="00D76B86"/>
    <w:rsid w:val="00D80063"/>
    <w:rsid w:val="00D80704"/>
    <w:rsid w:val="00D93635"/>
    <w:rsid w:val="00D93B95"/>
    <w:rsid w:val="00D96F7E"/>
    <w:rsid w:val="00DA6A3D"/>
    <w:rsid w:val="00DB0C53"/>
    <w:rsid w:val="00DC4DB8"/>
    <w:rsid w:val="00DD5295"/>
    <w:rsid w:val="00DF1E28"/>
    <w:rsid w:val="00DF21D0"/>
    <w:rsid w:val="00DF299E"/>
    <w:rsid w:val="00DF3C73"/>
    <w:rsid w:val="00E2266B"/>
    <w:rsid w:val="00E27EE7"/>
    <w:rsid w:val="00E751F8"/>
    <w:rsid w:val="00E776D7"/>
    <w:rsid w:val="00E77D4F"/>
    <w:rsid w:val="00E809DC"/>
    <w:rsid w:val="00E936A2"/>
    <w:rsid w:val="00E954FC"/>
    <w:rsid w:val="00E95BBC"/>
    <w:rsid w:val="00EB0956"/>
    <w:rsid w:val="00ED428B"/>
    <w:rsid w:val="00ED58B2"/>
    <w:rsid w:val="00EE4D69"/>
    <w:rsid w:val="00F00A07"/>
    <w:rsid w:val="00F026BC"/>
    <w:rsid w:val="00F066C9"/>
    <w:rsid w:val="00F6675F"/>
    <w:rsid w:val="00F74B41"/>
    <w:rsid w:val="00F81166"/>
    <w:rsid w:val="00F852FF"/>
    <w:rsid w:val="00F94E00"/>
    <w:rsid w:val="00F97ED1"/>
    <w:rsid w:val="00FA1D57"/>
    <w:rsid w:val="00FC6AAC"/>
    <w:rsid w:val="00FD11A6"/>
    <w:rsid w:val="00FE2F52"/>
    <w:rsid w:val="00FF031F"/>
    <w:rsid w:val="0138268E"/>
    <w:rsid w:val="014B08FF"/>
    <w:rsid w:val="01FE7B71"/>
    <w:rsid w:val="02267D9A"/>
    <w:rsid w:val="02357235"/>
    <w:rsid w:val="023B1B84"/>
    <w:rsid w:val="02B40E52"/>
    <w:rsid w:val="02D45932"/>
    <w:rsid w:val="03195159"/>
    <w:rsid w:val="03223A5F"/>
    <w:rsid w:val="033546D2"/>
    <w:rsid w:val="03B77229"/>
    <w:rsid w:val="03C22413"/>
    <w:rsid w:val="03DB5B3B"/>
    <w:rsid w:val="043A06FC"/>
    <w:rsid w:val="045452B9"/>
    <w:rsid w:val="04886AC0"/>
    <w:rsid w:val="0491110B"/>
    <w:rsid w:val="049D3080"/>
    <w:rsid w:val="04CC01C8"/>
    <w:rsid w:val="04E92C46"/>
    <w:rsid w:val="05693EA1"/>
    <w:rsid w:val="056A6185"/>
    <w:rsid w:val="0674697C"/>
    <w:rsid w:val="06994D63"/>
    <w:rsid w:val="06B35C28"/>
    <w:rsid w:val="07123728"/>
    <w:rsid w:val="078A03D3"/>
    <w:rsid w:val="07CA2ED7"/>
    <w:rsid w:val="08263B08"/>
    <w:rsid w:val="08980FA6"/>
    <w:rsid w:val="08E04690"/>
    <w:rsid w:val="09057B87"/>
    <w:rsid w:val="09503F11"/>
    <w:rsid w:val="097B4255"/>
    <w:rsid w:val="097E7EEB"/>
    <w:rsid w:val="09E9764E"/>
    <w:rsid w:val="0A4B5A36"/>
    <w:rsid w:val="0A591448"/>
    <w:rsid w:val="0A755759"/>
    <w:rsid w:val="0AEC727C"/>
    <w:rsid w:val="0B4E601C"/>
    <w:rsid w:val="0B885181"/>
    <w:rsid w:val="0BF010F8"/>
    <w:rsid w:val="0C8962BA"/>
    <w:rsid w:val="0CC06DF7"/>
    <w:rsid w:val="0CD56D9C"/>
    <w:rsid w:val="0DE66BD9"/>
    <w:rsid w:val="0DF93BBD"/>
    <w:rsid w:val="0E4C6193"/>
    <w:rsid w:val="0E785855"/>
    <w:rsid w:val="0E7C61D3"/>
    <w:rsid w:val="103778E9"/>
    <w:rsid w:val="105F0C1F"/>
    <w:rsid w:val="10F2465E"/>
    <w:rsid w:val="10FE773C"/>
    <w:rsid w:val="11755B31"/>
    <w:rsid w:val="1195400C"/>
    <w:rsid w:val="11B5219D"/>
    <w:rsid w:val="11B76268"/>
    <w:rsid w:val="11F33A76"/>
    <w:rsid w:val="120F2547"/>
    <w:rsid w:val="12180BBD"/>
    <w:rsid w:val="121D233A"/>
    <w:rsid w:val="12540F78"/>
    <w:rsid w:val="12EF7498"/>
    <w:rsid w:val="12F4195C"/>
    <w:rsid w:val="131C29E9"/>
    <w:rsid w:val="13272F78"/>
    <w:rsid w:val="14192DFA"/>
    <w:rsid w:val="148114E7"/>
    <w:rsid w:val="1505030B"/>
    <w:rsid w:val="15403873"/>
    <w:rsid w:val="15BD7ABA"/>
    <w:rsid w:val="15E03B01"/>
    <w:rsid w:val="170E28DF"/>
    <w:rsid w:val="1785186E"/>
    <w:rsid w:val="17B00EF6"/>
    <w:rsid w:val="18060E62"/>
    <w:rsid w:val="18477128"/>
    <w:rsid w:val="18477163"/>
    <w:rsid w:val="18510FCC"/>
    <w:rsid w:val="18EF01A0"/>
    <w:rsid w:val="19A16C1D"/>
    <w:rsid w:val="19BA322A"/>
    <w:rsid w:val="19C361C4"/>
    <w:rsid w:val="19C41B53"/>
    <w:rsid w:val="1AA8344A"/>
    <w:rsid w:val="1B0B7961"/>
    <w:rsid w:val="1BC77AA8"/>
    <w:rsid w:val="1BFF09F4"/>
    <w:rsid w:val="1C8E7568"/>
    <w:rsid w:val="1CA5548E"/>
    <w:rsid w:val="1D036643"/>
    <w:rsid w:val="1DE359C0"/>
    <w:rsid w:val="1E237E7E"/>
    <w:rsid w:val="1E291232"/>
    <w:rsid w:val="1E5E1067"/>
    <w:rsid w:val="1E780C0D"/>
    <w:rsid w:val="1E7C3FC4"/>
    <w:rsid w:val="1EB65E9F"/>
    <w:rsid w:val="1ED0129B"/>
    <w:rsid w:val="1EE559BD"/>
    <w:rsid w:val="1F053CF4"/>
    <w:rsid w:val="1F7D6E36"/>
    <w:rsid w:val="1F8644B8"/>
    <w:rsid w:val="1FB37745"/>
    <w:rsid w:val="1FD840FD"/>
    <w:rsid w:val="200D1865"/>
    <w:rsid w:val="20FD12A8"/>
    <w:rsid w:val="214A02C6"/>
    <w:rsid w:val="214F03B6"/>
    <w:rsid w:val="21862A8E"/>
    <w:rsid w:val="219846CF"/>
    <w:rsid w:val="219D0C9F"/>
    <w:rsid w:val="223B259E"/>
    <w:rsid w:val="223F1EBC"/>
    <w:rsid w:val="22533814"/>
    <w:rsid w:val="22ED32DA"/>
    <w:rsid w:val="22F926DA"/>
    <w:rsid w:val="23034F44"/>
    <w:rsid w:val="232375F4"/>
    <w:rsid w:val="237468B8"/>
    <w:rsid w:val="241C6A54"/>
    <w:rsid w:val="24526424"/>
    <w:rsid w:val="247D056D"/>
    <w:rsid w:val="24940192"/>
    <w:rsid w:val="249E2CA0"/>
    <w:rsid w:val="25185183"/>
    <w:rsid w:val="254C7941"/>
    <w:rsid w:val="256D7FDA"/>
    <w:rsid w:val="25A34ACC"/>
    <w:rsid w:val="25C953A9"/>
    <w:rsid w:val="26160709"/>
    <w:rsid w:val="261A5A10"/>
    <w:rsid w:val="261B3491"/>
    <w:rsid w:val="26261822"/>
    <w:rsid w:val="267D795D"/>
    <w:rsid w:val="26814BED"/>
    <w:rsid w:val="26E94DE4"/>
    <w:rsid w:val="26FF6A0B"/>
    <w:rsid w:val="274A1985"/>
    <w:rsid w:val="27A12394"/>
    <w:rsid w:val="28123CCE"/>
    <w:rsid w:val="282C45F9"/>
    <w:rsid w:val="28B1694E"/>
    <w:rsid w:val="28BC0562"/>
    <w:rsid w:val="2A0E0D4F"/>
    <w:rsid w:val="2A6A6BA1"/>
    <w:rsid w:val="2ACF474A"/>
    <w:rsid w:val="2AFE384E"/>
    <w:rsid w:val="2B016A47"/>
    <w:rsid w:val="2B181536"/>
    <w:rsid w:val="2B65243A"/>
    <w:rsid w:val="2BB756FE"/>
    <w:rsid w:val="2BD36576"/>
    <w:rsid w:val="2CCD2011"/>
    <w:rsid w:val="2CE30931"/>
    <w:rsid w:val="2CF808D7"/>
    <w:rsid w:val="2D812E1B"/>
    <w:rsid w:val="2D941A03"/>
    <w:rsid w:val="2DB27D05"/>
    <w:rsid w:val="2E066331"/>
    <w:rsid w:val="2E0A5E8E"/>
    <w:rsid w:val="2E240268"/>
    <w:rsid w:val="2E7932D7"/>
    <w:rsid w:val="2EAB20DE"/>
    <w:rsid w:val="2ECB3F4C"/>
    <w:rsid w:val="2F424F98"/>
    <w:rsid w:val="2F497ECE"/>
    <w:rsid w:val="2F9652B7"/>
    <w:rsid w:val="2FA539B8"/>
    <w:rsid w:val="2FC20048"/>
    <w:rsid w:val="30012FA6"/>
    <w:rsid w:val="300C1C63"/>
    <w:rsid w:val="303A4372"/>
    <w:rsid w:val="303D4E30"/>
    <w:rsid w:val="30B43B75"/>
    <w:rsid w:val="310B6782"/>
    <w:rsid w:val="31643845"/>
    <w:rsid w:val="316C3324"/>
    <w:rsid w:val="323B6E74"/>
    <w:rsid w:val="325B51AB"/>
    <w:rsid w:val="32A0560C"/>
    <w:rsid w:val="32B25BB9"/>
    <w:rsid w:val="32C87D5D"/>
    <w:rsid w:val="331F61ED"/>
    <w:rsid w:val="33762C68"/>
    <w:rsid w:val="33814F8D"/>
    <w:rsid w:val="33AA66AB"/>
    <w:rsid w:val="340472FB"/>
    <w:rsid w:val="343019CE"/>
    <w:rsid w:val="34610414"/>
    <w:rsid w:val="347A51A5"/>
    <w:rsid w:val="34836460"/>
    <w:rsid w:val="34930253"/>
    <w:rsid w:val="34A53A6B"/>
    <w:rsid w:val="35134CB4"/>
    <w:rsid w:val="352765C3"/>
    <w:rsid w:val="355E5798"/>
    <w:rsid w:val="35740C40"/>
    <w:rsid w:val="35CF5088"/>
    <w:rsid w:val="365D5129"/>
    <w:rsid w:val="36AF5145"/>
    <w:rsid w:val="36DA16DE"/>
    <w:rsid w:val="37083929"/>
    <w:rsid w:val="37930C3B"/>
    <w:rsid w:val="37A75193"/>
    <w:rsid w:val="37C036A0"/>
    <w:rsid w:val="37CA3313"/>
    <w:rsid w:val="387D5D44"/>
    <w:rsid w:val="39286C9E"/>
    <w:rsid w:val="392E6699"/>
    <w:rsid w:val="39C73159"/>
    <w:rsid w:val="39EC3E11"/>
    <w:rsid w:val="3ABA508F"/>
    <w:rsid w:val="3B0A798D"/>
    <w:rsid w:val="3B7905A1"/>
    <w:rsid w:val="3B7D41BE"/>
    <w:rsid w:val="3B8101AF"/>
    <w:rsid w:val="3B830D6D"/>
    <w:rsid w:val="3BA548E8"/>
    <w:rsid w:val="3BBA100A"/>
    <w:rsid w:val="3C88295C"/>
    <w:rsid w:val="3CA50FE1"/>
    <w:rsid w:val="3CEB2214"/>
    <w:rsid w:val="3CEE3859"/>
    <w:rsid w:val="3CF5550F"/>
    <w:rsid w:val="3D263B7E"/>
    <w:rsid w:val="3D4E6549"/>
    <w:rsid w:val="3D97270E"/>
    <w:rsid w:val="3DAE0540"/>
    <w:rsid w:val="3DE43283"/>
    <w:rsid w:val="3DFB2791"/>
    <w:rsid w:val="3E0B7BB5"/>
    <w:rsid w:val="3E1A5671"/>
    <w:rsid w:val="3E301A13"/>
    <w:rsid w:val="3E4A1A37"/>
    <w:rsid w:val="3E507E62"/>
    <w:rsid w:val="3E8649A0"/>
    <w:rsid w:val="3ECA5505"/>
    <w:rsid w:val="3F1B30E3"/>
    <w:rsid w:val="3F5440F4"/>
    <w:rsid w:val="3F6A0496"/>
    <w:rsid w:val="3F987C24"/>
    <w:rsid w:val="3FAB2584"/>
    <w:rsid w:val="40562ABF"/>
    <w:rsid w:val="405A6274"/>
    <w:rsid w:val="40FC5196"/>
    <w:rsid w:val="41055DEC"/>
    <w:rsid w:val="411E6B51"/>
    <w:rsid w:val="419E6238"/>
    <w:rsid w:val="41AA4248"/>
    <w:rsid w:val="41C62F7B"/>
    <w:rsid w:val="425659E6"/>
    <w:rsid w:val="42707BEA"/>
    <w:rsid w:val="43104E14"/>
    <w:rsid w:val="43223B49"/>
    <w:rsid w:val="433E3844"/>
    <w:rsid w:val="436314FD"/>
    <w:rsid w:val="437945CF"/>
    <w:rsid w:val="43873B5A"/>
    <w:rsid w:val="438C7C44"/>
    <w:rsid w:val="44AE6655"/>
    <w:rsid w:val="45313828"/>
    <w:rsid w:val="4535104D"/>
    <w:rsid w:val="4539571E"/>
    <w:rsid w:val="457F6FA9"/>
    <w:rsid w:val="465316EE"/>
    <w:rsid w:val="46A57574"/>
    <w:rsid w:val="46AF3C44"/>
    <w:rsid w:val="46B46290"/>
    <w:rsid w:val="47426DF8"/>
    <w:rsid w:val="475912E1"/>
    <w:rsid w:val="475D31EB"/>
    <w:rsid w:val="48740DB7"/>
    <w:rsid w:val="48F35082"/>
    <w:rsid w:val="49144E77"/>
    <w:rsid w:val="496C1724"/>
    <w:rsid w:val="49B44860"/>
    <w:rsid w:val="49B83F7E"/>
    <w:rsid w:val="4A236EB1"/>
    <w:rsid w:val="4A397D7D"/>
    <w:rsid w:val="4A7B5341"/>
    <w:rsid w:val="4ADC40E1"/>
    <w:rsid w:val="4B496C93"/>
    <w:rsid w:val="4BA10E14"/>
    <w:rsid w:val="4BAB34B4"/>
    <w:rsid w:val="4C101469"/>
    <w:rsid w:val="4C39659B"/>
    <w:rsid w:val="4C787385"/>
    <w:rsid w:val="4C7A7005"/>
    <w:rsid w:val="4C9A70C7"/>
    <w:rsid w:val="4CBC4A79"/>
    <w:rsid w:val="4D940DD6"/>
    <w:rsid w:val="4DD35188"/>
    <w:rsid w:val="4DEA5F62"/>
    <w:rsid w:val="4E2C69CB"/>
    <w:rsid w:val="4E4C0585"/>
    <w:rsid w:val="4F45079D"/>
    <w:rsid w:val="4FD535CD"/>
    <w:rsid w:val="4FDD1C15"/>
    <w:rsid w:val="4FE237A9"/>
    <w:rsid w:val="4FE75DA8"/>
    <w:rsid w:val="504A74B4"/>
    <w:rsid w:val="506B4CFC"/>
    <w:rsid w:val="50921245"/>
    <w:rsid w:val="514E798A"/>
    <w:rsid w:val="51B05393"/>
    <w:rsid w:val="5253261E"/>
    <w:rsid w:val="525B18DF"/>
    <w:rsid w:val="52F87455"/>
    <w:rsid w:val="539A5258"/>
    <w:rsid w:val="53DA212E"/>
    <w:rsid w:val="541A5C08"/>
    <w:rsid w:val="54532EC8"/>
    <w:rsid w:val="54D32FF3"/>
    <w:rsid w:val="54F862BD"/>
    <w:rsid w:val="551127A0"/>
    <w:rsid w:val="553D798C"/>
    <w:rsid w:val="5546158E"/>
    <w:rsid w:val="55821799"/>
    <w:rsid w:val="559E6A15"/>
    <w:rsid w:val="55CB2618"/>
    <w:rsid w:val="560378AC"/>
    <w:rsid w:val="56866800"/>
    <w:rsid w:val="575667C0"/>
    <w:rsid w:val="578D03B3"/>
    <w:rsid w:val="57AB0B61"/>
    <w:rsid w:val="57F144D9"/>
    <w:rsid w:val="582C5C37"/>
    <w:rsid w:val="586E1F24"/>
    <w:rsid w:val="58944126"/>
    <w:rsid w:val="589748E6"/>
    <w:rsid w:val="58CF0CC3"/>
    <w:rsid w:val="58F011F8"/>
    <w:rsid w:val="58FB500B"/>
    <w:rsid w:val="59870472"/>
    <w:rsid w:val="59B7214E"/>
    <w:rsid w:val="59DC7428"/>
    <w:rsid w:val="5A1E1C01"/>
    <w:rsid w:val="5A7B737F"/>
    <w:rsid w:val="5ADE1CCB"/>
    <w:rsid w:val="5AFB64D5"/>
    <w:rsid w:val="5B081542"/>
    <w:rsid w:val="5B2F5F89"/>
    <w:rsid w:val="5BD347B4"/>
    <w:rsid w:val="5BF25E19"/>
    <w:rsid w:val="5C2634BB"/>
    <w:rsid w:val="5C442E2C"/>
    <w:rsid w:val="5C7B6DE0"/>
    <w:rsid w:val="5C866ED5"/>
    <w:rsid w:val="5C9232D3"/>
    <w:rsid w:val="5CEA3EA6"/>
    <w:rsid w:val="5D187049"/>
    <w:rsid w:val="5D2353DA"/>
    <w:rsid w:val="5D7A166C"/>
    <w:rsid w:val="5D7E7207"/>
    <w:rsid w:val="5DF45F09"/>
    <w:rsid w:val="5E122AE4"/>
    <w:rsid w:val="5E3F4CF1"/>
    <w:rsid w:val="5E4853B5"/>
    <w:rsid w:val="5E590BCD"/>
    <w:rsid w:val="5EC942A7"/>
    <w:rsid w:val="5EF977BF"/>
    <w:rsid w:val="60012165"/>
    <w:rsid w:val="601675BF"/>
    <w:rsid w:val="616000B0"/>
    <w:rsid w:val="619B6FA6"/>
    <w:rsid w:val="61A968D4"/>
    <w:rsid w:val="626752C3"/>
    <w:rsid w:val="62DB04BF"/>
    <w:rsid w:val="6333694F"/>
    <w:rsid w:val="63977F2A"/>
    <w:rsid w:val="63AB1A91"/>
    <w:rsid w:val="63E044E9"/>
    <w:rsid w:val="64014A1E"/>
    <w:rsid w:val="644C4E9D"/>
    <w:rsid w:val="64E50514"/>
    <w:rsid w:val="65262602"/>
    <w:rsid w:val="65593495"/>
    <w:rsid w:val="657D2C65"/>
    <w:rsid w:val="65927733"/>
    <w:rsid w:val="65A93AD5"/>
    <w:rsid w:val="65BE3A7A"/>
    <w:rsid w:val="65D969F1"/>
    <w:rsid w:val="660C30E4"/>
    <w:rsid w:val="66166687"/>
    <w:rsid w:val="668074C5"/>
    <w:rsid w:val="66CF38B7"/>
    <w:rsid w:val="66EF1BEE"/>
    <w:rsid w:val="67706CC4"/>
    <w:rsid w:val="67722599"/>
    <w:rsid w:val="67AB7C92"/>
    <w:rsid w:val="67F7303F"/>
    <w:rsid w:val="680D6FDA"/>
    <w:rsid w:val="6813633B"/>
    <w:rsid w:val="682A60F2"/>
    <w:rsid w:val="689724A9"/>
    <w:rsid w:val="68D77510"/>
    <w:rsid w:val="69754A5E"/>
    <w:rsid w:val="699462A8"/>
    <w:rsid w:val="6A071E00"/>
    <w:rsid w:val="6A084D57"/>
    <w:rsid w:val="6A3A5A48"/>
    <w:rsid w:val="6A7D6493"/>
    <w:rsid w:val="6A886ED6"/>
    <w:rsid w:val="6A8A200F"/>
    <w:rsid w:val="6AB4579C"/>
    <w:rsid w:val="6B1256C6"/>
    <w:rsid w:val="6B667835"/>
    <w:rsid w:val="6B7845E0"/>
    <w:rsid w:val="6C303D8F"/>
    <w:rsid w:val="6C4504B1"/>
    <w:rsid w:val="6C9C0EC0"/>
    <w:rsid w:val="6D1546EF"/>
    <w:rsid w:val="6D601F02"/>
    <w:rsid w:val="6DC02871"/>
    <w:rsid w:val="6DD85044"/>
    <w:rsid w:val="6E547E44"/>
    <w:rsid w:val="6EA90BAD"/>
    <w:rsid w:val="6EB4007F"/>
    <w:rsid w:val="6EF259A8"/>
    <w:rsid w:val="6EF97F02"/>
    <w:rsid w:val="6F110CB8"/>
    <w:rsid w:val="6F540894"/>
    <w:rsid w:val="6FF653BE"/>
    <w:rsid w:val="709829C9"/>
    <w:rsid w:val="70C50F0F"/>
    <w:rsid w:val="710651FB"/>
    <w:rsid w:val="71986320"/>
    <w:rsid w:val="71B2150C"/>
    <w:rsid w:val="71C15891"/>
    <w:rsid w:val="72AD6831"/>
    <w:rsid w:val="72D475D0"/>
    <w:rsid w:val="731B7E2F"/>
    <w:rsid w:val="73211924"/>
    <w:rsid w:val="73245576"/>
    <w:rsid w:val="74806F69"/>
    <w:rsid w:val="748B5DC2"/>
    <w:rsid w:val="74A024E4"/>
    <w:rsid w:val="74EA4A53"/>
    <w:rsid w:val="74EE7665"/>
    <w:rsid w:val="75187B4C"/>
    <w:rsid w:val="752175BA"/>
    <w:rsid w:val="7528245B"/>
    <w:rsid w:val="75B172CA"/>
    <w:rsid w:val="75DB69E8"/>
    <w:rsid w:val="75DE1903"/>
    <w:rsid w:val="76341EFC"/>
    <w:rsid w:val="76D142CA"/>
    <w:rsid w:val="76FE3D79"/>
    <w:rsid w:val="774175B4"/>
    <w:rsid w:val="7749345A"/>
    <w:rsid w:val="77912DDD"/>
    <w:rsid w:val="779176B2"/>
    <w:rsid w:val="785C5783"/>
    <w:rsid w:val="78621530"/>
    <w:rsid w:val="789711D5"/>
    <w:rsid w:val="7910179B"/>
    <w:rsid w:val="794159AF"/>
    <w:rsid w:val="797D7DE3"/>
    <w:rsid w:val="79971C87"/>
    <w:rsid w:val="79BE5205"/>
    <w:rsid w:val="79CF307E"/>
    <w:rsid w:val="7A6F205A"/>
    <w:rsid w:val="7A795AFD"/>
    <w:rsid w:val="7AA256F3"/>
    <w:rsid w:val="7B334F2B"/>
    <w:rsid w:val="7B49603F"/>
    <w:rsid w:val="7BB32DB4"/>
    <w:rsid w:val="7BC0404E"/>
    <w:rsid w:val="7BF62A6B"/>
    <w:rsid w:val="7C01687E"/>
    <w:rsid w:val="7C0B2A10"/>
    <w:rsid w:val="7C3A6597"/>
    <w:rsid w:val="7CB07ED4"/>
    <w:rsid w:val="7CB9602C"/>
    <w:rsid w:val="7D875780"/>
    <w:rsid w:val="7DC720AD"/>
    <w:rsid w:val="7DE12867"/>
    <w:rsid w:val="7DE57721"/>
    <w:rsid w:val="7DE65272"/>
    <w:rsid w:val="7E12375A"/>
    <w:rsid w:val="7E5B78AF"/>
    <w:rsid w:val="7E6C6CF7"/>
    <w:rsid w:val="7E8A1B55"/>
    <w:rsid w:val="7EB30A5A"/>
    <w:rsid w:val="7ECD2214"/>
    <w:rsid w:val="7ED242C8"/>
    <w:rsid w:val="7F0204F0"/>
    <w:rsid w:val="7F392BC8"/>
    <w:rsid w:val="7F46479C"/>
    <w:rsid w:val="7FB115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semiHidden="0" w:name="Table Web 3" w:locked="1"/>
    <w:lsdException w:qFormat="1" w:unhideWhenUsed="0" w:uiPriority="99" w:semiHidden="0" w:name="Balloon Text"/>
    <w:lsdException w:qFormat="1" w:unhideWhenUsed="0" w:uiPriority="99" w:semiHidden="0" w:name="Table Grid"/>
    <w:lsdException w:unhideWhenUsed="0" w:uiPriority="99"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9"/>
    <w:qFormat/>
    <w:uiPriority w:val="99"/>
    <w:pPr>
      <w:keepNext/>
      <w:keepLines/>
      <w:spacing w:before="340" w:after="330" w:line="578" w:lineRule="auto"/>
      <w:outlineLvl w:val="0"/>
    </w:pPr>
    <w:rPr>
      <w:b/>
      <w:kern w:val="44"/>
      <w:sz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qFormat/>
    <w:uiPriority w:val="99"/>
    <w:pPr>
      <w:keepNext/>
      <w:keepLines/>
      <w:spacing w:before="260" w:after="260" w:line="416" w:lineRule="auto"/>
      <w:outlineLvl w:val="2"/>
    </w:pPr>
    <w:rPr>
      <w:b/>
      <w:sz w:val="32"/>
    </w:rPr>
  </w:style>
  <w:style w:type="paragraph" w:styleId="5">
    <w:name w:val="heading 4"/>
    <w:basedOn w:val="1"/>
    <w:next w:val="1"/>
    <w:link w:val="61"/>
    <w:qFormat/>
    <w:uiPriority w:val="99"/>
    <w:pPr>
      <w:keepNext/>
      <w:keepLines/>
      <w:spacing w:line="500" w:lineRule="exact"/>
      <w:ind w:left="1080"/>
      <w:outlineLvl w:val="3"/>
    </w:pPr>
    <w:rPr>
      <w:rFonts w:ascii="Cambria" w:hAnsi="Cambria"/>
      <w:bCs/>
      <w:szCs w:val="28"/>
    </w:rPr>
  </w:style>
  <w:style w:type="paragraph" w:styleId="6">
    <w:name w:val="heading 5"/>
    <w:basedOn w:val="1"/>
    <w:next w:val="1"/>
    <w:link w:val="62"/>
    <w:qFormat/>
    <w:uiPriority w:val="99"/>
    <w:pPr>
      <w:keepNext/>
      <w:keepLines/>
      <w:spacing w:before="280" w:after="290" w:line="372" w:lineRule="auto"/>
      <w:outlineLvl w:val="4"/>
    </w:pPr>
    <w:rPr>
      <w:rFonts w:ascii="Calibri" w:hAnsi="Calibri"/>
      <w:b/>
      <w:bCs/>
      <w:sz w:val="28"/>
      <w:szCs w:val="28"/>
    </w:rPr>
  </w:style>
  <w:style w:type="paragraph" w:styleId="7">
    <w:name w:val="heading 6"/>
    <w:basedOn w:val="1"/>
    <w:next w:val="1"/>
    <w:link w:val="63"/>
    <w:qFormat/>
    <w:uiPriority w:val="99"/>
    <w:pPr>
      <w:keepNext/>
      <w:keepLines/>
      <w:spacing w:before="240" w:after="64" w:line="317" w:lineRule="auto"/>
      <w:outlineLvl w:val="5"/>
    </w:pPr>
    <w:rPr>
      <w:rFonts w:ascii="Cambria" w:hAnsi="Cambria"/>
      <w:b/>
      <w:bCs/>
      <w:sz w:val="24"/>
      <w:szCs w:val="24"/>
    </w:rPr>
  </w:style>
  <w:style w:type="paragraph" w:styleId="8">
    <w:name w:val="heading 7"/>
    <w:basedOn w:val="1"/>
    <w:next w:val="1"/>
    <w:link w:val="64"/>
    <w:qFormat/>
    <w:uiPriority w:val="99"/>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5"/>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6"/>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link w:val="69"/>
    <w:qFormat/>
    <w:uiPriority w:val="99"/>
    <w:pPr>
      <w:ind w:firstLine="420"/>
    </w:pPr>
  </w:style>
  <w:style w:type="paragraph" w:styleId="13">
    <w:name w:val="caption"/>
    <w:basedOn w:val="1"/>
    <w:next w:val="1"/>
    <w:qFormat/>
    <w:uiPriority w:val="99"/>
    <w:pPr>
      <w:adjustRightInd w:val="0"/>
      <w:spacing w:before="152" w:after="160" w:line="360" w:lineRule="atLeast"/>
      <w:jc w:val="left"/>
      <w:textAlignment w:val="baseline"/>
    </w:pPr>
    <w:rPr>
      <w:rFonts w:ascii="Arial" w:hAnsi="Arial" w:eastAsia="黑体"/>
      <w:spacing w:val="20"/>
      <w:kern w:val="21"/>
      <w:sz w:val="24"/>
    </w:rPr>
  </w:style>
  <w:style w:type="paragraph" w:styleId="14">
    <w:name w:val="Document Map"/>
    <w:basedOn w:val="1"/>
    <w:link w:val="114"/>
    <w:qFormat/>
    <w:uiPriority w:val="99"/>
    <w:pPr>
      <w:shd w:val="clear" w:color="auto" w:fill="000080"/>
    </w:pPr>
    <w:rPr>
      <w:sz w:val="24"/>
    </w:rPr>
  </w:style>
  <w:style w:type="paragraph" w:styleId="15">
    <w:name w:val="annotation text"/>
    <w:basedOn w:val="1"/>
    <w:link w:val="116"/>
    <w:qFormat/>
    <w:uiPriority w:val="99"/>
    <w:pPr>
      <w:jc w:val="left"/>
    </w:pPr>
    <w:rPr>
      <w:sz w:val="24"/>
    </w:rPr>
  </w:style>
  <w:style w:type="paragraph" w:styleId="16">
    <w:name w:val="Body Text 3"/>
    <w:basedOn w:val="1"/>
    <w:link w:val="126"/>
    <w:qFormat/>
    <w:uiPriority w:val="99"/>
    <w:pPr>
      <w:widowControl/>
      <w:autoSpaceDE w:val="0"/>
      <w:autoSpaceDN w:val="0"/>
      <w:adjustRightInd w:val="0"/>
      <w:spacing w:line="360" w:lineRule="auto"/>
      <w:textAlignment w:val="bottom"/>
    </w:pPr>
    <w:rPr>
      <w:rFonts w:ascii="宋体" w:hAnsi="宋体"/>
      <w:kern w:val="0"/>
      <w:sz w:val="24"/>
      <w:shd w:val="pct10" w:color="auto" w:fill="FFFFFF"/>
    </w:rPr>
  </w:style>
  <w:style w:type="paragraph" w:styleId="17">
    <w:name w:val="Body Text"/>
    <w:basedOn w:val="1"/>
    <w:next w:val="18"/>
    <w:link w:val="121"/>
    <w:qFormat/>
    <w:uiPriority w:val="99"/>
    <w:pPr>
      <w:spacing w:after="120"/>
    </w:pPr>
    <w:rPr>
      <w:sz w:val="24"/>
    </w:rPr>
  </w:style>
  <w:style w:type="paragraph" w:styleId="18">
    <w:name w:val="Body Text First Indent"/>
    <w:basedOn w:val="17"/>
    <w:qFormat/>
    <w:locked/>
    <w:uiPriority w:val="0"/>
    <w:pPr>
      <w:ind w:firstLine="420" w:firstLineChars="100"/>
    </w:pPr>
    <w:rPr>
      <w:szCs w:val="24"/>
    </w:rPr>
  </w:style>
  <w:style w:type="paragraph" w:styleId="19">
    <w:name w:val="Body Text Indent"/>
    <w:basedOn w:val="1"/>
    <w:link w:val="120"/>
    <w:qFormat/>
    <w:uiPriority w:val="99"/>
    <w:pPr>
      <w:spacing w:line="360" w:lineRule="auto"/>
      <w:ind w:left="435" w:leftChars="207"/>
    </w:pPr>
    <w:rPr>
      <w:sz w:val="24"/>
    </w:rPr>
  </w:style>
  <w:style w:type="paragraph" w:styleId="20">
    <w:name w:val="List 2"/>
    <w:basedOn w:val="1"/>
    <w:qFormat/>
    <w:uiPriority w:val="99"/>
    <w:pPr>
      <w:ind w:left="100" w:leftChars="200" w:hanging="200" w:hangingChars="200"/>
    </w:pPr>
  </w:style>
  <w:style w:type="paragraph" w:styleId="21">
    <w:name w:val="Block Text"/>
    <w:basedOn w:val="1"/>
    <w:qFormat/>
    <w:uiPriority w:val="99"/>
    <w:pPr>
      <w:tabs>
        <w:tab w:val="left" w:pos="-540"/>
      </w:tabs>
      <w:spacing w:line="420" w:lineRule="exact"/>
      <w:ind w:left="-359" w:leftChars="-171" w:right="-617" w:rightChars="-294" w:firstLine="538" w:firstLineChars="224"/>
    </w:pPr>
    <w:rPr>
      <w:sz w:val="24"/>
      <w:szCs w:val="24"/>
    </w:rPr>
  </w:style>
  <w:style w:type="paragraph" w:styleId="22">
    <w:name w:val="index 4"/>
    <w:basedOn w:val="1"/>
    <w:next w:val="1"/>
    <w:qFormat/>
    <w:uiPriority w:val="99"/>
    <w:pPr>
      <w:ind w:left="600" w:leftChars="600"/>
    </w:pPr>
    <w:rPr>
      <w:szCs w:val="24"/>
    </w:rPr>
  </w:style>
  <w:style w:type="paragraph" w:styleId="23">
    <w:name w:val="toc 5"/>
    <w:basedOn w:val="1"/>
    <w:next w:val="1"/>
    <w:qFormat/>
    <w:uiPriority w:val="99"/>
    <w:pPr>
      <w:ind w:left="840"/>
      <w:jc w:val="left"/>
    </w:pPr>
    <w:rPr>
      <w:sz w:val="18"/>
      <w:szCs w:val="18"/>
    </w:rPr>
  </w:style>
  <w:style w:type="paragraph" w:styleId="24">
    <w:name w:val="toc 3"/>
    <w:basedOn w:val="1"/>
    <w:next w:val="1"/>
    <w:qFormat/>
    <w:uiPriority w:val="99"/>
    <w:pPr>
      <w:tabs>
        <w:tab w:val="right" w:leader="dot" w:pos="8494"/>
      </w:tabs>
      <w:spacing w:line="360" w:lineRule="auto"/>
      <w:ind w:left="540"/>
      <w:jc w:val="left"/>
    </w:pPr>
    <w:rPr>
      <w:rFonts w:ascii="宋体" w:hAnsi="宋体"/>
      <w:iCs/>
      <w:sz w:val="24"/>
      <w:szCs w:val="24"/>
    </w:rPr>
  </w:style>
  <w:style w:type="paragraph" w:styleId="25">
    <w:name w:val="Plain Text"/>
    <w:basedOn w:val="1"/>
    <w:link w:val="115"/>
    <w:qFormat/>
    <w:uiPriority w:val="99"/>
    <w:rPr>
      <w:rFonts w:ascii="宋体" w:hAnsi="Courier New"/>
    </w:rPr>
  </w:style>
  <w:style w:type="paragraph" w:styleId="26">
    <w:name w:val="toc 8"/>
    <w:basedOn w:val="1"/>
    <w:next w:val="1"/>
    <w:qFormat/>
    <w:uiPriority w:val="99"/>
    <w:pPr>
      <w:ind w:left="1470"/>
      <w:jc w:val="left"/>
    </w:pPr>
    <w:rPr>
      <w:sz w:val="18"/>
      <w:szCs w:val="18"/>
    </w:rPr>
  </w:style>
  <w:style w:type="paragraph" w:styleId="27">
    <w:name w:val="Date"/>
    <w:basedOn w:val="1"/>
    <w:next w:val="1"/>
    <w:link w:val="124"/>
    <w:qFormat/>
    <w:uiPriority w:val="99"/>
    <w:pPr>
      <w:ind w:left="100" w:leftChars="2500"/>
    </w:pPr>
    <w:rPr>
      <w:sz w:val="24"/>
    </w:rPr>
  </w:style>
  <w:style w:type="paragraph" w:styleId="28">
    <w:name w:val="Body Text Indent 2"/>
    <w:basedOn w:val="1"/>
    <w:link w:val="127"/>
    <w:qFormat/>
    <w:uiPriority w:val="99"/>
    <w:pPr>
      <w:spacing w:line="360" w:lineRule="auto"/>
      <w:ind w:firstLine="600"/>
    </w:pPr>
    <w:rPr>
      <w:rFonts w:ascii="宋体"/>
      <w:sz w:val="30"/>
    </w:rPr>
  </w:style>
  <w:style w:type="paragraph" w:styleId="29">
    <w:name w:val="Balloon Text"/>
    <w:basedOn w:val="1"/>
    <w:link w:val="128"/>
    <w:qFormat/>
    <w:uiPriority w:val="99"/>
    <w:rPr>
      <w:sz w:val="18"/>
    </w:rPr>
  </w:style>
  <w:style w:type="paragraph" w:styleId="30">
    <w:name w:val="footer"/>
    <w:basedOn w:val="1"/>
    <w:link w:val="119"/>
    <w:qFormat/>
    <w:uiPriority w:val="99"/>
    <w:pPr>
      <w:tabs>
        <w:tab w:val="center" w:pos="4153"/>
        <w:tab w:val="right" w:pos="8306"/>
      </w:tabs>
      <w:snapToGrid w:val="0"/>
      <w:jc w:val="left"/>
    </w:pPr>
    <w:rPr>
      <w:sz w:val="18"/>
    </w:rPr>
  </w:style>
  <w:style w:type="paragraph" w:styleId="31">
    <w:name w:val="header"/>
    <w:basedOn w:val="1"/>
    <w:link w:val="1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semiHidden/>
    <w:qFormat/>
    <w:uiPriority w:val="99"/>
    <w:pPr>
      <w:tabs>
        <w:tab w:val="right" w:leader="dot" w:pos="8810"/>
      </w:tabs>
      <w:spacing w:line="360" w:lineRule="auto"/>
    </w:pPr>
  </w:style>
  <w:style w:type="paragraph" w:styleId="33">
    <w:name w:val="toc 4"/>
    <w:basedOn w:val="1"/>
    <w:next w:val="1"/>
    <w:qFormat/>
    <w:uiPriority w:val="99"/>
    <w:pPr>
      <w:ind w:left="630"/>
      <w:jc w:val="left"/>
    </w:pPr>
    <w:rPr>
      <w:sz w:val="18"/>
      <w:szCs w:val="18"/>
    </w:rPr>
  </w:style>
  <w:style w:type="paragraph" w:styleId="34">
    <w:name w:val="Subtitle"/>
    <w:basedOn w:val="1"/>
    <w:next w:val="1"/>
    <w:link w:val="123"/>
    <w:qFormat/>
    <w:uiPriority w:val="99"/>
    <w:pPr>
      <w:spacing w:before="240" w:after="60" w:line="312" w:lineRule="auto"/>
      <w:jc w:val="center"/>
      <w:outlineLvl w:val="1"/>
    </w:pPr>
    <w:rPr>
      <w:rFonts w:ascii="Cambria" w:hAnsi="Cambria"/>
      <w:b/>
      <w:kern w:val="28"/>
      <w:sz w:val="32"/>
    </w:rPr>
  </w:style>
  <w:style w:type="paragraph" w:styleId="35">
    <w:name w:val="List"/>
    <w:basedOn w:val="1"/>
    <w:qFormat/>
    <w:uiPriority w:val="99"/>
    <w:pPr>
      <w:ind w:left="200" w:hanging="200" w:hangingChars="200"/>
    </w:pPr>
    <w:rPr>
      <w:szCs w:val="24"/>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117"/>
    <w:qFormat/>
    <w:uiPriority w:val="99"/>
    <w:pPr>
      <w:spacing w:after="120"/>
      <w:ind w:left="420" w:leftChars="200"/>
    </w:pPr>
    <w:rPr>
      <w:sz w:val="16"/>
    </w:rPr>
  </w:style>
  <w:style w:type="paragraph" w:styleId="38">
    <w:name w:val="toc 2"/>
    <w:basedOn w:val="1"/>
    <w:next w:val="1"/>
    <w:qFormat/>
    <w:uiPriority w:val="99"/>
    <w:pPr>
      <w:tabs>
        <w:tab w:val="right" w:leader="dot" w:pos="8494"/>
      </w:tabs>
      <w:spacing w:line="440" w:lineRule="exact"/>
      <w:ind w:left="539"/>
      <w:jc w:val="left"/>
    </w:pPr>
    <w:rPr>
      <w:rFonts w:ascii="宋体" w:hAnsi="宋体"/>
      <w:smallCaps/>
      <w:sz w:val="24"/>
      <w:szCs w:val="24"/>
    </w:rPr>
  </w:style>
  <w:style w:type="paragraph" w:styleId="39">
    <w:name w:val="toc 9"/>
    <w:basedOn w:val="1"/>
    <w:next w:val="1"/>
    <w:qFormat/>
    <w:uiPriority w:val="99"/>
    <w:pPr>
      <w:ind w:left="1680"/>
      <w:jc w:val="left"/>
    </w:pPr>
    <w:rPr>
      <w:sz w:val="18"/>
      <w:szCs w:val="18"/>
    </w:rPr>
  </w:style>
  <w:style w:type="paragraph" w:styleId="40">
    <w:name w:val="Body Text 2"/>
    <w:basedOn w:val="1"/>
    <w:link w:val="118"/>
    <w:qFormat/>
    <w:uiPriority w:val="99"/>
    <w:pPr>
      <w:adjustRightInd w:val="0"/>
      <w:spacing w:line="400" w:lineRule="exact"/>
      <w:jc w:val="left"/>
      <w:textAlignment w:val="baseline"/>
      <w:outlineLvl w:val="0"/>
    </w:pPr>
    <w:rPr>
      <w:rFonts w:asci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2">
    <w:name w:val="Title"/>
    <w:basedOn w:val="1"/>
    <w:next w:val="1"/>
    <w:link w:val="113"/>
    <w:qFormat/>
    <w:uiPriority w:val="99"/>
    <w:pPr>
      <w:spacing w:before="240" w:after="60"/>
      <w:jc w:val="center"/>
      <w:outlineLvl w:val="0"/>
    </w:pPr>
    <w:rPr>
      <w:rFonts w:ascii="Cambria" w:hAnsi="Cambria"/>
      <w:b/>
      <w:sz w:val="32"/>
    </w:rPr>
  </w:style>
  <w:style w:type="paragraph" w:styleId="43">
    <w:name w:val="annotation subject"/>
    <w:basedOn w:val="15"/>
    <w:next w:val="15"/>
    <w:link w:val="125"/>
    <w:qFormat/>
    <w:uiPriority w:val="99"/>
    <w:rPr>
      <w:b/>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basedOn w:val="46"/>
    <w:qFormat/>
    <w:uiPriority w:val="99"/>
    <w:rPr>
      <w:rFonts w:cs="Times New Roman"/>
    </w:rPr>
  </w:style>
  <w:style w:type="character" w:styleId="49">
    <w:name w:val="FollowedHyperlink"/>
    <w:qFormat/>
    <w:uiPriority w:val="99"/>
    <w:rPr>
      <w:rFonts w:cs="Times New Roman"/>
      <w:color w:val="337AB7"/>
      <w:u w:val="none"/>
    </w:rPr>
  </w:style>
  <w:style w:type="character" w:styleId="50">
    <w:name w:val="Emphasis"/>
    <w:qFormat/>
    <w:uiPriority w:val="99"/>
    <w:rPr>
      <w:rFonts w:cs="Times New Roman"/>
      <w:i/>
    </w:rPr>
  </w:style>
  <w:style w:type="character" w:styleId="51">
    <w:name w:val="HTML Definition"/>
    <w:qFormat/>
    <w:uiPriority w:val="99"/>
    <w:rPr>
      <w:rFonts w:cs="Times New Roman"/>
      <w:i/>
    </w:rPr>
  </w:style>
  <w:style w:type="character" w:styleId="52">
    <w:name w:val="Hyperlink"/>
    <w:qFormat/>
    <w:uiPriority w:val="99"/>
    <w:rPr>
      <w:rFonts w:cs="Times New Roman"/>
      <w:color w:val="337AB7"/>
      <w:u w:val="none"/>
    </w:rPr>
  </w:style>
  <w:style w:type="character" w:styleId="53">
    <w:name w:val="HTML Code"/>
    <w:qFormat/>
    <w:uiPriority w:val="99"/>
    <w:rPr>
      <w:rFonts w:ascii="Menlo" w:hAnsi="Menlo" w:cs="Times New Roman"/>
      <w:color w:val="C7254E"/>
      <w:sz w:val="21"/>
      <w:shd w:val="clear" w:color="auto" w:fill="F9F2F4"/>
    </w:rPr>
  </w:style>
  <w:style w:type="character" w:styleId="54">
    <w:name w:val="annotation reference"/>
    <w:qFormat/>
    <w:uiPriority w:val="99"/>
    <w:rPr>
      <w:rFonts w:ascii="Times New Roman" w:hAnsi="Times New Roman" w:cs="Times New Roman"/>
      <w:sz w:val="21"/>
    </w:rPr>
  </w:style>
  <w:style w:type="character" w:styleId="55">
    <w:name w:val="HTML Keyboard"/>
    <w:qFormat/>
    <w:uiPriority w:val="99"/>
    <w:rPr>
      <w:rFonts w:ascii="Menlo" w:hAnsi="Menlo" w:cs="Times New Roman"/>
      <w:color w:val="FFFFFF"/>
      <w:sz w:val="21"/>
      <w:shd w:val="clear" w:color="auto" w:fill="333333"/>
    </w:rPr>
  </w:style>
  <w:style w:type="character" w:styleId="56">
    <w:name w:val="HTML Sample"/>
    <w:qFormat/>
    <w:uiPriority w:val="99"/>
    <w:rPr>
      <w:rFonts w:ascii="Menlo" w:hAnsi="Menlo" w:cs="Times New Roman"/>
      <w:sz w:val="21"/>
    </w:rPr>
  </w:style>
  <w:style w:type="paragraph" w:customStyle="1" w:styleId="57">
    <w:name w:val="表格文字"/>
    <w:basedOn w:val="17"/>
    <w:next w:val="17"/>
    <w:qFormat/>
    <w:uiPriority w:val="0"/>
    <w:rPr>
      <w:spacing w:val="-20"/>
      <w:sz w:val="24"/>
      <w:szCs w:val="20"/>
    </w:rPr>
  </w:style>
  <w:style w:type="character" w:customStyle="1" w:styleId="58">
    <w:name w:val="Heading 1 Char"/>
    <w:qFormat/>
    <w:locked/>
    <w:uiPriority w:val="99"/>
    <w:rPr>
      <w:rFonts w:eastAsia="黑体" w:cs="Times New Roman"/>
      <w:b/>
      <w:kern w:val="44"/>
      <w:sz w:val="32"/>
    </w:rPr>
  </w:style>
  <w:style w:type="character" w:customStyle="1" w:styleId="59">
    <w:name w:val="标题 2 Char"/>
    <w:link w:val="3"/>
    <w:qFormat/>
    <w:locked/>
    <w:uiPriority w:val="99"/>
    <w:rPr>
      <w:rFonts w:ascii="Arial" w:hAnsi="Arial" w:eastAsia="黑体" w:cs="Times New Roman"/>
      <w:b/>
      <w:kern w:val="2"/>
      <w:sz w:val="32"/>
      <w:lang w:val="en-US" w:eastAsia="zh-CN"/>
    </w:rPr>
  </w:style>
  <w:style w:type="character" w:customStyle="1" w:styleId="60">
    <w:name w:val="Heading 3 Char"/>
    <w:qFormat/>
    <w:locked/>
    <w:uiPriority w:val="99"/>
    <w:rPr>
      <w:rFonts w:eastAsia="宋体" w:cs="Times New Roman"/>
      <w:b/>
      <w:kern w:val="2"/>
      <w:sz w:val="32"/>
      <w:lang w:val="en-US" w:eastAsia="zh-CN"/>
    </w:rPr>
  </w:style>
  <w:style w:type="character" w:customStyle="1" w:styleId="61">
    <w:name w:val="标题 4 Char"/>
    <w:link w:val="5"/>
    <w:qFormat/>
    <w:locked/>
    <w:uiPriority w:val="99"/>
    <w:rPr>
      <w:rFonts w:ascii="Cambria" w:hAnsi="Cambria" w:eastAsia="宋体" w:cs="Times New Roman"/>
      <w:kern w:val="2"/>
      <w:sz w:val="28"/>
    </w:rPr>
  </w:style>
  <w:style w:type="character" w:customStyle="1" w:styleId="62">
    <w:name w:val="标题 5 Char"/>
    <w:link w:val="6"/>
    <w:qFormat/>
    <w:locked/>
    <w:uiPriority w:val="99"/>
    <w:rPr>
      <w:rFonts w:ascii="Calibri" w:hAnsi="Calibri" w:eastAsia="宋体" w:cs="Times New Roman"/>
      <w:b/>
      <w:kern w:val="2"/>
      <w:sz w:val="28"/>
    </w:rPr>
  </w:style>
  <w:style w:type="character" w:customStyle="1" w:styleId="63">
    <w:name w:val="标题 6 Char"/>
    <w:link w:val="7"/>
    <w:qFormat/>
    <w:locked/>
    <w:uiPriority w:val="99"/>
    <w:rPr>
      <w:rFonts w:ascii="Cambria" w:hAnsi="Cambria" w:eastAsia="宋体" w:cs="Times New Roman"/>
      <w:b/>
      <w:kern w:val="2"/>
      <w:sz w:val="24"/>
    </w:rPr>
  </w:style>
  <w:style w:type="character" w:customStyle="1" w:styleId="64">
    <w:name w:val="标题 7 Char"/>
    <w:link w:val="8"/>
    <w:qFormat/>
    <w:locked/>
    <w:uiPriority w:val="99"/>
    <w:rPr>
      <w:rFonts w:eastAsia="宋体" w:cs="Times New Roman"/>
      <w:b/>
      <w:sz w:val="24"/>
    </w:rPr>
  </w:style>
  <w:style w:type="character" w:customStyle="1" w:styleId="65">
    <w:name w:val="标题 8 Char"/>
    <w:link w:val="9"/>
    <w:qFormat/>
    <w:locked/>
    <w:uiPriority w:val="99"/>
    <w:rPr>
      <w:rFonts w:ascii="Arial" w:hAnsi="Arial" w:eastAsia="黑体" w:cs="Times New Roman"/>
      <w:sz w:val="24"/>
    </w:rPr>
  </w:style>
  <w:style w:type="character" w:customStyle="1" w:styleId="66">
    <w:name w:val="标题 9 Char"/>
    <w:link w:val="10"/>
    <w:qFormat/>
    <w:locked/>
    <w:uiPriority w:val="99"/>
    <w:rPr>
      <w:rFonts w:ascii="Arial" w:hAnsi="Arial" w:eastAsia="黑体" w:cs="Times New Roman"/>
      <w:sz w:val="21"/>
    </w:rPr>
  </w:style>
  <w:style w:type="character" w:customStyle="1" w:styleId="67">
    <w:name w:val="标题 Char1"/>
    <w:qFormat/>
    <w:uiPriority w:val="99"/>
    <w:rPr>
      <w:rFonts w:ascii="Cambria" w:hAnsi="Cambria"/>
      <w:b/>
      <w:kern w:val="2"/>
      <w:sz w:val="32"/>
    </w:rPr>
  </w:style>
  <w:style w:type="character" w:customStyle="1" w:styleId="68">
    <w:name w:val="Body Text Char"/>
    <w:qFormat/>
    <w:locked/>
    <w:uiPriority w:val="99"/>
    <w:rPr>
      <w:rFonts w:eastAsia="宋体"/>
      <w:kern w:val="2"/>
      <w:sz w:val="24"/>
    </w:rPr>
  </w:style>
  <w:style w:type="character" w:customStyle="1" w:styleId="69">
    <w:name w:val="正文缩进 Char"/>
    <w:link w:val="12"/>
    <w:qFormat/>
    <w:locked/>
    <w:uiPriority w:val="99"/>
    <w:rPr>
      <w:rFonts w:eastAsia="宋体"/>
      <w:kern w:val="2"/>
      <w:sz w:val="21"/>
      <w:lang w:val="en-US" w:eastAsia="zh-CN"/>
    </w:rPr>
  </w:style>
  <w:style w:type="character" w:customStyle="1" w:styleId="70">
    <w:name w:val="不明显强调1"/>
    <w:qFormat/>
    <w:uiPriority w:val="99"/>
    <w:rPr>
      <w:rFonts w:cs="Times New Roman"/>
      <w:i/>
      <w:color w:val="808080"/>
    </w:rPr>
  </w:style>
  <w:style w:type="character" w:customStyle="1" w:styleId="71">
    <w:name w:val="Intense Quote Char"/>
    <w:qFormat/>
    <w:locked/>
    <w:uiPriority w:val="99"/>
    <w:rPr>
      <w:b/>
      <w:i/>
      <w:color w:val="4F81BD"/>
      <w:kern w:val="2"/>
      <w:sz w:val="22"/>
    </w:rPr>
  </w:style>
  <w:style w:type="character" w:customStyle="1" w:styleId="72">
    <w:name w:val="Subtitle Char"/>
    <w:qFormat/>
    <w:locked/>
    <w:uiPriority w:val="99"/>
    <w:rPr>
      <w:rFonts w:ascii="Cambria" w:hAnsi="Cambria"/>
      <w:b/>
      <w:kern w:val="28"/>
      <w:sz w:val="32"/>
    </w:rPr>
  </w:style>
  <w:style w:type="character" w:customStyle="1" w:styleId="73">
    <w:name w:val="Body Text 2 Char"/>
    <w:qFormat/>
    <w:locked/>
    <w:uiPriority w:val="99"/>
    <w:rPr>
      <w:rFonts w:ascii="宋体" w:eastAsia="宋体"/>
      <w:sz w:val="24"/>
    </w:rPr>
  </w:style>
  <w:style w:type="character" w:customStyle="1" w:styleId="74">
    <w:name w:val="文档结构图 Char1"/>
    <w:qFormat/>
    <w:uiPriority w:val="99"/>
    <w:rPr>
      <w:rFonts w:ascii="宋体"/>
      <w:kern w:val="2"/>
      <w:sz w:val="18"/>
    </w:rPr>
  </w:style>
  <w:style w:type="character" w:customStyle="1" w:styleId="75">
    <w:name w:val="Comment Subject Char"/>
    <w:qFormat/>
    <w:locked/>
    <w:uiPriority w:val="99"/>
    <w:rPr>
      <w:rFonts w:eastAsia="宋体"/>
      <w:b/>
      <w:kern w:val="2"/>
      <w:sz w:val="24"/>
    </w:rPr>
  </w:style>
  <w:style w:type="character" w:customStyle="1" w:styleId="76">
    <w:name w:val="text1"/>
    <w:qFormat/>
    <w:uiPriority w:val="99"/>
    <w:rPr>
      <w:spacing w:val="8"/>
      <w:sz w:val="21"/>
    </w:rPr>
  </w:style>
  <w:style w:type="character" w:customStyle="1" w:styleId="77">
    <w:name w:val="Comment Text Char1"/>
    <w:qFormat/>
    <w:locked/>
    <w:uiPriority w:val="99"/>
    <w:rPr>
      <w:rFonts w:eastAsia="宋体"/>
      <w:kern w:val="2"/>
      <w:sz w:val="24"/>
    </w:rPr>
  </w:style>
  <w:style w:type="character" w:customStyle="1" w:styleId="78">
    <w:name w:val="Comment Text Char"/>
    <w:qFormat/>
    <w:locked/>
    <w:uiPriority w:val="99"/>
    <w:rPr>
      <w:kern w:val="2"/>
      <w:sz w:val="24"/>
    </w:rPr>
  </w:style>
  <w:style w:type="character" w:customStyle="1" w:styleId="79">
    <w:name w:val="标题 1 Char"/>
    <w:link w:val="2"/>
    <w:qFormat/>
    <w:locked/>
    <w:uiPriority w:val="99"/>
    <w:rPr>
      <w:rFonts w:eastAsia="宋体"/>
      <w:b/>
      <w:kern w:val="44"/>
      <w:sz w:val="44"/>
      <w:lang w:val="en-US" w:eastAsia="zh-CN"/>
    </w:rPr>
  </w:style>
  <w:style w:type="character" w:customStyle="1" w:styleId="80">
    <w:name w:val="书籍标题1"/>
    <w:qFormat/>
    <w:uiPriority w:val="99"/>
    <w:rPr>
      <w:rFonts w:cs="Times New Roman"/>
      <w:b/>
      <w:smallCaps/>
      <w:spacing w:val="5"/>
    </w:rPr>
  </w:style>
  <w:style w:type="character" w:customStyle="1" w:styleId="81">
    <w:name w:val="明显参考1"/>
    <w:qFormat/>
    <w:uiPriority w:val="99"/>
    <w:rPr>
      <w:rFonts w:cs="Times New Roman"/>
      <w:b/>
      <w:smallCaps/>
      <w:color w:val="C0504D"/>
      <w:spacing w:val="5"/>
      <w:u w:val="single"/>
    </w:rPr>
  </w:style>
  <w:style w:type="character" w:customStyle="1" w:styleId="82">
    <w:name w:val="明显强调1"/>
    <w:qFormat/>
    <w:uiPriority w:val="99"/>
    <w:rPr>
      <w:rFonts w:cs="Times New Roman"/>
      <w:b/>
      <w:i/>
      <w:color w:val="4F81BD"/>
    </w:rPr>
  </w:style>
  <w:style w:type="character" w:customStyle="1" w:styleId="83">
    <w:name w:val="Footer Char"/>
    <w:qFormat/>
    <w:locked/>
    <w:uiPriority w:val="99"/>
    <w:rPr>
      <w:rFonts w:eastAsia="宋体"/>
      <w:kern w:val="2"/>
      <w:sz w:val="18"/>
      <w:lang w:val="en-US" w:eastAsia="zh-CN"/>
    </w:rPr>
  </w:style>
  <w:style w:type="character" w:customStyle="1" w:styleId="84">
    <w:name w:val="日期 Char1"/>
    <w:qFormat/>
    <w:uiPriority w:val="99"/>
    <w:rPr>
      <w:kern w:val="2"/>
      <w:sz w:val="22"/>
    </w:rPr>
  </w:style>
  <w:style w:type="character" w:customStyle="1" w:styleId="85">
    <w:name w:val="Body Text Indent 2 Char"/>
    <w:qFormat/>
    <w:locked/>
    <w:uiPriority w:val="99"/>
    <w:rPr>
      <w:rFonts w:ascii="宋体" w:eastAsia="宋体"/>
      <w:kern w:val="2"/>
      <w:sz w:val="30"/>
    </w:rPr>
  </w:style>
  <w:style w:type="character" w:customStyle="1" w:styleId="86">
    <w:name w:val="textcontents"/>
    <w:qFormat/>
    <w:uiPriority w:val="99"/>
  </w:style>
  <w:style w:type="character" w:customStyle="1" w:styleId="87">
    <w:name w:val="标题5 Char Char"/>
    <w:link w:val="88"/>
    <w:qFormat/>
    <w:locked/>
    <w:uiPriority w:val="99"/>
    <w:rPr>
      <w:rFonts w:ascii="Arial" w:hAnsi="Arial"/>
      <w:b/>
      <w:sz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Plain Text Char"/>
    <w:semiHidden/>
    <w:qFormat/>
    <w:locked/>
    <w:uiPriority w:val="99"/>
    <w:rPr>
      <w:rFonts w:ascii="宋体" w:hAnsi="Courier New" w:eastAsia="宋体"/>
      <w:kern w:val="2"/>
      <w:sz w:val="21"/>
      <w:lang w:val="en-US" w:eastAsia="zh-CN"/>
    </w:rPr>
  </w:style>
  <w:style w:type="character" w:customStyle="1" w:styleId="90">
    <w:name w:val="标题 3 Char"/>
    <w:link w:val="4"/>
    <w:qFormat/>
    <w:locked/>
    <w:uiPriority w:val="99"/>
    <w:rPr>
      <w:rFonts w:eastAsia="宋体"/>
      <w:b/>
      <w:kern w:val="2"/>
      <w:sz w:val="32"/>
      <w:lang w:val="en-US" w:eastAsia="zh-CN"/>
    </w:rPr>
  </w:style>
  <w:style w:type="character" w:customStyle="1" w:styleId="91">
    <w:name w:val="Date Char"/>
    <w:qFormat/>
    <w:locked/>
    <w:uiPriority w:val="99"/>
    <w:rPr>
      <w:rFonts w:eastAsia="宋体"/>
      <w:kern w:val="2"/>
      <w:sz w:val="24"/>
    </w:rPr>
  </w:style>
  <w:style w:type="character" w:customStyle="1" w:styleId="92">
    <w:name w:val="aspnetdisabled"/>
    <w:qFormat/>
    <w:uiPriority w:val="99"/>
  </w:style>
  <w:style w:type="character" w:customStyle="1" w:styleId="93">
    <w:name w:val="Document Map Char"/>
    <w:qFormat/>
    <w:locked/>
    <w:uiPriority w:val="99"/>
    <w:rPr>
      <w:rFonts w:eastAsia="宋体"/>
      <w:kern w:val="2"/>
      <w:sz w:val="24"/>
    </w:rPr>
  </w:style>
  <w:style w:type="character" w:customStyle="1" w:styleId="94">
    <w:name w:val="address-info"/>
    <w:qFormat/>
    <w:uiPriority w:val="99"/>
    <w:rPr>
      <w:rFonts w:cs="Times New Roman"/>
    </w:rPr>
  </w:style>
  <w:style w:type="character" w:customStyle="1" w:styleId="95">
    <w:name w:val="Body Text Indent 3 Char"/>
    <w:qFormat/>
    <w:locked/>
    <w:uiPriority w:val="99"/>
    <w:rPr>
      <w:rFonts w:eastAsia="宋体"/>
      <w:kern w:val="2"/>
      <w:sz w:val="16"/>
    </w:rPr>
  </w:style>
  <w:style w:type="character" w:customStyle="1" w:styleId="96">
    <w:name w:val="副标题 Char1"/>
    <w:qFormat/>
    <w:uiPriority w:val="99"/>
    <w:rPr>
      <w:rFonts w:ascii="Cambria" w:hAnsi="Cambria"/>
      <w:b/>
      <w:kern w:val="28"/>
      <w:sz w:val="32"/>
    </w:rPr>
  </w:style>
  <w:style w:type="character" w:customStyle="1" w:styleId="97">
    <w:name w:val="批注主题 Char1"/>
    <w:qFormat/>
    <w:uiPriority w:val="99"/>
    <w:rPr>
      <w:b/>
      <w:kern w:val="2"/>
      <w:sz w:val="22"/>
    </w:rPr>
  </w:style>
  <w:style w:type="character" w:customStyle="1" w:styleId="98">
    <w:name w:val="Quote Char"/>
    <w:qFormat/>
    <w:locked/>
    <w:uiPriority w:val="99"/>
    <w:rPr>
      <w:i/>
      <w:color w:val="000000"/>
      <w:kern w:val="2"/>
      <w:sz w:val="22"/>
    </w:rPr>
  </w:style>
  <w:style w:type="character" w:customStyle="1" w:styleId="99">
    <w:name w:val="批注文字 Char Char"/>
    <w:qFormat/>
    <w:uiPriority w:val="99"/>
    <w:rPr>
      <w:rFonts w:ascii="宋体" w:hAnsi="Times New Roman" w:eastAsia="宋体"/>
      <w:sz w:val="20"/>
    </w:rPr>
  </w:style>
  <w:style w:type="character" w:customStyle="1" w:styleId="100">
    <w:name w:val="明显引用 Char1"/>
    <w:qFormat/>
    <w:uiPriority w:val="99"/>
    <w:rPr>
      <w:b/>
      <w:i/>
      <w:color w:val="4F81BD"/>
      <w:kern w:val="2"/>
      <w:sz w:val="24"/>
    </w:rPr>
  </w:style>
  <w:style w:type="character" w:customStyle="1" w:styleId="101">
    <w:name w:val="Header Char"/>
    <w:qFormat/>
    <w:locked/>
    <w:uiPriority w:val="99"/>
    <w:rPr>
      <w:rFonts w:eastAsia="宋体"/>
      <w:kern w:val="2"/>
      <w:sz w:val="18"/>
      <w:lang w:val="en-US" w:eastAsia="zh-CN"/>
    </w:rPr>
  </w:style>
  <w:style w:type="character" w:customStyle="1" w:styleId="102">
    <w:name w:val="Balloon Text Char"/>
    <w:qFormat/>
    <w:locked/>
    <w:uiPriority w:val="99"/>
    <w:rPr>
      <w:rFonts w:eastAsia="宋体"/>
      <w:kern w:val="2"/>
      <w:sz w:val="18"/>
      <w:lang w:val="en-US" w:eastAsia="zh-CN"/>
    </w:rPr>
  </w:style>
  <w:style w:type="character" w:customStyle="1" w:styleId="103">
    <w:name w:val="引用 Char1"/>
    <w:qFormat/>
    <w:uiPriority w:val="99"/>
    <w:rPr>
      <w:i/>
      <w:color w:val="000000"/>
      <w:kern w:val="2"/>
      <w:sz w:val="24"/>
    </w:rPr>
  </w:style>
  <w:style w:type="character" w:customStyle="1" w:styleId="104">
    <w:name w:val="正文文本缩进 Char1"/>
    <w:semiHidden/>
    <w:qFormat/>
    <w:uiPriority w:val="99"/>
    <w:rPr>
      <w:kern w:val="2"/>
      <w:sz w:val="24"/>
    </w:rPr>
  </w:style>
  <w:style w:type="character" w:customStyle="1" w:styleId="105">
    <w:name w:val="样式1 Char"/>
    <w:link w:val="106"/>
    <w:qFormat/>
    <w:locked/>
    <w:uiPriority w:val="99"/>
    <w:rPr>
      <w:rFonts w:ascii="宋体" w:hAnsi="宋体" w:eastAsia="宋体"/>
      <w:kern w:val="2"/>
      <w:sz w:val="21"/>
      <w:lang w:val="en-US" w:eastAsia="zh-CN"/>
    </w:rPr>
  </w:style>
  <w:style w:type="paragraph" w:customStyle="1" w:styleId="106">
    <w:name w:val="样式1"/>
    <w:basedOn w:val="1"/>
    <w:next w:val="5"/>
    <w:link w:val="105"/>
    <w:qFormat/>
    <w:uiPriority w:val="99"/>
    <w:pPr>
      <w:spacing w:line="360" w:lineRule="auto"/>
      <w:ind w:firstLine="420" w:firstLineChars="200"/>
    </w:pPr>
    <w:rPr>
      <w:rFonts w:ascii="宋体" w:hAnsi="宋体"/>
    </w:rPr>
  </w:style>
  <w:style w:type="character" w:customStyle="1" w:styleId="107">
    <w:name w:val="Body Text 3 Char"/>
    <w:qFormat/>
    <w:locked/>
    <w:uiPriority w:val="99"/>
    <w:rPr>
      <w:rFonts w:ascii="宋体" w:hAnsi="宋体" w:eastAsia="宋体"/>
      <w:sz w:val="24"/>
      <w:shd w:val="pct10" w:color="auto" w:fill="FFFFFF"/>
    </w:rPr>
  </w:style>
  <w:style w:type="character" w:customStyle="1" w:styleId="108">
    <w:name w:val="批注框文本 Char1"/>
    <w:qFormat/>
    <w:uiPriority w:val="99"/>
    <w:rPr>
      <w:kern w:val="2"/>
      <w:sz w:val="18"/>
    </w:rPr>
  </w:style>
  <w:style w:type="character" w:customStyle="1" w:styleId="109">
    <w:name w:val="不明显参考1"/>
    <w:qFormat/>
    <w:uiPriority w:val="99"/>
    <w:rPr>
      <w:rFonts w:cs="Times New Roman"/>
      <w:smallCaps/>
      <w:color w:val="C0504D"/>
      <w:u w:val="single"/>
    </w:rPr>
  </w:style>
  <w:style w:type="character" w:customStyle="1" w:styleId="110">
    <w:name w:val="正文文本 Char1"/>
    <w:qFormat/>
    <w:uiPriority w:val="99"/>
    <w:rPr>
      <w:kern w:val="2"/>
      <w:sz w:val="24"/>
    </w:rPr>
  </w:style>
  <w:style w:type="character" w:customStyle="1" w:styleId="111">
    <w:name w:val="Title Char"/>
    <w:qFormat/>
    <w:locked/>
    <w:uiPriority w:val="99"/>
    <w:rPr>
      <w:rFonts w:ascii="Cambria" w:hAnsi="Cambria"/>
      <w:b/>
      <w:kern w:val="2"/>
      <w:sz w:val="32"/>
    </w:rPr>
  </w:style>
  <w:style w:type="character" w:customStyle="1" w:styleId="112">
    <w:name w:val="Body Text Indent Char"/>
    <w:qFormat/>
    <w:locked/>
    <w:uiPriority w:val="99"/>
    <w:rPr>
      <w:rFonts w:eastAsia="宋体"/>
      <w:kern w:val="2"/>
      <w:sz w:val="24"/>
    </w:rPr>
  </w:style>
  <w:style w:type="character" w:customStyle="1" w:styleId="113">
    <w:name w:val="标题 Char"/>
    <w:link w:val="42"/>
    <w:qFormat/>
    <w:locked/>
    <w:uiPriority w:val="99"/>
    <w:rPr>
      <w:rFonts w:ascii="Cambria" w:hAnsi="Cambria" w:cs="Times New Roman"/>
      <w:b/>
      <w:bCs/>
      <w:sz w:val="32"/>
      <w:szCs w:val="32"/>
    </w:rPr>
  </w:style>
  <w:style w:type="character" w:customStyle="1" w:styleId="114">
    <w:name w:val="文档结构图 Char"/>
    <w:link w:val="14"/>
    <w:semiHidden/>
    <w:qFormat/>
    <w:locked/>
    <w:uiPriority w:val="99"/>
    <w:rPr>
      <w:rFonts w:cs="Times New Roman"/>
      <w:sz w:val="2"/>
    </w:rPr>
  </w:style>
  <w:style w:type="character" w:customStyle="1" w:styleId="115">
    <w:name w:val="纯文本 Char"/>
    <w:link w:val="25"/>
    <w:semiHidden/>
    <w:qFormat/>
    <w:locked/>
    <w:uiPriority w:val="99"/>
    <w:rPr>
      <w:rFonts w:ascii="宋体" w:hAnsi="Courier New" w:cs="Courier New"/>
      <w:sz w:val="21"/>
      <w:szCs w:val="21"/>
    </w:rPr>
  </w:style>
  <w:style w:type="character" w:customStyle="1" w:styleId="116">
    <w:name w:val="批注文字 Char"/>
    <w:link w:val="15"/>
    <w:semiHidden/>
    <w:qFormat/>
    <w:locked/>
    <w:uiPriority w:val="99"/>
    <w:rPr>
      <w:rFonts w:cs="Times New Roman"/>
      <w:sz w:val="20"/>
      <w:szCs w:val="20"/>
    </w:rPr>
  </w:style>
  <w:style w:type="character" w:customStyle="1" w:styleId="117">
    <w:name w:val="正文文本缩进 3 Char"/>
    <w:link w:val="37"/>
    <w:semiHidden/>
    <w:qFormat/>
    <w:locked/>
    <w:uiPriority w:val="99"/>
    <w:rPr>
      <w:rFonts w:cs="Times New Roman"/>
      <w:sz w:val="16"/>
      <w:szCs w:val="16"/>
    </w:rPr>
  </w:style>
  <w:style w:type="character" w:customStyle="1" w:styleId="118">
    <w:name w:val="正文文本 2 Char"/>
    <w:link w:val="40"/>
    <w:semiHidden/>
    <w:qFormat/>
    <w:locked/>
    <w:uiPriority w:val="99"/>
    <w:rPr>
      <w:rFonts w:cs="Times New Roman"/>
      <w:sz w:val="20"/>
      <w:szCs w:val="20"/>
    </w:rPr>
  </w:style>
  <w:style w:type="character" w:customStyle="1" w:styleId="119">
    <w:name w:val="页脚 Char"/>
    <w:link w:val="30"/>
    <w:qFormat/>
    <w:locked/>
    <w:uiPriority w:val="99"/>
    <w:rPr>
      <w:rFonts w:cs="Times New Roman"/>
      <w:sz w:val="18"/>
      <w:szCs w:val="18"/>
    </w:rPr>
  </w:style>
  <w:style w:type="character" w:customStyle="1" w:styleId="120">
    <w:name w:val="正文文本缩进 Char"/>
    <w:link w:val="19"/>
    <w:semiHidden/>
    <w:qFormat/>
    <w:locked/>
    <w:uiPriority w:val="99"/>
    <w:rPr>
      <w:rFonts w:cs="Times New Roman"/>
      <w:sz w:val="20"/>
      <w:szCs w:val="20"/>
    </w:rPr>
  </w:style>
  <w:style w:type="character" w:customStyle="1" w:styleId="121">
    <w:name w:val="正文文本 Char"/>
    <w:link w:val="17"/>
    <w:semiHidden/>
    <w:qFormat/>
    <w:locked/>
    <w:uiPriority w:val="99"/>
    <w:rPr>
      <w:rFonts w:cs="Times New Roman"/>
      <w:sz w:val="20"/>
      <w:szCs w:val="20"/>
    </w:rPr>
  </w:style>
  <w:style w:type="character" w:customStyle="1" w:styleId="122">
    <w:name w:val="页眉 Char"/>
    <w:link w:val="31"/>
    <w:qFormat/>
    <w:locked/>
    <w:uiPriority w:val="99"/>
    <w:rPr>
      <w:rFonts w:cs="Times New Roman"/>
      <w:sz w:val="18"/>
      <w:szCs w:val="18"/>
    </w:rPr>
  </w:style>
  <w:style w:type="character" w:customStyle="1" w:styleId="123">
    <w:name w:val="副标题 Char"/>
    <w:link w:val="34"/>
    <w:qFormat/>
    <w:locked/>
    <w:uiPriority w:val="99"/>
    <w:rPr>
      <w:rFonts w:ascii="Cambria" w:hAnsi="Cambria" w:cs="Times New Roman"/>
      <w:b/>
      <w:bCs/>
      <w:kern w:val="28"/>
      <w:sz w:val="32"/>
      <w:szCs w:val="32"/>
    </w:rPr>
  </w:style>
  <w:style w:type="character" w:customStyle="1" w:styleId="124">
    <w:name w:val="日期 Char"/>
    <w:link w:val="27"/>
    <w:semiHidden/>
    <w:qFormat/>
    <w:locked/>
    <w:uiPriority w:val="99"/>
    <w:rPr>
      <w:rFonts w:cs="Times New Roman"/>
      <w:sz w:val="20"/>
      <w:szCs w:val="20"/>
    </w:rPr>
  </w:style>
  <w:style w:type="character" w:customStyle="1" w:styleId="125">
    <w:name w:val="批注主题 Char"/>
    <w:link w:val="43"/>
    <w:semiHidden/>
    <w:qFormat/>
    <w:locked/>
    <w:uiPriority w:val="99"/>
    <w:rPr>
      <w:rFonts w:eastAsia="宋体" w:cs="Times New Roman"/>
      <w:b/>
      <w:bCs/>
      <w:kern w:val="2"/>
      <w:sz w:val="20"/>
      <w:szCs w:val="20"/>
    </w:rPr>
  </w:style>
  <w:style w:type="character" w:customStyle="1" w:styleId="126">
    <w:name w:val="正文文本 3 Char"/>
    <w:link w:val="16"/>
    <w:semiHidden/>
    <w:qFormat/>
    <w:locked/>
    <w:uiPriority w:val="99"/>
    <w:rPr>
      <w:rFonts w:cs="Times New Roman"/>
      <w:sz w:val="16"/>
      <w:szCs w:val="16"/>
    </w:rPr>
  </w:style>
  <w:style w:type="character" w:customStyle="1" w:styleId="127">
    <w:name w:val="正文文本缩进 2 Char"/>
    <w:link w:val="28"/>
    <w:semiHidden/>
    <w:qFormat/>
    <w:locked/>
    <w:uiPriority w:val="99"/>
    <w:rPr>
      <w:rFonts w:cs="Times New Roman"/>
      <w:sz w:val="20"/>
      <w:szCs w:val="20"/>
    </w:rPr>
  </w:style>
  <w:style w:type="character" w:customStyle="1" w:styleId="128">
    <w:name w:val="批注框文本 Char"/>
    <w:link w:val="29"/>
    <w:semiHidden/>
    <w:qFormat/>
    <w:locked/>
    <w:uiPriority w:val="99"/>
    <w:rPr>
      <w:rFonts w:cs="Times New Roman"/>
      <w:sz w:val="2"/>
    </w:rPr>
  </w:style>
  <w:style w:type="paragraph" w:customStyle="1" w:styleId="129">
    <w:name w:val="Char Char1 Char Char Char Char Char Char Char Char"/>
    <w:basedOn w:val="1"/>
    <w:qFormat/>
    <w:uiPriority w:val="99"/>
    <w:pPr>
      <w:widowControl/>
      <w:spacing w:after="160" w:line="240" w:lineRule="exact"/>
      <w:jc w:val="left"/>
    </w:pPr>
  </w:style>
  <w:style w:type="paragraph" w:customStyle="1" w:styleId="13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31">
    <w:name w:val="Char"/>
    <w:basedOn w:val="1"/>
    <w:qFormat/>
    <w:uiPriority w:val="99"/>
    <w:pPr>
      <w:tabs>
        <w:tab w:val="left" w:pos="360"/>
      </w:tabs>
    </w:pPr>
    <w:rPr>
      <w:sz w:val="24"/>
      <w:szCs w:val="24"/>
    </w:rPr>
  </w:style>
  <w:style w:type="paragraph" w:customStyle="1" w:styleId="132">
    <w:name w:val="reader-word-layer reader-word-s4-12"/>
    <w:basedOn w:val="1"/>
    <w:qFormat/>
    <w:uiPriority w:val="99"/>
    <w:pPr>
      <w:widowControl/>
      <w:spacing w:before="100" w:beforeAutospacing="1" w:after="100" w:afterAutospacing="1"/>
      <w:jc w:val="left"/>
    </w:pPr>
    <w:rPr>
      <w:rFonts w:ascii="宋体" w:hAnsi="宋体" w:cs="宋体"/>
      <w:kern w:val="0"/>
      <w:sz w:val="24"/>
      <w:szCs w:val="24"/>
    </w:rPr>
  </w:style>
  <w:style w:type="paragraph" w:styleId="1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4">
    <w:name w:val="样式7"/>
    <w:basedOn w:val="1"/>
    <w:qFormat/>
    <w:uiPriority w:val="99"/>
    <w:pPr>
      <w:spacing w:line="500" w:lineRule="exact"/>
      <w:jc w:val="center"/>
    </w:pPr>
    <w:rPr>
      <w:rFonts w:ascii="宋体"/>
      <w:b/>
      <w:sz w:val="32"/>
    </w:rPr>
  </w:style>
  <w:style w:type="paragraph" w:customStyle="1" w:styleId="135">
    <w:name w:val="修订1"/>
    <w:qFormat/>
    <w:uiPriority w:val="99"/>
    <w:rPr>
      <w:rFonts w:ascii="Times New Roman" w:hAnsi="Times New Roman" w:eastAsia="宋体" w:cs="Times New Roman"/>
      <w:kern w:val="2"/>
      <w:sz w:val="21"/>
      <w:szCs w:val="24"/>
      <w:lang w:val="en-US" w:eastAsia="zh-CN" w:bidi="ar-SA"/>
    </w:rPr>
  </w:style>
  <w:style w:type="paragraph" w:customStyle="1" w:styleId="136">
    <w:name w:val="样式 标题 4 +"/>
    <w:basedOn w:val="5"/>
    <w:qFormat/>
    <w:uiPriority w:val="99"/>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styleId="137">
    <w:name w:val="Quote"/>
    <w:basedOn w:val="1"/>
    <w:next w:val="1"/>
    <w:link w:val="138"/>
    <w:qFormat/>
    <w:uiPriority w:val="99"/>
    <w:rPr>
      <w:i/>
      <w:color w:val="000000"/>
      <w:sz w:val="22"/>
    </w:rPr>
  </w:style>
  <w:style w:type="character" w:customStyle="1" w:styleId="138">
    <w:name w:val="引用 Char"/>
    <w:link w:val="137"/>
    <w:qFormat/>
    <w:locked/>
    <w:uiPriority w:val="99"/>
    <w:rPr>
      <w:rFonts w:cs="Times New Roman"/>
      <w:i/>
      <w:iCs/>
      <w:color w:val="000000"/>
      <w:sz w:val="20"/>
      <w:szCs w:val="20"/>
    </w:rPr>
  </w:style>
  <w:style w:type="paragraph" w:customStyle="1" w:styleId="139">
    <w:name w:val="p0"/>
    <w:basedOn w:val="1"/>
    <w:qFormat/>
    <w:uiPriority w:val="99"/>
    <w:pPr>
      <w:widowControl/>
    </w:pPr>
    <w:rPr>
      <w:kern w:val="0"/>
      <w:szCs w:val="21"/>
    </w:rPr>
  </w:style>
  <w:style w:type="paragraph" w:styleId="140">
    <w:name w:val="Intense Quote"/>
    <w:basedOn w:val="1"/>
    <w:next w:val="1"/>
    <w:link w:val="141"/>
    <w:qFormat/>
    <w:uiPriority w:val="99"/>
    <w:pPr>
      <w:pBdr>
        <w:bottom w:val="single" w:color="4F81BD" w:sz="4" w:space="4"/>
      </w:pBdr>
      <w:spacing w:before="200" w:after="280"/>
      <w:ind w:left="936" w:right="936"/>
    </w:pPr>
    <w:rPr>
      <w:b/>
      <w:i/>
      <w:color w:val="4F81BD"/>
      <w:sz w:val="22"/>
    </w:rPr>
  </w:style>
  <w:style w:type="character" w:customStyle="1" w:styleId="141">
    <w:name w:val="明显引用 Char"/>
    <w:link w:val="140"/>
    <w:qFormat/>
    <w:locked/>
    <w:uiPriority w:val="99"/>
    <w:rPr>
      <w:rFonts w:cs="Times New Roman"/>
      <w:b/>
      <w:bCs/>
      <w:i/>
      <w:iCs/>
      <w:color w:val="4F81BD"/>
      <w:sz w:val="20"/>
      <w:szCs w:val="20"/>
    </w:rPr>
  </w:style>
  <w:style w:type="paragraph" w:customStyle="1" w:styleId="142">
    <w:name w:val="TOC 标题1"/>
    <w:basedOn w:val="2"/>
    <w:next w:val="1"/>
    <w:qFormat/>
    <w:uiPriority w:val="99"/>
    <w:pPr>
      <w:spacing w:line="576" w:lineRule="auto"/>
      <w:outlineLvl w:val="9"/>
    </w:pPr>
    <w:rPr>
      <w:rFonts w:ascii="Calibri" w:hAnsi="Calibri"/>
    </w:rPr>
  </w:style>
  <w:style w:type="paragraph" w:customStyle="1" w:styleId="143">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144">
    <w:name w:val="1"/>
    <w:basedOn w:val="1"/>
    <w:next w:val="37"/>
    <w:qFormat/>
    <w:uiPriority w:val="99"/>
    <w:pPr>
      <w:spacing w:line="360" w:lineRule="auto"/>
      <w:ind w:firstLine="567"/>
    </w:pPr>
    <w:rPr>
      <w:sz w:val="24"/>
      <w:szCs w:val="24"/>
    </w:rPr>
  </w:style>
  <w:style w:type="paragraph" w:customStyle="1" w:styleId="145">
    <w:name w:val="样式X"/>
    <w:basedOn w:val="1"/>
    <w:qFormat/>
    <w:uiPriority w:val="99"/>
    <w:pPr>
      <w:tabs>
        <w:tab w:val="left" w:pos="1020"/>
      </w:tabs>
      <w:adjustRightInd w:val="0"/>
      <w:spacing w:after="460" w:line="360" w:lineRule="auto"/>
      <w:ind w:left="1020" w:hanging="540"/>
      <w:textAlignment w:val="baseline"/>
    </w:pPr>
    <w:rPr>
      <w:kern w:val="0"/>
    </w:rPr>
  </w:style>
  <w:style w:type="paragraph" w:customStyle="1" w:styleId="146">
    <w:name w:val="样式 标题 3 + (中文) 黑体 小四 非加粗 段前: 7.8 磅 段后: 0 磅 行距: 固定值 20 磅"/>
    <w:basedOn w:val="4"/>
    <w:qFormat/>
    <w:uiPriority w:val="99"/>
    <w:pPr>
      <w:spacing w:before="0" w:after="0" w:line="400" w:lineRule="exact"/>
    </w:pPr>
    <w:rPr>
      <w:rFonts w:eastAsia="黑体" w:cs="宋体"/>
      <w:b w:val="0"/>
      <w:sz w:val="24"/>
    </w:rPr>
  </w:style>
  <w:style w:type="paragraph" w:customStyle="1" w:styleId="147">
    <w:name w:val="flNote"/>
    <w:basedOn w:val="1"/>
    <w:qFormat/>
    <w:uiPriority w:val="99"/>
    <w:pPr>
      <w:adjustRightInd w:val="0"/>
      <w:spacing w:before="320" w:after="160" w:line="360" w:lineRule="atLeast"/>
      <w:jc w:val="center"/>
      <w:textAlignment w:val="baseline"/>
    </w:pPr>
    <w:rPr>
      <w:rFonts w:ascii="Arial" w:eastAsia="黑体"/>
      <w:kern w:val="0"/>
      <w:sz w:val="30"/>
    </w:rPr>
  </w:style>
  <w:style w:type="paragraph" w:customStyle="1" w:styleId="148">
    <w:name w:val="默认段落字体 Para Char Char Char Char"/>
    <w:basedOn w:val="1"/>
    <w:qFormat/>
    <w:uiPriority w:val="99"/>
    <w:rPr>
      <w:sz w:val="28"/>
      <w:szCs w:val="24"/>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rPr>
  </w:style>
  <w:style w:type="paragraph" w:customStyle="1" w:styleId="151">
    <w:name w:val="Char Char Char Char Char Char Char"/>
    <w:basedOn w:val="1"/>
    <w:qFormat/>
    <w:uiPriority w:val="99"/>
    <w:rPr>
      <w:kern w:val="0"/>
    </w:rPr>
  </w:style>
  <w:style w:type="paragraph" w:customStyle="1" w:styleId="152">
    <w:name w:val="Char1"/>
    <w:basedOn w:val="1"/>
    <w:qFormat/>
    <w:uiPriority w:val="99"/>
    <w:rPr>
      <w:rFonts w:ascii="仿宋_GB2312" w:eastAsia="仿宋_GB2312"/>
      <w:b/>
      <w:sz w:val="32"/>
      <w:szCs w:val="32"/>
    </w:rPr>
  </w:style>
  <w:style w:type="paragraph" w:customStyle="1" w:styleId="153">
    <w:name w:val="_Style 26"/>
    <w:basedOn w:val="1"/>
    <w:next w:val="25"/>
    <w:qFormat/>
    <w:uiPriority w:val="99"/>
    <w:rPr>
      <w:rFonts w:ascii="宋体" w:hAnsi="Courier New"/>
    </w:rPr>
  </w:style>
  <w:style w:type="paragraph" w:customStyle="1" w:styleId="154">
    <w:name w:val="Char2"/>
    <w:basedOn w:val="1"/>
    <w:qFormat/>
    <w:uiPriority w:val="99"/>
    <w:rPr>
      <w:rFonts w:ascii="Tahoma" w:hAnsi="Tahoma"/>
      <w:sz w:val="24"/>
    </w:rPr>
  </w:style>
  <w:style w:type="paragraph" w:customStyle="1" w:styleId="155">
    <w:name w:val="aa"/>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156">
    <w:name w:val="Char Char Char Char"/>
    <w:basedOn w:val="1"/>
    <w:qFormat/>
    <w:uiPriority w:val="99"/>
    <w:pPr>
      <w:spacing w:line="360" w:lineRule="auto"/>
      <w:jc w:val="center"/>
    </w:pPr>
    <w:rPr>
      <w:rFonts w:eastAsia="仿宋_GB2312"/>
      <w:b/>
      <w:sz w:val="28"/>
      <w:szCs w:val="32"/>
    </w:rPr>
  </w:style>
  <w:style w:type="paragraph" w:customStyle="1" w:styleId="157">
    <w:name w:val="样式Y"/>
    <w:basedOn w:val="145"/>
    <w:next w:val="145"/>
    <w:qFormat/>
    <w:uiPriority w:val="99"/>
    <w:pPr>
      <w:numPr>
        <w:ilvl w:val="1"/>
        <w:numId w:val="1"/>
      </w:numPr>
      <w:tabs>
        <w:tab w:val="clear" w:pos="1020"/>
      </w:tabs>
    </w:pPr>
    <w:rPr>
      <w:b/>
    </w:rPr>
  </w:style>
  <w:style w:type="character" w:customStyle="1" w:styleId="158">
    <w:name w:val="未处理的提及1"/>
    <w:semiHidden/>
    <w:qFormat/>
    <w:uiPriority w:val="99"/>
    <w:rPr>
      <w:color w:val="605E5C"/>
      <w:shd w:val="clear" w:color="auto" w:fill="E1DFDD"/>
    </w:rPr>
  </w:style>
  <w:style w:type="paragraph" w:customStyle="1" w:styleId="159">
    <w:name w:val="_Style 4"/>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F0940-B84C-4CF4-96F6-1273FF541D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11188</Words>
  <Characters>12039</Characters>
  <Lines>24</Lines>
  <Paragraphs>35</Paragraphs>
  <TotalTime>14</TotalTime>
  <ScaleCrop>false</ScaleCrop>
  <LinksUpToDate>false</LinksUpToDate>
  <CharactersWithSpaces>12203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2019-01-21T02:15:00Z</dcterms:created>
  <dc:creator>USER</dc:creator>
  <cp:lastModifiedBy>煌浦</cp:lastModifiedBy>
  <cp:lastPrinted>2020-06-30T02:02:00Z</cp:lastPrinted>
  <dcterms:modified xsi:type="dcterms:W3CDTF">2025-06-29T02:10:11Z</dcterms:modified>
  <dc:title>竞争性磋商文件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BD535CE77F724D4E9EF49CD4CFB7AFD8</vt:lpwstr>
  </property>
  <property fmtid="{D5CDD505-2E9C-101B-9397-08002B2CF9AE}" pid="4" name="KSOTemplateDocerSaveRecord">
    <vt:lpwstr>eyJoZGlkIjoiYjgwZjk1ZGVkNTA3MGFkMjBjZDlmMDc3YzlmY2I5ZmQiLCJ1c2VySWQiOiIxMDQ2NDY5NTY5In0=</vt:lpwstr>
  </property>
</Properties>
</file>