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A5C" w:rsidRPr="00DB6D32" w:rsidRDefault="00D80A5C" w:rsidP="00D80A5C">
      <w:pPr>
        <w:pStyle w:val="2"/>
        <w:spacing w:before="0" w:after="0" w:line="360" w:lineRule="auto"/>
        <w:rPr>
          <w:rFonts w:ascii="宋体" w:eastAsia="宋体" w:hAnsi="宋体" w:cs="宋体"/>
          <w:sz w:val="21"/>
          <w:szCs w:val="21"/>
        </w:rPr>
      </w:pPr>
      <w:bookmarkStart w:id="0" w:name="PO_PURCHASE_REQUIREMENT_FILE23961_1"/>
      <w:bookmarkStart w:id="1" w:name="PO_PURCHASE_REQUIREMENT_FILE45465_1"/>
      <w:r w:rsidRPr="00DB6D32">
        <w:rPr>
          <w:rFonts w:ascii="宋体" w:eastAsia="宋体" w:hAnsi="宋体" w:cs="宋体" w:hint="eastAsia"/>
          <w:sz w:val="21"/>
          <w:szCs w:val="21"/>
        </w:rPr>
        <w:t>一、项目概况</w:t>
      </w:r>
    </w:p>
    <w:p w:rsidR="00D80A5C" w:rsidRPr="00DB6D32" w:rsidRDefault="00D80A5C" w:rsidP="00D80A5C">
      <w:pPr>
        <w:spacing w:line="360" w:lineRule="auto"/>
        <w:ind w:firstLineChars="200" w:firstLine="420"/>
        <w:rPr>
          <w:rFonts w:ascii="宋体" w:hAnsi="宋体" w:cs="宋体"/>
          <w:szCs w:val="21"/>
        </w:rPr>
      </w:pPr>
      <w:r w:rsidRPr="00DB6D32">
        <w:rPr>
          <w:rFonts w:ascii="宋体" w:hAnsi="宋体" w:cs="宋体" w:hint="eastAsia"/>
          <w:szCs w:val="21"/>
        </w:rPr>
        <w:t>为了进一步落实沪东社区环境卫生综合整治方案，完善居住小区环境卫生的基础工作，对辖区内老小区的建筑垃圾、大件垃圾进行清运，确保小区环境卫生整洁有序，改善居民小区居住环境。</w:t>
      </w:r>
    </w:p>
    <w:p w:rsidR="00D80A5C" w:rsidRPr="00DB6D32" w:rsidRDefault="00D80A5C" w:rsidP="00D80A5C">
      <w:pPr>
        <w:spacing w:line="360" w:lineRule="auto"/>
        <w:ind w:firstLineChars="200" w:firstLine="420"/>
        <w:rPr>
          <w:rFonts w:ascii="宋体" w:hAnsi="宋体" w:cs="宋体"/>
          <w:szCs w:val="21"/>
        </w:rPr>
      </w:pPr>
      <w:r w:rsidRPr="00DB6D32">
        <w:rPr>
          <w:rFonts w:ascii="宋体" w:hAnsi="宋体" w:cs="宋体" w:hint="eastAsia"/>
          <w:szCs w:val="21"/>
        </w:rPr>
        <w:t>本项目涉及的沪东新村街道辖区内老小区包括：金浦小区（仅金桥路835弄）、金桥花苑、柳博小区（含博二小区、柳一小区）、博一小区、博兰小区（含博三小区、兰城小区、柳埠路142弄）、沪南小区（含长岛路85弄1-46号）、沪二小区、船舶小区（含长岛路85弄47-89号）、沪一小区、向东新村（含浦东大道2902-2906号）、沪新小区（含莱阳路218号）、东六小区（伟莱二期）、陈家宅小区（含南极苑、浦东大道2748弄）、莱阳新家园（利津小区）、北小区（含高层）、东二小区、东三小区、寿一小区、寿二小区、朱家门小区（含浦东大道3036弄）、上川小区（洋泾管理地块）等，建筑面积共计约为150.622632万平方米。</w:t>
      </w:r>
    </w:p>
    <w:p w:rsidR="00D80A5C" w:rsidRPr="00DB6D32" w:rsidRDefault="00D80A5C" w:rsidP="00D80A5C">
      <w:pPr>
        <w:spacing w:line="360" w:lineRule="auto"/>
        <w:ind w:firstLineChars="200" w:firstLine="420"/>
        <w:rPr>
          <w:rFonts w:ascii="宋体" w:hAnsi="宋体" w:cs="宋体"/>
          <w:szCs w:val="21"/>
        </w:rPr>
      </w:pPr>
    </w:p>
    <w:p w:rsidR="00D80A5C" w:rsidRPr="00DB6D32" w:rsidRDefault="00D80A5C" w:rsidP="00D80A5C">
      <w:pPr>
        <w:pStyle w:val="2"/>
        <w:numPr>
          <w:ilvl w:val="0"/>
          <w:numId w:val="1"/>
        </w:numPr>
        <w:tabs>
          <w:tab w:val="left" w:pos="360"/>
        </w:tabs>
        <w:spacing w:before="0" w:after="0" w:line="360" w:lineRule="auto"/>
        <w:textAlignment w:val="baseline"/>
        <w:rPr>
          <w:rFonts w:ascii="宋体" w:eastAsia="宋体" w:hAnsi="宋体" w:cs="宋体"/>
          <w:sz w:val="21"/>
          <w:szCs w:val="21"/>
        </w:rPr>
      </w:pPr>
      <w:bookmarkStart w:id="2" w:name="_Toc465253824"/>
      <w:bookmarkStart w:id="3" w:name="_Toc505264825"/>
      <w:r w:rsidRPr="00DB6D32">
        <w:rPr>
          <w:rFonts w:ascii="宋体" w:eastAsia="宋体" w:hAnsi="宋体" w:cs="宋体" w:hint="eastAsia"/>
          <w:sz w:val="21"/>
          <w:szCs w:val="21"/>
        </w:rPr>
        <w:t>服务内容及要求</w:t>
      </w:r>
    </w:p>
    <w:p w:rsidR="00D80A5C" w:rsidRPr="00DB6D32" w:rsidRDefault="00D80A5C" w:rsidP="00D80A5C">
      <w:pPr>
        <w:spacing w:line="360" w:lineRule="auto"/>
        <w:rPr>
          <w:rStyle w:val="msoins0"/>
          <w:rFonts w:ascii="宋体" w:hAnsi="宋体" w:cs="宋体"/>
          <w:szCs w:val="21"/>
        </w:rPr>
      </w:pPr>
      <w:r w:rsidRPr="00DB6D32">
        <w:rPr>
          <w:rStyle w:val="msoins0"/>
          <w:rFonts w:ascii="宋体" w:hAnsi="宋体" w:cs="宋体" w:hint="eastAsia"/>
          <w:szCs w:val="21"/>
        </w:rPr>
        <w:t>2.1垃圾清运范围</w:t>
      </w:r>
    </w:p>
    <w:bookmarkEnd w:id="2"/>
    <w:bookmarkEnd w:id="3"/>
    <w:p w:rsidR="00D80A5C" w:rsidRPr="00DB6D32" w:rsidRDefault="00D80A5C" w:rsidP="00D80A5C">
      <w:pPr>
        <w:spacing w:line="360" w:lineRule="auto"/>
        <w:ind w:firstLine="480"/>
        <w:rPr>
          <w:rFonts w:ascii="宋体" w:hAnsi="宋体" w:cs="宋体"/>
          <w:szCs w:val="21"/>
        </w:rPr>
      </w:pPr>
      <w:r w:rsidRPr="00DB6D32">
        <w:rPr>
          <w:rFonts w:ascii="宋体" w:hAnsi="宋体" w:cs="宋体" w:hint="eastAsia"/>
          <w:szCs w:val="21"/>
        </w:rPr>
        <w:t>（1）居民装修的建筑装修垃圾；</w:t>
      </w:r>
    </w:p>
    <w:p w:rsidR="00D80A5C" w:rsidRPr="00DB6D32" w:rsidRDefault="00D80A5C" w:rsidP="00D80A5C">
      <w:pPr>
        <w:spacing w:line="360" w:lineRule="auto"/>
        <w:ind w:firstLine="480"/>
        <w:rPr>
          <w:rFonts w:ascii="宋体" w:hAnsi="宋体" w:cs="宋体"/>
          <w:szCs w:val="21"/>
        </w:rPr>
      </w:pPr>
      <w:r w:rsidRPr="00DB6D32">
        <w:rPr>
          <w:rFonts w:ascii="宋体" w:hAnsi="宋体" w:cs="宋体" w:hint="eastAsia"/>
          <w:szCs w:val="21"/>
        </w:rPr>
        <w:t>（2）小区的大件垃圾；</w:t>
      </w:r>
    </w:p>
    <w:p w:rsidR="00D80A5C" w:rsidRPr="00DB6D32" w:rsidRDefault="00D80A5C" w:rsidP="00D80A5C">
      <w:pPr>
        <w:spacing w:line="360" w:lineRule="auto"/>
        <w:ind w:firstLine="480"/>
        <w:rPr>
          <w:rFonts w:ascii="宋体" w:hAnsi="宋体" w:cs="宋体"/>
          <w:szCs w:val="21"/>
        </w:rPr>
      </w:pPr>
      <w:r w:rsidRPr="00DB6D32">
        <w:rPr>
          <w:rFonts w:ascii="宋体" w:hAnsi="宋体" w:cs="宋体" w:hint="eastAsia"/>
          <w:szCs w:val="21"/>
        </w:rPr>
        <w:t>（3）小区各类无主垃圾（不含毛垃圾、绿化垃圾、生活垃圾及工程建设所产生的垃圾）；</w:t>
      </w:r>
    </w:p>
    <w:p w:rsidR="00D80A5C" w:rsidRPr="00DB6D32" w:rsidRDefault="00D80A5C" w:rsidP="00D80A5C">
      <w:pPr>
        <w:spacing w:line="360" w:lineRule="auto"/>
        <w:ind w:firstLine="480"/>
        <w:rPr>
          <w:rFonts w:ascii="宋体" w:hAnsi="宋体" w:cs="宋体"/>
          <w:szCs w:val="21"/>
        </w:rPr>
      </w:pPr>
      <w:r w:rsidRPr="00DB6D32">
        <w:rPr>
          <w:rFonts w:ascii="宋体" w:hAnsi="宋体" w:cs="宋体" w:hint="eastAsia"/>
          <w:szCs w:val="21"/>
        </w:rPr>
        <w:t>（4）根据采购人需求，在重要时间节点需清理的垃圾。</w:t>
      </w:r>
    </w:p>
    <w:p w:rsidR="00D80A5C" w:rsidRPr="00DB6D32" w:rsidRDefault="00D80A5C" w:rsidP="00D80A5C">
      <w:pPr>
        <w:pStyle w:val="a7"/>
        <w:ind w:firstLineChars="0" w:firstLine="0"/>
        <w:rPr>
          <w:rStyle w:val="msoins0"/>
          <w:rFonts w:cs="宋体"/>
          <w:sz w:val="21"/>
          <w:szCs w:val="21"/>
        </w:rPr>
      </w:pPr>
      <w:r w:rsidRPr="00DB6D32">
        <w:rPr>
          <w:rStyle w:val="msoins0"/>
          <w:rFonts w:cs="宋体" w:hint="eastAsia"/>
          <w:sz w:val="21"/>
          <w:szCs w:val="21"/>
        </w:rPr>
        <w:t>2.2服务要求</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1）根据老小区建筑垃圾清运的工作计划，在接到物业服务企业电话通知建筑垃圾清运以后，成交供应商应尽快回复物业服务企业清运的时间，一般情况下时间最长不超过24小时，做到“日产隔日清”以及“垃圾不落地”的要求。若遇文明指数测评、文明社区创建、大型的检查等必须随叫随到。</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（2）要确保建筑垃圾及时清运，并做好文明操作，严禁损坏公物和小区实施，如损坏负责赔偿，保持小区良好的环境卫生。</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（3）在组织建筑垃圾清运时，需到门卫填写《建筑垃圾清运单》，由小区门卫负责督促填写。紧急情况，由业务主管部门通知成交供应商进行清运，应尽快赶到现场进行处置，处置最多不超过两小时。</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（4）按有关规定必须将建筑垃圾清运到处置场所，不得发生偷倒、乱倒现象。如有违</w:t>
      </w:r>
      <w:r w:rsidRPr="00DB6D32">
        <w:rPr>
          <w:rFonts w:ascii="宋体" w:hAnsi="宋体" w:cs="宋体" w:hint="eastAsia"/>
          <w:szCs w:val="21"/>
        </w:rPr>
        <w:lastRenderedPageBreak/>
        <w:t>反，成交供应商受到政府相关部门处罚，相关责任由成交供应商自行承担和解决。</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（5）在清运过程中，发生的意外情况，由成交供应商负责解决，采购人不承担任何责任。</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（6）在清运过程中，应保持堆放点、垃圾桶周边环境卫生及时清理撒漏垃圾。</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（7）在清运过程中，与居民发生的问题，会同居民区、物业服务企业、业主委员会做好处置工作。</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（8）成交供应商应派出督查人员，对垃圾清运进行检查，每月与居民区、物业服务企业、业主委员会沟通一次，征求垃圾清运工作情况，不断改进工作作风。</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（9）服从采购人、房产办及各分社区组织的清洁活动及突击性的卫生清洁任务，按时按标准按要求完成垃圾清运工作。</w:t>
      </w:r>
    </w:p>
    <w:p w:rsidR="00D80A5C" w:rsidRPr="00DB6D32" w:rsidRDefault="00D80A5C" w:rsidP="00D80A5C">
      <w:pPr>
        <w:pStyle w:val="a7"/>
        <w:ind w:firstLineChars="100" w:firstLine="210"/>
        <w:rPr>
          <w:rStyle w:val="msoins0"/>
          <w:rFonts w:cs="宋体"/>
          <w:sz w:val="21"/>
          <w:szCs w:val="21"/>
        </w:rPr>
      </w:pPr>
      <w:r w:rsidRPr="00DB6D32">
        <w:rPr>
          <w:rStyle w:val="msoins0"/>
          <w:rFonts w:cs="宋体" w:hint="eastAsia"/>
          <w:sz w:val="21"/>
          <w:szCs w:val="21"/>
        </w:rPr>
        <w:t>2.3清运车辆要求</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（1）车容应整洁，车体外部无污物、污垢，标志应清晰，保持清运车辆外观完好、整洁，定期进行清洗。</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（2）装卸垃圾应符合作业要求，不得乱倒、乱放、乱抛垃圾；垃圾清运车辆不得乱停、乱放。</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（3）车辆必须办理合法的道路运输经营许可证、车辆行驶证；垃圾运输车辆驾驶员必须有驾驶证。</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（4）车辆在垃圾运输过程中采取密闭运输，不得超载、超速，不得造成任何外泄、遗漏、抛洒，杜绝污染环境。</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（5）做好垃圾运输过程中运输车辆的检测、保养、维修、更新工作，确保车辆状况良好。</w:t>
      </w:r>
    </w:p>
    <w:p w:rsidR="00D80A5C" w:rsidRPr="00DB6D32" w:rsidRDefault="00D80A5C" w:rsidP="00D80A5C">
      <w:pPr>
        <w:spacing w:line="360" w:lineRule="auto"/>
        <w:ind w:firstLine="482"/>
        <w:rPr>
          <w:rFonts w:ascii="宋体" w:hAnsi="宋体" w:cs="宋体"/>
          <w:szCs w:val="21"/>
        </w:rPr>
      </w:pPr>
      <w:r w:rsidRPr="00DB6D32">
        <w:rPr>
          <w:rFonts w:ascii="宋体" w:hAnsi="宋体" w:cs="宋体" w:hint="eastAsia"/>
          <w:szCs w:val="21"/>
        </w:rPr>
        <w:t>（6）遵守交通规则，发生交通事故积极配合交警等有关部门处理；同时，及时安排其它车辆清运垃圾，不能影响正常垃圾清运。</w:t>
      </w:r>
    </w:p>
    <w:p w:rsidR="00D80A5C" w:rsidRPr="00DB6D32" w:rsidRDefault="00D80A5C" w:rsidP="00D80A5C">
      <w:pPr>
        <w:pStyle w:val="a7"/>
        <w:ind w:firstLineChars="0" w:firstLine="0"/>
        <w:rPr>
          <w:rStyle w:val="msoins0"/>
          <w:rFonts w:cs="宋体"/>
          <w:sz w:val="21"/>
          <w:szCs w:val="21"/>
        </w:rPr>
      </w:pPr>
    </w:p>
    <w:p w:rsidR="00D80A5C" w:rsidRPr="00DB6D32" w:rsidRDefault="00D80A5C" w:rsidP="00D80A5C">
      <w:pPr>
        <w:pStyle w:val="2"/>
        <w:numPr>
          <w:ilvl w:val="0"/>
          <w:numId w:val="2"/>
        </w:numPr>
        <w:tabs>
          <w:tab w:val="left" w:pos="360"/>
        </w:tabs>
        <w:spacing w:before="0" w:after="0" w:line="360" w:lineRule="auto"/>
        <w:textAlignment w:val="baseline"/>
        <w:rPr>
          <w:rFonts w:ascii="宋体" w:eastAsia="宋体" w:hAnsi="宋体" w:cs="宋体"/>
          <w:sz w:val="21"/>
          <w:szCs w:val="21"/>
        </w:rPr>
      </w:pPr>
      <w:r w:rsidRPr="00DB6D32">
        <w:rPr>
          <w:rFonts w:ascii="宋体" w:eastAsia="宋体" w:hAnsi="宋体" w:cs="宋体" w:hint="eastAsia"/>
          <w:sz w:val="21"/>
          <w:szCs w:val="21"/>
        </w:rPr>
        <w:t>其他要求</w:t>
      </w:r>
    </w:p>
    <w:p w:rsidR="00D80A5C" w:rsidRPr="00DB6D32" w:rsidRDefault="00D80A5C" w:rsidP="00D80A5C">
      <w:pPr>
        <w:autoSpaceDE w:val="0"/>
        <w:snapToGrid w:val="0"/>
        <w:spacing w:line="360" w:lineRule="auto"/>
        <w:ind w:firstLineChars="200" w:firstLine="420"/>
        <w:rPr>
          <w:rFonts w:ascii="宋体" w:hAnsi="宋体" w:cs="宋体"/>
          <w:szCs w:val="21"/>
        </w:rPr>
      </w:pPr>
      <w:r w:rsidRPr="00DB6D32">
        <w:rPr>
          <w:rFonts w:ascii="宋体" w:hAnsi="宋体" w:cs="宋体" w:hint="eastAsia"/>
          <w:szCs w:val="21"/>
        </w:rPr>
        <w:t>1.本项目垃圾清运工作必须符合《上海市建筑垃圾处理管理规定》（沪府令57号）及上海市浦东新区绿化和市容管理局相关要求。</w:t>
      </w:r>
    </w:p>
    <w:p w:rsidR="00D80A5C" w:rsidRPr="00DB6D32" w:rsidRDefault="00D80A5C" w:rsidP="00D80A5C">
      <w:pPr>
        <w:autoSpaceDE w:val="0"/>
        <w:snapToGrid w:val="0"/>
        <w:spacing w:line="360" w:lineRule="auto"/>
        <w:ind w:firstLineChars="200" w:firstLine="420"/>
        <w:rPr>
          <w:rFonts w:ascii="宋体" w:hAnsi="宋体" w:cs="宋体"/>
          <w:szCs w:val="21"/>
        </w:rPr>
      </w:pPr>
      <w:r w:rsidRPr="00DB6D32">
        <w:rPr>
          <w:rFonts w:ascii="宋体" w:hAnsi="宋体" w:cs="宋体" w:hint="eastAsia"/>
          <w:szCs w:val="21"/>
        </w:rPr>
        <w:t>2.★</w:t>
      </w:r>
      <w:r w:rsidRPr="00DB6D32">
        <w:rPr>
          <w:rFonts w:ascii="宋体" w:hAnsi="宋体" w:cs="宋体" w:hint="eastAsia"/>
          <w:b/>
          <w:bCs/>
          <w:szCs w:val="21"/>
        </w:rPr>
        <w:t>参与本项目的供应商须为《浦东新区2023-2027年度装修垃圾作业服务单位项目》入围单位（以响应文件内提供的中标公告或中标通知书或合同为依据）</w:t>
      </w:r>
      <w:r w:rsidRPr="00DB6D32">
        <w:rPr>
          <w:rFonts w:ascii="宋体" w:hAnsi="宋体" w:cs="宋体" w:hint="eastAsia"/>
          <w:szCs w:val="21"/>
        </w:rPr>
        <w:t>。成交供应商在服务期限内须始终保持有效，一旦不在入围名单内，采购人有权终止合同。</w:t>
      </w:r>
    </w:p>
    <w:p w:rsidR="00D80A5C" w:rsidRPr="00DB6D32" w:rsidRDefault="00D80A5C" w:rsidP="00D80A5C">
      <w:pPr>
        <w:pStyle w:val="2"/>
        <w:spacing w:before="0" w:after="0" w:line="360" w:lineRule="auto"/>
        <w:rPr>
          <w:rFonts w:ascii="宋体" w:eastAsia="宋体" w:hAnsi="宋体" w:cs="宋体" w:hint="eastAsia"/>
          <w:sz w:val="21"/>
          <w:szCs w:val="21"/>
        </w:rPr>
      </w:pPr>
      <w:bookmarkStart w:id="4" w:name="_GoBack"/>
      <w:bookmarkEnd w:id="4"/>
      <w:r w:rsidRPr="00DB6D32">
        <w:rPr>
          <w:rFonts w:ascii="宋体" w:eastAsia="宋体" w:hAnsi="宋体" w:cs="宋体" w:hint="eastAsia"/>
          <w:sz w:val="21"/>
          <w:szCs w:val="21"/>
        </w:rPr>
        <w:lastRenderedPageBreak/>
        <w:t>四、考核办法</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（一）考核内容</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1.作业管理</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包括车容车貌、作业规范考核。</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2.信访投诉处理</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包括市、区城运中心、12345市民服务热线等信访投诉件处理。</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3.应急保障</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管养设施及清运作业职责范围内各类应急保障工作。</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4.安全生产</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安全规范作业，不发生安全生产责任事故。</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5.社会评价</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由新闻媒体报道、上级部门通报构成。</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（二）考核方式</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采购人职能部门负责对监管范围内的建筑垃圾、大件垃圾清运单位进行每月至少2次巡检；每次考核至少2个小区建筑垃圾、大件垃圾收集情况。物业公司（居民区）对监管范围内的供应商按照车容车貌、收运时效、源头收集规范服务三方面进行月度考核。</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（三）分值设定</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总分采用100分制，总分由采购人职能部门考核（100分制）、各相关物业公司（居民区）考核（100分制）的平均分，加权构成（采购人职能部门考核分权重70%、物业公司（居民区）考核分权重30%）。考核总分合格分为90分。每月考核与当月清运经费挂钩。考核总分在90分以上的，由采购人职能部门全额核发当月服务费。</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（四）处罚办法</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（1）扣分扣款规定</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考核总分在合格分以下的，按以下方法扣除月度养护经费：</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1.得分为80—90分：以合格分为基准，每低1分扣除该月度服务经费的1%（有小数点向下取整数）；</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2.得分为70—80分：以80为基准，每低1分扣除该月度服务经费的2%（有小数点向下取整数）；</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3.得分为70分以下：以70为基准，每低1分扣除该月度养护经费的3%（有小数点向下取整数），扣完为止。</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lastRenderedPageBreak/>
        <w:t>（2）其他扣款规定</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1.早于6点进入小区（生活区）进行建筑垃圾、大件垃圾清运产生的有责投诉，同年同点位第一次投诉当月经费扣除500元，第二次起每次扣除1000元。</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2.建筑垃圾、大件垃圾清运车辆严禁违规跨片区作业，发现一次扣除10000元，扣除违规车辆本月清运量。</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3.未按照《上海市建筑垃圾处理管理规定》（沪府令57号）严格执行建筑垃圾、大件垃圾分类清运要求，出现混装混运，特别是出现危废垃圾与建筑垃圾、大件垃圾混合运输发现一次扣除10000元到30000元。</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4.因供应商责任被媒体曝光或在市、区级检查和重大活动中受到批评或扣分，一次扣除服务经费10000元。</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5.车容车貌脏乱差，发现一次扣除200元。</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6.市、区管理部门出具的整改通知单，每发生一次扣除500元。</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7.供应商未及时上报上月建筑垃圾、大件垃圾清运量报表，出现瞒报、漏报、错报等情况的，发现一次扣除5000元到20000元。</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（3）一票否决</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1.将外区垃圾清运、中转至沪东辖区建筑垃圾、大件垃圾收运处置。</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2.违反收运服务协议，超出服务范围擅自收运。</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3.将负责清运的垃圾交由其他企业。</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4.故意将其他垃圾混入建筑垃圾、大件垃圾，并且造成恶劣影响的。</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5.发生重大安全生产事故。</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6.因自身原因无法继续完成建筑垃圾、大件垃圾收运。</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7.年度评议结果不合格。</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8.有其他严重违反国家和地方法律法规、规范性文件或行业管理要求的行为。</w:t>
      </w:r>
    </w:p>
    <w:p w:rsidR="00D80A5C" w:rsidRPr="00DB6D32" w:rsidRDefault="00D80A5C" w:rsidP="00D80A5C">
      <w:pPr>
        <w:widowControl/>
        <w:spacing w:line="360" w:lineRule="auto"/>
        <w:ind w:firstLineChars="200" w:firstLine="420"/>
        <w:jc w:val="left"/>
        <w:rPr>
          <w:rFonts w:ascii="宋体" w:hAnsi="宋体" w:cs="宋体" w:hint="eastAsia"/>
          <w:szCs w:val="21"/>
        </w:rPr>
      </w:pPr>
      <w:r w:rsidRPr="00DB6D32">
        <w:rPr>
          <w:rFonts w:ascii="宋体" w:hAnsi="宋体" w:cs="宋体" w:hint="eastAsia"/>
          <w:szCs w:val="21"/>
        </w:rPr>
        <w:t>9.被有关行政机关责令停产停业、吊销相关证照。</w:t>
      </w:r>
    </w:p>
    <w:p w:rsidR="00D80A5C" w:rsidRDefault="00D80A5C" w:rsidP="00D80A5C">
      <w:pPr>
        <w:widowControl/>
        <w:spacing w:line="360" w:lineRule="auto"/>
        <w:ind w:firstLineChars="200" w:firstLine="420"/>
        <w:jc w:val="left"/>
        <w:rPr>
          <w:rFonts w:ascii="宋体" w:hAnsi="宋体" w:cs="宋体"/>
          <w:szCs w:val="21"/>
        </w:rPr>
      </w:pPr>
      <w:r w:rsidRPr="00DB6D32">
        <w:rPr>
          <w:rFonts w:ascii="宋体" w:hAnsi="宋体" w:cs="宋体" w:hint="eastAsia"/>
          <w:szCs w:val="21"/>
        </w:rPr>
        <w:t>10.严重违反磋商时递交的相关承诺或采购文件要求。</w:t>
      </w:r>
    </w:p>
    <w:p w:rsidR="00D80A5C" w:rsidRDefault="00D80A5C" w:rsidP="00D80A5C">
      <w:pPr>
        <w:widowControl/>
        <w:spacing w:line="360" w:lineRule="auto"/>
        <w:ind w:firstLineChars="200" w:firstLine="420"/>
        <w:jc w:val="left"/>
        <w:rPr>
          <w:rFonts w:ascii="宋体" w:hAnsi="宋体" w:cs="宋体"/>
          <w:szCs w:val="21"/>
        </w:rPr>
      </w:pPr>
    </w:p>
    <w:p w:rsidR="00D80A5C" w:rsidRDefault="00D80A5C" w:rsidP="00D80A5C">
      <w:pPr>
        <w:widowControl/>
        <w:spacing w:line="360" w:lineRule="auto"/>
        <w:ind w:firstLineChars="200" w:firstLine="420"/>
        <w:jc w:val="left"/>
        <w:rPr>
          <w:rFonts w:ascii="宋体" w:hAnsi="宋体" w:cs="宋体"/>
          <w:szCs w:val="21"/>
        </w:rPr>
      </w:pPr>
    </w:p>
    <w:p w:rsidR="00D80A5C" w:rsidRPr="00DB6D32" w:rsidRDefault="00D80A5C" w:rsidP="00D80A5C">
      <w:pPr>
        <w:widowControl/>
        <w:spacing w:line="360" w:lineRule="auto"/>
        <w:ind w:firstLineChars="200" w:firstLine="420"/>
        <w:jc w:val="left"/>
        <w:rPr>
          <w:rFonts w:ascii="宋体" w:hAnsi="宋体" w:cs="宋体" w:hint="eastAsia"/>
          <w:szCs w:val="21"/>
        </w:rPr>
      </w:pPr>
    </w:p>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表1建筑垃圾、大件垃圾清运考核表（职能部门）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6380"/>
        <w:gridCol w:w="795"/>
        <w:gridCol w:w="623"/>
      </w:tblGrid>
      <w:tr w:rsidR="00D80A5C" w:rsidRPr="00DB6D32" w:rsidTr="00C75530">
        <w:trPr>
          <w:trHeight w:val="822"/>
        </w:trPr>
        <w:tc>
          <w:tcPr>
            <w:tcW w:w="0" w:type="auto"/>
            <w:tcBorders>
              <w:top w:val="single" w:sz="4" w:space="0" w:color="auto"/>
              <w:left w:val="single" w:sz="4" w:space="0" w:color="auto"/>
              <w:bottom w:val="single" w:sz="4" w:space="0" w:color="auto"/>
              <w:right w:val="single" w:sz="4" w:space="0" w:color="auto"/>
            </w:tcBorders>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lastRenderedPageBreak/>
              <w:t>考核项目</w:t>
            </w:r>
          </w:p>
        </w:tc>
        <w:tc>
          <w:tcPr>
            <w:tcW w:w="6380" w:type="dxa"/>
            <w:tcBorders>
              <w:top w:val="single" w:sz="4" w:space="0" w:color="auto"/>
              <w:left w:val="single" w:sz="4" w:space="0" w:color="auto"/>
              <w:bottom w:val="single" w:sz="4" w:space="0" w:color="auto"/>
              <w:right w:val="single" w:sz="4" w:space="0" w:color="auto"/>
            </w:tcBorders>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考核内容及标准</w:t>
            </w:r>
          </w:p>
        </w:tc>
        <w:tc>
          <w:tcPr>
            <w:tcW w:w="795" w:type="dxa"/>
            <w:tcBorders>
              <w:top w:val="single" w:sz="4" w:space="0" w:color="auto"/>
              <w:left w:val="single" w:sz="4" w:space="0" w:color="auto"/>
              <w:bottom w:val="single" w:sz="4" w:space="0" w:color="auto"/>
              <w:right w:val="single" w:sz="4" w:space="0" w:color="auto"/>
            </w:tcBorders>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本项总分</w:t>
            </w:r>
          </w:p>
        </w:tc>
        <w:tc>
          <w:tcPr>
            <w:tcW w:w="623" w:type="dxa"/>
            <w:tcBorders>
              <w:top w:val="single" w:sz="4" w:space="0" w:color="auto"/>
              <w:left w:val="single" w:sz="4" w:space="0" w:color="auto"/>
              <w:bottom w:val="single" w:sz="4" w:space="0" w:color="auto"/>
              <w:right w:val="single" w:sz="4" w:space="0" w:color="auto"/>
            </w:tcBorders>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单项</w:t>
            </w:r>
          </w:p>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分值</w:t>
            </w:r>
          </w:p>
        </w:tc>
      </w:tr>
      <w:tr w:rsidR="00D80A5C" w:rsidRPr="00DB6D32" w:rsidTr="00C75530">
        <w:trPr>
          <w:trHeight w:val="422"/>
        </w:trPr>
        <w:tc>
          <w:tcPr>
            <w:tcW w:w="0" w:type="auto"/>
            <w:vMerge w:val="restart"/>
            <w:tcBorders>
              <w:top w:val="single" w:sz="4" w:space="0" w:color="auto"/>
            </w:tcBorders>
            <w:vAlign w:val="center"/>
          </w:tcPr>
          <w:p w:rsidR="00D80A5C" w:rsidRPr="00DB6D32" w:rsidRDefault="00D80A5C" w:rsidP="00D80A5C">
            <w:pPr>
              <w:widowControl/>
              <w:spacing w:line="360" w:lineRule="auto"/>
              <w:jc w:val="center"/>
              <w:rPr>
                <w:rFonts w:ascii="宋体" w:hAnsi="宋体" w:cs="宋体" w:hint="eastAsia"/>
                <w:b/>
                <w:bCs/>
                <w:kern w:val="0"/>
                <w:szCs w:val="21"/>
              </w:rPr>
            </w:pPr>
            <w:r w:rsidRPr="00DB6D32">
              <w:rPr>
                <w:rFonts w:ascii="宋体" w:hAnsi="宋体" w:cs="宋体" w:hint="eastAsia"/>
                <w:b/>
                <w:bCs/>
                <w:kern w:val="0"/>
                <w:szCs w:val="21"/>
              </w:rPr>
              <w:t>车容车貌</w:t>
            </w:r>
          </w:p>
        </w:tc>
        <w:tc>
          <w:tcPr>
            <w:tcW w:w="6380" w:type="dxa"/>
            <w:tcBorders>
              <w:top w:val="single" w:sz="4" w:space="0" w:color="auto"/>
            </w:tcBorders>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车身有明显污垢</w:t>
            </w:r>
          </w:p>
        </w:tc>
        <w:tc>
          <w:tcPr>
            <w:tcW w:w="795" w:type="dxa"/>
            <w:vMerge w:val="restart"/>
            <w:tcBorders>
              <w:top w:val="single" w:sz="4" w:space="0" w:color="auto"/>
            </w:tcBorders>
            <w:vAlign w:val="center"/>
          </w:tcPr>
          <w:p w:rsidR="00D80A5C" w:rsidRPr="00DB6D32" w:rsidRDefault="00D80A5C" w:rsidP="00D80A5C">
            <w:pPr>
              <w:spacing w:line="360" w:lineRule="auto"/>
              <w:jc w:val="center"/>
              <w:rPr>
                <w:rFonts w:ascii="宋体" w:hAnsi="宋体" w:cs="宋体" w:hint="eastAsia"/>
                <w:kern w:val="0"/>
                <w:szCs w:val="21"/>
              </w:rPr>
            </w:pPr>
            <w:r w:rsidRPr="00DB6D32">
              <w:rPr>
                <w:rFonts w:ascii="宋体" w:hAnsi="宋体" w:cs="宋体" w:hint="eastAsia"/>
                <w:kern w:val="0"/>
                <w:szCs w:val="21"/>
              </w:rPr>
              <w:t>15</w:t>
            </w:r>
          </w:p>
        </w:tc>
        <w:tc>
          <w:tcPr>
            <w:tcW w:w="623" w:type="dxa"/>
            <w:tcBorders>
              <w:top w:val="single" w:sz="4" w:space="0" w:color="auto"/>
            </w:tcBorders>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400"/>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车厢外悬挂与服务不相关的物品</w:t>
            </w:r>
          </w:p>
        </w:tc>
        <w:tc>
          <w:tcPr>
            <w:tcW w:w="795" w:type="dxa"/>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405"/>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顶盖缺失</w:t>
            </w:r>
          </w:p>
        </w:tc>
        <w:tc>
          <w:tcPr>
            <w:tcW w:w="795" w:type="dxa"/>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284"/>
        </w:trPr>
        <w:tc>
          <w:tcPr>
            <w:tcW w:w="0" w:type="auto"/>
            <w:vMerge w:val="restart"/>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作业</w:t>
            </w:r>
          </w:p>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规范</w:t>
            </w: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严格执行《上海市建筑垃圾处理管理规定》（沪府令57号）及上海市浦东新区绿化和市容管理局相关要求</w:t>
            </w:r>
          </w:p>
        </w:tc>
        <w:tc>
          <w:tcPr>
            <w:tcW w:w="795" w:type="dxa"/>
            <w:vMerge w:val="restart"/>
            <w:vAlign w:val="center"/>
          </w:tcPr>
          <w:p w:rsidR="00D80A5C" w:rsidRPr="00DB6D32" w:rsidRDefault="00D80A5C" w:rsidP="00D80A5C">
            <w:pPr>
              <w:spacing w:line="360" w:lineRule="auto"/>
              <w:jc w:val="center"/>
              <w:rPr>
                <w:rFonts w:ascii="宋体" w:hAnsi="宋体" w:cs="宋体" w:hint="eastAsia"/>
                <w:kern w:val="0"/>
                <w:szCs w:val="21"/>
              </w:rPr>
            </w:pPr>
            <w:r w:rsidRPr="00DB6D32">
              <w:rPr>
                <w:rFonts w:ascii="宋体" w:hAnsi="宋体" w:cs="宋体" w:hint="eastAsia"/>
                <w:kern w:val="0"/>
                <w:szCs w:val="21"/>
              </w:rPr>
              <w:t>50</w:t>
            </w: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r>
      <w:tr w:rsidR="00D80A5C" w:rsidRPr="00DB6D32" w:rsidTr="00C75530">
        <w:trPr>
          <w:trHeight w:val="425"/>
        </w:trPr>
        <w:tc>
          <w:tcPr>
            <w:tcW w:w="0" w:type="auto"/>
            <w:vMerge/>
            <w:vAlign w:val="center"/>
          </w:tcPr>
          <w:p w:rsidR="00D80A5C" w:rsidRPr="00DB6D32" w:rsidRDefault="00D80A5C" w:rsidP="00D80A5C">
            <w:pPr>
              <w:widowControl/>
              <w:spacing w:line="360" w:lineRule="auto"/>
              <w:rPr>
                <w:rFonts w:ascii="宋体" w:hAnsi="宋体" w:cs="宋体" w:hint="eastAsia"/>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清运及时</w:t>
            </w:r>
          </w:p>
        </w:tc>
        <w:tc>
          <w:tcPr>
            <w:tcW w:w="795" w:type="dxa"/>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r>
      <w:tr w:rsidR="00D80A5C" w:rsidRPr="00DB6D32" w:rsidTr="00C75530">
        <w:trPr>
          <w:trHeight w:val="417"/>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不存在顶盖不盖，垃圾飞扬、拖挂和散落现象</w:t>
            </w:r>
          </w:p>
        </w:tc>
        <w:tc>
          <w:tcPr>
            <w:tcW w:w="795" w:type="dxa"/>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r>
      <w:tr w:rsidR="00D80A5C" w:rsidRPr="00DB6D32" w:rsidTr="00C75530">
        <w:trPr>
          <w:trHeight w:val="409"/>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清运车辆服从现场工作人员指挥</w:t>
            </w:r>
          </w:p>
        </w:tc>
        <w:tc>
          <w:tcPr>
            <w:tcW w:w="795" w:type="dxa"/>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r>
      <w:tr w:rsidR="00D80A5C" w:rsidRPr="00DB6D32" w:rsidTr="00C75530">
        <w:trPr>
          <w:trHeight w:val="409"/>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遇拥堵时不随意超车或乱按喇叭，造成场面混乱</w:t>
            </w:r>
          </w:p>
        </w:tc>
        <w:tc>
          <w:tcPr>
            <w:tcW w:w="795" w:type="dxa"/>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r>
      <w:tr w:rsidR="00D80A5C" w:rsidRPr="00DB6D32" w:rsidTr="00C75530">
        <w:trPr>
          <w:trHeight w:val="646"/>
        </w:trPr>
        <w:tc>
          <w:tcPr>
            <w:tcW w:w="0" w:type="auto"/>
            <w:vMerge w:val="restart"/>
            <w:vAlign w:val="center"/>
          </w:tcPr>
          <w:p w:rsidR="00D80A5C" w:rsidRPr="00DB6D32" w:rsidRDefault="00D80A5C" w:rsidP="00D80A5C">
            <w:pPr>
              <w:widowControl/>
              <w:spacing w:line="360" w:lineRule="auto"/>
              <w:jc w:val="center"/>
              <w:rPr>
                <w:rFonts w:ascii="宋体" w:hAnsi="宋体" w:cs="宋体" w:hint="eastAsia"/>
                <w:b/>
                <w:bCs/>
                <w:kern w:val="0"/>
                <w:szCs w:val="21"/>
              </w:rPr>
            </w:pPr>
            <w:r w:rsidRPr="00DB6D32">
              <w:rPr>
                <w:rFonts w:ascii="宋体" w:hAnsi="宋体" w:cs="宋体" w:hint="eastAsia"/>
                <w:b/>
                <w:bCs/>
                <w:kern w:val="0"/>
                <w:szCs w:val="21"/>
              </w:rPr>
              <w:t>企业管理</w:t>
            </w:r>
          </w:p>
        </w:tc>
        <w:tc>
          <w:tcPr>
            <w:tcW w:w="6380" w:type="dxa"/>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szCs w:val="21"/>
              </w:rPr>
              <w:t>市、区各类督导组、网格中心、12345市民热线、市容绿化及环卫等各级应急平台反映的属于服务职责范围的各类责任性投诉案件及时处理</w:t>
            </w:r>
          </w:p>
        </w:tc>
        <w:tc>
          <w:tcPr>
            <w:tcW w:w="795" w:type="dxa"/>
            <w:vMerge w:val="restart"/>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25</w:t>
            </w: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r>
      <w:tr w:rsidR="00D80A5C" w:rsidRPr="00DB6D32" w:rsidTr="00C75530">
        <w:trPr>
          <w:trHeight w:val="412"/>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spacing w:line="360" w:lineRule="auto"/>
              <w:rPr>
                <w:rFonts w:ascii="宋体" w:hAnsi="宋体" w:cs="宋体" w:hint="eastAsia"/>
                <w:kern w:val="0"/>
                <w:szCs w:val="21"/>
              </w:rPr>
            </w:pPr>
            <w:r w:rsidRPr="00DB6D32">
              <w:rPr>
                <w:rFonts w:ascii="宋体" w:hAnsi="宋体" w:cs="宋体" w:hint="eastAsia"/>
                <w:szCs w:val="21"/>
              </w:rPr>
              <w:t>做好各类应急保障工作</w:t>
            </w:r>
          </w:p>
        </w:tc>
        <w:tc>
          <w:tcPr>
            <w:tcW w:w="795" w:type="dxa"/>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407"/>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spacing w:line="360" w:lineRule="auto"/>
              <w:rPr>
                <w:rFonts w:ascii="宋体" w:hAnsi="宋体" w:cs="宋体" w:hint="eastAsia"/>
                <w:szCs w:val="21"/>
              </w:rPr>
            </w:pPr>
            <w:r w:rsidRPr="00DB6D32">
              <w:rPr>
                <w:rFonts w:ascii="宋体" w:hAnsi="宋体" w:cs="宋体" w:hint="eastAsia"/>
                <w:kern w:val="0"/>
                <w:szCs w:val="21"/>
              </w:rPr>
              <w:t>按规定的时限及时上报各类统计报表及统计资料</w:t>
            </w:r>
          </w:p>
        </w:tc>
        <w:tc>
          <w:tcPr>
            <w:tcW w:w="795" w:type="dxa"/>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541"/>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szCs w:val="21"/>
              </w:rPr>
            </w:pPr>
            <w:r w:rsidRPr="00DB6D32">
              <w:rPr>
                <w:rFonts w:ascii="宋体" w:hAnsi="宋体" w:cs="宋体" w:hint="eastAsia"/>
                <w:szCs w:val="21"/>
              </w:rPr>
              <w:t>严格按照安全规范作业，规范有效清运，不发生安全生产责任事故</w:t>
            </w:r>
          </w:p>
        </w:tc>
        <w:tc>
          <w:tcPr>
            <w:tcW w:w="795" w:type="dxa"/>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405"/>
        </w:trPr>
        <w:tc>
          <w:tcPr>
            <w:tcW w:w="0" w:type="auto"/>
            <w:vMerge w:val="restart"/>
            <w:vAlign w:val="center"/>
          </w:tcPr>
          <w:p w:rsidR="00D80A5C" w:rsidRPr="00DB6D32" w:rsidRDefault="00D80A5C" w:rsidP="00D80A5C">
            <w:pPr>
              <w:widowControl/>
              <w:spacing w:line="360" w:lineRule="auto"/>
              <w:jc w:val="center"/>
              <w:rPr>
                <w:rFonts w:ascii="宋体" w:hAnsi="宋体" w:cs="宋体" w:hint="eastAsia"/>
                <w:b/>
                <w:bCs/>
                <w:kern w:val="0"/>
                <w:szCs w:val="21"/>
              </w:rPr>
            </w:pPr>
            <w:r w:rsidRPr="00DB6D32">
              <w:rPr>
                <w:rFonts w:ascii="宋体" w:hAnsi="宋体" w:cs="宋体" w:hint="eastAsia"/>
                <w:b/>
                <w:bCs/>
                <w:szCs w:val="21"/>
              </w:rPr>
              <w:t>社会评价</w:t>
            </w:r>
          </w:p>
        </w:tc>
        <w:tc>
          <w:tcPr>
            <w:tcW w:w="6380" w:type="dxa"/>
            <w:vAlign w:val="center"/>
          </w:tcPr>
          <w:p w:rsidR="00D80A5C" w:rsidRPr="00DB6D32" w:rsidRDefault="00D80A5C" w:rsidP="00D80A5C">
            <w:pPr>
              <w:widowControl/>
              <w:spacing w:line="360" w:lineRule="auto"/>
              <w:rPr>
                <w:rFonts w:ascii="宋体" w:hAnsi="宋体" w:cs="宋体" w:hint="eastAsia"/>
                <w:szCs w:val="21"/>
              </w:rPr>
            </w:pPr>
            <w:r w:rsidRPr="00DB6D32">
              <w:rPr>
                <w:rFonts w:ascii="宋体" w:hAnsi="宋体" w:cs="宋体" w:hint="eastAsia"/>
                <w:szCs w:val="21"/>
              </w:rPr>
              <w:t>区级（含）以上层面通报批评</w:t>
            </w:r>
          </w:p>
        </w:tc>
        <w:tc>
          <w:tcPr>
            <w:tcW w:w="795" w:type="dxa"/>
            <w:vMerge w:val="restart"/>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r w:rsidR="00D80A5C" w:rsidRPr="00DB6D32" w:rsidTr="00C75530">
        <w:trPr>
          <w:trHeight w:val="366"/>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6380" w:type="dxa"/>
            <w:vAlign w:val="center"/>
          </w:tcPr>
          <w:p w:rsidR="00D80A5C" w:rsidRPr="00DB6D32" w:rsidRDefault="00D80A5C" w:rsidP="00D80A5C">
            <w:pPr>
              <w:widowControl/>
              <w:spacing w:line="360" w:lineRule="auto"/>
              <w:rPr>
                <w:rFonts w:ascii="宋体" w:hAnsi="宋体" w:cs="宋体" w:hint="eastAsia"/>
                <w:szCs w:val="21"/>
              </w:rPr>
            </w:pPr>
            <w:r w:rsidRPr="00DB6D32">
              <w:rPr>
                <w:rFonts w:ascii="宋体" w:hAnsi="宋体" w:cs="宋体" w:hint="eastAsia"/>
                <w:szCs w:val="21"/>
              </w:rPr>
              <w:t>各类媒体曝光等责任性事件</w:t>
            </w:r>
          </w:p>
        </w:tc>
        <w:tc>
          <w:tcPr>
            <w:tcW w:w="795" w:type="dxa"/>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623" w:type="dxa"/>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5</w:t>
            </w:r>
          </w:p>
        </w:tc>
      </w:tr>
    </w:tbl>
    <w:p w:rsidR="00D80A5C" w:rsidRPr="00DB6D32" w:rsidRDefault="00D80A5C" w:rsidP="00D80A5C">
      <w:pPr>
        <w:widowControl/>
        <w:spacing w:line="360" w:lineRule="auto"/>
        <w:jc w:val="left"/>
        <w:rPr>
          <w:rFonts w:ascii="宋体" w:hAnsi="宋体" w:cs="宋体" w:hint="eastAsia"/>
          <w:szCs w:val="21"/>
        </w:rPr>
      </w:pPr>
      <w:r w:rsidRPr="00DB6D32">
        <w:rPr>
          <w:rFonts w:ascii="宋体" w:hAnsi="宋体" w:cs="宋体" w:hint="eastAsia"/>
          <w:szCs w:val="21"/>
        </w:rPr>
        <w:t>注：单项分值最小扣分值为0.5，扣完为止。</w:t>
      </w:r>
    </w:p>
    <w:p w:rsidR="00D80A5C" w:rsidRDefault="00D80A5C" w:rsidP="00D80A5C">
      <w:pPr>
        <w:widowControl/>
        <w:spacing w:line="360" w:lineRule="auto"/>
        <w:jc w:val="center"/>
        <w:rPr>
          <w:rFonts w:ascii="宋体" w:hAnsi="宋体" w:cs="宋体"/>
          <w:b/>
          <w:kern w:val="0"/>
          <w:szCs w:val="21"/>
        </w:rPr>
      </w:pPr>
    </w:p>
    <w:p w:rsidR="00D80A5C" w:rsidRDefault="00D80A5C" w:rsidP="00D80A5C">
      <w:pPr>
        <w:widowControl/>
        <w:spacing w:line="360" w:lineRule="auto"/>
        <w:jc w:val="center"/>
        <w:rPr>
          <w:rFonts w:ascii="宋体" w:hAnsi="宋体" w:cs="宋体"/>
          <w:b/>
          <w:kern w:val="0"/>
          <w:szCs w:val="21"/>
        </w:rPr>
      </w:pPr>
    </w:p>
    <w:p w:rsidR="00D80A5C" w:rsidRDefault="00D80A5C" w:rsidP="00D80A5C">
      <w:pPr>
        <w:widowControl/>
        <w:spacing w:line="360" w:lineRule="auto"/>
        <w:jc w:val="center"/>
        <w:rPr>
          <w:rFonts w:ascii="宋体" w:hAnsi="宋体" w:cs="宋体"/>
          <w:b/>
          <w:kern w:val="0"/>
          <w:szCs w:val="21"/>
        </w:rPr>
      </w:pPr>
    </w:p>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表2建筑垃圾、大件垃圾清运考核表（物业或居委）</w:t>
      </w:r>
    </w:p>
    <w:p w:rsidR="00D80A5C" w:rsidRPr="00DB6D32" w:rsidRDefault="00D80A5C" w:rsidP="00D80A5C">
      <w:pPr>
        <w:widowControl/>
        <w:spacing w:line="360" w:lineRule="auto"/>
        <w:jc w:val="center"/>
        <w:rPr>
          <w:rFonts w:ascii="宋体" w:hAnsi="宋体" w:cs="宋体" w:hint="eastAsia"/>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5492"/>
        <w:gridCol w:w="756"/>
        <w:gridCol w:w="537"/>
        <w:gridCol w:w="756"/>
      </w:tblGrid>
      <w:tr w:rsidR="00D80A5C" w:rsidRPr="00DB6D32" w:rsidTr="00C75530">
        <w:trPr>
          <w:trHeight w:val="822"/>
        </w:trPr>
        <w:tc>
          <w:tcPr>
            <w:tcW w:w="0" w:type="auto"/>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考核项目</w:t>
            </w:r>
          </w:p>
        </w:tc>
        <w:tc>
          <w:tcPr>
            <w:tcW w:w="0" w:type="auto"/>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考核内容及标准</w:t>
            </w:r>
          </w:p>
        </w:tc>
        <w:tc>
          <w:tcPr>
            <w:tcW w:w="0" w:type="auto"/>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本项总分</w:t>
            </w:r>
          </w:p>
        </w:tc>
        <w:tc>
          <w:tcPr>
            <w:tcW w:w="0" w:type="auto"/>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单项</w:t>
            </w:r>
          </w:p>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分值</w:t>
            </w:r>
          </w:p>
        </w:tc>
        <w:tc>
          <w:tcPr>
            <w:tcW w:w="0" w:type="auto"/>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实际得分</w:t>
            </w:r>
          </w:p>
        </w:tc>
      </w:tr>
      <w:tr w:rsidR="00D80A5C" w:rsidRPr="00DB6D32" w:rsidTr="00C75530">
        <w:trPr>
          <w:trHeight w:val="422"/>
        </w:trPr>
        <w:tc>
          <w:tcPr>
            <w:tcW w:w="0" w:type="auto"/>
            <w:vMerge w:val="restart"/>
            <w:vAlign w:val="center"/>
          </w:tcPr>
          <w:p w:rsidR="00D80A5C" w:rsidRPr="00DB6D32" w:rsidRDefault="00D80A5C" w:rsidP="00D80A5C">
            <w:pPr>
              <w:widowControl/>
              <w:spacing w:line="360" w:lineRule="auto"/>
              <w:jc w:val="center"/>
              <w:rPr>
                <w:rFonts w:ascii="宋体" w:hAnsi="宋体" w:cs="宋体" w:hint="eastAsia"/>
                <w:b/>
                <w:bCs/>
                <w:kern w:val="0"/>
                <w:szCs w:val="21"/>
              </w:rPr>
            </w:pPr>
            <w:r w:rsidRPr="00DB6D32">
              <w:rPr>
                <w:rFonts w:ascii="宋体" w:hAnsi="宋体" w:cs="宋体" w:hint="eastAsia"/>
                <w:b/>
                <w:bCs/>
                <w:kern w:val="0"/>
                <w:szCs w:val="21"/>
              </w:rPr>
              <w:t>车容车貌</w:t>
            </w: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车身有明显污垢</w:t>
            </w:r>
          </w:p>
        </w:tc>
        <w:tc>
          <w:tcPr>
            <w:tcW w:w="0" w:type="auto"/>
            <w:vMerge w:val="restart"/>
            <w:vAlign w:val="center"/>
          </w:tcPr>
          <w:p w:rsidR="00D80A5C" w:rsidRPr="00DB6D32" w:rsidRDefault="00D80A5C" w:rsidP="00D80A5C">
            <w:pPr>
              <w:spacing w:line="360" w:lineRule="auto"/>
              <w:jc w:val="center"/>
              <w:rPr>
                <w:rFonts w:ascii="宋体" w:hAnsi="宋体" w:cs="宋体" w:hint="eastAsia"/>
                <w:kern w:val="0"/>
                <w:szCs w:val="21"/>
              </w:rPr>
            </w:pPr>
            <w:r w:rsidRPr="00DB6D32">
              <w:rPr>
                <w:rFonts w:ascii="宋体" w:hAnsi="宋体" w:cs="宋体" w:hint="eastAsia"/>
                <w:kern w:val="0"/>
                <w:szCs w:val="21"/>
              </w:rPr>
              <w:t>45</w:t>
            </w: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15</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400"/>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车厢外悬挂与服务不相关的物品</w:t>
            </w:r>
          </w:p>
        </w:tc>
        <w:tc>
          <w:tcPr>
            <w:tcW w:w="0" w:type="auto"/>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15</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405"/>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顶盖缺失</w:t>
            </w:r>
          </w:p>
        </w:tc>
        <w:tc>
          <w:tcPr>
            <w:tcW w:w="0" w:type="auto"/>
            <w:vMerge/>
            <w:vAlign w:val="center"/>
          </w:tcPr>
          <w:p w:rsidR="00D80A5C" w:rsidRPr="00DB6D32" w:rsidRDefault="00D80A5C" w:rsidP="00D80A5C">
            <w:pPr>
              <w:widowControl/>
              <w:spacing w:line="360" w:lineRule="auto"/>
              <w:jc w:val="center"/>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15</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284"/>
        </w:trPr>
        <w:tc>
          <w:tcPr>
            <w:tcW w:w="0" w:type="auto"/>
            <w:vMerge w:val="restart"/>
            <w:vAlign w:val="center"/>
          </w:tcPr>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作业</w:t>
            </w:r>
          </w:p>
          <w:p w:rsidR="00D80A5C" w:rsidRPr="00DB6D32" w:rsidRDefault="00D80A5C" w:rsidP="00D80A5C">
            <w:pPr>
              <w:widowControl/>
              <w:spacing w:line="360" w:lineRule="auto"/>
              <w:jc w:val="center"/>
              <w:rPr>
                <w:rFonts w:ascii="宋体" w:hAnsi="宋体" w:cs="宋体" w:hint="eastAsia"/>
                <w:b/>
                <w:kern w:val="0"/>
                <w:szCs w:val="21"/>
              </w:rPr>
            </w:pPr>
            <w:r w:rsidRPr="00DB6D32">
              <w:rPr>
                <w:rFonts w:ascii="宋体" w:hAnsi="宋体" w:cs="宋体" w:hint="eastAsia"/>
                <w:b/>
                <w:kern w:val="0"/>
                <w:szCs w:val="21"/>
              </w:rPr>
              <w:t>规范</w:t>
            </w: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严格执行《上海市建筑垃圾处理管理规定》（沪府令57号）及上海市浦东新区绿化和市容管理局相关要求</w:t>
            </w:r>
          </w:p>
        </w:tc>
        <w:tc>
          <w:tcPr>
            <w:tcW w:w="0" w:type="auto"/>
            <w:vMerge w:val="restart"/>
            <w:vAlign w:val="center"/>
          </w:tcPr>
          <w:p w:rsidR="00D80A5C" w:rsidRPr="00DB6D32" w:rsidRDefault="00D80A5C" w:rsidP="00D80A5C">
            <w:pPr>
              <w:spacing w:line="360" w:lineRule="auto"/>
              <w:jc w:val="center"/>
              <w:rPr>
                <w:rFonts w:ascii="宋体" w:hAnsi="宋体" w:cs="宋体" w:hint="eastAsia"/>
                <w:kern w:val="0"/>
                <w:szCs w:val="21"/>
              </w:rPr>
            </w:pPr>
            <w:r w:rsidRPr="00DB6D32">
              <w:rPr>
                <w:rFonts w:ascii="宋体" w:hAnsi="宋体" w:cs="宋体" w:hint="eastAsia"/>
                <w:kern w:val="0"/>
                <w:szCs w:val="21"/>
              </w:rPr>
              <w:t>55</w:t>
            </w: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425"/>
        </w:trPr>
        <w:tc>
          <w:tcPr>
            <w:tcW w:w="0" w:type="auto"/>
            <w:vMerge/>
            <w:vAlign w:val="center"/>
          </w:tcPr>
          <w:p w:rsidR="00D80A5C" w:rsidRPr="00DB6D32" w:rsidRDefault="00D80A5C" w:rsidP="00D80A5C">
            <w:pPr>
              <w:widowControl/>
              <w:spacing w:line="360" w:lineRule="auto"/>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清运及时</w:t>
            </w:r>
          </w:p>
        </w:tc>
        <w:tc>
          <w:tcPr>
            <w:tcW w:w="0" w:type="auto"/>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417"/>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不存在顶盖不盖，垃圾飞扬、拖挂和散落现象</w:t>
            </w:r>
          </w:p>
        </w:tc>
        <w:tc>
          <w:tcPr>
            <w:tcW w:w="0" w:type="auto"/>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409"/>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清运车辆服从现场工作人员指挥</w:t>
            </w:r>
          </w:p>
        </w:tc>
        <w:tc>
          <w:tcPr>
            <w:tcW w:w="0" w:type="auto"/>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r w:rsidR="00D80A5C" w:rsidRPr="00DB6D32" w:rsidTr="00C75530">
        <w:trPr>
          <w:trHeight w:val="409"/>
        </w:trPr>
        <w:tc>
          <w:tcPr>
            <w:tcW w:w="0" w:type="auto"/>
            <w:vMerge/>
            <w:vAlign w:val="center"/>
          </w:tcPr>
          <w:p w:rsidR="00D80A5C" w:rsidRPr="00DB6D32" w:rsidRDefault="00D80A5C" w:rsidP="00D80A5C">
            <w:pPr>
              <w:widowControl/>
              <w:spacing w:line="360" w:lineRule="auto"/>
              <w:jc w:val="center"/>
              <w:rPr>
                <w:rFonts w:ascii="宋体" w:hAnsi="宋体" w:cs="宋体" w:hint="eastAsia"/>
                <w:b/>
                <w:bCs/>
                <w:kern w:val="0"/>
                <w:szCs w:val="21"/>
              </w:rPr>
            </w:pPr>
          </w:p>
        </w:tc>
        <w:tc>
          <w:tcPr>
            <w:tcW w:w="0" w:type="auto"/>
            <w:vAlign w:val="center"/>
          </w:tcPr>
          <w:p w:rsidR="00D80A5C" w:rsidRPr="00DB6D32" w:rsidRDefault="00D80A5C" w:rsidP="00D80A5C">
            <w:pPr>
              <w:widowControl/>
              <w:spacing w:line="360" w:lineRule="auto"/>
              <w:rPr>
                <w:rFonts w:ascii="宋体" w:hAnsi="宋体" w:cs="宋体" w:hint="eastAsia"/>
                <w:kern w:val="0"/>
                <w:szCs w:val="21"/>
              </w:rPr>
            </w:pPr>
            <w:r w:rsidRPr="00DB6D32">
              <w:rPr>
                <w:rFonts w:ascii="宋体" w:hAnsi="宋体" w:cs="宋体" w:hint="eastAsia"/>
                <w:kern w:val="0"/>
                <w:szCs w:val="21"/>
              </w:rPr>
              <w:t>遇拥堵时不随意超车或乱按喇叭，造成场面混乱</w:t>
            </w:r>
          </w:p>
        </w:tc>
        <w:tc>
          <w:tcPr>
            <w:tcW w:w="0" w:type="auto"/>
            <w:vMerge/>
            <w:vAlign w:val="center"/>
          </w:tcPr>
          <w:p w:rsidR="00D80A5C" w:rsidRPr="00DB6D32" w:rsidRDefault="00D80A5C" w:rsidP="00D80A5C">
            <w:pPr>
              <w:spacing w:line="360" w:lineRule="auto"/>
              <w:jc w:val="center"/>
              <w:rPr>
                <w:rFonts w:ascii="宋体" w:hAnsi="宋体" w:cs="宋体" w:hint="eastAsia"/>
                <w:kern w:val="0"/>
                <w:szCs w:val="21"/>
              </w:rPr>
            </w:pPr>
          </w:p>
        </w:tc>
        <w:tc>
          <w:tcPr>
            <w:tcW w:w="0" w:type="auto"/>
            <w:vAlign w:val="center"/>
          </w:tcPr>
          <w:p w:rsidR="00D80A5C" w:rsidRPr="00DB6D32" w:rsidRDefault="00D80A5C" w:rsidP="00D80A5C">
            <w:pPr>
              <w:widowControl/>
              <w:spacing w:line="360" w:lineRule="auto"/>
              <w:jc w:val="center"/>
              <w:rPr>
                <w:rFonts w:ascii="宋体" w:hAnsi="宋体" w:cs="宋体" w:hint="eastAsia"/>
                <w:kern w:val="0"/>
                <w:szCs w:val="21"/>
              </w:rPr>
            </w:pPr>
            <w:r w:rsidRPr="00DB6D32">
              <w:rPr>
                <w:rFonts w:ascii="宋体" w:hAnsi="宋体" w:cs="宋体" w:hint="eastAsia"/>
                <w:kern w:val="0"/>
                <w:szCs w:val="21"/>
              </w:rPr>
              <w:t>10</w:t>
            </w:r>
          </w:p>
        </w:tc>
        <w:tc>
          <w:tcPr>
            <w:tcW w:w="0" w:type="auto"/>
          </w:tcPr>
          <w:p w:rsidR="00D80A5C" w:rsidRPr="00DB6D32" w:rsidRDefault="00D80A5C" w:rsidP="00D80A5C">
            <w:pPr>
              <w:widowControl/>
              <w:spacing w:line="360" w:lineRule="auto"/>
              <w:jc w:val="center"/>
              <w:rPr>
                <w:rFonts w:ascii="宋体" w:hAnsi="宋体" w:cs="宋体" w:hint="eastAsia"/>
                <w:kern w:val="0"/>
                <w:szCs w:val="21"/>
              </w:rPr>
            </w:pPr>
          </w:p>
        </w:tc>
      </w:tr>
    </w:tbl>
    <w:p w:rsidR="00D80A5C" w:rsidRPr="00DB6D32" w:rsidRDefault="00D80A5C" w:rsidP="00D80A5C">
      <w:pPr>
        <w:widowControl/>
        <w:spacing w:line="360" w:lineRule="auto"/>
        <w:jc w:val="left"/>
        <w:rPr>
          <w:rFonts w:ascii="宋体" w:hAnsi="宋体" w:cs="宋体" w:hint="eastAsia"/>
          <w:szCs w:val="21"/>
        </w:rPr>
      </w:pPr>
      <w:r w:rsidRPr="00DB6D32">
        <w:rPr>
          <w:rFonts w:ascii="宋体" w:hAnsi="宋体" w:cs="宋体" w:hint="eastAsia"/>
          <w:szCs w:val="21"/>
        </w:rPr>
        <w:t>注：单项分值最小扣分值为0.5，扣完为止。</w:t>
      </w:r>
    </w:p>
    <w:p w:rsidR="00D80A5C" w:rsidRPr="00DB6D32" w:rsidRDefault="00D80A5C" w:rsidP="00D80A5C">
      <w:pPr>
        <w:widowControl/>
        <w:spacing w:line="360" w:lineRule="auto"/>
        <w:ind w:firstLineChars="200" w:firstLine="420"/>
        <w:jc w:val="left"/>
        <w:rPr>
          <w:rFonts w:ascii="宋体" w:hAnsi="宋体" w:cs="宋体"/>
          <w:szCs w:val="21"/>
        </w:rPr>
      </w:pPr>
    </w:p>
    <w:p w:rsidR="00D80A5C" w:rsidRPr="00DB6D32" w:rsidRDefault="00D80A5C" w:rsidP="00D80A5C">
      <w:pPr>
        <w:pStyle w:val="2"/>
        <w:spacing w:before="0" w:after="0" w:line="360" w:lineRule="auto"/>
        <w:rPr>
          <w:rFonts w:ascii="宋体" w:eastAsia="宋体" w:hAnsi="宋体" w:cs="宋体"/>
          <w:szCs w:val="21"/>
        </w:rPr>
      </w:pPr>
      <w:r w:rsidRPr="00DB6D32">
        <w:rPr>
          <w:rFonts w:ascii="宋体" w:eastAsia="宋体" w:hAnsi="宋体" w:cs="宋体" w:hint="eastAsia"/>
          <w:sz w:val="21"/>
          <w:szCs w:val="21"/>
        </w:rPr>
        <w:t>五、服务期限</w:t>
      </w:r>
    </w:p>
    <w:p w:rsidR="00D80A5C" w:rsidRPr="00DB6D32" w:rsidRDefault="00D80A5C" w:rsidP="00D80A5C">
      <w:pPr>
        <w:spacing w:line="360" w:lineRule="auto"/>
        <w:ind w:firstLineChars="200" w:firstLine="420"/>
        <w:rPr>
          <w:rFonts w:ascii="宋体" w:hAnsi="宋体" w:cs="宋体"/>
          <w:szCs w:val="21"/>
        </w:rPr>
      </w:pPr>
      <w:r w:rsidRPr="00DB6D32">
        <w:rPr>
          <w:rFonts w:ascii="宋体" w:hAnsi="宋体" w:cs="宋体" w:hint="eastAsia"/>
          <w:szCs w:val="21"/>
        </w:rPr>
        <w:t>服务期限：2024年10月11日至2025年10月10日</w:t>
      </w:r>
    </w:p>
    <w:p w:rsidR="00D80A5C" w:rsidRPr="00DB6D32" w:rsidRDefault="00D80A5C" w:rsidP="00D80A5C">
      <w:pPr>
        <w:spacing w:line="360" w:lineRule="auto"/>
        <w:ind w:firstLineChars="200" w:firstLine="420"/>
        <w:rPr>
          <w:rFonts w:ascii="宋体" w:hAnsi="宋体" w:cs="宋体"/>
          <w:szCs w:val="21"/>
        </w:rPr>
      </w:pPr>
      <w:r w:rsidRPr="00DB6D32">
        <w:rPr>
          <w:rStyle w:val="msoins0"/>
          <w:rFonts w:ascii="宋体" w:hAnsi="宋体" w:cs="宋体" w:hint="eastAsia"/>
          <w:szCs w:val="21"/>
        </w:rPr>
        <w:t>注：本次采购工作完成前由原服务单位继续履行服务，如本次成交供应商非原服务单位，待项目采购完成后由成交供应商以成交价按天折算支付给原服务单位相应的服务费用。</w:t>
      </w:r>
    </w:p>
    <w:p w:rsidR="00D80A5C" w:rsidRPr="00DB6D32" w:rsidRDefault="00D80A5C" w:rsidP="00D80A5C">
      <w:pPr>
        <w:pStyle w:val="2"/>
        <w:spacing w:before="0" w:after="0" w:line="360" w:lineRule="auto"/>
        <w:rPr>
          <w:rFonts w:ascii="宋体" w:eastAsia="宋体" w:hAnsi="宋体" w:cs="宋体"/>
          <w:sz w:val="21"/>
          <w:szCs w:val="21"/>
        </w:rPr>
      </w:pPr>
      <w:r w:rsidRPr="00DB6D32">
        <w:rPr>
          <w:rFonts w:ascii="宋体" w:eastAsia="宋体" w:hAnsi="宋体" w:cs="宋体" w:hint="eastAsia"/>
          <w:sz w:val="21"/>
          <w:szCs w:val="21"/>
        </w:rPr>
        <w:t>六、付款方式</w:t>
      </w:r>
    </w:p>
    <w:bookmarkEnd w:id="0"/>
    <w:p w:rsidR="00D80A5C" w:rsidRPr="00DB6D32" w:rsidRDefault="00D80A5C" w:rsidP="00D80A5C">
      <w:pPr>
        <w:spacing w:line="360" w:lineRule="auto"/>
        <w:ind w:firstLineChars="200" w:firstLine="420"/>
        <w:rPr>
          <w:rFonts w:ascii="宋体" w:hAnsi="宋体" w:cs="宋体"/>
          <w:szCs w:val="21"/>
        </w:rPr>
      </w:pPr>
      <w:r w:rsidRPr="00DB6D32">
        <w:rPr>
          <w:rFonts w:ascii="宋体" w:hAnsi="宋体" w:cs="宋体" w:hint="eastAsia"/>
          <w:szCs w:val="21"/>
        </w:rPr>
        <w:t>采购人和成交供应商合同签订后，提交符合采购人要求的发票，服务费用结合考核情况按照每三个月一次的频率进行支付（即2025年1月31日、2025年3月31日、2025年6月30日、2025年9月30日），每次支付合同金额的25%。</w:t>
      </w:r>
    </w:p>
    <w:bookmarkEnd w:id="1"/>
    <w:p w:rsidR="00124842" w:rsidRPr="00D80A5C" w:rsidRDefault="00124842" w:rsidP="00D80A5C">
      <w:pPr>
        <w:spacing w:line="360" w:lineRule="auto"/>
      </w:pPr>
    </w:p>
    <w:sectPr w:rsidR="00124842" w:rsidRPr="00D80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DE3" w:rsidRDefault="004C4DE3" w:rsidP="00D80A5C">
      <w:r>
        <w:separator/>
      </w:r>
    </w:p>
  </w:endnote>
  <w:endnote w:type="continuationSeparator" w:id="0">
    <w:p w:rsidR="004C4DE3" w:rsidRDefault="004C4DE3" w:rsidP="00D8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DE3" w:rsidRDefault="004C4DE3" w:rsidP="00D80A5C">
      <w:r>
        <w:separator/>
      </w:r>
    </w:p>
  </w:footnote>
  <w:footnote w:type="continuationSeparator" w:id="0">
    <w:p w:rsidR="004C4DE3" w:rsidRDefault="004C4DE3" w:rsidP="00D80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F9AF51"/>
    <w:multiLevelType w:val="singleLevel"/>
    <w:tmpl w:val="9EF9AF51"/>
    <w:lvl w:ilvl="0">
      <w:start w:val="3"/>
      <w:numFmt w:val="chineseCounting"/>
      <w:suff w:val="nothing"/>
      <w:lvlText w:val="%1、"/>
      <w:lvlJc w:val="left"/>
      <w:rPr>
        <w:rFonts w:hint="eastAsia"/>
      </w:rPr>
    </w:lvl>
  </w:abstractNum>
  <w:abstractNum w:abstractNumId="1" w15:restartNumberingAfterBreak="0">
    <w:nsid w:val="5CA579DC"/>
    <w:multiLevelType w:val="singleLevel"/>
    <w:tmpl w:val="5CA579D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38"/>
    <w:rsid w:val="00124842"/>
    <w:rsid w:val="004C4DE3"/>
    <w:rsid w:val="00D04538"/>
    <w:rsid w:val="00D8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6C269"/>
  <w15:chartTrackingRefBased/>
  <w15:docId w15:val="{0289C2CE-EC26-430D-A80B-8936BCB8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A5C"/>
    <w:pPr>
      <w:widowControl w:val="0"/>
      <w:jc w:val="both"/>
    </w:pPr>
    <w:rPr>
      <w:rFonts w:ascii="Times New Roman" w:eastAsia="宋体" w:hAnsi="Times New Roman" w:cs="Times New Roman"/>
    </w:rPr>
  </w:style>
  <w:style w:type="paragraph" w:styleId="2">
    <w:name w:val="heading 2"/>
    <w:basedOn w:val="a"/>
    <w:next w:val="a"/>
    <w:link w:val="21"/>
    <w:uiPriority w:val="9"/>
    <w:qFormat/>
    <w:rsid w:val="00D80A5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A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0A5C"/>
    <w:rPr>
      <w:sz w:val="18"/>
      <w:szCs w:val="18"/>
    </w:rPr>
  </w:style>
  <w:style w:type="paragraph" w:styleId="a5">
    <w:name w:val="footer"/>
    <w:basedOn w:val="a"/>
    <w:link w:val="a6"/>
    <w:uiPriority w:val="99"/>
    <w:unhideWhenUsed/>
    <w:rsid w:val="00D80A5C"/>
    <w:pPr>
      <w:tabs>
        <w:tab w:val="center" w:pos="4153"/>
        <w:tab w:val="right" w:pos="8306"/>
      </w:tabs>
      <w:snapToGrid w:val="0"/>
      <w:jc w:val="left"/>
    </w:pPr>
    <w:rPr>
      <w:sz w:val="18"/>
      <w:szCs w:val="18"/>
    </w:rPr>
  </w:style>
  <w:style w:type="character" w:customStyle="1" w:styleId="a6">
    <w:name w:val="页脚 字符"/>
    <w:basedOn w:val="a0"/>
    <w:link w:val="a5"/>
    <w:uiPriority w:val="99"/>
    <w:rsid w:val="00D80A5C"/>
    <w:rPr>
      <w:sz w:val="18"/>
      <w:szCs w:val="18"/>
    </w:rPr>
  </w:style>
  <w:style w:type="character" w:customStyle="1" w:styleId="20">
    <w:name w:val="标题 2 字符"/>
    <w:basedOn w:val="a0"/>
    <w:uiPriority w:val="9"/>
    <w:semiHidden/>
    <w:rsid w:val="00D80A5C"/>
    <w:rPr>
      <w:rFonts w:asciiTheme="majorHAnsi" w:eastAsiaTheme="majorEastAsia" w:hAnsiTheme="majorHAnsi" w:cstheme="majorBidi"/>
      <w:b/>
      <w:bCs/>
      <w:sz w:val="32"/>
      <w:szCs w:val="32"/>
    </w:rPr>
  </w:style>
  <w:style w:type="character" w:customStyle="1" w:styleId="21">
    <w:name w:val="标题 2 字符1"/>
    <w:link w:val="2"/>
    <w:uiPriority w:val="9"/>
    <w:rsid w:val="00D80A5C"/>
    <w:rPr>
      <w:rFonts w:ascii="Arial" w:eastAsia="黑体" w:hAnsi="Arial" w:cs="Times New Roman"/>
      <w:b/>
      <w:bCs/>
      <w:sz w:val="32"/>
      <w:szCs w:val="32"/>
    </w:rPr>
  </w:style>
  <w:style w:type="character" w:customStyle="1" w:styleId="msoins0">
    <w:name w:val="msoins"/>
    <w:qFormat/>
    <w:rsid w:val="00D80A5C"/>
    <w:rPr>
      <w:rFonts w:cs="Times New Roman"/>
    </w:rPr>
  </w:style>
  <w:style w:type="paragraph" w:customStyle="1" w:styleId="a7">
    <w:name w:val="*正文"/>
    <w:basedOn w:val="a"/>
    <w:qFormat/>
    <w:rsid w:val="00D80A5C"/>
    <w:pPr>
      <w:spacing w:line="360" w:lineRule="auto"/>
      <w:ind w:firstLineChars="200" w:firstLine="200"/>
    </w:pPr>
    <w:rPr>
      <w:rFonts w:ascii="宋体" w:hAnsi="宋体" w:cs="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1871</Words>
  <Characters>2004</Characters>
  <Application>Microsoft Office Word</Application>
  <DocSecurity>0</DocSecurity>
  <Lines>133</Lines>
  <Paragraphs>117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2024-10-23T06:01:00Z</dcterms:created>
  <dcterms:modified xsi:type="dcterms:W3CDTF">2024-10-23T06:03:00Z</dcterms:modified>
</cp:coreProperties>
</file>