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A4C" w:rsidRPr="00DF0E5B" w:rsidRDefault="00F10A4C" w:rsidP="0073196D">
      <w:pPr>
        <w:rPr>
          <w:rFonts w:ascii="宋体" w:hAnsi="宋体" w:cs="宋体"/>
          <w:sz w:val="21"/>
          <w:szCs w:val="21"/>
        </w:rPr>
      </w:pPr>
      <w:bookmarkStart w:id="0" w:name="PO_PURCHASE_REQUIREMENT_FILE57130_1"/>
      <w:bookmarkStart w:id="1" w:name="_GoBack"/>
      <w:r w:rsidRPr="00DF0E5B">
        <w:rPr>
          <w:rFonts w:ascii="宋体" w:hAnsi="宋体" w:cs="宋体" w:hint="eastAsia"/>
          <w:b/>
          <w:sz w:val="21"/>
          <w:szCs w:val="21"/>
        </w:rPr>
        <w:t>一、项目概述：</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1.1项目介绍</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居民区住宅电梯由于其产权的公共属性，经常遇到维修改造难，随着使用年限的增加，日常运行中安全隐患逐渐显现，配件少和维修保障难等问题也日益凸现。为方便居民安全出行，特对15年以上居民住宅老旧电梯做安全风险评估，通过预判机制提前发现问题，督促早整改，消除安全隐患。</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本次采购评估预计约2018台电梯，固定单价，按实结算，项目预算金额为565.04万元，分为七个包件，具体划分如下：</w:t>
      </w:r>
    </w:p>
    <w:tbl>
      <w:tblPr>
        <w:tblW w:w="499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067"/>
        <w:gridCol w:w="1903"/>
        <w:gridCol w:w="1481"/>
        <w:gridCol w:w="1903"/>
        <w:gridCol w:w="1929"/>
      </w:tblGrid>
      <w:tr w:rsidR="00F10A4C" w:rsidRPr="00DF0E5B" w:rsidTr="00BA3100">
        <w:trPr>
          <w:trHeight w:val="303"/>
        </w:trPr>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b/>
                <w:bCs/>
                <w:sz w:val="21"/>
                <w:szCs w:val="21"/>
              </w:rPr>
            </w:pPr>
            <w:r w:rsidRPr="00DF0E5B">
              <w:rPr>
                <w:rFonts w:ascii="宋体" w:hAnsi="宋体" w:cs="宋体" w:hint="eastAsia"/>
                <w:b/>
                <w:bCs/>
                <w:sz w:val="21"/>
                <w:szCs w:val="21"/>
                <w:lang w:bidi="ar"/>
              </w:rPr>
              <w:t>包件号</w:t>
            </w: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b/>
                <w:bCs/>
                <w:sz w:val="21"/>
                <w:szCs w:val="21"/>
              </w:rPr>
            </w:pPr>
            <w:r w:rsidRPr="00DF0E5B">
              <w:rPr>
                <w:rFonts w:ascii="宋体" w:hAnsi="宋体" w:cs="宋体" w:hint="eastAsia"/>
                <w:b/>
                <w:bCs/>
                <w:sz w:val="21"/>
                <w:szCs w:val="21"/>
                <w:lang w:bidi="ar"/>
              </w:rPr>
              <w:t>服务范围（片区）</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b/>
                <w:bCs/>
                <w:sz w:val="21"/>
                <w:szCs w:val="21"/>
              </w:rPr>
            </w:pPr>
            <w:r w:rsidRPr="00DF0E5B">
              <w:rPr>
                <w:rFonts w:ascii="宋体" w:hAnsi="宋体" w:cs="宋体" w:hint="eastAsia"/>
                <w:b/>
                <w:bCs/>
                <w:sz w:val="21"/>
                <w:szCs w:val="21"/>
                <w:lang w:bidi="ar"/>
              </w:rPr>
              <w:t>预计评估数量</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b/>
                <w:bCs/>
                <w:sz w:val="21"/>
                <w:szCs w:val="21"/>
              </w:rPr>
            </w:pPr>
            <w:r w:rsidRPr="00DF0E5B">
              <w:rPr>
                <w:rFonts w:ascii="宋体" w:hAnsi="宋体" w:cs="宋体" w:hint="eastAsia"/>
                <w:b/>
                <w:bCs/>
                <w:sz w:val="21"/>
                <w:szCs w:val="21"/>
                <w:lang w:bidi="ar"/>
              </w:rPr>
              <w:t>预计评估数量小计</w:t>
            </w:r>
          </w:p>
        </w:tc>
        <w:tc>
          <w:tcPr>
            <w:tcW w:w="1398" w:type="pct"/>
            <w:tcBorders>
              <w:tl2br w:val="nil"/>
              <w:tr2bl w:val="nil"/>
            </w:tcBorders>
            <w:noWrap/>
            <w:vAlign w:val="center"/>
          </w:tcPr>
          <w:p w:rsidR="00F10A4C" w:rsidRPr="00DF0E5B" w:rsidRDefault="00F10A4C" w:rsidP="0073196D">
            <w:pPr>
              <w:widowControl/>
              <w:jc w:val="center"/>
              <w:textAlignment w:val="center"/>
              <w:rPr>
                <w:rFonts w:ascii="宋体" w:hAnsi="宋体" w:cs="宋体"/>
                <w:b/>
                <w:bCs/>
                <w:sz w:val="21"/>
                <w:szCs w:val="21"/>
              </w:rPr>
            </w:pPr>
            <w:r w:rsidRPr="00DF0E5B">
              <w:rPr>
                <w:rFonts w:ascii="宋体" w:hAnsi="宋体" w:cs="宋体" w:hint="eastAsia"/>
                <w:b/>
                <w:bCs/>
                <w:sz w:val="21"/>
                <w:szCs w:val="21"/>
                <w:lang w:bidi="ar"/>
              </w:rPr>
              <w:t>包件预算金额</w:t>
            </w:r>
          </w:p>
        </w:tc>
      </w:tr>
      <w:tr w:rsidR="00F10A4C" w:rsidRPr="00DF0E5B" w:rsidTr="00BA3100">
        <w:trPr>
          <w:trHeight w:val="318"/>
        </w:trPr>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包件一</w:t>
            </w: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花木</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200台</w:t>
            </w:r>
          </w:p>
        </w:tc>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280台</w:t>
            </w:r>
          </w:p>
        </w:tc>
        <w:tc>
          <w:tcPr>
            <w:tcW w:w="139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784,000.00元</w:t>
            </w: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东明</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80台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18"/>
        </w:trPr>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包件二</w:t>
            </w: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三林</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157台</w:t>
            </w:r>
          </w:p>
        </w:tc>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292台</w:t>
            </w:r>
          </w:p>
        </w:tc>
        <w:tc>
          <w:tcPr>
            <w:tcW w:w="139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817,600.00元</w:t>
            </w: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川沙</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65台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大团</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10台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高东</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20台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万祥</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10台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高桥</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30台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18"/>
        </w:trPr>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包件三</w:t>
            </w: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塘桥</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80台</w:t>
            </w:r>
          </w:p>
        </w:tc>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282台</w:t>
            </w:r>
          </w:p>
        </w:tc>
        <w:tc>
          <w:tcPr>
            <w:tcW w:w="139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789,600.00元</w:t>
            </w: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潍坊</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32台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洋泾</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130台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周家渡</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30台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上钢</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10台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18"/>
        </w:trPr>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包件四</w:t>
            </w: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张江</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156台</w:t>
            </w:r>
          </w:p>
        </w:tc>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290台</w:t>
            </w:r>
          </w:p>
        </w:tc>
        <w:tc>
          <w:tcPr>
            <w:tcW w:w="139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812,000.00元</w:t>
            </w: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金桥</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30台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唐镇</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24台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周浦</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80台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18"/>
        </w:trPr>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包件五</w:t>
            </w: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沪东</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40台</w:t>
            </w:r>
          </w:p>
        </w:tc>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294台</w:t>
            </w:r>
          </w:p>
        </w:tc>
        <w:tc>
          <w:tcPr>
            <w:tcW w:w="139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823,200.00元</w:t>
            </w: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金杨</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70台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陆家嘴</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62台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南码头</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42台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浦兴</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80台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18"/>
        </w:trPr>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包件六</w:t>
            </w: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康桥</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124台</w:t>
            </w:r>
          </w:p>
        </w:tc>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290台</w:t>
            </w:r>
          </w:p>
        </w:tc>
        <w:tc>
          <w:tcPr>
            <w:tcW w:w="139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812,000.00元</w:t>
            </w: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航头</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46台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惠南</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40台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南汇新城</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20台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宣桥</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30台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祝桥</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30台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18"/>
        </w:trPr>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包件七</w:t>
            </w: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北蔡</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100台</w:t>
            </w:r>
          </w:p>
        </w:tc>
        <w:tc>
          <w:tcPr>
            <w:tcW w:w="87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290台</w:t>
            </w:r>
          </w:p>
        </w:tc>
        <w:tc>
          <w:tcPr>
            <w:tcW w:w="1398" w:type="pct"/>
            <w:vMerge w:val="restar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812,000.00元</w:t>
            </w: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曹路</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10台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合庆</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10台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r w:rsidR="00F10A4C" w:rsidRPr="00DF0E5B" w:rsidTr="00BA3100">
        <w:trPr>
          <w:trHeight w:val="303"/>
        </w:trPr>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965"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lang w:bidi="ar"/>
              </w:rPr>
              <w:t>高行</w:t>
            </w:r>
          </w:p>
        </w:tc>
        <w:tc>
          <w:tcPr>
            <w:tcW w:w="878" w:type="pct"/>
            <w:tcBorders>
              <w:tl2br w:val="nil"/>
              <w:tr2bl w:val="nil"/>
            </w:tcBorders>
            <w:noWrap/>
            <w:vAlign w:val="center"/>
          </w:tcPr>
          <w:p w:rsidR="00F10A4C" w:rsidRPr="00DF0E5B" w:rsidRDefault="00F10A4C" w:rsidP="0073196D">
            <w:pPr>
              <w:widowControl/>
              <w:jc w:val="center"/>
              <w:textAlignment w:val="center"/>
              <w:rPr>
                <w:rFonts w:ascii="宋体" w:hAnsi="宋体" w:cs="宋体"/>
                <w:sz w:val="21"/>
                <w:szCs w:val="21"/>
              </w:rPr>
            </w:pPr>
            <w:r w:rsidRPr="00DF0E5B">
              <w:rPr>
                <w:rFonts w:ascii="宋体" w:hAnsi="宋体" w:cs="宋体" w:hint="eastAsia"/>
                <w:sz w:val="21"/>
                <w:szCs w:val="21"/>
              </w:rPr>
              <w:t>170台</w:t>
            </w:r>
          </w:p>
        </w:tc>
        <w:tc>
          <w:tcPr>
            <w:tcW w:w="87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c>
          <w:tcPr>
            <w:tcW w:w="1398" w:type="pct"/>
            <w:vMerge/>
            <w:tcBorders>
              <w:tl2br w:val="nil"/>
              <w:tr2bl w:val="nil"/>
            </w:tcBorders>
            <w:noWrap/>
            <w:vAlign w:val="center"/>
          </w:tcPr>
          <w:p w:rsidR="00F10A4C" w:rsidRPr="00DF0E5B" w:rsidRDefault="00F10A4C" w:rsidP="0073196D">
            <w:pPr>
              <w:jc w:val="center"/>
              <w:rPr>
                <w:rFonts w:ascii="宋体" w:hAnsi="宋体" w:cs="宋体"/>
                <w:sz w:val="21"/>
                <w:szCs w:val="21"/>
              </w:rPr>
            </w:pPr>
          </w:p>
        </w:tc>
      </w:tr>
    </w:tbl>
    <w:p w:rsidR="00F10A4C" w:rsidRPr="00DF0E5B" w:rsidRDefault="00F10A4C" w:rsidP="0073196D">
      <w:pPr>
        <w:ind w:firstLineChars="200" w:firstLine="422"/>
        <w:rPr>
          <w:b/>
          <w:bCs/>
          <w:sz w:val="21"/>
          <w:szCs w:val="21"/>
        </w:rPr>
      </w:pPr>
      <w:r w:rsidRPr="00DF0E5B">
        <w:rPr>
          <w:rFonts w:hint="eastAsia"/>
          <w:b/>
          <w:bCs/>
          <w:sz w:val="21"/>
          <w:szCs w:val="21"/>
        </w:rPr>
        <w:t>注：本项目固定单价，最终按实结算，且最高结算金额不超过合同金额，具体服务项目或金额具有不确定性，采购人不对具体承接项目或金额作出最低的承诺，供应商需充分考虑由此引发的全部风险。</w:t>
      </w:r>
      <w:r w:rsidRPr="00DF0E5B">
        <w:rPr>
          <w:rFonts w:ascii="宋体" w:hAnsi="宋体" w:hint="eastAsia"/>
          <w:sz w:val="21"/>
          <w:szCs w:val="21"/>
        </w:rPr>
        <w:t>参加本次投标的投标人，可对一个包件进行投标，也可对多个包件同时进行投标，但每个投标人只能中标一个包件</w:t>
      </w:r>
      <w:r w:rsidRPr="00DF0E5B">
        <w:rPr>
          <w:rStyle w:val="msoins0"/>
          <w:rFonts w:ascii="宋体" w:hAnsi="宋体" w:hint="eastAsia"/>
          <w:sz w:val="21"/>
          <w:szCs w:val="21"/>
        </w:rPr>
        <w:t>。</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1.2项目目标</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根据《中华人民共和国特种设备安全法》，结合本项目区域住宅乘用电梯实际使用情况，开展针对住宅乘用电梯的安全风险评估工作，意义重大。</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（1）实现安全关口前移，变事后监察为事前预防，提高了行政监察效能。</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（2）强化公共安全监管的力度，有利于本区安全社会创建。</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（3）通过专家评估，提高政府对电梯监管的科学性和针对性。</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（4）在一定程度上解决业主委员会、物业、电梯公司各方信息不对称的问题，为协调解决电梯安全使用风险提供了依据、搭建了平台。</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1.3交付期</w:t>
      </w:r>
    </w:p>
    <w:p w:rsidR="00F10A4C" w:rsidRPr="00DF0E5B" w:rsidRDefault="00F10A4C" w:rsidP="0073196D">
      <w:pPr>
        <w:ind w:firstLineChars="200" w:firstLine="422"/>
        <w:rPr>
          <w:rFonts w:ascii="宋体" w:hAnsi="宋体" w:cs="宋体"/>
          <w:b/>
          <w:sz w:val="21"/>
          <w:szCs w:val="21"/>
        </w:rPr>
      </w:pPr>
      <w:r w:rsidRPr="00DF0E5B">
        <w:rPr>
          <w:rFonts w:ascii="宋体" w:hAnsi="宋体" w:cs="宋体" w:hint="eastAsia"/>
          <w:b/>
          <w:sz w:val="21"/>
          <w:szCs w:val="21"/>
        </w:rPr>
        <w:t>中标供应商应在2024年12月15日前完成所承担的电梯安全风险评估工作，并出具每台住宅乘用电梯安全风险评估报告（一式三份），浦东新区2024居民住宅老旧电梯安全风险评估分析总结报告（一式三份）。</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lastRenderedPageBreak/>
        <w:t>1.4评估要求</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1）评估机构应当依据上海市地方标准《在用电梯安全评估规范》（DT31/T885-2015）的要求以及合同规定，制定安全评估方案、计划、组织相应专业技术人员组成评估小组。安全评估流程必须符合相关要求，电梯安全评估应按计划实施。</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（2）其它适用于本合约的有关国家规范、国家标准及上海市地方规范、标准。</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1.5评估内容及方法</w:t>
      </w:r>
    </w:p>
    <w:p w:rsidR="00F10A4C" w:rsidRPr="00DF0E5B" w:rsidRDefault="00F10A4C" w:rsidP="0073196D">
      <w:pPr>
        <w:rPr>
          <w:rFonts w:ascii="宋体" w:hAnsi="宋体" w:cs="宋体"/>
          <w:sz w:val="21"/>
          <w:szCs w:val="21"/>
        </w:rPr>
      </w:pPr>
      <w:r w:rsidRPr="00DF0E5B">
        <w:rPr>
          <w:rFonts w:ascii="宋体" w:hAnsi="宋体" w:cs="宋体" w:hint="eastAsia"/>
          <w:sz w:val="21"/>
          <w:szCs w:val="21"/>
        </w:rPr>
        <w:t>（一）评估方案、计划制订</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中标供应商应当在项目正式实施前将评估计划和评估方案，交由采购人审定。</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在方案、计划通过确定后应当提前告知有关使用单位、维保单位，建立良好的沟通、协调机制，做好评估前准备工作。</w:t>
      </w:r>
    </w:p>
    <w:p w:rsidR="00F10A4C" w:rsidRPr="00DF0E5B" w:rsidRDefault="00F10A4C" w:rsidP="0073196D">
      <w:pPr>
        <w:rPr>
          <w:rFonts w:ascii="宋体" w:hAnsi="宋体" w:cs="宋体"/>
          <w:sz w:val="21"/>
          <w:szCs w:val="21"/>
        </w:rPr>
      </w:pPr>
      <w:r w:rsidRPr="00DF0E5B">
        <w:rPr>
          <w:rFonts w:ascii="宋体" w:hAnsi="宋体" w:cs="宋体" w:hint="eastAsia"/>
          <w:sz w:val="21"/>
          <w:szCs w:val="21"/>
        </w:rPr>
        <w:t>（二）电梯现场测试、评估</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1.工作内容总体概述</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主要通过技术测试、检查方式，运用定量或定性分析方法，对每台电梯进行专业测试评定（测试评估的项目见“2、测试评估内容”）具体为：</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（1）按规范要求填写相关电梯安全风险评估表；</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（2）每台电梯设备作出安全风险评估；</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（3）提出电梯设备维修、改造、更新，以及电梯管理等方面的建议；</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（4）提出电梯设备降低安全风险的对策和措施以及市场报价。</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2.测试评估内容</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（1）电梯设备的安全性评估</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安全性评估包括但不仅限于以下内容：（1）资料（2）机房区域的设备情况（3）曳引机（4）联轴器（5）电动机（6）制动器（7）控制屏（8）层门与门锁（9）供电设备（10）曳引轮、导向轮（11）悬挂装置（12）导轨（13）井道（14）对重（15）运行区域的保护（16）轿厢（17）底坑（18）运行性能。</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要求根据每台电梯目前实际使用状况，检查（1）设备的磨损、偏差情况；（2）设备的电气、电子老化程度；（3）设备的安全功能、可靠性；（4）设备是否存在不符合现有标准的情况，并分析其对使用寿命和风险隐患的影响，从而帮助使用单位决定对其采取的措施方案，减少故障发生率，保障电梯安全可靠的运行。</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（2）电梯运行管理评估</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依据《上海市电梯安全监察办法》、TSG T5001－2009《电梯使用管理与维护保养规则》</w:t>
      </w:r>
      <w:r w:rsidRPr="00DF0E5B">
        <w:rPr>
          <w:rFonts w:ascii="宋体" w:hAnsi="宋体" w:cs="宋体" w:hint="eastAsia"/>
          <w:sz w:val="21"/>
          <w:szCs w:val="21"/>
        </w:rPr>
        <w:lastRenderedPageBreak/>
        <w:t>涉及电梯使用单位管理责任要求的部分，通过评估以衡量电梯运行管理状况对电梯运行安全的风险影响，以促进电梯使用单位加强管理。</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（3）电梯维护保养管理评估</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依据国家标准的相关内容要求、《上海市电梯安全监察办法》、TSG 08-2017《特种设备使用管理规则》和TSG T5002-2017《电梯维护保养规则》涉及电梯维修保养单位责任部分，通过检查综合衡量电梯维修保养单位电梯维保现状、维修保养的能力和技术水平以促进电梯维修保养质量的提高。</w:t>
      </w:r>
    </w:p>
    <w:p w:rsidR="00F10A4C" w:rsidRPr="00DF0E5B" w:rsidRDefault="00F10A4C" w:rsidP="0073196D">
      <w:pPr>
        <w:rPr>
          <w:rFonts w:ascii="宋体" w:hAnsi="宋体" w:cs="宋体"/>
          <w:sz w:val="21"/>
          <w:szCs w:val="21"/>
        </w:rPr>
      </w:pPr>
      <w:r w:rsidRPr="00DF0E5B">
        <w:rPr>
          <w:rFonts w:ascii="宋体" w:hAnsi="宋体" w:cs="宋体" w:hint="eastAsia"/>
          <w:sz w:val="21"/>
          <w:szCs w:val="21"/>
        </w:rPr>
        <w:t>（三）分析报告撰写</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1.中标供应商应当按规定时间将以下报告上交至采购人及相关职责部门：</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浦东新区2024年度每台住宅乘用电梯安全风险评估报告</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 xml:space="preserve">2.报告中须包含以下内容（包括但不仅限于）： </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（1）能运用定量或定性方法进行数据分析；</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（2）有横向比对分析、分析后的评价结果；</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（3）能针对性指出电梯管理薄弱环节，并提出相应建议；</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（4）能分析亟须解决的问题；</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（5）能针对每台电梯提出维修保养方面的合理化建议；</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（6）能针对每台电梯，协助建立一套较为完善的安全管理制度；</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（7）能为业主方和物业管理公司提供相关建议；</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（8）如有需要，在电梯使用方提供相关方案后可对需要更新改造修理的项目提供参考报价。</w:t>
      </w:r>
    </w:p>
    <w:p w:rsidR="00F10A4C" w:rsidRPr="00DF0E5B" w:rsidRDefault="00F10A4C" w:rsidP="0073196D">
      <w:pPr>
        <w:rPr>
          <w:rFonts w:ascii="宋体" w:hAnsi="宋体" w:cs="宋体"/>
          <w:sz w:val="21"/>
          <w:szCs w:val="21"/>
        </w:rPr>
      </w:pPr>
      <w:r w:rsidRPr="00DF0E5B">
        <w:rPr>
          <w:rFonts w:ascii="宋体" w:hAnsi="宋体" w:cs="宋体" w:hint="eastAsia"/>
          <w:sz w:val="21"/>
          <w:szCs w:val="21"/>
        </w:rPr>
        <w:t>（四）协作工作及其他</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（1）出具浦东新区2024居民住宅老旧电梯安全风险评估分析总结报告。</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（2）项目验收合格后，中标供应商应当配合相关职责部门做好下一步电梯安全相关工作的落实。</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1.6付款方式与验收要求</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（一）付款方式</w:t>
      </w:r>
    </w:p>
    <w:p w:rsidR="00F10A4C" w:rsidRPr="00DF0E5B" w:rsidRDefault="00F10A4C" w:rsidP="0073196D">
      <w:pPr>
        <w:ind w:firstLineChars="200" w:firstLine="422"/>
        <w:rPr>
          <w:rFonts w:ascii="宋体" w:hAnsi="宋体" w:cs="宋体"/>
          <w:b/>
          <w:sz w:val="21"/>
          <w:szCs w:val="21"/>
        </w:rPr>
      </w:pPr>
      <w:r w:rsidRPr="00DF0E5B">
        <w:rPr>
          <w:rFonts w:ascii="宋体" w:hAnsi="宋体" w:cs="宋体" w:hint="eastAsia"/>
          <w:b/>
          <w:sz w:val="21"/>
          <w:szCs w:val="21"/>
        </w:rPr>
        <w:t>按照浦东市场监督管理局要求完成数量初步拟定为2018台，费用结算按照实际评估电梯台数结算，</w:t>
      </w:r>
      <w:r w:rsidRPr="00DF0E5B">
        <w:rPr>
          <w:rFonts w:ascii="宋体" w:hAnsi="宋体" w:cs="宋体" w:hint="eastAsia"/>
          <w:bCs/>
          <w:sz w:val="21"/>
          <w:szCs w:val="21"/>
        </w:rPr>
        <w:t>且</w:t>
      </w:r>
      <w:r w:rsidRPr="00DF0E5B">
        <w:rPr>
          <w:rFonts w:ascii="宋体" w:hAnsi="宋体" w:cs="宋体" w:hint="eastAsia"/>
          <w:sz w:val="21"/>
          <w:szCs w:val="21"/>
        </w:rPr>
        <w:t>最高结算金额不超过合同金额，供应商需考虑数量变化引发的全部风险</w:t>
      </w:r>
      <w:r w:rsidRPr="00DF0E5B">
        <w:rPr>
          <w:rFonts w:ascii="宋体" w:hAnsi="宋体" w:cs="宋体" w:hint="eastAsia"/>
          <w:b/>
          <w:sz w:val="21"/>
          <w:szCs w:val="21"/>
        </w:rPr>
        <w:t>。</w:t>
      </w:r>
    </w:p>
    <w:p w:rsidR="00F10A4C" w:rsidRPr="00DF0E5B" w:rsidRDefault="00F10A4C" w:rsidP="0073196D">
      <w:pPr>
        <w:ind w:firstLineChars="200" w:firstLine="422"/>
        <w:rPr>
          <w:rFonts w:ascii="宋体" w:hAnsi="宋体" w:cs="宋体"/>
          <w:b/>
          <w:sz w:val="21"/>
          <w:szCs w:val="21"/>
        </w:rPr>
      </w:pPr>
      <w:r w:rsidRPr="00DF0E5B">
        <w:rPr>
          <w:rFonts w:ascii="宋体" w:hAnsi="宋体" w:cs="宋体" w:hint="eastAsia"/>
          <w:b/>
          <w:sz w:val="21"/>
          <w:szCs w:val="21"/>
        </w:rPr>
        <w:t>按照实施进度分二个阶段进行付款。第一阶段，即中标供应商签订合同后，采购人支付合同价款的60%；第二阶段，即全部评估工作完成且验收合格，采购人按照实际评估电梯台</w:t>
      </w:r>
      <w:r w:rsidRPr="00DF0E5B">
        <w:rPr>
          <w:rFonts w:ascii="宋体" w:hAnsi="宋体" w:cs="宋体" w:hint="eastAsia"/>
          <w:b/>
          <w:sz w:val="21"/>
          <w:szCs w:val="21"/>
        </w:rPr>
        <w:lastRenderedPageBreak/>
        <w:t>数一次性支付剩余款项。</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（二）验收要求</w:t>
      </w:r>
    </w:p>
    <w:p w:rsidR="00F10A4C" w:rsidRPr="00DF0E5B" w:rsidRDefault="00F10A4C" w:rsidP="0073196D">
      <w:pPr>
        <w:ind w:firstLineChars="200" w:firstLine="422"/>
        <w:rPr>
          <w:rFonts w:ascii="宋体" w:hAnsi="宋体" w:cs="宋体"/>
          <w:b/>
          <w:sz w:val="21"/>
          <w:szCs w:val="21"/>
        </w:rPr>
      </w:pPr>
      <w:r w:rsidRPr="00DF0E5B">
        <w:rPr>
          <w:rFonts w:ascii="宋体" w:hAnsi="宋体" w:cs="宋体" w:hint="eastAsia"/>
          <w:b/>
          <w:sz w:val="21"/>
          <w:szCs w:val="21"/>
        </w:rPr>
        <w:t>本项目需由国家认可的电梯检验检测单位对项目实施过程进行监督、对报告进行审核，并对评价项目进行验收。相关审核验收费用由中标供应商承担。</w:t>
      </w:r>
    </w:p>
    <w:p w:rsidR="00F10A4C" w:rsidRPr="00DF0E5B" w:rsidRDefault="00F10A4C" w:rsidP="0073196D">
      <w:pPr>
        <w:ind w:firstLineChars="200" w:firstLine="422"/>
        <w:rPr>
          <w:rFonts w:ascii="宋体" w:hAnsi="宋体" w:cs="宋体"/>
          <w:b/>
          <w:sz w:val="21"/>
          <w:szCs w:val="21"/>
        </w:rPr>
      </w:pPr>
      <w:r w:rsidRPr="00DF0E5B">
        <w:rPr>
          <w:rFonts w:ascii="宋体" w:hAnsi="宋体" w:cs="宋体" w:hint="eastAsia"/>
          <w:b/>
          <w:sz w:val="21"/>
          <w:szCs w:val="21"/>
        </w:rPr>
        <w:t>本项目将针对付款阶段分别进行验收，即每个阶段抽样1台电梯，由国家认可的电梯检验检测单位对抽样电梯进行再评估，评价项目合格率达到95%以上（含95%）的即通过验收。项目合格率在95%以下的，将重新抽样1台电梯进行再评估，若评价项目合格率仍在95%以下的，采购人有权终止合同，并不再支付该阶段的费用。</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1.7人员配置</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供应商应当为本项目成立一个项目实施小组，指定专人负责该项目，项目负责人应当有过类似电梯安全风险评估项目经验。有特殊岗位专业要求的，工作人员应当具备相应的上岗证书。</w:t>
      </w:r>
    </w:p>
    <w:p w:rsidR="00F10A4C" w:rsidRPr="00DF0E5B" w:rsidRDefault="00F10A4C" w:rsidP="0073196D">
      <w:pPr>
        <w:tabs>
          <w:tab w:val="left" w:pos="180"/>
          <w:tab w:val="left" w:pos="900"/>
        </w:tabs>
        <w:ind w:firstLineChars="200" w:firstLine="422"/>
        <w:rPr>
          <w:rFonts w:ascii="宋体" w:hAnsi="宋体" w:cs="宋体"/>
          <w:b/>
          <w:sz w:val="21"/>
          <w:szCs w:val="21"/>
        </w:rPr>
      </w:pP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二、其他要求</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2.1报价要求</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（1）本项目为固定单价采购，合同单价不得变化，按评估电梯并出具报告数量进行结算，最高结算金额不超过合同金额。供应商需充分考虑数量不确定性的风险，所有费用均包含在合同单价中。</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（2）</w:t>
      </w:r>
      <w:r w:rsidRPr="00DF0E5B">
        <w:rPr>
          <w:rFonts w:ascii="宋体" w:hAnsi="宋体" w:cs="宋体" w:hint="eastAsia"/>
          <w:b/>
          <w:bCs/>
          <w:sz w:val="21"/>
          <w:szCs w:val="21"/>
        </w:rPr>
        <w:t>★单价不得超过2800元/台（本条款为实质性响应条款，供应商未对此条做出响应的，将被作无效响应处理）。</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（3）供应商所报的报价包含了可能发生的所有与完成本项目评估服务及履行合同义务有关的一切费用。供应商提供的服务应当符合国家有关法律、法规和标准规范，满足合同约定的服务内容和质量等要求。</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2.2服务要求</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1）供应商应根据招标文件的要求、现场情况以及自身经验，在响应文件中详细阐述工作计划、工作依据及标准、实施方案、质量保证措施以及达到的目标、突发情况的应急处置机制等内容，并提出针对采购人的服务设想及建议。各项内容应当详细、具体，有较高的可操作性。</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（2）现场评估工作应当尽可能降低对居民的影响。现场评估人员应当做好安全防护，确保评估现场秩序正常和安全,不得遗失、损坏相关资料，如有违规行为者，将追究法律责</w:t>
      </w:r>
      <w:r w:rsidRPr="00DF0E5B">
        <w:rPr>
          <w:rFonts w:ascii="宋体" w:hAnsi="宋体" w:cs="宋体" w:hint="eastAsia"/>
          <w:sz w:val="21"/>
          <w:szCs w:val="21"/>
        </w:rPr>
        <w:lastRenderedPageBreak/>
        <w:t>任。评估单位应做到：对评估人员进行安全培训；评估前，应进行安全技术交底；必须为评估人员配备必需的安全防护用品；对安全设施及安全作业执行情况进行检查、监督，保证服务质量。</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（3）中标供应商在服务期内须严格按照标准化的操作程序、完善的培训体系和质量控制体系完成本项目所涉及的服务，以保证整个项目安全、高效、有序和有计划地运转。</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（4）中标供应商在服务期内应加强内部管理控制，建立工作流程、人员培训、安全规范、巡查监督以及考核奖惩等制度，并保证服务质量。</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5）中标供应商配备的全部服务人员的工作时间应严格按照国家有关法律、法规要求的标准执行，因工作原因产生的加班（含节假日加班）应严格按国家有关法律、法规要求的标准给付员工加班薪资，并包含国家规定的员工年假费用。</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（6）因供应商违反《劳动法》等法律法规而造成采购人的连带责任和损失全部由供应商承担。</w:t>
      </w:r>
    </w:p>
    <w:p w:rsidR="00F10A4C" w:rsidRPr="00DF0E5B" w:rsidRDefault="00F10A4C" w:rsidP="0073196D">
      <w:pPr>
        <w:ind w:firstLineChars="200" w:firstLine="420"/>
        <w:rPr>
          <w:rFonts w:ascii="宋体" w:hAnsi="宋体" w:cs="宋体"/>
          <w:b/>
          <w:sz w:val="21"/>
          <w:szCs w:val="21"/>
        </w:rPr>
      </w:pPr>
      <w:r w:rsidRPr="00DF0E5B">
        <w:rPr>
          <w:rFonts w:ascii="宋体" w:hAnsi="宋体" w:cs="宋体" w:hint="eastAsia"/>
          <w:sz w:val="21"/>
          <w:szCs w:val="21"/>
        </w:rPr>
        <w:t>（7）中标供应商为此项目所聘用的全部人员、生、老、病、死或事故原因、劳资纠纷，刑、民事案件等均与采购人无关。</w:t>
      </w:r>
    </w:p>
    <w:p w:rsidR="00F10A4C" w:rsidRPr="00DF0E5B" w:rsidRDefault="00F10A4C" w:rsidP="0073196D">
      <w:pPr>
        <w:rPr>
          <w:rFonts w:ascii="宋体" w:hAnsi="宋体" w:cs="宋体"/>
          <w:b/>
          <w:sz w:val="21"/>
          <w:szCs w:val="21"/>
        </w:rPr>
      </w:pPr>
      <w:r w:rsidRPr="00DF0E5B">
        <w:rPr>
          <w:rFonts w:ascii="宋体" w:hAnsi="宋体" w:cs="宋体" w:hint="eastAsia"/>
          <w:b/>
          <w:sz w:val="21"/>
          <w:szCs w:val="21"/>
        </w:rPr>
        <w:t>2.3其他</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（1）供应商中标后一律不得将服务内容转包，一经发现，采购人有权终止协议，而由此造成的一切经济损失，由供应商负责赔偿。</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2）在服务期限内，项目组成员应保持稳定，以保证工作的正常进行。供应商可根据项目实际需求和业务需要对成员作出合理调整。若更换人员，应以相当资格与技能的人员替换，同时须经采购人备案同意后方可更换。</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（3）中标供应商必须在采购人领导下开展服务工作，并接受其指导与监督，同时需遵守采购人各项内部规章制度。</w:t>
      </w:r>
    </w:p>
    <w:p w:rsidR="00F10A4C" w:rsidRPr="00DF0E5B" w:rsidRDefault="00F10A4C" w:rsidP="0073196D">
      <w:pPr>
        <w:ind w:firstLineChars="200" w:firstLine="420"/>
        <w:rPr>
          <w:rFonts w:ascii="宋体" w:hAnsi="宋体" w:cs="宋体"/>
          <w:sz w:val="21"/>
          <w:szCs w:val="21"/>
        </w:rPr>
      </w:pPr>
      <w:r w:rsidRPr="00DF0E5B">
        <w:rPr>
          <w:rFonts w:ascii="宋体" w:hAnsi="宋体" w:cs="宋体" w:hint="eastAsia"/>
          <w:sz w:val="21"/>
          <w:szCs w:val="21"/>
        </w:rPr>
        <w:t>（4）在报价以及实施管理过程中，遇国家政策、法规对行业有特殊管理规定，并与采购要求不一致时，以国家规定为准。中标单位在严格遵守国家有关政策、法规的基础上，提供服务。</w:t>
      </w:r>
      <w:bookmarkEnd w:id="0"/>
    </w:p>
    <w:bookmarkEnd w:id="1"/>
    <w:p w:rsidR="00844AA0" w:rsidRPr="00F10A4C" w:rsidRDefault="00844AA0" w:rsidP="0073196D"/>
    <w:sectPr w:rsidR="00844AA0" w:rsidRPr="00F10A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6DC" w:rsidRDefault="002346DC" w:rsidP="00F10A4C">
      <w:pPr>
        <w:spacing w:line="240" w:lineRule="auto"/>
      </w:pPr>
      <w:r>
        <w:separator/>
      </w:r>
    </w:p>
  </w:endnote>
  <w:endnote w:type="continuationSeparator" w:id="0">
    <w:p w:rsidR="002346DC" w:rsidRDefault="002346DC" w:rsidP="00F10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6DC" w:rsidRDefault="002346DC" w:rsidP="00F10A4C">
      <w:pPr>
        <w:spacing w:line="240" w:lineRule="auto"/>
      </w:pPr>
      <w:r>
        <w:separator/>
      </w:r>
    </w:p>
  </w:footnote>
  <w:footnote w:type="continuationSeparator" w:id="0">
    <w:p w:rsidR="002346DC" w:rsidRDefault="002346DC" w:rsidP="00F10A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02"/>
    <w:rsid w:val="002346DC"/>
    <w:rsid w:val="0073196D"/>
    <w:rsid w:val="00844AA0"/>
    <w:rsid w:val="00A470F0"/>
    <w:rsid w:val="00A65A8A"/>
    <w:rsid w:val="00CB1D94"/>
    <w:rsid w:val="00D24502"/>
    <w:rsid w:val="00F1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489ABA-0018-4DB3-8DAB-C879D1D6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A4C"/>
    <w:pPr>
      <w:widowControl w:val="0"/>
      <w:adjustRightInd w:val="0"/>
      <w:spacing w:line="360" w:lineRule="auto"/>
      <w:jc w:val="both"/>
      <w:textAlignment w:val="baseline"/>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A4C"/>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F10A4C"/>
    <w:rPr>
      <w:sz w:val="18"/>
      <w:szCs w:val="18"/>
    </w:rPr>
  </w:style>
  <w:style w:type="paragraph" w:styleId="a5">
    <w:name w:val="footer"/>
    <w:basedOn w:val="a"/>
    <w:link w:val="a6"/>
    <w:uiPriority w:val="99"/>
    <w:unhideWhenUsed/>
    <w:rsid w:val="00F10A4C"/>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F10A4C"/>
    <w:rPr>
      <w:sz w:val="18"/>
      <w:szCs w:val="18"/>
    </w:rPr>
  </w:style>
  <w:style w:type="character" w:customStyle="1" w:styleId="msoins0">
    <w:name w:val="msoins"/>
    <w:qFormat/>
    <w:rsid w:val="00F10A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2083</Words>
  <Characters>2250</Characters>
  <Application>Microsoft Office Word</Application>
  <DocSecurity>0</DocSecurity>
  <Lines>140</Lines>
  <Paragraphs>123</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2024-10-11T05:41:00Z</dcterms:created>
  <dcterms:modified xsi:type="dcterms:W3CDTF">2024-10-11T06:56:00Z</dcterms:modified>
</cp:coreProperties>
</file>