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5A" w:rsidRDefault="00D92BC5">
      <w:pPr>
        <w:jc w:val="center"/>
        <w:rPr>
          <w:rFonts w:hAnsi="宋体"/>
          <w:b/>
          <w:color w:val="000000"/>
          <w:sz w:val="36"/>
          <w:szCs w:val="36"/>
        </w:rPr>
      </w:pPr>
      <w:r>
        <w:rPr>
          <w:rFonts w:hAnsi="宋体" w:hint="eastAsia"/>
          <w:b/>
          <w:color w:val="000000"/>
          <w:sz w:val="36"/>
          <w:szCs w:val="36"/>
        </w:rPr>
        <w:t>招标需求</w:t>
      </w:r>
    </w:p>
    <w:p w:rsidR="001E695A" w:rsidRDefault="00D92BC5">
      <w:pPr>
        <w:pStyle w:val="2"/>
        <w:spacing w:line="240" w:lineRule="auto"/>
        <w:rPr>
          <w:rFonts w:asciiTheme="minorEastAsia" w:eastAsiaTheme="minorEastAsia" w:hAnsiTheme="minorEastAsia" w:cs="黑体"/>
          <w:bCs w:val="0"/>
          <w:sz w:val="30"/>
          <w:szCs w:val="30"/>
        </w:rPr>
      </w:pPr>
      <w:r>
        <w:rPr>
          <w:rFonts w:asciiTheme="minorEastAsia" w:eastAsiaTheme="minorEastAsia" w:hAnsiTheme="minorEastAsia" w:cs="黑体" w:hint="eastAsia"/>
          <w:bCs w:val="0"/>
          <w:sz w:val="30"/>
          <w:szCs w:val="30"/>
        </w:rPr>
        <w:t>一、项目概况</w:t>
      </w:r>
    </w:p>
    <w:p w:rsidR="001E695A" w:rsidRDefault="00D92BC5">
      <w:pPr>
        <w:rPr>
          <w:rFonts w:asciiTheme="minorEastAsia" w:hAnsiTheme="minorEastAsia"/>
          <w:sz w:val="24"/>
        </w:rPr>
      </w:pPr>
      <w:r>
        <w:rPr>
          <w:rFonts w:asciiTheme="minorEastAsia" w:hAnsiTheme="minorEastAsia" w:hint="eastAsia"/>
          <w:b/>
          <w:bCs/>
          <w:sz w:val="24"/>
        </w:rPr>
        <w:t>项目名称：</w:t>
      </w:r>
      <w:r>
        <w:rPr>
          <w:rFonts w:asciiTheme="minorEastAsia" w:hAnsiTheme="minorEastAsia" w:hint="eastAsia"/>
          <w:sz w:val="24"/>
        </w:rPr>
        <w:t>上海黄浦江两岸景观照明智能化监控系统运行维护项目。</w:t>
      </w:r>
    </w:p>
    <w:p w:rsidR="001E695A" w:rsidRDefault="00D92BC5">
      <w:pPr>
        <w:rPr>
          <w:rFonts w:asciiTheme="minorEastAsia" w:hAnsiTheme="minorEastAsia"/>
          <w:b/>
          <w:bCs/>
          <w:sz w:val="24"/>
        </w:rPr>
      </w:pPr>
      <w:r>
        <w:rPr>
          <w:rFonts w:asciiTheme="minorEastAsia" w:hAnsiTheme="minorEastAsia" w:hint="eastAsia"/>
          <w:b/>
          <w:bCs/>
          <w:sz w:val="24"/>
        </w:rPr>
        <w:t>项目背景：</w:t>
      </w:r>
    </w:p>
    <w:p w:rsidR="001E695A" w:rsidRDefault="00D92BC5">
      <w:pPr>
        <w:ind w:firstLine="420"/>
        <w:rPr>
          <w:rFonts w:asciiTheme="minorEastAsia" w:hAnsiTheme="minorEastAsia"/>
          <w:sz w:val="24"/>
        </w:rPr>
      </w:pPr>
      <w:r>
        <w:rPr>
          <w:rFonts w:asciiTheme="minorEastAsia" w:hAnsiTheme="minorEastAsia" w:hint="eastAsia"/>
          <w:sz w:val="24"/>
        </w:rPr>
        <w:t>为保障进博会景观照明监控管理工作，上海市市容景观事务中心承担建设《上海市黄浦江两岸景观照明智能化监控系统》项目，该项目于2018年10月完成主体内容的建设并投入运行，系统实现了对浦江两岸不同种类照明设施远程实时联网联控；开发了浦江景观照明对亮灯模式以及动态控制功能；简化了景观照明设施的管理和运维难度，提升了精细管理水平。为景观照明开关灯、动态表演等提供了支撑，满足了进博会浦江江景观照明监控及动态灯光表演的保障任务。目前项目已建设竣工完毕，且项目各项设施设备均已出质保期，进入日常运行阶段。</w:t>
      </w:r>
    </w:p>
    <w:p w:rsidR="001E695A" w:rsidRDefault="00D92BC5">
      <w:pPr>
        <w:rPr>
          <w:rFonts w:asciiTheme="minorEastAsia" w:hAnsiTheme="minorEastAsia"/>
          <w:sz w:val="24"/>
        </w:rPr>
      </w:pPr>
      <w:r>
        <w:rPr>
          <w:rFonts w:asciiTheme="minorEastAsia" w:hAnsiTheme="minorEastAsia" w:hint="eastAsia"/>
          <w:b/>
          <w:bCs/>
          <w:sz w:val="24"/>
        </w:rPr>
        <w:t>主管单位：</w:t>
      </w:r>
      <w:r>
        <w:rPr>
          <w:rFonts w:asciiTheme="minorEastAsia" w:hAnsiTheme="minorEastAsia" w:hint="eastAsia"/>
          <w:sz w:val="24"/>
        </w:rPr>
        <w:t>上海市绿化和市容管理局。</w:t>
      </w:r>
    </w:p>
    <w:p w:rsidR="001E695A" w:rsidRDefault="00D92BC5">
      <w:pPr>
        <w:rPr>
          <w:rFonts w:asciiTheme="minorEastAsia" w:hAnsiTheme="minorEastAsia"/>
          <w:sz w:val="24"/>
        </w:rPr>
      </w:pPr>
      <w:r>
        <w:rPr>
          <w:rFonts w:asciiTheme="minorEastAsia" w:hAnsiTheme="minorEastAsia" w:hint="eastAsia"/>
          <w:b/>
          <w:bCs/>
          <w:sz w:val="24"/>
        </w:rPr>
        <w:t>建设单位：</w:t>
      </w:r>
      <w:r>
        <w:rPr>
          <w:rFonts w:asciiTheme="minorEastAsia" w:hAnsiTheme="minorEastAsia" w:hint="eastAsia"/>
          <w:sz w:val="24"/>
        </w:rPr>
        <w:t>上海市市容景观事务中心。</w:t>
      </w:r>
    </w:p>
    <w:p w:rsidR="001E695A" w:rsidRDefault="00D92BC5">
      <w:pPr>
        <w:rPr>
          <w:rFonts w:asciiTheme="minorEastAsia" w:hAnsiTheme="minorEastAsia"/>
          <w:b/>
          <w:bCs/>
          <w:sz w:val="24"/>
        </w:rPr>
      </w:pPr>
      <w:r>
        <w:rPr>
          <w:rFonts w:asciiTheme="minorEastAsia" w:hAnsiTheme="minorEastAsia" w:hint="eastAsia"/>
          <w:b/>
          <w:bCs/>
          <w:sz w:val="24"/>
        </w:rPr>
        <w:t>项目时间：</w:t>
      </w:r>
    </w:p>
    <w:p w:rsidR="001E695A" w:rsidRDefault="00D92BC5">
      <w:pPr>
        <w:ind w:firstLine="420"/>
        <w:rPr>
          <w:rFonts w:asciiTheme="minorEastAsia" w:hAnsiTheme="minorEastAsia"/>
          <w:sz w:val="24"/>
        </w:rPr>
      </w:pPr>
      <w:r>
        <w:rPr>
          <w:rFonts w:asciiTheme="minorEastAsia" w:hAnsiTheme="minorEastAsia" w:hint="eastAsia"/>
          <w:sz w:val="24"/>
        </w:rPr>
        <w:t>项目运行维护时间为2024年1月1日至2024年12月31日，1月1日至合同签订前的运维服务费用由中标单位支付。</w:t>
      </w:r>
    </w:p>
    <w:p w:rsidR="001E695A" w:rsidRDefault="00D92BC5">
      <w:pPr>
        <w:rPr>
          <w:rFonts w:asciiTheme="minorEastAsia" w:hAnsiTheme="minorEastAsia"/>
          <w:b/>
          <w:bCs/>
          <w:sz w:val="24"/>
        </w:rPr>
      </w:pPr>
      <w:r>
        <w:rPr>
          <w:rFonts w:asciiTheme="minorEastAsia" w:hAnsiTheme="minorEastAsia" w:hint="eastAsia"/>
          <w:b/>
          <w:bCs/>
          <w:sz w:val="24"/>
        </w:rPr>
        <w:t>项目金额：</w:t>
      </w:r>
    </w:p>
    <w:p w:rsidR="001E695A" w:rsidRDefault="00D92BC5">
      <w:pPr>
        <w:ind w:firstLine="420"/>
        <w:rPr>
          <w:rFonts w:asciiTheme="minorEastAsia" w:hAnsiTheme="minorEastAsia"/>
          <w:sz w:val="24"/>
        </w:rPr>
      </w:pPr>
      <w:r>
        <w:rPr>
          <w:rFonts w:asciiTheme="minorEastAsia" w:hAnsiTheme="minorEastAsia" w:hint="eastAsia"/>
          <w:sz w:val="24"/>
        </w:rPr>
        <w:t>本次招标运行维护费共计160万元，其中监控中心设施设备运维费75万元，外场设施设备运维费85万元。</w:t>
      </w:r>
    </w:p>
    <w:p w:rsidR="001E695A" w:rsidRDefault="00D92BC5">
      <w:pPr>
        <w:rPr>
          <w:rFonts w:asciiTheme="minorEastAsia" w:hAnsiTheme="minorEastAsia"/>
          <w:b/>
          <w:bCs/>
          <w:sz w:val="24"/>
        </w:rPr>
      </w:pPr>
      <w:r>
        <w:rPr>
          <w:rFonts w:asciiTheme="minorEastAsia" w:hAnsiTheme="minorEastAsia" w:hint="eastAsia"/>
          <w:b/>
          <w:bCs/>
          <w:sz w:val="24"/>
        </w:rPr>
        <w:t>项目的维护内容：</w:t>
      </w:r>
    </w:p>
    <w:p w:rsidR="001E695A" w:rsidRDefault="00D92BC5">
      <w:pPr>
        <w:ind w:firstLine="420"/>
        <w:rPr>
          <w:rFonts w:asciiTheme="minorEastAsia" w:hAnsiTheme="minorEastAsia"/>
          <w:sz w:val="24"/>
        </w:rPr>
      </w:pPr>
      <w:r>
        <w:rPr>
          <w:rFonts w:asciiTheme="minorEastAsia" w:hAnsiTheme="minorEastAsia" w:hint="eastAsia"/>
          <w:sz w:val="24"/>
        </w:rPr>
        <w:t>1．监控中心设施设备运维；</w:t>
      </w:r>
    </w:p>
    <w:p w:rsidR="001E695A" w:rsidRDefault="00D92BC5">
      <w:pPr>
        <w:ind w:firstLine="420"/>
        <w:rPr>
          <w:rFonts w:asciiTheme="minorEastAsia" w:hAnsiTheme="minorEastAsia"/>
          <w:sz w:val="24"/>
        </w:rPr>
      </w:pPr>
      <w:r>
        <w:rPr>
          <w:rFonts w:asciiTheme="minorEastAsia" w:hAnsiTheme="minorEastAsia" w:hint="eastAsia"/>
          <w:sz w:val="24"/>
        </w:rPr>
        <w:t>2．外场设施设备运维：黄浦江</w:t>
      </w:r>
      <w:r w:rsidR="0091783F">
        <w:rPr>
          <w:rFonts w:asciiTheme="minorEastAsia" w:hAnsiTheme="minorEastAsia" w:hint="eastAsia"/>
          <w:sz w:val="24"/>
        </w:rPr>
        <w:t>的</w:t>
      </w:r>
      <w:r>
        <w:rPr>
          <w:rFonts w:asciiTheme="minorEastAsia" w:hAnsiTheme="minorEastAsia" w:hint="eastAsia"/>
          <w:sz w:val="24"/>
        </w:rPr>
        <w:t>核心区域沿岸滨江区域内的建筑、桥梁、绿地、步道、驳岸、码头等景观照明监控终端及视频终端维护；</w:t>
      </w:r>
    </w:p>
    <w:p w:rsidR="001E695A" w:rsidRDefault="00D92BC5">
      <w:pPr>
        <w:rPr>
          <w:rFonts w:asciiTheme="minorEastAsia" w:hAnsiTheme="minorEastAsia"/>
          <w:b/>
          <w:bCs/>
          <w:sz w:val="24"/>
        </w:rPr>
      </w:pPr>
      <w:r>
        <w:rPr>
          <w:rFonts w:asciiTheme="minorEastAsia" w:hAnsiTheme="minorEastAsia" w:hint="eastAsia"/>
          <w:b/>
          <w:bCs/>
          <w:sz w:val="24"/>
        </w:rPr>
        <w:t>项目位置：</w:t>
      </w:r>
    </w:p>
    <w:p w:rsidR="001E695A" w:rsidRDefault="00D92BC5">
      <w:pPr>
        <w:ind w:firstLine="420"/>
        <w:rPr>
          <w:rFonts w:asciiTheme="minorEastAsia" w:hAnsiTheme="minorEastAsia"/>
          <w:sz w:val="24"/>
        </w:rPr>
      </w:pPr>
      <w:r>
        <w:rPr>
          <w:rFonts w:asciiTheme="minorEastAsia" w:hAnsiTheme="minorEastAsia" w:hint="eastAsia"/>
          <w:sz w:val="24"/>
        </w:rPr>
        <w:t>上海黄浦江两岸景观照明智能化监控系统监控中心位于上海市金陵东路2号光明金融大厦31楼。</w:t>
      </w:r>
    </w:p>
    <w:p w:rsidR="001E695A" w:rsidRDefault="00D92BC5">
      <w:pPr>
        <w:ind w:firstLine="420"/>
        <w:rPr>
          <w:rFonts w:asciiTheme="minorEastAsia" w:hAnsiTheme="minorEastAsia"/>
          <w:sz w:val="24"/>
        </w:rPr>
      </w:pPr>
      <w:r>
        <w:rPr>
          <w:rFonts w:asciiTheme="minorEastAsia" w:hAnsiTheme="minorEastAsia" w:hint="eastAsia"/>
          <w:sz w:val="24"/>
        </w:rPr>
        <w:t>795台监控终端及3套视频终端位于黄浦江两岸各灯光监控处（详见外场设备点位清单）。</w:t>
      </w:r>
    </w:p>
    <w:p w:rsidR="001E695A" w:rsidRDefault="00D92BC5">
      <w:pPr>
        <w:pStyle w:val="2"/>
        <w:spacing w:line="240" w:lineRule="auto"/>
        <w:rPr>
          <w:rFonts w:asciiTheme="minorEastAsia" w:eastAsiaTheme="minorEastAsia" w:hAnsiTheme="minorEastAsia" w:cs="黑体"/>
          <w:bCs w:val="0"/>
          <w:sz w:val="30"/>
          <w:szCs w:val="30"/>
        </w:rPr>
      </w:pPr>
      <w:r>
        <w:rPr>
          <w:rFonts w:asciiTheme="minorEastAsia" w:eastAsiaTheme="minorEastAsia" w:hAnsiTheme="minorEastAsia" w:cs="黑体" w:hint="eastAsia"/>
          <w:bCs w:val="0"/>
          <w:sz w:val="30"/>
          <w:szCs w:val="30"/>
        </w:rPr>
        <w:t>二、适用技术规范与规范性文件</w:t>
      </w:r>
    </w:p>
    <w:p w:rsidR="001E695A" w:rsidRDefault="00D92BC5">
      <w:pPr>
        <w:ind w:firstLineChars="200" w:firstLine="480"/>
        <w:rPr>
          <w:rFonts w:asciiTheme="minorEastAsia" w:hAnsiTheme="minorEastAsia"/>
          <w:sz w:val="24"/>
        </w:rPr>
      </w:pPr>
      <w:r>
        <w:rPr>
          <w:rFonts w:asciiTheme="minorEastAsia" w:hAnsiTheme="minorEastAsia" w:hint="eastAsia"/>
          <w:sz w:val="24"/>
        </w:rPr>
        <w:t>本项目的养护质量检查评定、养护维修技术标准及养护施工安全文明要求适用国家现行法律、规范、规程、标准以及上海市现行规范标准，具体包括：</w:t>
      </w:r>
    </w:p>
    <w:p w:rsidR="001E695A" w:rsidRDefault="00D92BC5">
      <w:pPr>
        <w:rPr>
          <w:rFonts w:asciiTheme="minorEastAsia" w:hAnsiTheme="minorEastAsia"/>
          <w:sz w:val="24"/>
        </w:rPr>
      </w:pPr>
      <w:r>
        <w:rPr>
          <w:rFonts w:asciiTheme="minorEastAsia" w:hAnsiTheme="minorEastAsia" w:hint="eastAsia"/>
          <w:sz w:val="24"/>
        </w:rPr>
        <w:t>1．《上海市市容环境卫生管理条例》(2022年9月22日上海市第十五届人民代表大会常务委员会第四十四次会议修订)</w:t>
      </w:r>
    </w:p>
    <w:p w:rsidR="001E695A" w:rsidRDefault="00D92BC5">
      <w:pPr>
        <w:rPr>
          <w:rFonts w:asciiTheme="minorEastAsia" w:hAnsiTheme="minorEastAsia"/>
          <w:sz w:val="24"/>
        </w:rPr>
      </w:pPr>
      <w:r>
        <w:rPr>
          <w:rFonts w:asciiTheme="minorEastAsia" w:hAnsiTheme="minorEastAsia" w:hint="eastAsia"/>
          <w:sz w:val="24"/>
        </w:rPr>
        <w:t>2．《城市照明管理规定》(2010年5月27日住房和城乡建设部令第4号)</w:t>
      </w:r>
    </w:p>
    <w:p w:rsidR="001E695A" w:rsidRDefault="00D92BC5">
      <w:pPr>
        <w:rPr>
          <w:rFonts w:asciiTheme="minorEastAsia" w:hAnsiTheme="minorEastAsia"/>
          <w:sz w:val="24"/>
        </w:rPr>
      </w:pPr>
      <w:r>
        <w:rPr>
          <w:rFonts w:asciiTheme="minorEastAsia" w:hAnsiTheme="minorEastAsia" w:hint="eastAsia"/>
          <w:sz w:val="24"/>
        </w:rPr>
        <w:t xml:space="preserve">3．《城市夜景照明设计规范》 JGJ/1163-2008 </w:t>
      </w:r>
    </w:p>
    <w:p w:rsidR="001E695A" w:rsidRDefault="00D92BC5">
      <w:pPr>
        <w:rPr>
          <w:rFonts w:asciiTheme="minorEastAsia" w:hAnsiTheme="minorEastAsia"/>
          <w:sz w:val="24"/>
        </w:rPr>
      </w:pPr>
      <w:r>
        <w:rPr>
          <w:rFonts w:asciiTheme="minorEastAsia" w:hAnsiTheme="minorEastAsia" w:hint="eastAsia"/>
          <w:sz w:val="24"/>
        </w:rPr>
        <w:t>4．《城市照明节能评价标准》 JGJ/1307-2013)</w:t>
      </w:r>
    </w:p>
    <w:p w:rsidR="001E695A" w:rsidRDefault="00D92BC5">
      <w:pPr>
        <w:rPr>
          <w:rFonts w:asciiTheme="minorEastAsia" w:hAnsiTheme="minorEastAsia"/>
          <w:sz w:val="24"/>
        </w:rPr>
      </w:pPr>
      <w:r>
        <w:rPr>
          <w:rFonts w:asciiTheme="minorEastAsia" w:hAnsiTheme="minorEastAsia" w:hint="eastAsia"/>
          <w:sz w:val="24"/>
        </w:rPr>
        <w:t>5．《城市景观照明技术规范》 DB31/T316-2023</w:t>
      </w:r>
    </w:p>
    <w:p w:rsidR="001E695A" w:rsidRDefault="00D92BC5">
      <w:pPr>
        <w:rPr>
          <w:rFonts w:asciiTheme="minorEastAsia" w:hAnsiTheme="minorEastAsia"/>
          <w:sz w:val="24"/>
        </w:rPr>
      </w:pPr>
      <w:r>
        <w:rPr>
          <w:rFonts w:asciiTheme="minorEastAsia" w:hAnsiTheme="minorEastAsia" w:hint="eastAsia"/>
          <w:sz w:val="24"/>
        </w:rPr>
        <w:lastRenderedPageBreak/>
        <w:t xml:space="preserve">6．《建筑电气照明装置施工与验收规范》 GB 50617-2010 </w:t>
      </w:r>
    </w:p>
    <w:p w:rsidR="001E695A" w:rsidRDefault="00D92BC5">
      <w:pPr>
        <w:rPr>
          <w:rFonts w:asciiTheme="minorEastAsia" w:hAnsiTheme="minorEastAsia"/>
          <w:sz w:val="24"/>
        </w:rPr>
      </w:pPr>
      <w:r>
        <w:rPr>
          <w:rFonts w:asciiTheme="minorEastAsia" w:hAnsiTheme="minorEastAsia" w:hint="eastAsia"/>
          <w:sz w:val="24"/>
        </w:rPr>
        <w:t>7．《建筑照明设计标准》GB50034-2013</w:t>
      </w:r>
    </w:p>
    <w:p w:rsidR="001E695A" w:rsidRDefault="00D92BC5">
      <w:pPr>
        <w:rPr>
          <w:rFonts w:asciiTheme="minorEastAsia" w:hAnsiTheme="minorEastAsia"/>
          <w:sz w:val="24"/>
        </w:rPr>
      </w:pPr>
      <w:r>
        <w:rPr>
          <w:rFonts w:asciiTheme="minorEastAsia" w:hAnsiTheme="minorEastAsia" w:hint="eastAsia"/>
          <w:sz w:val="24"/>
        </w:rPr>
        <w:t xml:space="preserve">8．《民用建筑电气设计规范》JGJ 16-2008           </w:t>
      </w:r>
    </w:p>
    <w:p w:rsidR="001E695A" w:rsidRDefault="00D92BC5">
      <w:pPr>
        <w:rPr>
          <w:rFonts w:asciiTheme="minorEastAsia" w:hAnsiTheme="minorEastAsia"/>
          <w:sz w:val="24"/>
        </w:rPr>
      </w:pPr>
      <w:r>
        <w:rPr>
          <w:rFonts w:asciiTheme="minorEastAsia" w:hAnsiTheme="minorEastAsia" w:hint="eastAsia"/>
          <w:sz w:val="24"/>
        </w:rPr>
        <w:t>9．《低压配电设计规范》  GB50054-2011</w:t>
      </w:r>
    </w:p>
    <w:p w:rsidR="001E695A" w:rsidRDefault="00D92BC5">
      <w:pPr>
        <w:rPr>
          <w:rFonts w:asciiTheme="minorEastAsia" w:hAnsiTheme="minorEastAsia"/>
          <w:sz w:val="24"/>
        </w:rPr>
      </w:pPr>
      <w:r>
        <w:rPr>
          <w:rFonts w:asciiTheme="minorEastAsia" w:hAnsiTheme="minorEastAsia" w:hint="eastAsia"/>
          <w:sz w:val="24"/>
        </w:rPr>
        <w:t xml:space="preserve">10．《低压用户电气装置规程》DGJ08-100-2003 </w:t>
      </w:r>
    </w:p>
    <w:p w:rsidR="001E695A" w:rsidRDefault="00D92BC5">
      <w:pPr>
        <w:rPr>
          <w:rFonts w:asciiTheme="minorEastAsia" w:hAnsiTheme="minorEastAsia"/>
          <w:sz w:val="24"/>
        </w:rPr>
      </w:pPr>
      <w:r>
        <w:rPr>
          <w:rFonts w:asciiTheme="minorEastAsia" w:hAnsiTheme="minorEastAsia" w:hint="eastAsia"/>
          <w:sz w:val="24"/>
        </w:rPr>
        <w:t>11．《民用建筑设计通则》 GB 50352-2005</w:t>
      </w:r>
    </w:p>
    <w:p w:rsidR="001E695A" w:rsidRDefault="00D92BC5">
      <w:pPr>
        <w:rPr>
          <w:rFonts w:asciiTheme="minorEastAsia" w:hAnsiTheme="minorEastAsia"/>
          <w:sz w:val="24"/>
        </w:rPr>
      </w:pPr>
      <w:r>
        <w:rPr>
          <w:rFonts w:asciiTheme="minorEastAsia" w:hAnsiTheme="minorEastAsia" w:hint="eastAsia"/>
          <w:sz w:val="24"/>
        </w:rPr>
        <w:t>12．《优秀历史建筑保护修缮技术规程》 DG/TJ08-108-2014</w:t>
      </w:r>
    </w:p>
    <w:p w:rsidR="001E695A" w:rsidRDefault="00D92BC5">
      <w:pPr>
        <w:rPr>
          <w:rFonts w:asciiTheme="minorEastAsia" w:hAnsiTheme="minorEastAsia"/>
          <w:sz w:val="24"/>
        </w:rPr>
      </w:pPr>
      <w:r>
        <w:rPr>
          <w:rFonts w:asciiTheme="minorEastAsia" w:hAnsiTheme="minorEastAsia" w:hint="eastAsia"/>
          <w:sz w:val="24"/>
        </w:rPr>
        <w:t>13．《既有建筑外立面整治设计规范》DG/TJ08-2146-2014</w:t>
      </w:r>
    </w:p>
    <w:p w:rsidR="001E695A" w:rsidRDefault="00D92BC5">
      <w:pPr>
        <w:rPr>
          <w:rFonts w:asciiTheme="minorEastAsia" w:hAnsiTheme="minorEastAsia"/>
          <w:sz w:val="24"/>
        </w:rPr>
      </w:pPr>
      <w:r>
        <w:rPr>
          <w:rFonts w:asciiTheme="minorEastAsia" w:hAnsiTheme="minorEastAsia" w:hint="eastAsia"/>
          <w:sz w:val="24"/>
        </w:rPr>
        <w:t>14．《中华人民共和国工程建设标准强制性条文》(城镇建设部分)(2013年版)</w:t>
      </w:r>
    </w:p>
    <w:p w:rsidR="001E695A" w:rsidRDefault="00D92BC5">
      <w:pPr>
        <w:rPr>
          <w:rFonts w:asciiTheme="minorEastAsia" w:hAnsiTheme="minorEastAsia"/>
          <w:sz w:val="24"/>
        </w:rPr>
      </w:pPr>
      <w:r>
        <w:rPr>
          <w:rFonts w:asciiTheme="minorEastAsia" w:hAnsiTheme="minorEastAsia" w:hint="eastAsia"/>
          <w:sz w:val="24"/>
        </w:rPr>
        <w:t>15．《上海市建设工程文明施工管理规定》</w:t>
      </w:r>
    </w:p>
    <w:p w:rsidR="001E695A" w:rsidRDefault="00D92BC5">
      <w:pPr>
        <w:rPr>
          <w:rFonts w:asciiTheme="minorEastAsia" w:hAnsiTheme="minorEastAsia"/>
          <w:sz w:val="24"/>
        </w:rPr>
      </w:pPr>
      <w:r>
        <w:rPr>
          <w:rFonts w:asciiTheme="minorEastAsia" w:hAnsiTheme="minorEastAsia" w:hint="eastAsia"/>
          <w:sz w:val="24"/>
        </w:rPr>
        <w:t>16．《上海市建设工程文明施工标准》</w:t>
      </w:r>
    </w:p>
    <w:p w:rsidR="001E695A" w:rsidRDefault="00D92BC5">
      <w:pPr>
        <w:rPr>
          <w:rFonts w:asciiTheme="minorEastAsia" w:hAnsiTheme="minorEastAsia"/>
          <w:sz w:val="24"/>
        </w:rPr>
      </w:pPr>
      <w:r>
        <w:rPr>
          <w:rFonts w:asciiTheme="minorEastAsia" w:hAnsiTheme="minorEastAsia" w:hint="eastAsia"/>
          <w:sz w:val="24"/>
        </w:rPr>
        <w:t>17．《中华人民共和国突发事件应对法》</w:t>
      </w:r>
    </w:p>
    <w:p w:rsidR="001E695A" w:rsidRDefault="00D92BC5">
      <w:pPr>
        <w:rPr>
          <w:rFonts w:asciiTheme="minorEastAsia" w:hAnsiTheme="minorEastAsia"/>
          <w:sz w:val="24"/>
        </w:rPr>
      </w:pPr>
      <w:r>
        <w:rPr>
          <w:rFonts w:asciiTheme="minorEastAsia" w:hAnsiTheme="minorEastAsia" w:hint="eastAsia"/>
          <w:sz w:val="24"/>
        </w:rPr>
        <w:t>18．《中华人民共和国安全生产法》</w:t>
      </w:r>
    </w:p>
    <w:p w:rsidR="001E695A" w:rsidRDefault="00D92BC5">
      <w:pPr>
        <w:rPr>
          <w:rFonts w:asciiTheme="minorEastAsia" w:hAnsiTheme="minorEastAsia"/>
          <w:sz w:val="24"/>
        </w:rPr>
      </w:pPr>
      <w:r>
        <w:rPr>
          <w:rFonts w:asciiTheme="minorEastAsia" w:hAnsiTheme="minorEastAsia" w:hint="eastAsia"/>
          <w:sz w:val="24"/>
        </w:rPr>
        <w:t>19．《上海市景观照明总体规划（2024-2035年）》沪绿容〔2024〕33号</w:t>
      </w:r>
    </w:p>
    <w:p w:rsidR="001E695A" w:rsidRDefault="00D92BC5">
      <w:pPr>
        <w:rPr>
          <w:rFonts w:asciiTheme="minorEastAsia" w:hAnsiTheme="minorEastAsia"/>
          <w:sz w:val="24"/>
        </w:rPr>
      </w:pPr>
      <w:r>
        <w:rPr>
          <w:rFonts w:asciiTheme="minorEastAsia" w:hAnsiTheme="minorEastAsia" w:hint="eastAsia"/>
          <w:sz w:val="24"/>
        </w:rPr>
        <w:t>20．《上海市景观照明管理办法》 上海市人民政府令第25号公布</w:t>
      </w:r>
    </w:p>
    <w:p w:rsidR="001E695A" w:rsidRDefault="00D92BC5">
      <w:pPr>
        <w:rPr>
          <w:rFonts w:asciiTheme="minorEastAsia" w:hAnsiTheme="minorEastAsia"/>
          <w:sz w:val="24"/>
        </w:rPr>
      </w:pPr>
      <w:r>
        <w:rPr>
          <w:rFonts w:asciiTheme="minorEastAsia" w:hAnsiTheme="minorEastAsia" w:hint="eastAsia"/>
          <w:sz w:val="24"/>
        </w:rPr>
        <w:t>21.《上海市景观照明技术规范》 沪绿容〔2022〕310号</w:t>
      </w:r>
    </w:p>
    <w:p w:rsidR="001E695A" w:rsidRDefault="00D92BC5">
      <w:pPr>
        <w:ind w:firstLineChars="200" w:firstLine="480"/>
        <w:rPr>
          <w:rFonts w:asciiTheme="minorEastAsia" w:hAnsiTheme="minorEastAsia"/>
          <w:sz w:val="24"/>
        </w:rPr>
      </w:pPr>
      <w:r>
        <w:rPr>
          <w:rFonts w:asciiTheme="minorEastAsia" w:hAnsiTheme="minorEastAsia" w:hint="eastAsia"/>
          <w:sz w:val="24"/>
        </w:rPr>
        <w:t>各供应商应充分注意，凡涉及国家或行业管理部门颁发的相关规范、规程和标准，无论其是否在本磋商文件中列明，供应商应无条件执行。标准、规范等不一致的，以要求高者为准。</w:t>
      </w:r>
    </w:p>
    <w:p w:rsidR="001E695A" w:rsidRDefault="00D92BC5">
      <w:pPr>
        <w:pStyle w:val="2"/>
        <w:spacing w:line="240" w:lineRule="auto"/>
        <w:rPr>
          <w:rFonts w:asciiTheme="minorEastAsia" w:eastAsiaTheme="minorEastAsia" w:hAnsiTheme="minorEastAsia" w:cs="黑体"/>
          <w:bCs w:val="0"/>
          <w:sz w:val="30"/>
          <w:szCs w:val="30"/>
        </w:rPr>
      </w:pPr>
      <w:r>
        <w:rPr>
          <w:rFonts w:asciiTheme="minorEastAsia" w:eastAsiaTheme="minorEastAsia" w:hAnsiTheme="minorEastAsia" w:cs="黑体" w:hint="eastAsia"/>
          <w:bCs w:val="0"/>
          <w:sz w:val="30"/>
          <w:szCs w:val="30"/>
        </w:rPr>
        <w:t>三、项目目标及范围</w:t>
      </w:r>
    </w:p>
    <w:p w:rsidR="001E695A" w:rsidRDefault="00D92BC5">
      <w:pPr>
        <w:rPr>
          <w:rFonts w:asciiTheme="minorEastAsia" w:hAnsiTheme="minorEastAsia"/>
          <w:b/>
          <w:bCs/>
          <w:sz w:val="24"/>
        </w:rPr>
      </w:pPr>
      <w:r>
        <w:rPr>
          <w:rFonts w:asciiTheme="minorEastAsia" w:hAnsiTheme="minorEastAsia" w:hint="eastAsia"/>
          <w:b/>
          <w:bCs/>
          <w:sz w:val="24"/>
        </w:rPr>
        <w:t>项目目标：</w:t>
      </w:r>
    </w:p>
    <w:p w:rsidR="001E695A" w:rsidRDefault="00D92BC5">
      <w:pPr>
        <w:ind w:firstLineChars="200" w:firstLine="480"/>
        <w:rPr>
          <w:rFonts w:asciiTheme="minorEastAsia" w:hAnsiTheme="minorEastAsia"/>
          <w:sz w:val="24"/>
        </w:rPr>
      </w:pPr>
      <w:r>
        <w:rPr>
          <w:rFonts w:asciiTheme="minorEastAsia" w:hAnsiTheme="minorEastAsia" w:hint="eastAsia"/>
          <w:sz w:val="24"/>
        </w:rPr>
        <w:t>确保《上海市黄浦江两岸景观照明智能化监控系统》安全、高效、稳定的运行。</w:t>
      </w:r>
    </w:p>
    <w:p w:rsidR="001E695A" w:rsidRDefault="00D92BC5">
      <w:pPr>
        <w:rPr>
          <w:rFonts w:asciiTheme="minorEastAsia" w:hAnsiTheme="minorEastAsia"/>
          <w:b/>
          <w:bCs/>
          <w:sz w:val="24"/>
        </w:rPr>
      </w:pPr>
      <w:r>
        <w:rPr>
          <w:rFonts w:asciiTheme="minorEastAsia" w:hAnsiTheme="minorEastAsia" w:hint="eastAsia"/>
          <w:b/>
          <w:bCs/>
          <w:sz w:val="24"/>
        </w:rPr>
        <w:t>项目范围：</w:t>
      </w:r>
    </w:p>
    <w:p w:rsidR="001E695A" w:rsidRDefault="00D92BC5">
      <w:pPr>
        <w:ind w:firstLineChars="200" w:firstLine="480"/>
        <w:rPr>
          <w:rFonts w:asciiTheme="minorEastAsia" w:hAnsiTheme="minorEastAsia"/>
          <w:sz w:val="24"/>
        </w:rPr>
      </w:pPr>
      <w:r>
        <w:rPr>
          <w:rFonts w:asciiTheme="minorEastAsia" w:hAnsiTheme="minorEastAsia" w:hint="eastAsia"/>
          <w:sz w:val="24"/>
        </w:rPr>
        <w:t>本项目提供《上海市黄浦江两岸景观照明智能化监控系统》运行维护服务</w:t>
      </w:r>
    </w:p>
    <w:p w:rsidR="001E695A" w:rsidRDefault="00D92BC5">
      <w:pPr>
        <w:ind w:firstLineChars="200" w:firstLine="480"/>
        <w:rPr>
          <w:rFonts w:asciiTheme="minorEastAsia" w:hAnsiTheme="minorEastAsia"/>
          <w:sz w:val="24"/>
        </w:rPr>
      </w:pPr>
      <w:r>
        <w:rPr>
          <w:rFonts w:asciiTheme="minorEastAsia" w:hAnsiTheme="minorEastAsia" w:hint="eastAsia"/>
          <w:sz w:val="24"/>
        </w:rPr>
        <w:t>1.完成监控中心软硬件维护：对景观照明集控系统中心设备进行状态检查，更新升级，停机维护等工作，并根据日常亮灯、重大节假日及活动、应急预案要求进行设施保养、检修及值守保障，完成动态节目编排及调试，保障同各区数据、图像互联互通，确保亮灯正常；</w:t>
      </w:r>
    </w:p>
    <w:p w:rsidR="001E695A" w:rsidRDefault="00D92BC5">
      <w:pPr>
        <w:ind w:firstLineChars="200" w:firstLine="480"/>
        <w:rPr>
          <w:rFonts w:asciiTheme="minorEastAsia" w:hAnsiTheme="minorEastAsia"/>
          <w:sz w:val="24"/>
        </w:rPr>
      </w:pPr>
      <w:r>
        <w:rPr>
          <w:rFonts w:asciiTheme="minorEastAsia" w:hAnsiTheme="minorEastAsia" w:hint="eastAsia"/>
          <w:sz w:val="24"/>
        </w:rPr>
        <w:t>2.外场设备运维：对项目建设范围南浦大桥-杨浦大桥浦江沿线331个建构筑物，795个外场控制终端、3个视频监控终端定期进行检修保养，故障抢修等，确保终端运行正常。</w:t>
      </w:r>
    </w:p>
    <w:tbl>
      <w:tblPr>
        <w:tblpPr w:leftFromText="180" w:rightFromText="180" w:vertAnchor="text" w:horzAnchor="page" w:tblpX="1813" w:tblpY="303"/>
        <w:tblOverlap w:val="never"/>
        <w:tblW w:w="4998" w:type="pct"/>
        <w:tblLook w:val="04A0"/>
      </w:tblPr>
      <w:tblGrid>
        <w:gridCol w:w="785"/>
        <w:gridCol w:w="4365"/>
        <w:gridCol w:w="1854"/>
        <w:gridCol w:w="1515"/>
      </w:tblGrid>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一</w:t>
            </w:r>
          </w:p>
        </w:tc>
        <w:tc>
          <w:tcPr>
            <w:tcW w:w="25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景观照明主控中心硬件设施</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1E695A">
            <w:pPr>
              <w:jc w:val="center"/>
              <w:rPr>
                <w:rFonts w:ascii="宋体" w:eastAsia="宋体" w:hAnsi="宋体" w:cs="宋体"/>
                <w:b/>
                <w:bCs/>
                <w:color w:val="000000"/>
                <w:sz w:val="20"/>
                <w:szCs w:val="20"/>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1E695A">
            <w:pPr>
              <w:rPr>
                <w:rFonts w:ascii="宋体" w:eastAsia="宋体" w:hAnsi="宋体" w:cs="宋体"/>
                <w:color w:val="000000"/>
                <w:sz w:val="20"/>
                <w:szCs w:val="20"/>
              </w:rPr>
            </w:pP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黄浦江两岸景观照明控制中心改造设施</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高密度虚拟化应用服务器</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高性能数据库服务器</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流媒体管理服务器</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数据中心存储磁盘阵列</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数据中心交换机</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KVM管理切换器</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8</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数据中心核心交换机</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数据中心业务交换机</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数据中心接入路由器</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数据中心防火墙（含SSL200路授权）</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数字视频综合管理平台设备</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高清视频数字解码卡</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高清视频数字编码卡</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图像应用加速卡</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工作站</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显卡</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显示器</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移动工作站</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路由器扩展卡</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串口服务器</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二</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外场及设备终端运维</w:t>
            </w:r>
          </w:p>
        </w:tc>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宋体" w:eastAsia="宋体" w:hAnsi="宋体" w:cs="宋体"/>
                <w:b/>
                <w:bCs/>
                <w:color w:val="000000"/>
                <w:sz w:val="20"/>
                <w:szCs w:val="20"/>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宋体" w:eastAsia="宋体" w:hAnsi="宋体" w:cs="宋体"/>
                <w:b/>
                <w:bCs/>
                <w:color w:val="000000"/>
                <w:sz w:val="20"/>
                <w:szCs w:val="20"/>
              </w:rPr>
            </w:pPr>
          </w:p>
        </w:tc>
      </w:tr>
      <w:tr w:rsidR="001E695A">
        <w:trPr>
          <w:trHeight w:val="316"/>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景观照明动态控制终端（A类）</w:t>
            </w:r>
          </w:p>
        </w:tc>
        <w:tc>
          <w:tcPr>
            <w:tcW w:w="1088" w:type="pct"/>
            <w:tcBorders>
              <w:top w:val="single" w:sz="4" w:space="0" w:color="000000"/>
              <w:left w:val="single" w:sz="4" w:space="0" w:color="000000"/>
              <w:bottom w:val="single" w:sz="4" w:space="0" w:color="000000"/>
              <w:right w:val="single" w:sz="4" w:space="0" w:color="000000"/>
            </w:tcBorders>
            <w:shd w:val="clear" w:color="auto" w:fill="auto"/>
          </w:tcPr>
          <w:p w:rsidR="001E695A" w:rsidRDefault="00D92BC5">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rPr>
              <w:t>383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景观照明分路控制终端（B类）</w:t>
            </w:r>
          </w:p>
        </w:tc>
        <w:tc>
          <w:tcPr>
            <w:tcW w:w="1088" w:type="pct"/>
            <w:tcBorders>
              <w:top w:val="single" w:sz="4" w:space="0" w:color="000000"/>
              <w:left w:val="single" w:sz="4" w:space="0" w:color="000000"/>
              <w:bottom w:val="single" w:sz="4" w:space="0" w:color="000000"/>
              <w:right w:val="single" w:sz="4" w:space="0" w:color="000000"/>
            </w:tcBorders>
            <w:shd w:val="clear" w:color="auto" w:fill="auto"/>
          </w:tcPr>
          <w:p w:rsidR="001E695A" w:rsidRDefault="00D92BC5">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rPr>
              <w:t>325</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区域集控设备</w:t>
            </w:r>
          </w:p>
        </w:tc>
        <w:tc>
          <w:tcPr>
            <w:tcW w:w="1088" w:type="pct"/>
            <w:tcBorders>
              <w:top w:val="single" w:sz="4" w:space="0" w:color="000000"/>
              <w:left w:val="single" w:sz="4" w:space="0" w:color="000000"/>
              <w:bottom w:val="single" w:sz="4" w:space="0" w:color="000000"/>
              <w:right w:val="single" w:sz="4" w:space="0" w:color="000000"/>
            </w:tcBorders>
            <w:shd w:val="clear" w:color="auto" w:fill="auto"/>
          </w:tcPr>
          <w:p w:rsidR="001E695A" w:rsidRDefault="00D92BC5">
            <w:pPr>
              <w:widowControl/>
              <w:jc w:val="center"/>
              <w:textAlignment w:val="top"/>
              <w:rPr>
                <w:rFonts w:ascii="宋体" w:eastAsia="宋体" w:hAnsi="宋体" w:cs="宋体"/>
                <w:color w:val="000000"/>
                <w:sz w:val="20"/>
                <w:szCs w:val="20"/>
              </w:rPr>
            </w:pPr>
            <w:r>
              <w:rPr>
                <w:rFonts w:ascii="宋体" w:eastAsia="宋体" w:hAnsi="宋体" w:cs="宋体" w:hint="eastAsia"/>
                <w:color w:val="000000"/>
                <w:kern w:val="0"/>
                <w:sz w:val="20"/>
                <w:szCs w:val="20"/>
              </w:rPr>
              <w:t>87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r>
      <w:tr w:rsidR="001E695A">
        <w:trPr>
          <w:trHeight w:val="270"/>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视频监控控制终端</w:t>
            </w:r>
          </w:p>
        </w:tc>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r>
    </w:tbl>
    <w:p w:rsidR="001E695A" w:rsidRDefault="001E695A">
      <w:pPr>
        <w:ind w:firstLineChars="200" w:firstLine="480"/>
        <w:rPr>
          <w:rFonts w:asciiTheme="minorEastAsia" w:hAnsiTheme="minorEastAsia"/>
          <w:sz w:val="24"/>
        </w:rPr>
      </w:pPr>
    </w:p>
    <w:p w:rsidR="001E695A" w:rsidRDefault="00D92BC5">
      <w:pPr>
        <w:ind w:firstLineChars="200" w:firstLine="480"/>
        <w:jc w:val="center"/>
        <w:rPr>
          <w:rFonts w:asciiTheme="minorEastAsia" w:hAnsiTheme="minorEastAsia"/>
          <w:sz w:val="24"/>
        </w:rPr>
      </w:pPr>
      <w:r>
        <w:rPr>
          <w:rFonts w:asciiTheme="minorEastAsia" w:hAnsiTheme="minorEastAsia" w:hint="eastAsia"/>
          <w:sz w:val="24"/>
        </w:rPr>
        <w:t>市集控项目外场设备点位清单</w:t>
      </w:r>
    </w:p>
    <w:p w:rsidR="001E695A" w:rsidRDefault="00D92BC5">
      <w:pPr>
        <w:jc w:val="left"/>
        <w:rPr>
          <w:rFonts w:ascii="仿宋_GB2312" w:eastAsia="仿宋_GB2312" w:hAnsi="仿宋_GB2312" w:cs="仿宋_GB2312"/>
          <w:sz w:val="24"/>
          <w:szCs w:val="32"/>
        </w:rPr>
      </w:pPr>
      <w:r>
        <w:rPr>
          <w:rFonts w:ascii="仿宋_GB2312" w:eastAsia="仿宋_GB2312" w:hAnsi="仿宋_GB2312" w:cs="仿宋_GB2312" w:hint="eastAsia"/>
          <w:sz w:val="24"/>
          <w:szCs w:val="32"/>
        </w:rPr>
        <w:t>浦东新区（388套）：</w:t>
      </w:r>
    </w:p>
    <w:tbl>
      <w:tblPr>
        <w:tblW w:w="4999" w:type="pct"/>
        <w:tblLook w:val="04A0"/>
      </w:tblPr>
      <w:tblGrid>
        <w:gridCol w:w="807"/>
        <w:gridCol w:w="4342"/>
        <w:gridCol w:w="1861"/>
        <w:gridCol w:w="1510"/>
      </w:tblGrid>
      <w:tr w:rsidR="001E695A">
        <w:trPr>
          <w:trHeight w:val="270"/>
          <w:tblHeader/>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rPr>
              <w:t>序号</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rPr>
              <w:t>名称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rPr>
              <w:t>安装位置</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rPr>
              <w:t>终端编号</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汇亚大厦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Y-158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震旦国际大厦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预留</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花旗集团大厦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X-0111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浦东海关大楼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地下B1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浦东海关大楼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未来资产大厦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未来资产大厦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X-0116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凯宾斯基酒店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X-0035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香格里拉-新楼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新楼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X-0093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10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香格里拉-老楼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老楼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香格里拉-新楼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新楼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万向大厦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预留</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Y-0049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时代金融中心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X-0038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国际金融中心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南塔楼顶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X-0079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国际金融中心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北塔楼顶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X-0074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国际金融中心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北楼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X-0094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国际金融中心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南塔</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X-0095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国际金融中心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南塔M5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X-0096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国际金融中心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北塔M5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X-0100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X-0037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招商银行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层顶AL1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中融碧玉</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隧道风塔</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Y-0073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东亚银行大厦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X-0123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东亚银行大厦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东亚银行大厦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YBB-037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东亚银行大厦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YBB-009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Y-0152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99F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Y-0071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Y-0070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31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X-0054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50F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Y-0159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中银大厦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中银大厦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X-0098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港务大厦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强电井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尚悦湾（人寿）</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Y-0037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尚悦湾（工行）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Y-0046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兴业银行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兴业银行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1F强电间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X-0145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大华银行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楼顶楼梯间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Y-0031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42</w:t>
            </w:r>
          </w:p>
        </w:tc>
        <w:tc>
          <w:tcPr>
            <w:tcW w:w="2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浦江双辉大厦（建行）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Y-0044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浦江双辉大厦（农行）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Y-0045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上海国际会议中心大球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强电井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X-105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上海国际会议中心小球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强电井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X-106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上海国际会议中心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Y-340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X-0104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40楼配电间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Y-0358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36楼东面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36楼西面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Y-0359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29楼东面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52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29楼西面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YBB-038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5楼东面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平安金融大厦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5楼西面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Y-0357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主楼B1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裙楼3F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X-0125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裙楼B1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主楼PH2F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X-0055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主楼PH3F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X-0097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主楼PH3F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X-0103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主楼PH4F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X-0124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主楼PH5F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X-0117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交银金融大厦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南39层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交银金融大厦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北39层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X-0039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交银金融大厦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39F泵房</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X-0113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正大广场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层顶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正大广场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AL2-ZD</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正大广场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正大广场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正大广场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正大广场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星展银行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X-0036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73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星展银行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X-0034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星展银行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X-0033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星展银行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屋顶AL4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X-0143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东方汇经/金砖大厦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东方文华酒店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酒店楼顶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X-0109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东方文华公寓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公寓楼顶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X-0110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A栋（AL4)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B栋（AL2)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C栋（AL3)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D栋（AL1)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2号楼49F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Y-0192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6号楼46F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Y-0193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8号楼49F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Y-0191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汤臣一品</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3号楼49F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Y-0190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中粮海景一号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中粮海景一号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5#~6#楼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中粮海景一号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航科大厦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东方城市大厦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Y-0254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商飞大厦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环球广场A</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94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环球广场B</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金隆置地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裕景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良丰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龙珠广场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强电井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龙珠广场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办公楼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Y-0075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阳光世界大厦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Y-0039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中欧大厦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南码头滨江文化城3号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Y-0032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南码头滨江文化城5号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Y-0034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南码头滨江文化城8号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滨江22号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室外</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Y-0036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Y-0267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豪德万源</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仁和大厦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Y-0195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仁和大厦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裙房</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Y-0194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保利one</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保利one</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保利one</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保利one  对接主控</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B1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X-0099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同科公寓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顶层</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115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滨江茗园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滨江茗园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滨江茗园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滨江茗园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滨江茗园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珠江玫瑰花园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珠江玫瑰花园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13#楼（AL4)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珠江玫瑰花园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14#楼（AL3)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珠江玫瑰花园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15#楼（AL5)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珠江玫瑰花园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16#楼（AL2)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名门滨江苑</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Y-0252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凌高小区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凌高小区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东方城市公寓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Y-0247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东方城市公寓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Y-0249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东方城市公寓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Y-0251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东方城市公寓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4号楼（AL2)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东方城市公寓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5号楼（AL2)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2号楼（AL2)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3号楼（AL3)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136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4号楼（AL4)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国信世纪海景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Y-0215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国信世纪海景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国信世纪海景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Y-0213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家化滨江苑</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家化滨江苑</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香园西区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Y-0245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香园西区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Y-0246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香园西区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Y-0248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香园西区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Y-0255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盛大金磐</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盛大金磐</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5#-6#楼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盛大金磐</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7#-8#楼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财富海景花园（顶部）</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149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财富海景花园（顶部）</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财富海景花园（顶部）</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财富海景花园（顶部）</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财富海景花园（顶部）</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世茂滨江花园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世茂滨江花园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2号楼（AL2)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Y-0214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世茂滨江花园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3号楼（AL3)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世茂滨江花园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8号楼（AL4)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157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世茂滨江花园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5号楼（AL5)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世茂滨江花园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6号楼（AL6)</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Y-0212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世茂滨江花园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7号楼（AL7)</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Y-0291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13#-AL1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178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179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Y-0115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12#-AL1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Y-0086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Y-0094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仁恒滨江三期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21#-AL1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Y-0103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筒仓1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258控制室</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筒仓2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258控制室</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Y-0069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筒仓3</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258控制室</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Y-0072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艺仓美术馆</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AL-LH-A9</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199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德普滨江AL1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德普滨江AL2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Y-0043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德普滨江AL3</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德普滨江AL4</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Y-0154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AL-LH-B6</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AL-LH-B7</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AL-LH-B8</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AL-LH-B9</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Y-0151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AL-LH-B10</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贯通空间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AL-LH-B11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AL-GY-A6</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AL-GY-A7</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220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AL-GY-A8</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AL-GY-A9</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AL-GY-A10</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X-0052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X-0051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AL-GY-A16</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229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AL-GY-A17</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AL-GY-A18</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AL-GY-A19</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AL-GY-A20</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Y-0147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X-0049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岸线光耀及潮韵系统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AL-GY-A26</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239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东方路~杨浦大桥（一区段）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江边绿地</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东方路~杨浦大桥（二区段）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云廊</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241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东方路~杨浦大桥（二区段）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塔吊</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东方路~杨浦大桥（二区段）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江边绿地</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Y-0030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东方路~杨浦大桥（二区段）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江边绿地</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东方路~杨浦大桥（二区段）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江边绿地</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东方路~杨浦大桥（三区段）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江边绿地</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东方路~杨浦大桥（三区段）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绿化廊架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Y-0268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东方路~杨浦大桥（三区段）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江边绿地</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Y-0024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东方路~杨浦大桥（三区段）</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塔吊</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Y-0014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雾森传送带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江边绿地</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Y-0269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铁桥</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地面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Y-0305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时空隧道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地面</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东昌路~商城路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Y-0170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商城路~张扬路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Y-0171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张杨路~老白渡</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AL-LH-C3</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Y-0172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老白渡~张家浜</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AL-LH-C4</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张家浜~塘桥新路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AL-LH-C5</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塘桥新路~微山路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AL-LH-C6</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微山路~规划三路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AL-LH-C7</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规划三路~南浦大桥</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AL-LH-C8</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Y-0165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262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YBB-036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YBB-020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YBB-012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YBB-019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YBB-028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YBB-027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YBB-032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YBB-005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YBB-007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YBB-008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YBB-001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279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YBB-049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283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289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YBB-059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YBB-069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YBB-070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YBB-071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303</w:t>
            </w:r>
          </w:p>
        </w:tc>
        <w:tc>
          <w:tcPr>
            <w:tcW w:w="2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贯通区改造46套-绿地背包箱</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利旧</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YBB-072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304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一线小楼+在建工地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Y-0284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轮渡（塘桥站）</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屋顶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 YBB-035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申万中心1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PD2-Y112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申万中心2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申万中心3</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309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东方明珠</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X-0137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环球金融中心2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89楼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X-0130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中国金融信息中心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富士康大厦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太平金融大厦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滨江万科中心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8楼强电间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Y-0354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滨江万科中心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25楼强电间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Y-0355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Y-0356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319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6号楼楼顶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万科翡翠滨江一期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325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Y-0362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5号楼楼顶</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Y-0260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Y-0330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万科翡翠滨江二期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18号楼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Y-0329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双辉建行3</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18F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双辉建行4</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双辉建行5</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双辉建行6</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双辉建行7</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双辉建行8</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双辉建行9</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52F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X-0349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双辉农行3</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19F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双辉农行4</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双辉农行5</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29F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346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双辉农行6</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双辉农行7</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双辉农行8</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349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双辉农行9</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52F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双辉总控</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B2</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Style w:val="font11"/>
                <w:rFonts w:ascii="仿宋_GB2312" w:eastAsia="仿宋_GB2312" w:hAnsi="仿宋_GB2312" w:cs="仿宋_GB2312" w:hint="eastAsia"/>
                <w:sz w:val="24"/>
                <w:szCs w:val="24"/>
              </w:rPr>
              <w:t>X-0359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陆家嘴一号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浦滨儿童医院</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5楼</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Y-0126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H1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H1</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32F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保利广场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26F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Y-0314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船台展览中心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Y-0041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船厂1862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Y-0047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359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海航大厦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3楼强电间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Y-0360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海航大厦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15楼强电间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Y-0261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海航大厦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7F弱电井</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Y-0230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海航大厦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11F</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Y-0196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海航大厦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21楼强电间</w:t>
            </w: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Y-0361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海洋水族馆</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X-0131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月子中心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X-0144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滨江1号（养老院）</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Y-0133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367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煤仓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X-0142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陆家嘴滨江公园1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PD2-Y008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369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陆家嘴滨江公园2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PD2-Y095</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邑滨江商务楼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PD2-Y124</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邑滨江住宅1号楼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PD2-Y116</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邑滨江住宅2号楼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PD2-Y113</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壹间房</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PD2-Y169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374</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申养澜悦1号楼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PD2-Y179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财富金融广场7号楼4楼半空调间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PD2-Y151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财富金融广场5号楼5楼天台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PD2-Y150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财富金融广场2号楼5楼天台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PD2-Y200</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378</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财富金融广场1号楼5楼天台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PD2-Y201</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379</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财富金融广场3号楼5楼天台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PD2-Y199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380</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财富金融广场4号楼5楼天台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PD2-Y198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381</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财富金融广场6号楼5楼天台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PD2-Y182</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382</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筒仓东</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PD2-X029</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383</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筒仓西</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PD2-X007</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384</w:t>
            </w:r>
          </w:p>
        </w:tc>
        <w:tc>
          <w:tcPr>
            <w:tcW w:w="2547" w:type="pct"/>
            <w:tcBorders>
              <w:top w:val="single" w:sz="4" w:space="0" w:color="000000"/>
              <w:left w:val="single" w:sz="4" w:space="0" w:color="000000"/>
              <w:bottom w:val="nil"/>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浦东滨江大厦</w:t>
            </w:r>
          </w:p>
        </w:tc>
        <w:tc>
          <w:tcPr>
            <w:tcW w:w="1092" w:type="pct"/>
            <w:tcBorders>
              <w:top w:val="single" w:sz="4" w:space="0" w:color="000000"/>
              <w:left w:val="single" w:sz="4" w:space="0" w:color="000000"/>
              <w:bottom w:val="nil"/>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nil"/>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PD2-Y098</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385</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bottom"/>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浦东美术馆1</w:t>
            </w:r>
          </w:p>
        </w:tc>
        <w:tc>
          <w:tcPr>
            <w:tcW w:w="1092" w:type="pct"/>
            <w:tcBorders>
              <w:top w:val="single" w:sz="4" w:space="0" w:color="000000"/>
              <w:left w:val="single" w:sz="4" w:space="0" w:color="000000"/>
              <w:bottom w:val="nil"/>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nil"/>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386</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bottom"/>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浦东美术馆2</w:t>
            </w:r>
          </w:p>
        </w:tc>
        <w:tc>
          <w:tcPr>
            <w:tcW w:w="1092" w:type="pct"/>
            <w:tcBorders>
              <w:top w:val="single" w:sz="4" w:space="0" w:color="000000"/>
              <w:left w:val="single" w:sz="4" w:space="0" w:color="000000"/>
              <w:bottom w:val="nil"/>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nil"/>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w:t>
            </w:r>
          </w:p>
        </w:tc>
      </w:tr>
      <w:tr w:rsidR="001E695A">
        <w:trPr>
          <w:trHeight w:val="270"/>
        </w:trPr>
        <w:tc>
          <w:tcPr>
            <w:tcW w:w="47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387</w:t>
            </w:r>
          </w:p>
        </w:tc>
        <w:tc>
          <w:tcPr>
            <w:tcW w:w="254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bottom"/>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塘桥渡口</w:t>
            </w:r>
          </w:p>
        </w:tc>
        <w:tc>
          <w:tcPr>
            <w:tcW w:w="1092" w:type="pct"/>
            <w:tcBorders>
              <w:top w:val="single" w:sz="4" w:space="0" w:color="000000"/>
              <w:left w:val="single" w:sz="4" w:space="0" w:color="000000"/>
              <w:bottom w:val="nil"/>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nil"/>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r>
      <w:tr w:rsidR="001E695A">
        <w:trPr>
          <w:trHeight w:val="285"/>
        </w:trPr>
        <w:tc>
          <w:tcPr>
            <w:tcW w:w="474"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388</w:t>
            </w:r>
          </w:p>
        </w:tc>
        <w:tc>
          <w:tcPr>
            <w:tcW w:w="2547"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张家浜游轮码头</w:t>
            </w:r>
          </w:p>
        </w:tc>
        <w:tc>
          <w:tcPr>
            <w:tcW w:w="1092"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1E695A">
            <w:pPr>
              <w:jc w:val="center"/>
              <w:rPr>
                <w:rFonts w:ascii="仿宋_GB2312" w:eastAsia="仿宋_GB2312" w:hAnsi="仿宋_GB2312" w:cs="仿宋_GB2312"/>
                <w:color w:val="000000"/>
                <w:sz w:val="24"/>
              </w:rPr>
            </w:pPr>
          </w:p>
        </w:tc>
        <w:tc>
          <w:tcPr>
            <w:tcW w:w="886"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1E695A">
            <w:pPr>
              <w:rPr>
                <w:rFonts w:ascii="仿宋_GB2312" w:eastAsia="仿宋_GB2312" w:hAnsi="仿宋_GB2312" w:cs="仿宋_GB2312"/>
                <w:color w:val="000000"/>
                <w:sz w:val="24"/>
              </w:rPr>
            </w:pPr>
          </w:p>
        </w:tc>
      </w:tr>
    </w:tbl>
    <w:p w:rsidR="001E695A" w:rsidRDefault="001E695A">
      <w:pPr>
        <w:rPr>
          <w:rFonts w:ascii="华文中宋" w:eastAsia="华文中宋" w:hAnsi="华文中宋" w:cs="华文中宋"/>
          <w:sz w:val="32"/>
          <w:szCs w:val="40"/>
        </w:rPr>
      </w:pPr>
    </w:p>
    <w:p w:rsidR="001E695A" w:rsidRDefault="00D92BC5">
      <w:pPr>
        <w:jc w:val="left"/>
        <w:rPr>
          <w:rFonts w:ascii="仿宋_GB2312" w:eastAsia="仿宋_GB2312" w:hAnsi="仿宋_GB2312" w:cs="仿宋_GB2312"/>
          <w:sz w:val="24"/>
          <w:szCs w:val="32"/>
        </w:rPr>
      </w:pPr>
      <w:r>
        <w:rPr>
          <w:rFonts w:ascii="仿宋_GB2312" w:eastAsia="仿宋_GB2312" w:hAnsi="仿宋_GB2312" w:cs="仿宋_GB2312" w:hint="eastAsia"/>
          <w:sz w:val="24"/>
          <w:szCs w:val="32"/>
        </w:rPr>
        <w:t>黄浦区（124套）：</w:t>
      </w:r>
    </w:p>
    <w:tbl>
      <w:tblPr>
        <w:tblW w:w="4998" w:type="pct"/>
        <w:tblLook w:val="04A0"/>
      </w:tblPr>
      <w:tblGrid>
        <w:gridCol w:w="780"/>
        <w:gridCol w:w="4382"/>
        <w:gridCol w:w="1861"/>
        <w:gridCol w:w="1496"/>
      </w:tblGrid>
      <w:tr w:rsidR="001E695A">
        <w:trPr>
          <w:trHeight w:val="270"/>
          <w:tblHeader/>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序号</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名 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安装位置</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终端编号</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上海市气象塔建筑</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上海市亚细亚大楼建筑外观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上海市华尔道夫建筑外观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上海市外滩三号建筑外观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上海市外滩五号建筑外观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外滩6号6Bund建筑外观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外滩7号泰国盘古银行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外滩8~9号轮船招商总局</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上海浦东发展银行建筑外观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上海海关大楼建筑外观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上海市总工会建筑外观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外滩公共服务中心建筑外观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中国外汇交易中心建筑外观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招商银行大楼建筑外观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友邦大厦建筑外观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外滩十八号建筑外观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斯沃琪艺术中心和平饭店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18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和平饭店建筑外观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中国银行建筑外观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中国工商银行建筑外观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中国农业银行建筑外观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罗斯福公馆建筑外观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上海清算所建筑外观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光大银行建筑外观</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工业基金会</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华融大厦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光明金融大厦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上海档案馆</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X-29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金延大楼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凯石大厦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人民英雄纪念碑</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久事集团01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X-42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久事集团02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X-43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上海外滩英迪格酒店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浦发银行防汛墙投光灯杆</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万达酒店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外滩金融中心N2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外滩金融中心N5</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39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外滩金融中心南区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太平洋保险</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上海供销社大厦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东方证券</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水景3</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水景4</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水景5</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水景6</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水景7</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水景8</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外滩堤岸</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外滩水文站</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X-109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外码头冷库01#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X-111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外码头冷库02#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X-112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外码头冷库03#</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X-113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外码头冷库04#</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X-114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外码头冷库05#</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X-115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SOHO大楼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华隆大厦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60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海通证券</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鲁能艾迪逊</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世茂国际</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X-39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新源广场</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X-45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大临江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X-48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小临江</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X-49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电信博物馆</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工商联</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68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黄中心</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解放日报</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隧道风塔</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星腾大厦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X-57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花墙</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X-63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交通银行</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X-77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豫园股份</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X-80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soho投影灯</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X-81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大临江地下室</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X-82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百联集团</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X-83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海琪园1号楼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Y211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海琪园5号楼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Y366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海琪园6号楼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Y311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81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海琪园3号楼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Y365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海洋大厦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远洋商业大厦东楼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HP2-Y018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远洋商业大厦西楼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港泰大厦</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HP2-Y024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旺角广场一楼监控室</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HP2-Y016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中汇大厦1</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HP2-Y040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中汇大厦2</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旺角广场26F</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HP2-Y026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唯庭酒店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HP2-Y008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DHL中外运</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HP2-Y012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上海外码头创意产业园</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HP2-Y010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三盛宏业</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HP2-Y028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幸福码头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南市市政大楼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HP2-Y038</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罗曼园婚礼会所</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HP2-Y017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黄金荣仓库</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HP2-Y021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外马路1074号（要翻墙）</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0号平台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HP2-Y011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公安大楼(外马路366号 对面）</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HP2-Y019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水屋</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HP2-Y003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102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2号平台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HP2-Y004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水舍酒店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HP2-Y006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5号平台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HP2-Y034</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4号平台西</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3号平台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HP2-Y023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8号平台南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HP2-Y020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8号平台北</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HP2-Y033</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9号平台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HP2-Y001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11号平台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HP2-Y002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12号平台</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HP2-Y007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112</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福州路106号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HP2-X019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113</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福州路53号</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HP2-X022</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114</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四川中路88号25楼 华尔道夫</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HP2-X020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115</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四川中路109号18楼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HP2-X010</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116</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广东路339号31楼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HP2-X007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117</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南京东路61号7楼配电间</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HP2-X017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118</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中央大厦顶楼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HP2-X016</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119</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物资大厦33楼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HP2-X021</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120</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华盛大厦31楼</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HP2-X009</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121</w:t>
            </w:r>
          </w:p>
        </w:tc>
        <w:tc>
          <w:tcPr>
            <w:tcW w:w="257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外白渡桥</w:t>
            </w:r>
          </w:p>
        </w:tc>
        <w:tc>
          <w:tcPr>
            <w:tcW w:w="109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SH2-X005</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122</w:t>
            </w:r>
          </w:p>
        </w:tc>
        <w:tc>
          <w:tcPr>
            <w:tcW w:w="2571" w:type="pct"/>
            <w:tcBorders>
              <w:top w:val="single" w:sz="4" w:space="0" w:color="000000"/>
              <w:left w:val="single" w:sz="4" w:space="0" w:color="000000"/>
              <w:bottom w:val="nil"/>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黄浦外马路停车场</w:t>
            </w:r>
          </w:p>
        </w:tc>
        <w:tc>
          <w:tcPr>
            <w:tcW w:w="1092" w:type="pct"/>
            <w:tcBorders>
              <w:top w:val="single" w:sz="4" w:space="0" w:color="000000"/>
              <w:left w:val="single" w:sz="4" w:space="0" w:color="000000"/>
              <w:bottom w:val="nil"/>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nil"/>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HP2-Y027</w:t>
            </w:r>
          </w:p>
        </w:tc>
      </w:tr>
      <w:tr w:rsidR="001E695A">
        <w:trPr>
          <w:trHeight w:val="270"/>
        </w:trPr>
        <w:tc>
          <w:tcPr>
            <w:tcW w:w="457"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123</w:t>
            </w:r>
          </w:p>
        </w:tc>
        <w:tc>
          <w:tcPr>
            <w:tcW w:w="2571" w:type="pct"/>
            <w:tcBorders>
              <w:top w:val="single" w:sz="4" w:space="0" w:color="000000"/>
              <w:left w:val="single" w:sz="4" w:space="0" w:color="000000"/>
              <w:bottom w:val="nil"/>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绿城黄浦湾</w:t>
            </w:r>
          </w:p>
        </w:tc>
        <w:tc>
          <w:tcPr>
            <w:tcW w:w="1092" w:type="pct"/>
            <w:tcBorders>
              <w:top w:val="single" w:sz="4" w:space="0" w:color="000000"/>
              <w:left w:val="single" w:sz="4" w:space="0" w:color="000000"/>
              <w:bottom w:val="nil"/>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nil"/>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w:t>
            </w:r>
          </w:p>
        </w:tc>
      </w:tr>
      <w:tr w:rsidR="001E695A">
        <w:trPr>
          <w:trHeight w:val="285"/>
        </w:trPr>
        <w:tc>
          <w:tcPr>
            <w:tcW w:w="457" w:type="pct"/>
            <w:tcBorders>
              <w:top w:val="single" w:sz="4" w:space="0" w:color="000000"/>
              <w:left w:val="single" w:sz="8" w:space="0" w:color="000000"/>
              <w:bottom w:val="single" w:sz="8"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124</w:t>
            </w:r>
          </w:p>
        </w:tc>
        <w:tc>
          <w:tcPr>
            <w:tcW w:w="2571" w:type="pct"/>
            <w:tcBorders>
              <w:top w:val="single" w:sz="4" w:space="0" w:color="000000"/>
              <w:left w:val="single" w:sz="4" w:space="0" w:color="000000"/>
              <w:bottom w:val="single" w:sz="8"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绿城黄浦湾</w:t>
            </w:r>
          </w:p>
        </w:tc>
        <w:tc>
          <w:tcPr>
            <w:tcW w:w="1092" w:type="pct"/>
            <w:tcBorders>
              <w:top w:val="single" w:sz="4" w:space="0" w:color="000000"/>
              <w:left w:val="single" w:sz="4" w:space="0" w:color="000000"/>
              <w:bottom w:val="single" w:sz="8"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78" w:type="pct"/>
            <w:tcBorders>
              <w:top w:val="single" w:sz="4" w:space="0" w:color="000000"/>
              <w:left w:val="single" w:sz="4" w:space="0" w:color="000000"/>
              <w:bottom w:val="single" w:sz="8"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w:t>
            </w:r>
          </w:p>
        </w:tc>
      </w:tr>
    </w:tbl>
    <w:p w:rsidR="001E695A" w:rsidRDefault="001E695A">
      <w:pPr>
        <w:rPr>
          <w:rFonts w:ascii="华文中宋" w:eastAsia="华文中宋" w:hAnsi="华文中宋" w:cs="华文中宋"/>
          <w:sz w:val="32"/>
          <w:szCs w:val="40"/>
        </w:rPr>
      </w:pPr>
    </w:p>
    <w:p w:rsidR="001E695A" w:rsidRDefault="00D92BC5">
      <w:pPr>
        <w:jc w:val="left"/>
        <w:rPr>
          <w:rFonts w:ascii="华文中宋" w:eastAsia="华文中宋" w:hAnsi="华文中宋" w:cs="华文中宋"/>
          <w:sz w:val="32"/>
          <w:szCs w:val="40"/>
        </w:rPr>
      </w:pPr>
      <w:r>
        <w:rPr>
          <w:rFonts w:ascii="仿宋_GB2312" w:eastAsia="仿宋_GB2312" w:hAnsi="仿宋_GB2312" w:cs="仿宋_GB2312" w:hint="eastAsia"/>
          <w:sz w:val="24"/>
          <w:szCs w:val="32"/>
        </w:rPr>
        <w:t>虹口区（110套）：</w:t>
      </w:r>
    </w:p>
    <w:tbl>
      <w:tblPr>
        <w:tblW w:w="4998" w:type="pct"/>
        <w:tblLook w:val="04A0"/>
      </w:tblPr>
      <w:tblGrid>
        <w:gridCol w:w="772"/>
        <w:gridCol w:w="4391"/>
        <w:gridCol w:w="1881"/>
        <w:gridCol w:w="1475"/>
      </w:tblGrid>
      <w:tr w:rsidR="001E695A">
        <w:trPr>
          <w:trHeight w:val="270"/>
          <w:tblHeader/>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序号</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名 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安装位置</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终端编号</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新外滩花苑 1#</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Y-0173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新外滩花苑 2#</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Y-0174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新外滩花苑 3#</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Y-0175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新外滩花苑 5#</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Y-0176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新外滩花苑 6#</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港务大厦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17F泵房</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X-0147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公平路码头旁</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国航西段</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Y-0010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国航东段</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逐源大厦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X-0060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胖子1号前绿地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胖子1号前绿地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临江大厦1#</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Y-0179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临江大厦2#</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17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白金湾A</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Y-0064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白金湾B</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Y-0063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浦江国际金融中心</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59楼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航交所</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航交所</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顶楼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航交所</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12层</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航交所</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23层</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X-0059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航交所</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33F</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国航段西</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集控中心</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海湾大厦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27楼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X-0062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海湾大厦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28楼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X-0065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海湾大厦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28F</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悦榕庄</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12F</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新华保险</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顶楼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X-0091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上海滩国际大厦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顶楼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上海滩国际大厦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顶楼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X-0066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茂悦大酒店</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顶楼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茂悦大酒店</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东顶楼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X-0128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茂悦大酒店</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西27F</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茂悦大酒店</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远洋大厦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38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星外滩1号</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浦江饭店</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Y-0177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国际港务大厦1</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17楼强电间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国际港务大厦2</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裙房监控室</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X-0148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国航段高楼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中段</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国航段高楼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东段</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Y-0274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一方大厦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Y-0256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国客段绿地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彩虹桥前</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瑞丰大厦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Y-0270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瑞丰大厦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1F</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Y-0271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公平路码头</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1F</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宝矿大厦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Y-0281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宝矿大厦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X-0090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红楼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红楼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西侧楼顶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Y-0272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金岸大厦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left"/>
              <w:textAlignment w:val="center"/>
              <w:rPr>
                <w:rFonts w:ascii="仿宋_GB2312" w:eastAsia="仿宋_GB2312" w:hAnsi="仿宋_GB2312" w:cs="仿宋_GB2312"/>
                <w:color w:val="000000"/>
                <w:kern w:val="0"/>
                <w:sz w:val="24"/>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X-0061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绿地北外滩</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顶楼室外</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苏宁宝利嘉</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left"/>
              <w:textAlignment w:val="center"/>
              <w:rPr>
                <w:rFonts w:ascii="仿宋_GB2312" w:eastAsia="仿宋_GB2312" w:hAnsi="仿宋_GB2312" w:cs="仿宋_GB2312"/>
                <w:color w:val="000000"/>
                <w:kern w:val="0"/>
                <w:sz w:val="24"/>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上海建工大厦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B1东</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X-0068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上海建工大厦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B1西</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上海建工大厦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顶楼</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59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一号胖子 新增绿地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Y-0279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新华保险大厦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B2</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X-0092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2楼休息室</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6个小胖子（美邦）2#</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Y-0075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6个小胖子（国投）3#</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Y-0067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6个小胖子（中远大厦）4#</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Y-0189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6个小胖子（中海发展）5#</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Y-0079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6个小胖子（中海集团）6#</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悦榕庄B3</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B3</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白玉兰广场</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B1通讯室</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X-0074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国客码头 东</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室外</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国客码头 西</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室外</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Y-0009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星港国际中心东楼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52F强电间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Y-0257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星港国际中心西楼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52F强电间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X-0087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浦江国际金融中心楼顶</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远洋大厦楼顶</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上海滩国际大厦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航交所</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上海大厦4楼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露台</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上海大厦2楼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W酒店楼顶1</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80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W酒店楼顶2</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HK2-X036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橘子酒店17楼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橘子酒店19楼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远洋宾馆顶楼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HK2-Y001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远洋宾馆一楼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HK2-Y003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海湾大厦5楼平台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嘉昱大厦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白玉兰媒体屏</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高阳路码头绿地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室外</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HK2-Y006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中信广场</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家化金融大厦20楼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HK2-X034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家化金融大厦20楼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HK2-X033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上海电信有限公司</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HK2-Y010</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虹口港</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HK2-Y002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宇航大厦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扬子江大厦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星外滩1号39F</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弱电间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HK2-X031</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百联大厦</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HK2-Y009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茂悦酒店3楼西边风机房</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HK2-X006</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99</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九龙宾馆6楼电梯机房</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HK2-X023</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100</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九龙宾馆顶楼天台</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101</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中国联通</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102</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建工大厦灯带 21楼强电间</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强电间</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HK2-X032</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103</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中美信托大厦西楼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HK2-X024</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104</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中美信托大厦东楼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HK2-X035</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105</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豪景苑</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HK2-X007</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106</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豪景苑4号楼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HK2-X019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107</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耀江国际大厦2号楼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HK2-X029</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108</w:t>
            </w:r>
          </w:p>
        </w:tc>
        <w:tc>
          <w:tcPr>
            <w:tcW w:w="2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耀江国际大厦5号楼</w:t>
            </w:r>
          </w:p>
        </w:tc>
        <w:tc>
          <w:tcPr>
            <w:tcW w:w="11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HK2-X008</w:t>
            </w:r>
          </w:p>
        </w:tc>
      </w:tr>
      <w:tr w:rsidR="001E695A">
        <w:trPr>
          <w:trHeight w:val="270"/>
        </w:trPr>
        <w:tc>
          <w:tcPr>
            <w:tcW w:w="453"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109</w:t>
            </w:r>
          </w:p>
        </w:tc>
        <w:tc>
          <w:tcPr>
            <w:tcW w:w="2576" w:type="pct"/>
            <w:tcBorders>
              <w:top w:val="single" w:sz="4" w:space="0" w:color="000000"/>
              <w:left w:val="single" w:sz="4" w:space="0" w:color="000000"/>
              <w:bottom w:val="nil"/>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尚九一滴水4楼</w:t>
            </w:r>
          </w:p>
        </w:tc>
        <w:tc>
          <w:tcPr>
            <w:tcW w:w="1104" w:type="pct"/>
            <w:tcBorders>
              <w:top w:val="single" w:sz="4" w:space="0" w:color="000000"/>
              <w:left w:val="single" w:sz="4" w:space="0" w:color="000000"/>
              <w:bottom w:val="nil"/>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66" w:type="pct"/>
            <w:tcBorders>
              <w:top w:val="single" w:sz="4" w:space="0" w:color="000000"/>
              <w:left w:val="single" w:sz="4" w:space="0" w:color="000000"/>
              <w:bottom w:val="nil"/>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HK2-X001</w:t>
            </w:r>
          </w:p>
        </w:tc>
      </w:tr>
      <w:tr w:rsidR="001E695A">
        <w:trPr>
          <w:trHeight w:val="285"/>
        </w:trPr>
        <w:tc>
          <w:tcPr>
            <w:tcW w:w="453"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110</w:t>
            </w:r>
          </w:p>
        </w:tc>
        <w:tc>
          <w:tcPr>
            <w:tcW w:w="2576"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世界会客厅</w:t>
            </w:r>
          </w:p>
        </w:tc>
        <w:tc>
          <w:tcPr>
            <w:tcW w:w="1104"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3号楼G层</w:t>
            </w:r>
          </w:p>
        </w:tc>
        <w:tc>
          <w:tcPr>
            <w:tcW w:w="866"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r>
    </w:tbl>
    <w:p w:rsidR="001E695A" w:rsidRDefault="001E695A">
      <w:pPr>
        <w:rPr>
          <w:rFonts w:ascii="华文中宋" w:eastAsia="华文中宋" w:hAnsi="华文中宋" w:cs="华文中宋"/>
          <w:sz w:val="32"/>
          <w:szCs w:val="40"/>
        </w:rPr>
      </w:pPr>
    </w:p>
    <w:p w:rsidR="001E695A" w:rsidRDefault="00D92BC5">
      <w:pP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杨浦区</w:t>
      </w:r>
      <w:r>
        <w:rPr>
          <w:rFonts w:ascii="仿宋_GB2312" w:eastAsia="仿宋_GB2312" w:hAnsi="仿宋_GB2312" w:cs="仿宋_GB2312" w:hint="eastAsia"/>
          <w:sz w:val="24"/>
          <w:szCs w:val="32"/>
        </w:rPr>
        <w:t>（78套）</w:t>
      </w:r>
      <w:r>
        <w:rPr>
          <w:rFonts w:ascii="仿宋_GB2312" w:eastAsia="仿宋_GB2312" w:hAnsi="仿宋_GB2312" w:cs="仿宋_GB2312" w:hint="eastAsia"/>
          <w:color w:val="000000"/>
          <w:kern w:val="0"/>
          <w:sz w:val="24"/>
        </w:rPr>
        <w:t>：</w:t>
      </w:r>
    </w:p>
    <w:tbl>
      <w:tblPr>
        <w:tblW w:w="4998" w:type="pct"/>
        <w:tblLook w:val="04A0"/>
      </w:tblPr>
      <w:tblGrid>
        <w:gridCol w:w="824"/>
        <w:gridCol w:w="4323"/>
        <w:gridCol w:w="1910"/>
        <w:gridCol w:w="1462"/>
      </w:tblGrid>
      <w:tr w:rsidR="001E695A">
        <w:trPr>
          <w:trHeight w:val="270"/>
          <w:tblHeader/>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序号</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名 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安装位置</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终端编号</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毛麻仓库</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1F</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Y-0240</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杨浦I楼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1F</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Y-0040</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秦皇岛码头</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Y-0208</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秦皇岛码头</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Y-0033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堤岸四期</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Y-0201</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堤岸咖啡馆</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Y-0157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滨江廊架1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滨江廊架2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Y-0200</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9</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杨浦滨江水厂1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Y-0203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杨浦滨江水厂2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Y-0348</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海捞</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Y-0202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海救</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Y-0077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海救大楼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Y-0038</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五期东</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Y-0035</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滨江塔吊</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Y-0205</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安普路桥侧</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Y-0042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丹东路码头</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Y-0048</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18</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丹东路轮渡</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Y-0224</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19</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渔人码头3号箱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20</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滨江国际4号箱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永安栈房</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Y-0233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滨江国际3号楼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Y-0225</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滨江国际5号楼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Y-0221</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杨浦水厂1号箱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Y-0241</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杨浦水厂2号箱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Y-0262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杨浦水厂3号箱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Y-0265</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杨浦水厂4号箱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Y-0264</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28</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杨浦水厂5号箱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Y-0263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29</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杨浦水厂6号箱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Y-0243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30</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杨浦水厂7号箱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Y-0244</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杨浦水厂8号箱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Y-0352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杨浦水厂9号箱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Y-0351</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首尔丽格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杨浦光华管理学院</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Y-0080</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阿根廷庄园</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Y-0228</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歌菲资产1#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歌菲资产2#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38</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滨江国际6号楼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Y-0076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39</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渔人码头1号楼1号箱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Y-0238</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40</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渔人码头1号楼2号箱</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Y-0237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滨江国际2号楼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Y-0199</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丹东路泵站</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Y-0266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中国海事</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X-0127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小木屋</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Y-0155</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滨江国际1号楼7F</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Y-0349</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滨江国际1号楼15F</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Y-0350</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海鹏花园1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Y-0236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48</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海鹏花苑2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Y-0235</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49</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海鹏花苑3</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Y-0234</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50</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建发大厦</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Y-0239</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51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杨浦塔吊1号</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Y-0146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杨浦塔吊2号</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Y-0229</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杨浦塔吊3号</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绿地</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Y-0156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杨浦卧鱼</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楼顶</w:t>
            </w: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Y-0363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杨浦三期中转站</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YP2-X012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塔吊2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YP2-Y022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塔吊1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YP2-Y011</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58</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塔吊3</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YP2-Y001</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59</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三期草地浮桥</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YP2-Y023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60</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三期蓝桥</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YP2-Y007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三期绿地</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YP2-Y046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杨浦电厂1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YP2-X006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杨浦电厂2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YP2-X033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电气厂2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YP2-X032</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电气厂1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YP2-X013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五期水域1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YP2-Y016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五期水域2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YP2-Y013</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68</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五期水域3</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YP2-Y018</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69</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杨浦国际时尚中心8号楼东AL9</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YP2-Y057</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70</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杨浦国际时尚中心10号楼AL10</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YP2-Y041</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71</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杨浦国际时尚中心13号楼AL13</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YP2-Y044</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72</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杨浦国际时尚中心11号楼AL11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YP2-Y009</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73</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杨浦国际时尚中心12号楼AL12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YP2-Y015</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74</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杨浦国际时尚中心8号楼西AL12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YP2-Y006</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75</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定海路桥</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76</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渔人码头激光灯1</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w:t>
            </w:r>
          </w:p>
        </w:tc>
      </w:tr>
      <w:tr w:rsidR="001E695A">
        <w:trPr>
          <w:trHeight w:val="270"/>
        </w:trPr>
        <w:tc>
          <w:tcPr>
            <w:tcW w:w="484" w:type="pct"/>
            <w:tcBorders>
              <w:top w:val="single" w:sz="4" w:space="0" w:color="000000"/>
              <w:left w:val="single" w:sz="8"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77</w:t>
            </w:r>
          </w:p>
        </w:tc>
        <w:tc>
          <w:tcPr>
            <w:tcW w:w="253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渔人码头激光灯2</w:t>
            </w:r>
          </w:p>
        </w:tc>
        <w:tc>
          <w:tcPr>
            <w:tcW w:w="112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w:t>
            </w:r>
          </w:p>
        </w:tc>
      </w:tr>
      <w:tr w:rsidR="001E695A">
        <w:trPr>
          <w:trHeight w:val="285"/>
        </w:trPr>
        <w:tc>
          <w:tcPr>
            <w:tcW w:w="484" w:type="pct"/>
            <w:tcBorders>
              <w:top w:val="single" w:sz="4" w:space="0" w:color="000000"/>
              <w:left w:val="single" w:sz="8" w:space="0" w:color="000000"/>
              <w:bottom w:val="single" w:sz="8"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78</w:t>
            </w:r>
          </w:p>
        </w:tc>
        <w:tc>
          <w:tcPr>
            <w:tcW w:w="2536" w:type="pct"/>
            <w:tcBorders>
              <w:top w:val="single" w:sz="4" w:space="0" w:color="000000"/>
              <w:left w:val="single" w:sz="4" w:space="0" w:color="000000"/>
              <w:bottom w:val="single" w:sz="8" w:space="0" w:color="000000"/>
              <w:right w:val="single" w:sz="4" w:space="0" w:color="000000"/>
            </w:tcBorders>
            <w:shd w:val="clear" w:color="auto" w:fill="auto"/>
            <w:noWrap/>
            <w:vAlign w:val="bottom"/>
          </w:tcPr>
          <w:p w:rsidR="001E695A" w:rsidRDefault="00D92BC5">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渔人码头激光灯3</w:t>
            </w:r>
          </w:p>
        </w:tc>
        <w:tc>
          <w:tcPr>
            <w:tcW w:w="1121" w:type="pct"/>
            <w:tcBorders>
              <w:top w:val="single" w:sz="4" w:space="0" w:color="000000"/>
              <w:left w:val="single" w:sz="4" w:space="0" w:color="000000"/>
              <w:bottom w:val="single" w:sz="8" w:space="0" w:color="000000"/>
              <w:right w:val="single" w:sz="4" w:space="0" w:color="000000"/>
            </w:tcBorders>
            <w:shd w:val="clear" w:color="auto" w:fill="auto"/>
            <w:noWrap/>
            <w:vAlign w:val="bottom"/>
          </w:tcPr>
          <w:p w:rsidR="001E695A" w:rsidRDefault="001E695A">
            <w:pPr>
              <w:widowControl/>
              <w:jc w:val="left"/>
              <w:textAlignment w:val="center"/>
              <w:rPr>
                <w:rFonts w:ascii="仿宋_GB2312" w:eastAsia="仿宋_GB2312" w:hAnsi="仿宋_GB2312" w:cs="仿宋_GB2312"/>
                <w:color w:val="000000"/>
                <w:kern w:val="0"/>
                <w:sz w:val="24"/>
              </w:rPr>
            </w:pPr>
          </w:p>
        </w:tc>
        <w:tc>
          <w:tcPr>
            <w:tcW w:w="858" w:type="pct"/>
            <w:tcBorders>
              <w:top w:val="single" w:sz="4" w:space="0" w:color="000000"/>
              <w:left w:val="single" w:sz="4" w:space="0" w:color="000000"/>
              <w:bottom w:val="single" w:sz="8"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XH-X014</w:t>
            </w:r>
          </w:p>
        </w:tc>
      </w:tr>
    </w:tbl>
    <w:p w:rsidR="001E695A" w:rsidRDefault="001E695A">
      <w:pPr>
        <w:rPr>
          <w:rFonts w:ascii="仿宋_GB2312" w:eastAsia="仿宋_GB2312" w:hAnsi="仿宋_GB2312" w:cs="仿宋_GB2312"/>
          <w:color w:val="000000"/>
          <w:kern w:val="0"/>
          <w:sz w:val="24"/>
        </w:rPr>
      </w:pPr>
    </w:p>
    <w:p w:rsidR="001E695A" w:rsidRDefault="00D92BC5">
      <w:pP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大桥</w:t>
      </w:r>
      <w:r>
        <w:rPr>
          <w:rFonts w:ascii="仿宋_GB2312" w:eastAsia="仿宋_GB2312" w:hAnsi="仿宋_GB2312" w:cs="仿宋_GB2312" w:hint="eastAsia"/>
          <w:sz w:val="24"/>
          <w:szCs w:val="32"/>
        </w:rPr>
        <w:t>（32套）</w:t>
      </w:r>
      <w:r>
        <w:rPr>
          <w:rFonts w:ascii="仿宋_GB2312" w:eastAsia="仿宋_GB2312" w:hAnsi="仿宋_GB2312" w:cs="仿宋_GB2312" w:hint="eastAsia"/>
          <w:color w:val="000000"/>
          <w:kern w:val="0"/>
          <w:sz w:val="24"/>
        </w:rPr>
        <w:t>：</w:t>
      </w:r>
    </w:p>
    <w:tbl>
      <w:tblPr>
        <w:tblW w:w="4998" w:type="pct"/>
        <w:tblLook w:val="04A0"/>
      </w:tblPr>
      <w:tblGrid>
        <w:gridCol w:w="897"/>
        <w:gridCol w:w="4266"/>
        <w:gridCol w:w="1908"/>
        <w:gridCol w:w="1448"/>
      </w:tblGrid>
      <w:tr w:rsidR="001E695A">
        <w:trPr>
          <w:trHeight w:val="270"/>
          <w:tblHeader/>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序号</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名 称</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安装位置</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b/>
                <w:bCs/>
                <w:color w:val="000000"/>
                <w:kern w:val="0"/>
                <w:sz w:val="24"/>
              </w:rPr>
              <w:t>终端编号</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杨浦大桥主控</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杨浦大桥1#</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浦西侧主桥塔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杨浦大桥2#</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浦西侧主桥塔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Z-3</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杨浦大桥3#</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浦东侧主桥塔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Z-4</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杨浦大桥4#</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浦东侧主桥塔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Z-5</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南浦大桥主控</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Z-6</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南浦大桥1#</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Z-7</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南浦大桥2#</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Z-8</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南浦大桥3#</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Z-9</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南浦大桥4#</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Z-10</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南浦大桥5#</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Z-11</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12</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南浦大桥6#</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Z-12</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13</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南浦大桥7#</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浦东侧主桥塔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Z-13</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14</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南浦大桥8#</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浦东侧主桥塔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Z-14</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15</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南浦大桥9#</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浦东侧主桥塔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Z-15</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16</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南浦大桥10#</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浦西侧主桥塔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Z-16</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17</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南浦大桥11#</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浦西侧主桥塔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Z-17</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18</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南浦大桥12#</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浦西侧主桥塔</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Z-18</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19</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卢浦大桥主控</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Z-19</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20</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卢浦大桥1#</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Z-20</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21</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卢浦大桥2#</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Z-21</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22</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卢浦大桥3#</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Z-22</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23</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卢浦大桥4#</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Z-23</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24</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卢浦大桥5#</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Z-24</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25</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卢浦大桥6#</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Z-25</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26</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徐浦大桥主控</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Z-26</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27</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徐浦大桥1#</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Z-27</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28</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徐浦大桥2#</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Z-28</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29</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徐浦大桥3#</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Z-29</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30</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徐浦大桥4#</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Z-30</w:t>
            </w:r>
          </w:p>
        </w:tc>
      </w:tr>
      <w:tr w:rsidR="001E695A">
        <w:trPr>
          <w:trHeight w:val="270"/>
        </w:trPr>
        <w:tc>
          <w:tcPr>
            <w:tcW w:w="526"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31</w:t>
            </w:r>
          </w:p>
        </w:tc>
        <w:tc>
          <w:tcPr>
            <w:tcW w:w="2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徐浦大桥5#</w:t>
            </w:r>
          </w:p>
        </w:tc>
        <w:tc>
          <w:tcPr>
            <w:tcW w:w="11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Z-31</w:t>
            </w:r>
          </w:p>
        </w:tc>
      </w:tr>
      <w:tr w:rsidR="001E695A">
        <w:trPr>
          <w:trHeight w:val="285"/>
        </w:trPr>
        <w:tc>
          <w:tcPr>
            <w:tcW w:w="526" w:type="pct"/>
            <w:tcBorders>
              <w:top w:val="single" w:sz="4" w:space="0" w:color="000000"/>
              <w:left w:val="single" w:sz="8" w:space="0" w:color="000000"/>
              <w:bottom w:val="single" w:sz="8" w:space="0" w:color="000000"/>
              <w:right w:val="single" w:sz="4" w:space="0" w:color="000000"/>
            </w:tcBorders>
            <w:shd w:val="clear" w:color="auto" w:fill="auto"/>
            <w:noWrap/>
            <w:vAlign w:val="center"/>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lastRenderedPageBreak/>
              <w:t>32</w:t>
            </w:r>
          </w:p>
        </w:tc>
        <w:tc>
          <w:tcPr>
            <w:tcW w:w="2502"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D92BC5">
            <w:pPr>
              <w:widowControl/>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徐浦大桥6#</w:t>
            </w:r>
          </w:p>
        </w:tc>
        <w:tc>
          <w:tcPr>
            <w:tcW w:w="1120" w:type="pct"/>
            <w:tcBorders>
              <w:top w:val="single" w:sz="4" w:space="0" w:color="000000"/>
              <w:left w:val="single" w:sz="4" w:space="0" w:color="000000"/>
              <w:bottom w:val="single" w:sz="8" w:space="0" w:color="000000"/>
              <w:right w:val="single" w:sz="4" w:space="0" w:color="000000"/>
            </w:tcBorders>
            <w:shd w:val="clear" w:color="auto" w:fill="auto"/>
            <w:noWrap/>
            <w:vAlign w:val="center"/>
          </w:tcPr>
          <w:p w:rsidR="001E695A" w:rsidRDefault="001E695A">
            <w:pPr>
              <w:widowControl/>
              <w:jc w:val="center"/>
              <w:textAlignment w:val="center"/>
              <w:rPr>
                <w:rFonts w:ascii="仿宋_GB2312" w:eastAsia="仿宋_GB2312" w:hAnsi="仿宋_GB2312" w:cs="仿宋_GB2312"/>
                <w:color w:val="000000"/>
                <w:kern w:val="0"/>
                <w:sz w:val="24"/>
              </w:rPr>
            </w:pPr>
          </w:p>
        </w:tc>
        <w:tc>
          <w:tcPr>
            <w:tcW w:w="850" w:type="pct"/>
            <w:tcBorders>
              <w:top w:val="single" w:sz="4" w:space="0" w:color="000000"/>
              <w:left w:val="single" w:sz="4" w:space="0" w:color="000000"/>
              <w:bottom w:val="single" w:sz="8" w:space="0" w:color="000000"/>
              <w:right w:val="single" w:sz="4" w:space="0" w:color="000000"/>
            </w:tcBorders>
            <w:shd w:val="clear" w:color="auto" w:fill="auto"/>
            <w:noWrap/>
            <w:vAlign w:val="bottom"/>
          </w:tcPr>
          <w:p w:rsidR="001E695A" w:rsidRDefault="00D92BC5">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Z-32</w:t>
            </w:r>
          </w:p>
        </w:tc>
      </w:tr>
    </w:tbl>
    <w:p w:rsidR="001E695A" w:rsidRDefault="001E695A">
      <w:pPr>
        <w:rPr>
          <w:rFonts w:ascii="仿宋_GB2312" w:eastAsia="仿宋_GB2312" w:hAnsi="仿宋_GB2312" w:cs="仿宋_GB2312"/>
          <w:color w:val="000000"/>
          <w:kern w:val="0"/>
          <w:sz w:val="24"/>
        </w:rPr>
      </w:pPr>
    </w:p>
    <w:p w:rsidR="001E695A" w:rsidRDefault="00D92BC5">
      <w:pP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*另外截止2023年12月31日，</w:t>
      </w:r>
      <w:bookmarkStart w:id="0" w:name="_GoBack"/>
      <w:bookmarkEnd w:id="0"/>
      <w:r>
        <w:rPr>
          <w:rFonts w:ascii="仿宋_GB2312" w:eastAsia="仿宋_GB2312" w:hAnsi="仿宋_GB2312" w:cs="仿宋_GB2312" w:hint="eastAsia"/>
          <w:color w:val="000000"/>
          <w:kern w:val="0"/>
          <w:sz w:val="24"/>
        </w:rPr>
        <w:t>仓库备件共63套（含库存件37套、损坏维修件26套）</w:t>
      </w:r>
    </w:p>
    <w:p w:rsidR="001E695A" w:rsidRDefault="001E695A">
      <w:pPr>
        <w:rPr>
          <w:rFonts w:ascii="仿宋_GB2312" w:eastAsia="仿宋_GB2312" w:hAnsi="仿宋_GB2312" w:cs="仿宋_GB2312"/>
          <w:color w:val="000000"/>
          <w:kern w:val="0"/>
          <w:sz w:val="24"/>
        </w:rPr>
      </w:pPr>
    </w:p>
    <w:p w:rsidR="001E695A" w:rsidRDefault="00D92BC5">
      <w:pPr>
        <w:pStyle w:val="2"/>
        <w:spacing w:line="240" w:lineRule="auto"/>
        <w:rPr>
          <w:rFonts w:asciiTheme="minorEastAsia" w:eastAsiaTheme="minorEastAsia" w:hAnsiTheme="minorEastAsia" w:cs="黑体"/>
          <w:bCs w:val="0"/>
          <w:sz w:val="30"/>
          <w:szCs w:val="30"/>
        </w:rPr>
      </w:pPr>
      <w:bookmarkStart w:id="1" w:name="_Toc69820320"/>
      <w:r>
        <w:rPr>
          <w:rFonts w:asciiTheme="minorEastAsia" w:eastAsiaTheme="minorEastAsia" w:hAnsiTheme="minorEastAsia" w:cs="黑体" w:hint="eastAsia"/>
          <w:bCs w:val="0"/>
          <w:sz w:val="30"/>
          <w:szCs w:val="30"/>
        </w:rPr>
        <w:t>四、项目要求</w:t>
      </w:r>
      <w:bookmarkEnd w:id="1"/>
    </w:p>
    <w:p w:rsidR="001E695A" w:rsidRDefault="00D92BC5">
      <w:pPr>
        <w:tabs>
          <w:tab w:val="left" w:pos="432"/>
        </w:tabs>
        <w:ind w:firstLineChars="200" w:firstLine="482"/>
        <w:rPr>
          <w:rFonts w:asciiTheme="minorEastAsia" w:hAnsiTheme="minorEastAsia" w:cs="仿宋_GB2312"/>
          <w:b/>
          <w:bCs/>
          <w:color w:val="000000"/>
          <w:sz w:val="24"/>
        </w:rPr>
      </w:pPr>
      <w:r>
        <w:rPr>
          <w:rFonts w:asciiTheme="minorEastAsia" w:hAnsiTheme="minorEastAsia" w:cs="仿宋_GB2312" w:hint="eastAsia"/>
          <w:b/>
          <w:bCs/>
          <w:color w:val="000000"/>
          <w:sz w:val="24"/>
        </w:rPr>
        <w:t>投标单位资质及人员要求：</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hint="eastAsia"/>
          <w:sz w:val="24"/>
        </w:rPr>
        <w:t>1.投标供应商必须具有独立法人资格；</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hint="eastAsia"/>
          <w:sz w:val="24"/>
        </w:rPr>
        <w:t>2.投标人须具有具有电子与智能化工程专业承包资质二级及其以上资质 (非上海施工企业须完成上海市备案)；并在人员、设备、资金等方面具有相应的运维保障能力；</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hint="eastAsia"/>
          <w:sz w:val="24"/>
        </w:rPr>
        <w:t>3.本工程拟派的项目负责人须具有机电工程专业二级注册建造师执业资格或以上的人员担任。</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hint="eastAsia"/>
          <w:sz w:val="24"/>
        </w:rPr>
        <w:t>4.近三年内，经营及相关活动中无不良记录，在行业内信誉良好；</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hint="eastAsia"/>
          <w:sz w:val="24"/>
        </w:rPr>
        <w:t>5.本工程不接受联合体投标。</w:t>
      </w:r>
    </w:p>
    <w:p w:rsidR="001E695A" w:rsidRDefault="00D92BC5">
      <w:pPr>
        <w:spacing w:line="360" w:lineRule="auto"/>
        <w:ind w:firstLineChars="200" w:firstLine="482"/>
        <w:jc w:val="left"/>
        <w:rPr>
          <w:rFonts w:asciiTheme="minorEastAsia" w:hAnsiTheme="minorEastAsia" w:cs="宋体"/>
          <w:b/>
          <w:bCs/>
          <w:sz w:val="24"/>
        </w:rPr>
      </w:pPr>
      <w:r>
        <w:rPr>
          <w:rFonts w:asciiTheme="minorEastAsia" w:hAnsiTheme="minorEastAsia" w:cs="宋体" w:hint="eastAsia"/>
          <w:b/>
          <w:bCs/>
          <w:sz w:val="24"/>
        </w:rPr>
        <w:t>监控中心设施设备运行维护：</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sz w:val="24"/>
        </w:rPr>
        <w:t>1</w:t>
      </w:r>
      <w:r>
        <w:rPr>
          <w:rFonts w:asciiTheme="minorEastAsia" w:hAnsiTheme="minorEastAsia" w:cs="宋体" w:hint="eastAsia"/>
          <w:sz w:val="24"/>
        </w:rPr>
        <w:t>.每日在监控中心安排人员值班保障，记录当日开灯信息、故障情况、维修情况等，逢重要节日重大活动应根据要求加派值班人员，保障值班物资；</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sz w:val="24"/>
        </w:rPr>
        <w:t>2</w:t>
      </w:r>
      <w:r>
        <w:rPr>
          <w:rFonts w:asciiTheme="minorEastAsia" w:hAnsiTheme="minorEastAsia" w:cs="宋体" w:hint="eastAsia"/>
          <w:sz w:val="24"/>
        </w:rPr>
        <w:t>.对景观照明集中控制系统集控中心内部设备，包括系统所涉及机房、配套设施的服务器、视频设备、软件设备等进行巡视检查，汇总异常和故障情况，予以及时维护处置，确保系统正常、安全运行，做好相应检修记录；</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sz w:val="24"/>
        </w:rPr>
        <w:t>3</w:t>
      </w:r>
      <w:r>
        <w:rPr>
          <w:rFonts w:asciiTheme="minorEastAsia" w:hAnsiTheme="minorEastAsia" w:cs="宋体" w:hint="eastAsia"/>
          <w:sz w:val="24"/>
        </w:rPr>
        <w:t>.每年编制1套浦江景观照明联动节目，包括建筑、水景、步道、驳岸、桥梁等景观照明、光束灯、激光灯的节目编排更新，堤岸、游船音响更新及联动，临时性照明设施的纳控制及联动；</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sz w:val="24"/>
        </w:rPr>
        <w:t>4</w:t>
      </w:r>
      <w:r>
        <w:rPr>
          <w:rFonts w:asciiTheme="minorEastAsia" w:hAnsiTheme="minorEastAsia" w:cs="宋体" w:hint="eastAsia"/>
          <w:sz w:val="24"/>
        </w:rPr>
        <w:t>.每年更新集中控制系统设备清单以及操作说明等基础资料，应详细记录集</w:t>
      </w:r>
      <w:r>
        <w:rPr>
          <w:rFonts w:asciiTheme="minorEastAsia" w:hAnsiTheme="minorEastAsia" w:cs="宋体" w:hint="eastAsia"/>
          <w:sz w:val="24"/>
        </w:rPr>
        <w:lastRenderedPageBreak/>
        <w:t>中控制系统软件和设备的维修、变更和更新情况；</w:t>
      </w:r>
    </w:p>
    <w:p w:rsidR="001E695A" w:rsidRDefault="00D92BC5">
      <w:pPr>
        <w:spacing w:line="360" w:lineRule="auto"/>
        <w:ind w:firstLineChars="200" w:firstLine="480"/>
        <w:jc w:val="left"/>
        <w:rPr>
          <w:rFonts w:asciiTheme="minorEastAsia" w:hAnsiTheme="minorEastAsia" w:cs="宋体"/>
          <w:sz w:val="24"/>
        </w:rPr>
      </w:pPr>
      <w:r>
        <w:rPr>
          <w:rFonts w:asciiTheme="minorEastAsia" w:hAnsiTheme="minorEastAsia" w:cs="宋体"/>
          <w:sz w:val="24"/>
        </w:rPr>
        <w:t>5</w:t>
      </w:r>
      <w:r>
        <w:rPr>
          <w:rFonts w:asciiTheme="minorEastAsia" w:hAnsiTheme="minorEastAsia" w:cs="宋体" w:hint="eastAsia"/>
          <w:sz w:val="24"/>
        </w:rPr>
        <w:t>.保障同各区景观照明动态、静态数据交换接口稳定工作，完成对区景观照明运行数据，基础数据采集、更新及数据归档，确保市集控中心到绿容局数据采集系统的大数据更新及归档。</w:t>
      </w:r>
    </w:p>
    <w:p w:rsidR="001E695A" w:rsidRDefault="001E695A">
      <w:pPr>
        <w:tabs>
          <w:tab w:val="left" w:pos="432"/>
        </w:tabs>
        <w:ind w:firstLineChars="200" w:firstLine="480"/>
        <w:rPr>
          <w:rFonts w:asciiTheme="minorEastAsia" w:hAnsiTheme="minorEastAsia"/>
          <w:sz w:val="24"/>
        </w:rPr>
      </w:pPr>
    </w:p>
    <w:p w:rsidR="001E695A" w:rsidRDefault="00D92BC5">
      <w:pPr>
        <w:tabs>
          <w:tab w:val="left" w:pos="432"/>
        </w:tabs>
        <w:ind w:firstLineChars="200" w:firstLine="480"/>
        <w:rPr>
          <w:rFonts w:asciiTheme="minorEastAsia" w:hAnsiTheme="minorEastAsia"/>
          <w:sz w:val="24"/>
        </w:rPr>
      </w:pPr>
      <w:r>
        <w:rPr>
          <w:rFonts w:asciiTheme="minorEastAsia" w:hAnsiTheme="minorEastAsia" w:hint="eastAsia"/>
          <w:sz w:val="24"/>
        </w:rPr>
        <w:t>具体工作安排可参见下表：</w:t>
      </w:r>
    </w:p>
    <w:p w:rsidR="001E695A" w:rsidRDefault="001E695A">
      <w:pPr>
        <w:rPr>
          <w:rFonts w:asciiTheme="minorEastAsia" w:hAnsiTheme="minorEastAsia"/>
          <w:sz w:val="24"/>
        </w:rPr>
      </w:pPr>
    </w:p>
    <w:tbl>
      <w:tblPr>
        <w:tblW w:w="4998" w:type="pct"/>
        <w:jc w:val="center"/>
        <w:tblLook w:val="04A0"/>
      </w:tblPr>
      <w:tblGrid>
        <w:gridCol w:w="565"/>
        <w:gridCol w:w="2237"/>
        <w:gridCol w:w="4725"/>
        <w:gridCol w:w="995"/>
      </w:tblGrid>
      <w:tr w:rsidR="001E695A">
        <w:trPr>
          <w:trHeight w:val="48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序号</w:t>
            </w:r>
          </w:p>
        </w:tc>
        <w:tc>
          <w:tcPr>
            <w:tcW w:w="1786"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名称</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内容</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数量要求</w:t>
            </w:r>
          </w:p>
        </w:tc>
      </w:tr>
      <w:tr w:rsidR="001E695A">
        <w:trPr>
          <w:trHeight w:val="48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一</w:t>
            </w:r>
          </w:p>
        </w:tc>
        <w:tc>
          <w:tcPr>
            <w:tcW w:w="1786"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监控中心运维</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1E695A">
            <w:pPr>
              <w:widowControl/>
              <w:jc w:val="center"/>
              <w:textAlignment w:val="center"/>
              <w:rPr>
                <w:rFonts w:ascii="仿宋_GB2312" w:eastAsia="仿宋_GB2312" w:hAnsi="仿宋_GB2312" w:cs="仿宋_GB2312"/>
                <w:b/>
                <w:bCs/>
                <w:color w:val="000000"/>
                <w:kern w:val="0"/>
                <w:szCs w:val="21"/>
              </w:rPr>
            </w:pP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1E695A">
            <w:pPr>
              <w:widowControl/>
              <w:jc w:val="center"/>
              <w:textAlignment w:val="center"/>
              <w:rPr>
                <w:rFonts w:ascii="仿宋_GB2312" w:eastAsia="仿宋_GB2312" w:hAnsi="仿宋_GB2312" w:cs="仿宋_GB2312"/>
                <w:b/>
                <w:bCs/>
                <w:color w:val="000000"/>
                <w:kern w:val="0"/>
                <w:szCs w:val="21"/>
              </w:rPr>
            </w:pPr>
          </w:p>
        </w:tc>
      </w:tr>
      <w:tr w:rsidR="001E695A">
        <w:trPr>
          <w:trHeight w:val="48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监控中心运行值班</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1E695A">
            <w:pPr>
              <w:widowControl/>
              <w:jc w:val="center"/>
              <w:textAlignment w:val="center"/>
              <w:rPr>
                <w:rFonts w:ascii="仿宋_GB2312" w:eastAsia="仿宋_GB2312" w:hAnsi="仿宋_GB2312" w:cs="仿宋_GB2312"/>
                <w:color w:val="000000"/>
                <w:szCs w:val="21"/>
              </w:rPr>
            </w:pP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1E695A">
            <w:pPr>
              <w:widowControl/>
              <w:jc w:val="center"/>
              <w:textAlignment w:val="center"/>
              <w:rPr>
                <w:rFonts w:ascii="仿宋_GB2312" w:eastAsia="仿宋_GB2312" w:hAnsi="仿宋_GB2312" w:cs="仿宋_GB2312"/>
                <w:color w:val="000000"/>
                <w:szCs w:val="21"/>
              </w:rPr>
            </w:pPr>
          </w:p>
        </w:tc>
      </w:tr>
      <w:tr w:rsidR="001E695A">
        <w:trPr>
          <w:trHeight w:val="48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1.1</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日常值班</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每日常态开灯值班</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＝365天次</w:t>
            </w:r>
          </w:p>
        </w:tc>
      </w:tr>
      <w:tr w:rsidR="001E695A">
        <w:trPr>
          <w:trHeight w:val="66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1.2</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保障值班</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1E695A">
            <w:pPr>
              <w:widowControl/>
              <w:jc w:val="center"/>
              <w:textAlignment w:val="center"/>
              <w:rPr>
                <w:rFonts w:ascii="仿宋_GB2312" w:eastAsia="仿宋_GB2312" w:hAnsi="仿宋_GB2312" w:cs="仿宋_GB2312"/>
                <w:color w:val="000000"/>
                <w:szCs w:val="21"/>
              </w:rPr>
            </w:pP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1E695A">
            <w:pPr>
              <w:widowControl/>
              <w:jc w:val="center"/>
              <w:textAlignment w:val="center"/>
              <w:rPr>
                <w:rFonts w:ascii="仿宋_GB2312" w:eastAsia="仿宋_GB2312" w:hAnsi="仿宋_GB2312" w:cs="仿宋_GB2312"/>
                <w:color w:val="000000"/>
                <w:szCs w:val="21"/>
              </w:rPr>
            </w:pPr>
          </w:p>
        </w:tc>
      </w:tr>
      <w:tr w:rsidR="001E695A">
        <w:trPr>
          <w:trHeight w:val="66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1.2.1</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一级保障</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重大节假日、重大活动保障以及重要会议及领导接待任务等的保障</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≥30天次</w:t>
            </w:r>
          </w:p>
        </w:tc>
      </w:tr>
      <w:tr w:rsidR="001E695A">
        <w:trPr>
          <w:trHeight w:val="66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1.2.2</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二级保障</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市委市政府临时性保障以及对动态节目调试、测试过程的保障</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≥20天次</w:t>
            </w:r>
          </w:p>
        </w:tc>
      </w:tr>
      <w:tr w:rsidR="001E695A">
        <w:trPr>
          <w:trHeight w:val="66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1.2.3</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日常保障</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其他平日的检查、接待等活动（非正式发文）</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≥10天次</w:t>
            </w:r>
          </w:p>
        </w:tc>
      </w:tr>
      <w:tr w:rsidR="001E695A">
        <w:trPr>
          <w:trHeight w:val="50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监控中心巡检及维修</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每月巡检1次</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kern w:val="0"/>
                <w:szCs w:val="21"/>
              </w:rPr>
              <w:t>12次</w:t>
            </w:r>
          </w:p>
        </w:tc>
      </w:tr>
      <w:tr w:rsidR="001E695A">
        <w:trPr>
          <w:trHeight w:val="50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系统软件更新升级和数据备份</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每季度检查、更新、备份1次</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kern w:val="0"/>
                <w:szCs w:val="21"/>
              </w:rPr>
              <w:t>4次</w:t>
            </w:r>
          </w:p>
        </w:tc>
      </w:tr>
      <w:tr w:rsidR="001E695A">
        <w:trPr>
          <w:trHeight w:val="50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基础资料维护</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每季度1次</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kern w:val="0"/>
                <w:szCs w:val="21"/>
              </w:rPr>
              <w:t>4次</w:t>
            </w:r>
          </w:p>
        </w:tc>
      </w:tr>
      <w:tr w:rsidR="001E695A">
        <w:trPr>
          <w:trHeight w:val="500"/>
          <w:jc w:val="center"/>
        </w:trPr>
        <w:tc>
          <w:tcPr>
            <w:tcW w:w="551"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5</w:t>
            </w:r>
          </w:p>
        </w:tc>
        <w:tc>
          <w:tcPr>
            <w:tcW w:w="1786"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节目编制</w:t>
            </w:r>
          </w:p>
        </w:tc>
        <w:tc>
          <w:tcPr>
            <w:tcW w:w="1917"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配合编制浦江光影秀节目</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kern w:val="0"/>
                <w:szCs w:val="21"/>
              </w:rPr>
              <w:t>1套</w:t>
            </w:r>
          </w:p>
        </w:tc>
      </w:tr>
    </w:tbl>
    <w:p w:rsidR="001E695A" w:rsidRDefault="001E695A">
      <w:pPr>
        <w:tabs>
          <w:tab w:val="left" w:pos="432"/>
        </w:tabs>
        <w:ind w:firstLineChars="200" w:firstLine="480"/>
        <w:rPr>
          <w:rFonts w:asciiTheme="minorEastAsia" w:hAnsiTheme="minorEastAsia" w:cs="仿宋_GB2312"/>
          <w:color w:val="000000"/>
          <w:sz w:val="24"/>
        </w:rPr>
      </w:pPr>
    </w:p>
    <w:p w:rsidR="001E695A" w:rsidRDefault="00D92BC5">
      <w:pPr>
        <w:spacing w:line="360" w:lineRule="auto"/>
        <w:ind w:firstLineChars="200" w:firstLine="482"/>
        <w:jc w:val="left"/>
        <w:rPr>
          <w:rFonts w:asciiTheme="minorEastAsia" w:hAnsiTheme="minorEastAsia" w:cs="宋体"/>
          <w:b/>
          <w:bCs/>
          <w:sz w:val="24"/>
        </w:rPr>
      </w:pPr>
      <w:r>
        <w:rPr>
          <w:rFonts w:asciiTheme="minorEastAsia" w:hAnsiTheme="minorEastAsia" w:cs="宋体" w:hint="eastAsia"/>
          <w:b/>
          <w:bCs/>
          <w:sz w:val="24"/>
        </w:rPr>
        <w:t>外场设施设备运行维护：</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1.对集中控制系统各集控点位运行状态巡检，汇总异常和故障情况，报告管理部门，在72小时完成维护处置，并做好相关记录；</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2.制定巡查计划，对景观照明集中控制系统外部各集控点设备进行巡视检查，确保系统正常、安全运行，并做好相应检修记录。每年上、下半年至少各完成1次系统外部所有集控点设备的巡检工作，同时做好固定资产标签的维护工作；</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3.根据实际情况，完成设施设备数据录入以及监控终端的拆移机工作。</w:t>
      </w:r>
    </w:p>
    <w:p w:rsidR="001E695A" w:rsidRDefault="001E695A">
      <w:pPr>
        <w:tabs>
          <w:tab w:val="left" w:pos="432"/>
        </w:tabs>
        <w:ind w:firstLineChars="200" w:firstLine="480"/>
        <w:rPr>
          <w:rFonts w:asciiTheme="minorEastAsia" w:hAnsiTheme="minorEastAsia"/>
          <w:sz w:val="24"/>
        </w:rPr>
      </w:pPr>
    </w:p>
    <w:p w:rsidR="001E695A" w:rsidRDefault="00D92BC5">
      <w:pPr>
        <w:tabs>
          <w:tab w:val="left" w:pos="432"/>
        </w:tabs>
        <w:ind w:firstLineChars="200" w:firstLine="480"/>
        <w:rPr>
          <w:rFonts w:asciiTheme="minorEastAsia" w:hAnsiTheme="minorEastAsia"/>
          <w:sz w:val="24"/>
        </w:rPr>
      </w:pPr>
      <w:r>
        <w:rPr>
          <w:rFonts w:asciiTheme="minorEastAsia" w:hAnsiTheme="minorEastAsia" w:hint="eastAsia"/>
          <w:sz w:val="24"/>
        </w:rPr>
        <w:t>具体工作安排可参见下表：</w:t>
      </w:r>
    </w:p>
    <w:tbl>
      <w:tblPr>
        <w:tblW w:w="4998" w:type="pct"/>
        <w:jc w:val="center"/>
        <w:tblLook w:val="04A0"/>
      </w:tblPr>
      <w:tblGrid>
        <w:gridCol w:w="898"/>
        <w:gridCol w:w="3156"/>
        <w:gridCol w:w="3238"/>
        <w:gridCol w:w="1227"/>
      </w:tblGrid>
      <w:tr w:rsidR="001E695A">
        <w:trPr>
          <w:trHeight w:val="624"/>
          <w:jc w:val="center"/>
        </w:trPr>
        <w:tc>
          <w:tcPr>
            <w:tcW w:w="552"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序号</w:t>
            </w:r>
          </w:p>
        </w:tc>
        <w:tc>
          <w:tcPr>
            <w:tcW w:w="1778" w:type="pct"/>
            <w:tcBorders>
              <w:top w:val="single" w:sz="4" w:space="0" w:color="000000"/>
              <w:left w:val="single" w:sz="4" w:space="0" w:color="000000"/>
              <w:bottom w:val="single" w:sz="4" w:space="0" w:color="000000"/>
              <w:right w:val="nil"/>
            </w:tcBorders>
            <w:noWrap/>
            <w:vAlign w:val="center"/>
          </w:tcPr>
          <w:p w:rsidR="001E695A" w:rsidRDefault="00D92BC5">
            <w:pPr>
              <w:widowControl/>
              <w:jc w:val="center"/>
              <w:textAlignment w:val="center"/>
              <w:rPr>
                <w:rFonts w:ascii="仿宋_GB2312" w:eastAsia="仿宋_GB2312" w:hAnsi="仿宋_GB2312" w:cs="仿宋_GB2312"/>
                <w:b/>
                <w:bCs/>
                <w:color w:val="000000"/>
                <w:kern w:val="0"/>
                <w:szCs w:val="21"/>
              </w:rPr>
            </w:pPr>
            <w:r>
              <w:rPr>
                <w:rFonts w:ascii="仿宋_GB2312" w:eastAsia="仿宋_GB2312" w:hAnsi="仿宋_GB2312" w:cs="仿宋_GB2312" w:hint="eastAsia"/>
                <w:b/>
                <w:bCs/>
                <w:color w:val="000000"/>
                <w:kern w:val="0"/>
                <w:szCs w:val="21"/>
              </w:rPr>
              <w:t>名称</w:t>
            </w:r>
          </w:p>
        </w:tc>
        <w:tc>
          <w:tcPr>
            <w:tcW w:w="1925"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b/>
                <w:bCs/>
                <w:color w:val="000000"/>
                <w:kern w:val="0"/>
                <w:szCs w:val="21"/>
              </w:rPr>
              <w:t>内容</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b/>
                <w:bCs/>
                <w:color w:val="000000"/>
                <w:kern w:val="0"/>
                <w:szCs w:val="21"/>
              </w:rPr>
              <w:t>数量</w:t>
            </w:r>
          </w:p>
        </w:tc>
      </w:tr>
      <w:tr w:rsidR="001E695A">
        <w:trPr>
          <w:trHeight w:val="624"/>
          <w:jc w:val="center"/>
        </w:trPr>
        <w:tc>
          <w:tcPr>
            <w:tcW w:w="552"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二</w:t>
            </w:r>
          </w:p>
        </w:tc>
        <w:tc>
          <w:tcPr>
            <w:tcW w:w="1778"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kern w:val="0"/>
                <w:szCs w:val="21"/>
              </w:rPr>
              <w:t>外场设备运维</w:t>
            </w:r>
          </w:p>
        </w:tc>
        <w:tc>
          <w:tcPr>
            <w:tcW w:w="1925" w:type="pct"/>
            <w:tcBorders>
              <w:top w:val="single" w:sz="4" w:space="0" w:color="000000"/>
              <w:left w:val="single" w:sz="4" w:space="0" w:color="000000"/>
              <w:bottom w:val="single" w:sz="4" w:space="0" w:color="000000"/>
              <w:right w:val="single" w:sz="4" w:space="0" w:color="000000"/>
            </w:tcBorders>
            <w:noWrap/>
          </w:tcPr>
          <w:p w:rsidR="001E695A" w:rsidRDefault="001E695A">
            <w:pPr>
              <w:jc w:val="center"/>
              <w:rPr>
                <w:rFonts w:ascii="仿宋_GB2312" w:eastAsia="仿宋_GB2312" w:hAnsi="仿宋_GB2312" w:cs="仿宋_GB2312"/>
                <w:color w:val="000000"/>
                <w:szCs w:val="21"/>
              </w:rPr>
            </w:pPr>
          </w:p>
        </w:tc>
        <w:tc>
          <w:tcPr>
            <w:tcW w:w="744" w:type="pct"/>
            <w:tcBorders>
              <w:top w:val="single" w:sz="4" w:space="0" w:color="000000"/>
              <w:left w:val="single" w:sz="4" w:space="0" w:color="000000"/>
              <w:bottom w:val="single" w:sz="4" w:space="0" w:color="000000"/>
              <w:right w:val="single" w:sz="4" w:space="0" w:color="000000"/>
            </w:tcBorders>
            <w:noWrap/>
          </w:tcPr>
          <w:p w:rsidR="001E695A" w:rsidRDefault="001E695A">
            <w:pPr>
              <w:jc w:val="center"/>
              <w:rPr>
                <w:rFonts w:ascii="仿宋_GB2312" w:eastAsia="仿宋_GB2312" w:hAnsi="仿宋_GB2312" w:cs="仿宋_GB2312"/>
                <w:color w:val="000000"/>
                <w:szCs w:val="21"/>
              </w:rPr>
            </w:pPr>
          </w:p>
        </w:tc>
      </w:tr>
      <w:tr w:rsidR="001E695A">
        <w:trPr>
          <w:trHeight w:val="624"/>
          <w:jc w:val="center"/>
        </w:trPr>
        <w:tc>
          <w:tcPr>
            <w:tcW w:w="552"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1</w:t>
            </w:r>
          </w:p>
        </w:tc>
        <w:tc>
          <w:tcPr>
            <w:tcW w:w="1778"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景观照明控制终端巡检</w:t>
            </w:r>
          </w:p>
        </w:tc>
        <w:tc>
          <w:tcPr>
            <w:tcW w:w="1925"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共795个站点，每年巡检2次</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kern w:val="0"/>
                <w:szCs w:val="21"/>
              </w:rPr>
              <w:t>1596次</w:t>
            </w:r>
          </w:p>
        </w:tc>
      </w:tr>
      <w:tr w:rsidR="001E695A">
        <w:trPr>
          <w:trHeight w:val="624"/>
          <w:jc w:val="center"/>
        </w:trPr>
        <w:tc>
          <w:tcPr>
            <w:tcW w:w="552"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2</w:t>
            </w:r>
          </w:p>
        </w:tc>
        <w:tc>
          <w:tcPr>
            <w:tcW w:w="1778"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景观照明视频监控终端巡检</w:t>
            </w:r>
          </w:p>
        </w:tc>
        <w:tc>
          <w:tcPr>
            <w:tcW w:w="1925"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共3个站点，每年巡检2次</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kern w:val="0"/>
                <w:szCs w:val="21"/>
              </w:rPr>
            </w:pPr>
            <w:r>
              <w:rPr>
                <w:rFonts w:ascii="仿宋_GB2312" w:eastAsia="仿宋_GB2312" w:hAnsi="仿宋_GB2312" w:cs="仿宋_GB2312" w:hint="eastAsia"/>
                <w:color w:val="000000"/>
                <w:szCs w:val="21"/>
              </w:rPr>
              <w:t>≥</w:t>
            </w:r>
            <w:r>
              <w:rPr>
                <w:rFonts w:ascii="仿宋_GB2312" w:eastAsia="仿宋_GB2312" w:hAnsi="仿宋_GB2312" w:cs="仿宋_GB2312" w:hint="eastAsia"/>
                <w:color w:val="000000"/>
                <w:kern w:val="0"/>
                <w:szCs w:val="21"/>
              </w:rPr>
              <w:t>6次</w:t>
            </w:r>
          </w:p>
        </w:tc>
      </w:tr>
      <w:tr w:rsidR="001E695A">
        <w:trPr>
          <w:trHeight w:val="624"/>
          <w:jc w:val="center"/>
        </w:trPr>
        <w:tc>
          <w:tcPr>
            <w:tcW w:w="552"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3</w:t>
            </w:r>
          </w:p>
        </w:tc>
        <w:tc>
          <w:tcPr>
            <w:tcW w:w="1778"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rPr>
              <w:t>景观照明控制终端现场抢修</w:t>
            </w:r>
          </w:p>
        </w:tc>
        <w:tc>
          <w:tcPr>
            <w:tcW w:w="1925"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按照站点数8%故障率计算</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64次</w:t>
            </w:r>
          </w:p>
        </w:tc>
      </w:tr>
      <w:tr w:rsidR="001E695A">
        <w:trPr>
          <w:trHeight w:val="624"/>
          <w:jc w:val="center"/>
        </w:trPr>
        <w:tc>
          <w:tcPr>
            <w:tcW w:w="552"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w:t>
            </w:r>
          </w:p>
        </w:tc>
        <w:tc>
          <w:tcPr>
            <w:tcW w:w="1778"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景观照明视频监控终端现场抢修</w:t>
            </w:r>
          </w:p>
        </w:tc>
        <w:tc>
          <w:tcPr>
            <w:tcW w:w="1925"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按照站点数8%计算</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1次</w:t>
            </w:r>
          </w:p>
        </w:tc>
      </w:tr>
      <w:tr w:rsidR="001E695A">
        <w:trPr>
          <w:trHeight w:val="624"/>
          <w:jc w:val="center"/>
        </w:trPr>
        <w:tc>
          <w:tcPr>
            <w:tcW w:w="552"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w:t>
            </w:r>
          </w:p>
        </w:tc>
        <w:tc>
          <w:tcPr>
            <w:tcW w:w="1778" w:type="pct"/>
            <w:tcBorders>
              <w:top w:val="single" w:sz="4" w:space="0" w:color="000000"/>
              <w:left w:val="single" w:sz="4" w:space="0" w:color="000000"/>
              <w:bottom w:val="single" w:sz="4" w:space="0" w:color="000000"/>
              <w:right w:val="nil"/>
            </w:tcBorders>
            <w:noWrap/>
            <w:vAlign w:val="center"/>
          </w:tcPr>
          <w:p w:rsidR="001E695A" w:rsidRDefault="00D92BC5">
            <w:pPr>
              <w:widowControl/>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控制终端拆移机</w:t>
            </w:r>
          </w:p>
        </w:tc>
        <w:tc>
          <w:tcPr>
            <w:tcW w:w="1925"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按照站点数1%计算</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E695A" w:rsidRDefault="00D92BC5">
            <w:pPr>
              <w:widowControl/>
              <w:jc w:val="center"/>
              <w:textAlignment w:val="top"/>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8次</w:t>
            </w:r>
          </w:p>
        </w:tc>
      </w:tr>
    </w:tbl>
    <w:p w:rsidR="001E695A" w:rsidRDefault="001E695A">
      <w:pPr>
        <w:rPr>
          <w:rFonts w:asciiTheme="minorEastAsia" w:hAnsiTheme="minorEastAsia"/>
          <w:sz w:val="24"/>
        </w:rPr>
      </w:pPr>
    </w:p>
    <w:p w:rsidR="001E695A" w:rsidRDefault="00D92BC5">
      <w:pPr>
        <w:spacing w:line="360" w:lineRule="auto"/>
        <w:ind w:firstLineChars="200" w:firstLine="482"/>
        <w:jc w:val="left"/>
        <w:rPr>
          <w:rFonts w:asciiTheme="minorEastAsia" w:hAnsiTheme="minorEastAsia" w:cs="宋体"/>
          <w:b/>
          <w:bCs/>
          <w:sz w:val="24"/>
        </w:rPr>
      </w:pPr>
      <w:r>
        <w:rPr>
          <w:rFonts w:asciiTheme="minorEastAsia" w:hAnsiTheme="minorEastAsia" w:cs="宋体" w:hint="eastAsia"/>
          <w:b/>
          <w:bCs/>
          <w:sz w:val="24"/>
        </w:rPr>
        <w:t>资料要求：</w:t>
      </w:r>
    </w:p>
    <w:p w:rsidR="001E695A" w:rsidRDefault="00D92BC5">
      <w:pPr>
        <w:ind w:firstLineChars="200" w:firstLine="480"/>
        <w:rPr>
          <w:rFonts w:asciiTheme="minorEastAsia" w:hAnsiTheme="minorEastAsia"/>
          <w:sz w:val="24"/>
        </w:rPr>
      </w:pPr>
      <w:r>
        <w:rPr>
          <w:rFonts w:asciiTheme="minorEastAsia" w:hAnsiTheme="minorEastAsia" w:hint="eastAsia"/>
          <w:sz w:val="24"/>
        </w:rPr>
        <w:t>项目资料应由文本及电子文档形式组成，具体内容参考如下：</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1.文本内容应包括《黄浦江两岸景观照明智能化监控系统运维值班情况记录表》（按月）、《黄浦江两岸景观照明智能化监控系统运维RTU巡检及抢修记录表》、《黄浦江两岸景观照明智能化监控系统运维监控中心巡检及抢修记录表》、《黄浦江两岸景观照明智能化监控系统运维技术总结报告》（按季度）、《黄浦江两岸景观照明智能化监控系统运维总结报告》等，并应按照A4规格编排、装订成册；</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（1）《黄浦江两岸景观照明智能化监控系统运维值班情况记录表》应记录</w:t>
      </w:r>
      <w:r>
        <w:rPr>
          <w:rFonts w:asciiTheme="minorEastAsia" w:hAnsiTheme="minorEastAsia" w:cs="宋体" w:hint="eastAsia"/>
          <w:sz w:val="24"/>
        </w:rPr>
        <w:lastRenderedPageBreak/>
        <w:t>保障时间、保障级别、保障人员、保障前设施情况、亮灯及表演期间设施运行情况、故障问题记录及处置方法等；</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（2）《黄浦江两岸景观照明智能化监控系统运维RTU巡检及抢修记录表》应记录检巡检时间、巡检地点、巡检时间和人员、巡检内容和现场问题处理结果，同时巡检及抢修记录应配以照片；</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3）《黄浦江两岸景观照明智能化监控系统运维监控中心巡检及抢修记录表》应记录巡检时间、巡检地点、巡检时间和人员、被巡检设施，巡检内容和现场问题处理结果等，同时巡检及抢修、维修记录应配以照片；</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4）《黄浦江两岸景观照明智能化监控系统运维技术总结报告》应对一季度内设施巡检、开灯保障期间的运行情况、发生的问题和故障进行分类和汇总，对故障原因，维修过程等进行技术性总结，提出相应的解决办法或技术建议，并落实整改；</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（5）《黄浦江两岸景观照明智能化监控系统运维总结报告》应系统并全面阐述当年全部运维维护情况（各工作完成情况、发现问题情况、处置情况等）。</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2.电子文档应包括文本内容相应电子档、项目范围内黄浦江两岸景观照明智能化监控系统运维巡检、检测和故障维修等表格清单及相应图文材料；图片采用PDF、JPG、PNG等格式，且每张照片分辨率不得低于720dpi。</w:t>
      </w:r>
    </w:p>
    <w:p w:rsidR="001E695A" w:rsidRDefault="001E695A">
      <w:pPr>
        <w:spacing w:line="360" w:lineRule="auto"/>
        <w:ind w:firstLineChars="200" w:firstLine="480"/>
        <w:rPr>
          <w:rFonts w:asciiTheme="minorEastAsia" w:hAnsiTheme="minorEastAsia" w:cs="宋体"/>
          <w:sz w:val="24"/>
        </w:rPr>
      </w:pPr>
    </w:p>
    <w:p w:rsidR="001E695A" w:rsidRDefault="00D92BC5">
      <w:pPr>
        <w:spacing w:line="360" w:lineRule="auto"/>
        <w:ind w:firstLineChars="200" w:firstLine="482"/>
        <w:jc w:val="left"/>
        <w:rPr>
          <w:rFonts w:asciiTheme="minorEastAsia" w:hAnsiTheme="minorEastAsia" w:cs="宋体"/>
          <w:b/>
          <w:bCs/>
          <w:sz w:val="24"/>
        </w:rPr>
      </w:pPr>
      <w:r>
        <w:rPr>
          <w:rFonts w:asciiTheme="minorEastAsia" w:hAnsiTheme="minorEastAsia" w:cs="宋体" w:hint="eastAsia"/>
          <w:b/>
          <w:bCs/>
          <w:sz w:val="24"/>
        </w:rPr>
        <w:t>安全文明施工措施与要求：</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1.做好与景观灯光设施养护单位、各监控点及主站管理单位的协调工作。</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2.检修维护时应尽量减少破坏，若无法避免，应事前通知采购人，在得到采购人同意后，事前办理有关手续，事后进行维修或修整。</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3.检修维护结束后做到工完料清，并做好现场保洁和恢复工作。</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4.检修维护时应遵守行业规范以及系统设施所在管理单位的各项规定。</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5.供应商必须取得《安全诚信手册》，主要负责人、项目经理、安全管理人员培训合格并具有相应证书。供应商应对养护人员进行全员培训，有针对性地开展安全交底活动，重点强调其岗位的安全风险及防范措施；特种作业人员必须接受专业培训，持证上岗。</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6.建立职工（含劳务工等各种类型用工）花名册等档案资料，与职工签订劳</w:t>
      </w:r>
      <w:r>
        <w:rPr>
          <w:rFonts w:asciiTheme="minorEastAsia" w:hAnsiTheme="minorEastAsia" w:cs="宋体" w:hint="eastAsia"/>
          <w:sz w:val="24"/>
        </w:rPr>
        <w:lastRenderedPageBreak/>
        <w:t>动合同，为其办理国家规定的相关保险，并按规定标准安排专业健康体检和配备劳动防护用品。</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7.建立健全安全生产工作责任体系和组织管理网络，设置安全生产监管部门，配备专职安全监管人员，对施工作业安全进行现场监督；按照“横向到边，纵向到底”责任制要求将安全责任分解，定期召开安全生产工作会议，每月不少于一次；组织开展安全生产检查，每旬不少于一次。</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8.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9.进入养护作业现场的作业机械和车辆，应按规定配置警示标志、灯具。</w:t>
      </w:r>
    </w:p>
    <w:p w:rsidR="001E695A" w:rsidRDefault="00D92BC5">
      <w:pPr>
        <w:spacing w:line="360" w:lineRule="auto"/>
        <w:ind w:firstLineChars="200" w:firstLine="480"/>
        <w:rPr>
          <w:rFonts w:asciiTheme="minorEastAsia" w:hAnsiTheme="minorEastAsia" w:cs="宋体"/>
          <w:sz w:val="24"/>
        </w:rPr>
      </w:pPr>
      <w:r>
        <w:rPr>
          <w:rFonts w:asciiTheme="minorEastAsia" w:hAnsiTheme="minorEastAsia" w:cs="宋体" w:hint="eastAsia"/>
          <w:sz w:val="24"/>
        </w:rPr>
        <w:t>10.如养护施工过程中发生重特大安全事故，供应商应快速、及时赶到现场，实施紧急处置，并协同有关单位和部门做好善后处理和稳定工作；紧急处置的结果须及时上报业主。</w:t>
      </w:r>
    </w:p>
    <w:p w:rsidR="001E695A" w:rsidRDefault="001E695A">
      <w:pPr>
        <w:spacing w:line="360" w:lineRule="auto"/>
        <w:ind w:firstLineChars="200" w:firstLine="480"/>
        <w:rPr>
          <w:rFonts w:asciiTheme="minorEastAsia" w:hAnsiTheme="minorEastAsia" w:cs="宋体"/>
          <w:sz w:val="24"/>
        </w:rPr>
      </w:pPr>
    </w:p>
    <w:p w:rsidR="001E695A" w:rsidRDefault="00D92BC5">
      <w:pPr>
        <w:spacing w:line="360" w:lineRule="auto"/>
        <w:ind w:firstLineChars="200" w:firstLine="482"/>
        <w:jc w:val="left"/>
        <w:rPr>
          <w:rFonts w:asciiTheme="minorEastAsia" w:hAnsiTheme="minorEastAsia" w:cs="宋体"/>
          <w:b/>
          <w:bCs/>
          <w:sz w:val="24"/>
        </w:rPr>
      </w:pPr>
      <w:bookmarkStart w:id="2" w:name="_Toc69820323"/>
      <w:r>
        <w:rPr>
          <w:rFonts w:asciiTheme="minorEastAsia" w:hAnsiTheme="minorEastAsia" w:cs="宋体" w:hint="eastAsia"/>
          <w:b/>
          <w:bCs/>
          <w:sz w:val="24"/>
        </w:rPr>
        <w:t>应急处置要求：</w:t>
      </w:r>
      <w:bookmarkEnd w:id="2"/>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1</w:t>
      </w:r>
      <w:r>
        <w:rPr>
          <w:rFonts w:asciiTheme="minorEastAsia" w:hAnsiTheme="minorEastAsia" w:cs="宋体" w:hint="eastAsia"/>
          <w:sz w:val="24"/>
        </w:rPr>
        <w:t>.成交供应商根据项目情况，按要求编制应急预案，包括人员、物资、设备的准备以及组织安排、通信交通保障等情况。</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2</w:t>
      </w:r>
      <w:r>
        <w:rPr>
          <w:rFonts w:asciiTheme="minorEastAsia" w:hAnsiTheme="minorEastAsia" w:cs="宋体" w:hint="eastAsia"/>
          <w:sz w:val="24"/>
        </w:rPr>
        <w:t>.重大活动保障时（一级保障），由采购人通知，成交供应商应按要求做好技术人员到岗保障、物资设备配备。</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3</w:t>
      </w:r>
      <w:r>
        <w:rPr>
          <w:rFonts w:asciiTheme="minorEastAsia" w:hAnsiTheme="minorEastAsia" w:cs="宋体" w:hint="eastAsia"/>
          <w:sz w:val="24"/>
        </w:rPr>
        <w:t>.如系统出现突发情况，成交供应商应立即开展系统检查，确认系统运行状况，评估情况影响，提出应急处置措施建议，并及时向采购人报告说明情况。经采购人同意后，采取应急处置措施。</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4</w:t>
      </w:r>
      <w:r>
        <w:rPr>
          <w:rFonts w:asciiTheme="minorEastAsia" w:hAnsiTheme="minorEastAsia" w:cs="宋体" w:hint="eastAsia"/>
          <w:sz w:val="24"/>
        </w:rPr>
        <w:t>.突发情况的应急响应及处置措施时限需按各系统要求执行。</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hint="eastAsia"/>
          <w:sz w:val="24"/>
        </w:rPr>
        <w:t>5.设施养护期间，须采用切实可行的交通组织措施方案保障交通正常通行。设置围挡，严格控制临时占路范围和时间；按照有关规范设置临时交通导行标志，设置路障、隔离设施。</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hint="eastAsia"/>
          <w:sz w:val="24"/>
        </w:rPr>
        <w:t>6.成交供应商须及时清理产生的垃圾，不影响交通通行。收集的垃圾由供应商做好垃圾分类后集中到各个区域的垃圾中转站，再由相应的环卫车运至区级中转站。</w:t>
      </w:r>
    </w:p>
    <w:p w:rsidR="001E695A" w:rsidRDefault="001E695A">
      <w:pPr>
        <w:spacing w:line="360" w:lineRule="auto"/>
        <w:ind w:left="400"/>
        <w:jc w:val="left"/>
        <w:rPr>
          <w:rFonts w:asciiTheme="minorEastAsia" w:hAnsiTheme="minorEastAsia" w:cs="宋体"/>
          <w:sz w:val="24"/>
        </w:rPr>
      </w:pPr>
    </w:p>
    <w:p w:rsidR="001E695A" w:rsidRDefault="00D92BC5">
      <w:pPr>
        <w:spacing w:line="360" w:lineRule="auto"/>
        <w:ind w:firstLineChars="200" w:firstLine="482"/>
        <w:jc w:val="left"/>
        <w:rPr>
          <w:rFonts w:asciiTheme="minorEastAsia" w:hAnsiTheme="minorEastAsia" w:cs="宋体"/>
          <w:b/>
          <w:bCs/>
          <w:sz w:val="24"/>
        </w:rPr>
      </w:pPr>
      <w:bookmarkStart w:id="3" w:name="_Toc69820324"/>
      <w:r>
        <w:rPr>
          <w:rFonts w:asciiTheme="minorEastAsia" w:hAnsiTheme="minorEastAsia" w:cs="宋体" w:hint="eastAsia"/>
          <w:b/>
          <w:bCs/>
          <w:sz w:val="24"/>
        </w:rPr>
        <w:t>防台防汛要求：</w:t>
      </w:r>
      <w:bookmarkEnd w:id="3"/>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1</w:t>
      </w:r>
      <w:r>
        <w:rPr>
          <w:rFonts w:asciiTheme="minorEastAsia" w:hAnsiTheme="minorEastAsia" w:cs="宋体" w:hint="eastAsia"/>
          <w:sz w:val="24"/>
        </w:rPr>
        <w:t>.编制防台防汛应急处置方案，成立防台防汛小组，建立防台防汛通讯网络，落实抢险队伍，添置必须的相关器材，以加强防台防汛能力。</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2</w:t>
      </w:r>
      <w:r>
        <w:rPr>
          <w:rFonts w:asciiTheme="minorEastAsia" w:hAnsiTheme="minorEastAsia" w:cs="宋体" w:hint="eastAsia"/>
          <w:sz w:val="24"/>
        </w:rPr>
        <w:t>.加固各类高空设施（如摄像头、天线等）防止发生高空坠落安全事故。</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3</w:t>
      </w:r>
      <w:r>
        <w:rPr>
          <w:rFonts w:asciiTheme="minorEastAsia" w:hAnsiTheme="minorEastAsia" w:cs="宋体" w:hint="eastAsia"/>
          <w:sz w:val="24"/>
        </w:rPr>
        <w:t>.做好值班工作，值班人员根据要求，按时到岗值班，不得迟到、早退。</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4</w:t>
      </w:r>
      <w:r>
        <w:rPr>
          <w:rFonts w:asciiTheme="minorEastAsia" w:hAnsiTheme="minorEastAsia" w:cs="宋体" w:hint="eastAsia"/>
          <w:sz w:val="24"/>
        </w:rPr>
        <w:t>.值班期间对讲机、联系电话等通讯设备保持畅通。</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5</w:t>
      </w:r>
      <w:r>
        <w:rPr>
          <w:rFonts w:asciiTheme="minorEastAsia" w:hAnsiTheme="minorEastAsia" w:cs="宋体" w:hint="eastAsia"/>
          <w:sz w:val="24"/>
        </w:rPr>
        <w:t>.台风、暴雨、大雪、雷电等预报为黄色及以上警报时，应急队伍按照要求做好应急待命和应急抢修准备工作。</w:t>
      </w:r>
    </w:p>
    <w:p w:rsidR="001E695A" w:rsidRDefault="00D92BC5">
      <w:pPr>
        <w:spacing w:line="360" w:lineRule="auto"/>
        <w:ind w:firstLine="400"/>
        <w:jc w:val="left"/>
        <w:rPr>
          <w:rFonts w:asciiTheme="minorEastAsia" w:hAnsiTheme="minorEastAsia" w:cs="宋体"/>
          <w:sz w:val="24"/>
        </w:rPr>
      </w:pPr>
      <w:r>
        <w:rPr>
          <w:rFonts w:asciiTheme="minorEastAsia" w:hAnsiTheme="minorEastAsia" w:cs="宋体"/>
          <w:sz w:val="24"/>
        </w:rPr>
        <w:t>6</w:t>
      </w:r>
      <w:r>
        <w:rPr>
          <w:rFonts w:asciiTheme="minorEastAsia" w:hAnsiTheme="minorEastAsia" w:cs="宋体" w:hint="eastAsia"/>
          <w:sz w:val="24"/>
        </w:rPr>
        <w:t>.遇紧急情况应立即通知采购人并按要求进行抢修，抢修完毕后做好现场清理及记录工作。</w:t>
      </w:r>
    </w:p>
    <w:p w:rsidR="001E695A" w:rsidRDefault="001E695A">
      <w:pPr>
        <w:spacing w:line="360" w:lineRule="auto"/>
        <w:ind w:firstLineChars="200" w:firstLine="480"/>
        <w:rPr>
          <w:rFonts w:asciiTheme="minorEastAsia" w:hAnsiTheme="minorEastAsia" w:cs="宋体"/>
          <w:sz w:val="24"/>
        </w:rPr>
      </w:pPr>
    </w:p>
    <w:sectPr w:rsidR="001E695A" w:rsidSect="001E69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523" w:rsidRDefault="00B25523" w:rsidP="00081774">
      <w:r>
        <w:separator/>
      </w:r>
    </w:p>
  </w:endnote>
  <w:endnote w:type="continuationSeparator" w:id="1">
    <w:p w:rsidR="00B25523" w:rsidRDefault="00B25523" w:rsidP="00081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523" w:rsidRDefault="00B25523" w:rsidP="00081774">
      <w:r>
        <w:separator/>
      </w:r>
    </w:p>
  </w:footnote>
  <w:footnote w:type="continuationSeparator" w:id="1">
    <w:p w:rsidR="00B25523" w:rsidRDefault="00B25523" w:rsidP="00081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VhYWZlM2NhYWFiMGIxNjhhNWQ3NjRkZjY4NjhiNTMifQ=="/>
  </w:docVars>
  <w:rsids>
    <w:rsidRoot w:val="59DC70D3"/>
    <w:rsid w:val="00081774"/>
    <w:rsid w:val="00193091"/>
    <w:rsid w:val="001E695A"/>
    <w:rsid w:val="002046C8"/>
    <w:rsid w:val="0091783F"/>
    <w:rsid w:val="00B25523"/>
    <w:rsid w:val="00D92BC5"/>
    <w:rsid w:val="00E15881"/>
    <w:rsid w:val="00FB6377"/>
    <w:rsid w:val="040F20B8"/>
    <w:rsid w:val="04EB6681"/>
    <w:rsid w:val="09905A49"/>
    <w:rsid w:val="10AB2612"/>
    <w:rsid w:val="12F7602D"/>
    <w:rsid w:val="14522278"/>
    <w:rsid w:val="15F21E7B"/>
    <w:rsid w:val="18624A54"/>
    <w:rsid w:val="1AFC2F3E"/>
    <w:rsid w:val="1F136AA8"/>
    <w:rsid w:val="1F3D3B25"/>
    <w:rsid w:val="24F70A5E"/>
    <w:rsid w:val="258E6E89"/>
    <w:rsid w:val="28575241"/>
    <w:rsid w:val="29B50E88"/>
    <w:rsid w:val="2A7E571E"/>
    <w:rsid w:val="3A045513"/>
    <w:rsid w:val="3CA779CD"/>
    <w:rsid w:val="3E9450B8"/>
    <w:rsid w:val="4C487F3B"/>
    <w:rsid w:val="4D27359B"/>
    <w:rsid w:val="50F6575E"/>
    <w:rsid w:val="53AE2320"/>
    <w:rsid w:val="57103766"/>
    <w:rsid w:val="59DC70D3"/>
    <w:rsid w:val="5CFF69EC"/>
    <w:rsid w:val="60805044"/>
    <w:rsid w:val="6C270A6A"/>
    <w:rsid w:val="6C3118E9"/>
    <w:rsid w:val="6C922387"/>
    <w:rsid w:val="6E510020"/>
    <w:rsid w:val="717608FC"/>
    <w:rsid w:val="726E11A1"/>
    <w:rsid w:val="744F6DB0"/>
    <w:rsid w:val="7EDB7B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1E695A"/>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iPriority w:val="99"/>
    <w:qFormat/>
    <w:rsid w:val="001E695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autoRedefine/>
    <w:qFormat/>
    <w:rsid w:val="001E695A"/>
    <w:rPr>
      <w:rFonts w:ascii="等线" w:eastAsia="等线" w:hAnsi="等线" w:cs="等线" w:hint="default"/>
      <w:color w:val="000000"/>
      <w:sz w:val="22"/>
      <w:szCs w:val="22"/>
      <w:u w:val="none"/>
    </w:rPr>
  </w:style>
  <w:style w:type="paragraph" w:styleId="a3">
    <w:name w:val="header"/>
    <w:basedOn w:val="a"/>
    <w:link w:val="Char"/>
    <w:rsid w:val="00081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1774"/>
    <w:rPr>
      <w:rFonts w:asciiTheme="minorHAnsi" w:eastAsiaTheme="minorEastAsia" w:hAnsiTheme="minorHAnsi" w:cstheme="minorBidi"/>
      <w:kern w:val="2"/>
      <w:sz w:val="18"/>
      <w:szCs w:val="18"/>
    </w:rPr>
  </w:style>
  <w:style w:type="paragraph" w:styleId="a4">
    <w:name w:val="footer"/>
    <w:basedOn w:val="a"/>
    <w:link w:val="Char0"/>
    <w:rsid w:val="00081774"/>
    <w:pPr>
      <w:tabs>
        <w:tab w:val="center" w:pos="4153"/>
        <w:tab w:val="right" w:pos="8306"/>
      </w:tabs>
      <w:snapToGrid w:val="0"/>
      <w:jc w:val="left"/>
    </w:pPr>
    <w:rPr>
      <w:sz w:val="18"/>
      <w:szCs w:val="18"/>
    </w:rPr>
  </w:style>
  <w:style w:type="character" w:customStyle="1" w:styleId="Char0">
    <w:name w:val="页脚 Char"/>
    <w:basedOn w:val="a0"/>
    <w:link w:val="a4"/>
    <w:rsid w:val="0008177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3398</Words>
  <Characters>19373</Characters>
  <Application>Microsoft Office Word</Application>
  <DocSecurity>0</DocSecurity>
  <Lines>161</Lines>
  <Paragraphs>45</Paragraphs>
  <ScaleCrop>false</ScaleCrop>
  <Company>Organization</Company>
  <LinksUpToDate>false</LinksUpToDate>
  <CharactersWithSpaces>22726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姚英昊</dc:creator>
  <cp:lastModifiedBy>Windows 用户</cp:lastModifiedBy>
  <cp:revision>4</cp:revision>
  <dcterms:created xsi:type="dcterms:W3CDTF">2024-02-04T01:49:00Z</dcterms:created>
  <dcterms:modified xsi:type="dcterms:W3CDTF">2024-02-29T07:07:00Z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E2459A00BAA04D6A83927595BEA43644_13</vt:lpwstr>
  </property>
</Properties>
</file>