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numPr>
          <w:ilvl w:val="0"/>
          <w:numId w:val="2"/>
        </w:numPr>
        <w:spacing w:line="460" w:lineRule="exact"/>
        <w:jc w:val="center"/>
        <w:outlineLvl w:val="0"/>
        <w:rPr>
          <w:rStyle w:val="10"/>
          <w:rFonts w:hint="default"/>
          <w:bCs/>
          <w:sz w:val="24"/>
          <w:szCs w:val="24"/>
          <w:highlight w:val="none"/>
        </w:rPr>
      </w:pPr>
      <w:bookmarkStart w:id="0" w:name="_Toc99711493"/>
      <w:r>
        <w:rPr>
          <w:rStyle w:val="10"/>
          <w:rFonts w:hint="default"/>
          <w:bCs/>
          <w:sz w:val="24"/>
          <w:szCs w:val="24"/>
          <w:highlight w:val="none"/>
        </w:rPr>
        <w:t xml:space="preserve"> 项目需求</w:t>
      </w:r>
      <w:bookmarkEnd w:id="0"/>
    </w:p>
    <w:p>
      <w:pPr>
        <w:pStyle w:val="5"/>
        <w:spacing w:before="0" w:after="0"/>
        <w:rPr>
          <w:rFonts w:hint="default"/>
          <w:sz w:val="24"/>
          <w:szCs w:val="24"/>
          <w:highlight w:val="none"/>
        </w:rPr>
      </w:pPr>
      <w:r>
        <w:rPr>
          <w:sz w:val="24"/>
          <w:szCs w:val="24"/>
          <w:highlight w:val="none"/>
        </w:rPr>
        <w:t>一、项目现状</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上海市公安局奉贤分局（以下简称分局或采购人）下属各单位已配备若干4G执法记录仪，通过4G专网及其他网络安全设备，确保在网络安全的情况下，实现视音频实时图传、历史视频回放等功能，有效解决了执法干警执勤执法时无法实时监控管理、远程指挥调度难等问题，满足远程指挥实战应用。</w:t>
      </w:r>
    </w:p>
    <w:p>
      <w:pPr>
        <w:pStyle w:val="5"/>
        <w:spacing w:before="0" w:after="0"/>
        <w:rPr>
          <w:rFonts w:hint="default"/>
          <w:sz w:val="24"/>
          <w:szCs w:val="24"/>
          <w:highlight w:val="none"/>
        </w:rPr>
      </w:pPr>
      <w:r>
        <w:rPr>
          <w:sz w:val="24"/>
          <w:szCs w:val="24"/>
          <w:highlight w:val="none"/>
        </w:rPr>
        <w:t>二、建设内容</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本项目通过向运营商购买服务的方式开展项目建设，即采购人支付租金，中标供应商按采购人要求向采购人提供4G执法记录仪、执法记录仪采集工作站、移动智能视频接入网关等软硬件服务，同时解决民警在使用4G执法记录仪过程中产生的移动网络数据流量费，具体内容如下：</w:t>
      </w:r>
    </w:p>
    <w:tbl>
      <w:tblPr>
        <w:tblStyle w:val="7"/>
        <w:tblW w:w="84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3670"/>
        <w:gridCol w:w="750"/>
        <w:gridCol w:w="780"/>
        <w:gridCol w:w="2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766" w:type="dxa"/>
            <w:shd w:val="clear" w:color="000000" w:fill="auto"/>
            <w:vAlign w:val="center"/>
          </w:tcPr>
          <w:p>
            <w:pPr>
              <w:widowControl/>
              <w:jc w:val="center"/>
              <w:rPr>
                <w:rFonts w:ascii="黑体" w:hAnsi="黑体" w:eastAsia="黑体" w:cs="黑体"/>
                <w:kern w:val="0"/>
                <w:sz w:val="24"/>
                <w:szCs w:val="24"/>
                <w:highlight w:val="none"/>
              </w:rPr>
            </w:pPr>
            <w:bookmarkStart w:id="1" w:name="_Hlk143596160"/>
            <w:r>
              <w:rPr>
                <w:rFonts w:hint="eastAsia" w:ascii="黑体" w:hAnsi="黑体" w:eastAsia="黑体" w:cs="黑体"/>
                <w:kern w:val="0"/>
                <w:sz w:val="24"/>
                <w:szCs w:val="24"/>
                <w:highlight w:val="none"/>
              </w:rPr>
              <w:t>序号</w:t>
            </w:r>
          </w:p>
        </w:tc>
        <w:tc>
          <w:tcPr>
            <w:tcW w:w="3670" w:type="dxa"/>
            <w:shd w:val="clear" w:color="000000" w:fill="auto"/>
            <w:vAlign w:val="center"/>
          </w:tcPr>
          <w:p>
            <w:pPr>
              <w:widowControl/>
              <w:jc w:val="center"/>
              <w:rPr>
                <w:rFonts w:ascii="黑体" w:hAnsi="黑体" w:eastAsia="黑体" w:cs="黑体"/>
                <w:kern w:val="0"/>
                <w:sz w:val="24"/>
                <w:szCs w:val="24"/>
                <w:highlight w:val="none"/>
              </w:rPr>
            </w:pPr>
            <w:r>
              <w:rPr>
                <w:rFonts w:hint="eastAsia" w:ascii="黑体" w:hAnsi="黑体" w:eastAsia="黑体" w:cs="黑体"/>
                <w:kern w:val="0"/>
                <w:sz w:val="24"/>
                <w:szCs w:val="24"/>
                <w:highlight w:val="none"/>
              </w:rPr>
              <w:t>品名</w:t>
            </w:r>
          </w:p>
        </w:tc>
        <w:tc>
          <w:tcPr>
            <w:tcW w:w="750" w:type="dxa"/>
            <w:shd w:val="clear" w:color="000000" w:fill="auto"/>
            <w:vAlign w:val="center"/>
          </w:tcPr>
          <w:p>
            <w:pPr>
              <w:widowControl/>
              <w:jc w:val="center"/>
              <w:rPr>
                <w:rFonts w:ascii="黑体" w:hAnsi="黑体" w:eastAsia="黑体" w:cs="黑体"/>
                <w:kern w:val="0"/>
                <w:sz w:val="24"/>
                <w:szCs w:val="24"/>
                <w:highlight w:val="none"/>
              </w:rPr>
            </w:pPr>
            <w:r>
              <w:rPr>
                <w:rFonts w:hint="eastAsia" w:ascii="黑体" w:hAnsi="黑体" w:eastAsia="黑体" w:cs="黑体"/>
                <w:kern w:val="0"/>
                <w:sz w:val="24"/>
                <w:szCs w:val="24"/>
                <w:highlight w:val="none"/>
              </w:rPr>
              <w:t>单位</w:t>
            </w:r>
          </w:p>
        </w:tc>
        <w:tc>
          <w:tcPr>
            <w:tcW w:w="780" w:type="dxa"/>
            <w:shd w:val="clear" w:color="000000" w:fill="auto"/>
            <w:vAlign w:val="center"/>
          </w:tcPr>
          <w:p>
            <w:pPr>
              <w:widowControl/>
              <w:jc w:val="center"/>
              <w:rPr>
                <w:rFonts w:ascii="黑体" w:hAnsi="黑体" w:eastAsia="黑体" w:cs="黑体"/>
                <w:kern w:val="0"/>
                <w:sz w:val="24"/>
                <w:szCs w:val="24"/>
                <w:highlight w:val="none"/>
              </w:rPr>
            </w:pPr>
            <w:r>
              <w:rPr>
                <w:rFonts w:hint="eastAsia" w:ascii="黑体" w:hAnsi="黑体" w:eastAsia="黑体" w:cs="黑体"/>
                <w:kern w:val="0"/>
                <w:sz w:val="24"/>
                <w:szCs w:val="24"/>
                <w:highlight w:val="none"/>
              </w:rPr>
              <w:t>数量</w:t>
            </w:r>
          </w:p>
        </w:tc>
        <w:tc>
          <w:tcPr>
            <w:tcW w:w="2440" w:type="dxa"/>
            <w:shd w:val="clear" w:color="000000" w:fill="auto"/>
            <w:vAlign w:val="center"/>
          </w:tcPr>
          <w:p>
            <w:pPr>
              <w:widowControl/>
              <w:jc w:val="center"/>
              <w:rPr>
                <w:rFonts w:ascii="黑体" w:hAnsi="黑体" w:eastAsia="黑体" w:cs="黑体"/>
                <w:kern w:val="0"/>
                <w:sz w:val="24"/>
                <w:szCs w:val="24"/>
                <w:highlight w:val="none"/>
              </w:rPr>
            </w:pPr>
            <w:r>
              <w:rPr>
                <w:rFonts w:hint="eastAsia" w:ascii="黑体" w:hAnsi="黑体" w:eastAsia="黑体" w:cs="黑体"/>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66"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1</w:t>
            </w:r>
          </w:p>
        </w:tc>
        <w:tc>
          <w:tcPr>
            <w:tcW w:w="367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4G执法记录仪</w:t>
            </w:r>
          </w:p>
        </w:tc>
        <w:tc>
          <w:tcPr>
            <w:tcW w:w="75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套</w:t>
            </w:r>
          </w:p>
        </w:tc>
        <w:tc>
          <w:tcPr>
            <w:tcW w:w="78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730</w:t>
            </w:r>
          </w:p>
        </w:tc>
        <w:tc>
          <w:tcPr>
            <w:tcW w:w="244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sz w:val="24"/>
                <w:szCs w:val="24"/>
                <w:highlight w:val="none"/>
              </w:rPr>
              <w:t>每台4G执法记录仪配三块电池，座充、充电头、数据线各一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2</w:t>
            </w:r>
          </w:p>
        </w:tc>
        <w:tc>
          <w:tcPr>
            <w:tcW w:w="3670" w:type="dxa"/>
            <w:shd w:val="clear" w:color="000000" w:fill="FFFFFF"/>
            <w:vAlign w:val="center"/>
          </w:tcPr>
          <w:p>
            <w:pPr>
              <w:widowControl/>
              <w:jc w:val="center"/>
              <w:textAlignment w:val="top"/>
              <w:rPr>
                <w:rFonts w:ascii="宋体" w:hAnsi="宋体" w:cs="宋体"/>
                <w:kern w:val="0"/>
                <w:sz w:val="24"/>
                <w:szCs w:val="24"/>
                <w:highlight w:val="none"/>
              </w:rPr>
            </w:pPr>
            <w:r>
              <w:rPr>
                <w:rFonts w:hint="eastAsia" w:ascii="宋体" w:hAnsi="宋体" w:cs="宋体"/>
                <w:kern w:val="0"/>
                <w:sz w:val="24"/>
                <w:szCs w:val="24"/>
                <w:highlight w:val="none"/>
              </w:rPr>
              <w:t>采集工作站</w:t>
            </w:r>
          </w:p>
        </w:tc>
        <w:tc>
          <w:tcPr>
            <w:tcW w:w="750"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套</w:t>
            </w:r>
          </w:p>
        </w:tc>
        <w:tc>
          <w:tcPr>
            <w:tcW w:w="780"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35</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3</w:t>
            </w:r>
          </w:p>
        </w:tc>
        <w:tc>
          <w:tcPr>
            <w:tcW w:w="3670" w:type="dxa"/>
            <w:shd w:val="clear" w:color="000000" w:fill="FFFFFF"/>
            <w:vAlign w:val="center"/>
          </w:tcPr>
          <w:p>
            <w:pPr>
              <w:widowControl/>
              <w:jc w:val="center"/>
              <w:textAlignment w:val="top"/>
              <w:rPr>
                <w:rFonts w:ascii="宋体" w:hAnsi="宋体" w:cs="宋体"/>
                <w:kern w:val="0"/>
                <w:sz w:val="24"/>
                <w:szCs w:val="24"/>
                <w:highlight w:val="none"/>
              </w:rPr>
            </w:pPr>
            <w:r>
              <w:rPr>
                <w:rFonts w:hint="eastAsia" w:ascii="宋体" w:hAnsi="宋体" w:cs="宋体"/>
                <w:kern w:val="0"/>
                <w:sz w:val="24"/>
                <w:szCs w:val="24"/>
                <w:highlight w:val="none"/>
              </w:rPr>
              <w:t>移动智能视频接入网关设备</w:t>
            </w:r>
          </w:p>
        </w:tc>
        <w:tc>
          <w:tcPr>
            <w:tcW w:w="750"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套</w:t>
            </w:r>
          </w:p>
        </w:tc>
        <w:tc>
          <w:tcPr>
            <w:tcW w:w="780"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1</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4</w:t>
            </w:r>
          </w:p>
        </w:tc>
        <w:tc>
          <w:tcPr>
            <w:tcW w:w="3670" w:type="dxa"/>
            <w:shd w:val="clear" w:color="000000" w:fill="FFFFFF"/>
            <w:vAlign w:val="center"/>
          </w:tcPr>
          <w:p>
            <w:pPr>
              <w:widowControl/>
              <w:jc w:val="center"/>
              <w:textAlignment w:val="center"/>
              <w:rPr>
                <w:rFonts w:ascii="宋体" w:hAnsi="宋体" w:cs="宋体"/>
                <w:sz w:val="24"/>
                <w:szCs w:val="24"/>
                <w:highlight w:val="none"/>
              </w:rPr>
            </w:pPr>
            <w:r>
              <w:rPr>
                <w:rFonts w:hint="eastAsia" w:ascii="宋体" w:hAnsi="宋体" w:cs="宋体"/>
                <w:kern w:val="0"/>
                <w:sz w:val="24"/>
                <w:szCs w:val="24"/>
                <w:highlight w:val="none"/>
              </w:rPr>
              <w:t>移动视频管理设备</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rPr>
              <w:t>套</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2</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5</w:t>
            </w:r>
          </w:p>
        </w:tc>
        <w:tc>
          <w:tcPr>
            <w:tcW w:w="3670"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执法记录仪视频国标服务设备</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rPr>
              <w:t>套</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2</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6</w:t>
            </w:r>
          </w:p>
        </w:tc>
        <w:tc>
          <w:tcPr>
            <w:tcW w:w="3670"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sz w:val="24"/>
                <w:szCs w:val="24"/>
                <w:highlight w:val="none"/>
              </w:rPr>
              <w:t>智能指挥处置系统许可</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rPr>
              <w:t>套</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12</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7</w:t>
            </w:r>
          </w:p>
        </w:tc>
        <w:tc>
          <w:tcPr>
            <w:tcW w:w="367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防火墙</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台</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1</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8</w:t>
            </w:r>
          </w:p>
        </w:tc>
        <w:tc>
          <w:tcPr>
            <w:tcW w:w="3670" w:type="dxa"/>
            <w:shd w:val="clear" w:color="000000" w:fill="FFFFFF"/>
            <w:vAlign w:val="center"/>
          </w:tcPr>
          <w:p>
            <w:pPr>
              <w:widowControl/>
              <w:jc w:val="center"/>
              <w:textAlignment w:val="top"/>
              <w:rPr>
                <w:rFonts w:ascii="宋体" w:hAnsi="宋体" w:cs="宋体"/>
                <w:kern w:val="0"/>
                <w:sz w:val="24"/>
                <w:szCs w:val="24"/>
                <w:highlight w:val="none"/>
              </w:rPr>
            </w:pPr>
            <w:r>
              <w:rPr>
                <w:rFonts w:hint="eastAsia" w:ascii="宋体" w:hAnsi="宋体" w:cs="宋体"/>
                <w:kern w:val="0"/>
                <w:sz w:val="24"/>
                <w:szCs w:val="24"/>
                <w:highlight w:val="none"/>
              </w:rPr>
              <w:t>路由器</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台</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1</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9</w:t>
            </w:r>
          </w:p>
        </w:tc>
        <w:tc>
          <w:tcPr>
            <w:tcW w:w="3670" w:type="dxa"/>
            <w:shd w:val="clear" w:color="000000" w:fill="FFFFFF"/>
          </w:tcPr>
          <w:p>
            <w:pPr>
              <w:widowControl/>
              <w:jc w:val="center"/>
              <w:textAlignment w:val="top"/>
              <w:rPr>
                <w:rFonts w:ascii="宋体" w:hAnsi="宋体" w:cs="宋体"/>
                <w:kern w:val="0"/>
                <w:sz w:val="24"/>
                <w:szCs w:val="24"/>
                <w:highlight w:val="none"/>
              </w:rPr>
            </w:pPr>
            <w:r>
              <w:rPr>
                <w:rFonts w:hint="eastAsia" w:ascii="宋体" w:hAnsi="宋体" w:cs="宋体"/>
                <w:kern w:val="0"/>
                <w:sz w:val="24"/>
                <w:szCs w:val="24"/>
                <w:highlight w:val="none"/>
              </w:rPr>
              <w:t>交换机</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台</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1</w:t>
            </w:r>
          </w:p>
        </w:tc>
        <w:tc>
          <w:tcPr>
            <w:tcW w:w="2440" w:type="dxa"/>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10</w:t>
            </w:r>
          </w:p>
        </w:tc>
        <w:tc>
          <w:tcPr>
            <w:tcW w:w="367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4G流量卡</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张</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730</w:t>
            </w:r>
          </w:p>
        </w:tc>
        <w:tc>
          <w:tcPr>
            <w:tcW w:w="2440" w:type="dxa"/>
            <w:vMerge w:val="restart"/>
            <w:shd w:val="clear" w:color="000000" w:fill="FFFFFF"/>
            <w:vAlign w:val="center"/>
          </w:tcPr>
          <w:p>
            <w:pPr>
              <w:jc w:val="center"/>
              <w:rPr>
                <w:rFonts w:ascii="宋体" w:hAnsi="宋体" w:cs="宋体"/>
                <w:kern w:val="0"/>
                <w:sz w:val="24"/>
                <w:szCs w:val="24"/>
                <w:highlight w:val="none"/>
              </w:rPr>
            </w:pPr>
            <w:r>
              <w:rPr>
                <w:rFonts w:hint="eastAsia" w:ascii="宋体" w:hAnsi="宋体" w:cs="宋体"/>
                <w:kern w:val="0"/>
                <w:sz w:val="24"/>
                <w:szCs w:val="24"/>
                <w:highlight w:val="none"/>
              </w:rPr>
              <w:t>具体要求见“通信服务要求”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11</w:t>
            </w:r>
          </w:p>
        </w:tc>
        <w:tc>
          <w:tcPr>
            <w:tcW w:w="367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3年4G流量卡流量费</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项</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730</w:t>
            </w:r>
          </w:p>
        </w:tc>
        <w:tc>
          <w:tcPr>
            <w:tcW w:w="2440" w:type="dxa"/>
            <w:vMerge w:val="continue"/>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12</w:t>
            </w:r>
          </w:p>
        </w:tc>
        <w:tc>
          <w:tcPr>
            <w:tcW w:w="367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流量池功能费</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月</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36</w:t>
            </w:r>
          </w:p>
        </w:tc>
        <w:tc>
          <w:tcPr>
            <w:tcW w:w="2440" w:type="dxa"/>
            <w:vMerge w:val="continue"/>
            <w:shd w:val="clear" w:color="000000" w:fill="FFFFFF"/>
            <w:vAlign w:val="center"/>
          </w:tcPr>
          <w:p>
            <w:pPr>
              <w:jc w:val="center"/>
              <w:rPr>
                <w:rFonts w:ascii="宋体" w:hAnsi="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66" w:type="dxa"/>
            <w:shd w:val="clear" w:color="000000" w:fill="FFFFFF"/>
            <w:vAlign w:val="center"/>
          </w:tcPr>
          <w:p>
            <w:pPr>
              <w:widowControl/>
              <w:jc w:val="center"/>
              <w:textAlignment w:val="center"/>
              <w:rPr>
                <w:rFonts w:ascii="宋体" w:hAnsi="宋体" w:cs="宋体"/>
                <w:kern w:val="0"/>
                <w:sz w:val="24"/>
                <w:szCs w:val="24"/>
                <w:highlight w:val="none"/>
              </w:rPr>
            </w:pPr>
            <w:r>
              <w:rPr>
                <w:rFonts w:hint="eastAsia" w:ascii="宋体" w:hAnsi="宋体" w:cs="宋体"/>
                <w:kern w:val="0"/>
                <w:sz w:val="24"/>
                <w:szCs w:val="24"/>
                <w:highlight w:val="none"/>
              </w:rPr>
              <w:t>13</w:t>
            </w:r>
          </w:p>
        </w:tc>
        <w:tc>
          <w:tcPr>
            <w:tcW w:w="3670" w:type="dxa"/>
            <w:shd w:val="clear" w:color="000000" w:fill="FFFFFF"/>
            <w:vAlign w:val="center"/>
          </w:tcPr>
          <w:p>
            <w:pPr>
              <w:widowControl/>
              <w:jc w:val="center"/>
              <w:rPr>
                <w:rFonts w:ascii="宋体" w:hAnsi="宋体" w:cs="宋体"/>
                <w:kern w:val="0"/>
                <w:sz w:val="24"/>
                <w:szCs w:val="24"/>
                <w:highlight w:val="none"/>
              </w:rPr>
            </w:pPr>
            <w:r>
              <w:rPr>
                <w:rFonts w:hint="eastAsia" w:ascii="宋体" w:hAnsi="宋体" w:cs="宋体"/>
                <w:kern w:val="0"/>
                <w:sz w:val="24"/>
                <w:szCs w:val="24"/>
                <w:highlight w:val="none"/>
              </w:rPr>
              <w:t>350兆专线</w:t>
            </w:r>
          </w:p>
        </w:tc>
        <w:tc>
          <w:tcPr>
            <w:tcW w:w="75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月</w:t>
            </w:r>
          </w:p>
        </w:tc>
        <w:tc>
          <w:tcPr>
            <w:tcW w:w="780" w:type="dxa"/>
            <w:shd w:val="clear" w:color="000000" w:fill="FFFFFF"/>
            <w:vAlign w:val="center"/>
          </w:tcPr>
          <w:p>
            <w:pPr>
              <w:widowControl/>
              <w:jc w:val="center"/>
              <w:textAlignment w:val="center"/>
              <w:rPr>
                <w:rFonts w:ascii="宋体" w:hAnsi="宋体" w:cs="宋体"/>
                <w:kern w:val="0"/>
                <w:sz w:val="24"/>
                <w:szCs w:val="24"/>
                <w:highlight w:val="none"/>
                <w:lang w:bidi="ar"/>
              </w:rPr>
            </w:pPr>
            <w:r>
              <w:rPr>
                <w:rFonts w:hint="eastAsia" w:ascii="宋体" w:hAnsi="宋体" w:cs="宋体"/>
                <w:kern w:val="0"/>
                <w:sz w:val="24"/>
                <w:szCs w:val="24"/>
                <w:highlight w:val="none"/>
                <w:lang w:bidi="ar"/>
              </w:rPr>
              <w:t>36</w:t>
            </w:r>
          </w:p>
        </w:tc>
        <w:tc>
          <w:tcPr>
            <w:tcW w:w="2440" w:type="dxa"/>
            <w:vMerge w:val="continue"/>
            <w:shd w:val="clear" w:color="000000" w:fill="FFFFFF"/>
            <w:vAlign w:val="center"/>
          </w:tcPr>
          <w:p>
            <w:pPr>
              <w:jc w:val="center"/>
              <w:rPr>
                <w:rFonts w:ascii="宋体" w:hAnsi="宋体" w:cs="宋体"/>
                <w:kern w:val="0"/>
                <w:sz w:val="24"/>
                <w:szCs w:val="24"/>
                <w:highlight w:val="none"/>
              </w:rPr>
            </w:pPr>
          </w:p>
        </w:tc>
      </w:tr>
      <w:bookmarkEnd w:id="1"/>
    </w:tbl>
    <w:p>
      <w:pPr>
        <w:rPr>
          <w:sz w:val="24"/>
          <w:szCs w:val="24"/>
          <w:highlight w:val="none"/>
        </w:rPr>
      </w:pPr>
    </w:p>
    <w:p>
      <w:pPr>
        <w:pStyle w:val="5"/>
        <w:spacing w:before="0" w:after="0"/>
        <w:rPr>
          <w:rFonts w:hint="default"/>
          <w:sz w:val="24"/>
          <w:szCs w:val="24"/>
          <w:highlight w:val="none"/>
        </w:rPr>
      </w:pPr>
      <w:r>
        <w:rPr>
          <w:sz w:val="24"/>
          <w:szCs w:val="24"/>
          <w:highlight w:val="none"/>
        </w:rPr>
        <w:t>三、相关规范及标准</w:t>
      </w:r>
    </w:p>
    <w:p>
      <w:pPr>
        <w:pStyle w:val="11"/>
        <w:ind w:firstLine="480"/>
        <w:rPr>
          <w:rFonts w:ascii="宋体" w:hAnsi="宋体" w:cs="宋体"/>
          <w:szCs w:val="24"/>
          <w:highlight w:val="none"/>
        </w:rPr>
      </w:pPr>
      <w:r>
        <w:rPr>
          <w:rFonts w:hint="eastAsia" w:ascii="宋体" w:hAnsi="宋体" w:cs="宋体"/>
          <w:szCs w:val="24"/>
          <w:highlight w:val="none"/>
        </w:rPr>
        <w:t>本项目涉及的所有要求、实施、设备、材料和工艺均应符合相关的国家、行业标准，同时必须满足公安机关的有关要求。因此，应遵循且不限于以下标准和规范：</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GB/T 28181公共安全视频监控联网系统 信息传输、交换、控制技术要求；</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GA/T 947.1单警执法视音频记录系统 第1部分：基本要求；</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GA/T 947.2单警执法视音频记录系统 第2部分：执法记录仪；</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GA/T 947.3单警执法视音频记录系统 第3部分：管理平台；</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GA/T 947.4单警执法视音频记录系统 第4部分：数据接口；</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GB/T 22239信息安全技术 网络安全等级保护基本要求；</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GB/T 28448信息安全技术 网络安全等级保护测评要求；</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GB/T 25070信息安全技术 网络安全等级保护安全设计技术要求；</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GB/T20269信息系统安全管理要求；</w:t>
      </w:r>
    </w:p>
    <w:p>
      <w:pPr>
        <w:numPr>
          <w:ilvl w:val="0"/>
          <w:numId w:val="3"/>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GA/T 1788公安视频图像信息系统安全技术要求。</w:t>
      </w:r>
    </w:p>
    <w:p>
      <w:pPr>
        <w:pStyle w:val="5"/>
        <w:spacing w:before="0" w:after="0"/>
        <w:rPr>
          <w:rFonts w:hint="default"/>
          <w:sz w:val="24"/>
          <w:szCs w:val="24"/>
          <w:highlight w:val="none"/>
        </w:rPr>
      </w:pPr>
      <w:r>
        <w:rPr>
          <w:sz w:val="24"/>
          <w:szCs w:val="24"/>
          <w:highlight w:val="none"/>
        </w:rPr>
        <w:t>四、技术要求</w:t>
      </w:r>
    </w:p>
    <w:p>
      <w:pPr>
        <w:pStyle w:val="6"/>
        <w:numPr>
          <w:ilvl w:val="1"/>
          <w:numId w:val="0"/>
        </w:numPr>
        <w:tabs>
          <w:tab w:val="left" w:pos="576"/>
        </w:tabs>
        <w:spacing w:before="0" w:after="0" w:line="480" w:lineRule="auto"/>
        <w:ind w:firstLine="482" w:firstLineChars="200"/>
        <w:jc w:val="left"/>
        <w:rPr>
          <w:sz w:val="24"/>
          <w:szCs w:val="24"/>
          <w:highlight w:val="none"/>
        </w:rPr>
      </w:pPr>
      <w:r>
        <w:rPr>
          <w:rFonts w:hint="eastAsia" w:ascii="宋体" w:hAnsi="宋体" w:cs="宋体"/>
          <w:sz w:val="24"/>
          <w:szCs w:val="24"/>
          <w:highlight w:val="none"/>
        </w:rPr>
        <w:t>1、4G执法记录仪</w:t>
      </w:r>
    </w:p>
    <w:tbl>
      <w:tblPr>
        <w:tblStyle w:val="7"/>
        <w:tblW w:w="8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425"/>
        <w:gridCol w:w="6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adjustRightInd w:val="0"/>
              <w:snapToGrid w:val="0"/>
              <w:jc w:val="center"/>
              <w:rPr>
                <w:rFonts w:ascii="宋体" w:hAnsi="宋体" w:cs="宋体"/>
                <w:b/>
                <w:bCs/>
                <w:sz w:val="24"/>
                <w:szCs w:val="24"/>
                <w:highlight w:val="none"/>
                <w:lang w:val="zh-CN"/>
              </w:rPr>
            </w:pPr>
            <w:r>
              <w:rPr>
                <w:rFonts w:hint="eastAsia" w:ascii="宋体" w:hAnsi="宋体" w:cs="宋体"/>
                <w:b/>
                <w:bCs/>
                <w:sz w:val="24"/>
                <w:szCs w:val="24"/>
                <w:highlight w:val="none"/>
                <w:lang w:val="zh-CN"/>
              </w:rPr>
              <w:t>序号</w:t>
            </w:r>
          </w:p>
        </w:tc>
        <w:tc>
          <w:tcPr>
            <w:tcW w:w="1425" w:type="dxa"/>
            <w:shd w:val="clear" w:color="auto" w:fill="auto"/>
            <w:vAlign w:val="center"/>
          </w:tcPr>
          <w:p>
            <w:pPr>
              <w:adjustRightInd w:val="0"/>
              <w:snapToGrid w:val="0"/>
              <w:jc w:val="center"/>
              <w:rPr>
                <w:rFonts w:ascii="宋体" w:hAnsi="宋体" w:cs="宋体"/>
                <w:b/>
                <w:bCs/>
                <w:sz w:val="24"/>
                <w:szCs w:val="24"/>
                <w:highlight w:val="none"/>
                <w:lang w:val="zh-CN"/>
              </w:rPr>
            </w:pPr>
            <w:r>
              <w:rPr>
                <w:rFonts w:hint="eastAsia" w:ascii="宋体" w:hAnsi="宋体" w:cs="宋体"/>
                <w:b/>
                <w:bCs/>
                <w:sz w:val="24"/>
                <w:szCs w:val="24"/>
                <w:highlight w:val="none"/>
                <w:lang w:val="zh-CN"/>
              </w:rPr>
              <w:t>功能及技术指标</w:t>
            </w:r>
          </w:p>
        </w:tc>
        <w:tc>
          <w:tcPr>
            <w:tcW w:w="6662" w:type="dxa"/>
            <w:shd w:val="clear" w:color="auto" w:fill="auto"/>
            <w:vAlign w:val="center"/>
          </w:tcPr>
          <w:p>
            <w:pPr>
              <w:adjustRightInd w:val="0"/>
              <w:snapToGrid w:val="0"/>
              <w:jc w:val="center"/>
              <w:rPr>
                <w:rFonts w:ascii="宋体" w:hAnsi="宋体" w:cs="宋体"/>
                <w:b/>
                <w:bCs/>
                <w:sz w:val="24"/>
                <w:szCs w:val="24"/>
                <w:highlight w:val="none"/>
                <w:lang w:val="zh-CN"/>
              </w:rPr>
            </w:pPr>
            <w:r>
              <w:rPr>
                <w:rFonts w:hint="eastAsia" w:ascii="宋体" w:hAnsi="宋体" w:cs="宋体"/>
                <w:b/>
                <w:bCs/>
                <w:sz w:val="24"/>
                <w:szCs w:val="24"/>
                <w:highlight w:val="none"/>
              </w:rPr>
              <w:t>参数</w:t>
            </w:r>
            <w:r>
              <w:rPr>
                <w:rFonts w:hint="eastAsia" w:ascii="宋体" w:hAnsi="宋体" w:cs="宋体"/>
                <w:b/>
                <w:bCs/>
                <w:sz w:val="24"/>
                <w:szCs w:val="24"/>
                <w:highlight w:val="none"/>
                <w:lang w:val="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shd w:val="clear" w:color="auto" w:fill="auto"/>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外形尺寸</w:t>
            </w:r>
          </w:p>
        </w:tc>
        <w:tc>
          <w:tcPr>
            <w:tcW w:w="6662" w:type="dxa"/>
            <w:shd w:val="clear" w:color="auto" w:fill="auto"/>
          </w:tcPr>
          <w:p>
            <w:pPr>
              <w:adjustRightInd w:val="0"/>
              <w:snapToGrid w:val="0"/>
              <w:jc w:val="left"/>
              <w:rPr>
                <w:rFonts w:ascii="宋体" w:hAnsi="宋体" w:cs="宋体"/>
                <w:sz w:val="24"/>
                <w:szCs w:val="24"/>
                <w:highlight w:val="none"/>
              </w:rPr>
            </w:pPr>
            <w:r>
              <w:rPr>
                <w:rFonts w:hint="eastAsia" w:ascii="宋体" w:hAnsi="宋体" w:cs="宋体"/>
                <w:sz w:val="24"/>
                <w:szCs w:val="24"/>
                <w:highlight w:val="none"/>
              </w:rPr>
              <w:t>外形尺寸（背夹、外接设备除外）：长≤</w:t>
            </w:r>
            <w:r>
              <w:rPr>
                <w:rFonts w:ascii="宋体" w:hAnsi="宋体" w:cs="宋体"/>
                <w:sz w:val="24"/>
                <w:szCs w:val="24"/>
                <w:highlight w:val="none"/>
              </w:rPr>
              <w:t>90</w:t>
            </w:r>
            <w:r>
              <w:rPr>
                <w:rFonts w:hint="eastAsia" w:ascii="宋体" w:hAnsi="宋体" w:cs="宋体"/>
                <w:sz w:val="24"/>
                <w:szCs w:val="24"/>
                <w:highlight w:val="none"/>
              </w:rPr>
              <w:t>mm</w:t>
            </w:r>
            <w:r>
              <w:rPr>
                <w:rFonts w:ascii="宋体" w:hAnsi="宋体" w:cs="宋体"/>
                <w:sz w:val="24"/>
                <w:szCs w:val="24"/>
                <w:highlight w:val="none"/>
              </w:rPr>
              <w:t>;</w:t>
            </w:r>
            <w:r>
              <w:rPr>
                <w:rFonts w:hint="eastAsia" w:ascii="宋体" w:hAnsi="宋体" w:cs="宋体"/>
                <w:sz w:val="24"/>
                <w:szCs w:val="24"/>
                <w:highlight w:val="none"/>
              </w:rPr>
              <w:t>宽≤6</w:t>
            </w:r>
            <w:r>
              <w:rPr>
                <w:rFonts w:ascii="宋体" w:hAnsi="宋体" w:cs="宋体"/>
                <w:sz w:val="24"/>
                <w:szCs w:val="24"/>
                <w:highlight w:val="none"/>
              </w:rPr>
              <w:t>0</w:t>
            </w:r>
            <w:r>
              <w:rPr>
                <w:rFonts w:hint="eastAsia" w:ascii="宋体" w:hAnsi="宋体" w:cs="宋体"/>
                <w:sz w:val="24"/>
                <w:szCs w:val="24"/>
                <w:highlight w:val="none"/>
              </w:rPr>
              <w:t>m；高≤</w:t>
            </w:r>
            <w:r>
              <w:rPr>
                <w:rFonts w:ascii="宋体" w:hAnsi="宋体" w:cs="宋体"/>
                <w:sz w:val="24"/>
                <w:szCs w:val="24"/>
                <w:highlight w:val="none"/>
              </w:rPr>
              <w:t>35</w:t>
            </w:r>
            <w:r>
              <w:rPr>
                <w:rFonts w:hint="eastAsia" w:ascii="宋体" w:hAnsi="宋体" w:cs="宋体"/>
                <w:sz w:val="24"/>
                <w:szCs w:val="24"/>
                <w:highlight w:val="none"/>
              </w:rPr>
              <w:t>mm；重量（含背夹）≤</w:t>
            </w:r>
            <w:r>
              <w:rPr>
                <w:rFonts w:ascii="宋体" w:hAnsi="宋体" w:cs="宋体"/>
                <w:sz w:val="24"/>
                <w:szCs w:val="24"/>
                <w:highlight w:val="none"/>
              </w:rPr>
              <w:t>200</w:t>
            </w:r>
            <w:r>
              <w:rPr>
                <w:rFonts w:hint="eastAsia" w:ascii="宋体" w:hAnsi="宋体" w:cs="宋体"/>
                <w:sz w:val="24"/>
                <w:szCs w:val="24"/>
                <w:highlight w:val="none"/>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shd w:val="clear" w:color="auto" w:fill="auto"/>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处理器要求</w:t>
            </w:r>
          </w:p>
        </w:tc>
        <w:tc>
          <w:tcPr>
            <w:tcW w:w="6662" w:type="dxa"/>
            <w:shd w:val="clear" w:color="auto" w:fill="auto"/>
          </w:tcPr>
          <w:p>
            <w:pPr>
              <w:adjustRightInd w:val="0"/>
              <w:snapToGrid w:val="0"/>
              <w:jc w:val="left"/>
              <w:rPr>
                <w:rFonts w:ascii="宋体" w:hAnsi="宋体" w:cs="宋体"/>
                <w:sz w:val="24"/>
                <w:szCs w:val="24"/>
                <w:highlight w:val="none"/>
              </w:rPr>
            </w:pPr>
            <w:r>
              <w:rPr>
                <w:rFonts w:hint="eastAsia" w:ascii="宋体" w:hAnsi="宋体" w:cs="宋体"/>
                <w:sz w:val="24"/>
                <w:szCs w:val="24"/>
                <w:highlight w:val="none"/>
              </w:rPr>
              <w:t>CPU≥8核，主频率≥1.6GHz,处理器采用国产芯片方案。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shd w:val="clear" w:color="auto" w:fill="auto"/>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flash要求</w:t>
            </w:r>
          </w:p>
        </w:tc>
        <w:tc>
          <w:tcPr>
            <w:tcW w:w="6662" w:type="dxa"/>
            <w:shd w:val="clear" w:color="auto" w:fill="auto"/>
          </w:tcPr>
          <w:p>
            <w:pPr>
              <w:adjustRightInd w:val="0"/>
              <w:snapToGrid w:val="0"/>
              <w:jc w:val="left"/>
              <w:rPr>
                <w:rFonts w:ascii="宋体" w:hAnsi="宋体" w:cs="宋体"/>
                <w:sz w:val="24"/>
                <w:szCs w:val="24"/>
                <w:highlight w:val="none"/>
              </w:rPr>
            </w:pPr>
            <w:r>
              <w:rPr>
                <w:rFonts w:hint="eastAsia" w:ascii="宋体" w:hAnsi="宋体" w:cs="宋体"/>
                <w:sz w:val="24"/>
                <w:szCs w:val="24"/>
                <w:highlight w:val="none"/>
              </w:rPr>
              <w:t>≥ROM 32GB+RAM 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shd w:val="clear" w:color="auto" w:fill="auto"/>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rPr>
              <w:t>存储</w:t>
            </w:r>
            <w:r>
              <w:rPr>
                <w:rFonts w:hint="eastAsia" w:ascii="宋体" w:hAnsi="宋体" w:cs="宋体"/>
                <w:sz w:val="24"/>
                <w:szCs w:val="24"/>
                <w:highlight w:val="none"/>
                <w:lang w:eastAsia="zh-Hans"/>
              </w:rPr>
              <w:t>容量</w:t>
            </w:r>
          </w:p>
        </w:tc>
        <w:tc>
          <w:tcPr>
            <w:tcW w:w="6662" w:type="dxa"/>
            <w:shd w:val="clear" w:color="auto" w:fill="auto"/>
          </w:tcPr>
          <w:p>
            <w:pPr>
              <w:adjustRightInd w:val="0"/>
              <w:snapToGrid w:val="0"/>
              <w:jc w:val="left"/>
              <w:rPr>
                <w:rFonts w:ascii="宋体" w:hAnsi="宋体" w:cs="宋体"/>
                <w:sz w:val="24"/>
                <w:szCs w:val="24"/>
                <w:highlight w:val="none"/>
              </w:rPr>
            </w:pPr>
            <w:r>
              <w:rPr>
                <w:rFonts w:hint="eastAsia" w:ascii="宋体" w:hAnsi="宋体" w:cs="宋体"/>
                <w:sz w:val="24"/>
                <w:szCs w:val="24"/>
                <w:highlight w:val="none"/>
              </w:rPr>
              <w:t>出厂内置存储容量≥128GB。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shd w:val="clear" w:color="auto" w:fill="auto"/>
            <w:vAlign w:val="center"/>
          </w:tcPr>
          <w:p>
            <w:pPr>
              <w:adjustRightInd w:val="0"/>
              <w:snapToGrid w:val="0"/>
              <w:rPr>
                <w:rFonts w:ascii="宋体" w:hAnsi="宋体" w:cs="宋体"/>
                <w:sz w:val="24"/>
                <w:szCs w:val="24"/>
                <w:highlight w:val="none"/>
                <w:lang w:eastAsia="zh-Hans"/>
              </w:rPr>
            </w:pPr>
            <w:r>
              <w:rPr>
                <w:rFonts w:hint="eastAsia" w:ascii="宋体" w:hAnsi="宋体" w:cs="宋体"/>
                <w:sz w:val="24"/>
                <w:szCs w:val="24"/>
                <w:highlight w:val="none"/>
                <w:lang w:eastAsia="zh-Hans"/>
              </w:rPr>
              <w:t>外壳防护等级</w:t>
            </w:r>
          </w:p>
        </w:tc>
        <w:tc>
          <w:tcPr>
            <w:tcW w:w="6662" w:type="dxa"/>
            <w:shd w:val="clear" w:color="auto" w:fill="auto"/>
            <w:vAlign w:val="center"/>
          </w:tcPr>
          <w:p>
            <w:pPr>
              <w:adjustRightInd w:val="0"/>
              <w:snapToGrid w:val="0"/>
              <w:jc w:val="left"/>
              <w:rPr>
                <w:rFonts w:ascii="宋体" w:hAnsi="宋体" w:cs="宋体"/>
                <w:b/>
                <w:sz w:val="24"/>
                <w:szCs w:val="24"/>
                <w:highlight w:val="none"/>
              </w:rPr>
            </w:pPr>
            <w:r>
              <w:rPr>
                <w:rFonts w:hint="eastAsia" w:ascii="宋体" w:hAnsi="宋体" w:cs="宋体"/>
                <w:sz w:val="24"/>
                <w:szCs w:val="24"/>
                <w:highlight w:val="none"/>
              </w:rPr>
              <w:t>执法记录仪外壳防护等级应符合GB/T4208-</w:t>
            </w:r>
            <w:r>
              <w:rPr>
                <w:rFonts w:ascii="宋体" w:hAnsi="宋体" w:cs="宋体"/>
                <w:sz w:val="24"/>
                <w:szCs w:val="24"/>
                <w:highlight w:val="none"/>
              </w:rPr>
              <w:t>2017</w:t>
            </w:r>
            <w:r>
              <w:rPr>
                <w:rFonts w:hint="eastAsia" w:ascii="宋体" w:hAnsi="宋体" w:cs="宋体"/>
                <w:sz w:val="24"/>
                <w:szCs w:val="24"/>
                <w:highlight w:val="none"/>
              </w:rPr>
              <w:t>中IP68要求。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shd w:val="clear" w:color="auto" w:fill="auto"/>
            <w:vAlign w:val="center"/>
          </w:tcPr>
          <w:p>
            <w:pPr>
              <w:adjustRightInd w:val="0"/>
              <w:snapToGrid w:val="0"/>
              <w:rPr>
                <w:rFonts w:ascii="宋体" w:hAnsi="宋体" w:cs="宋体"/>
                <w:sz w:val="24"/>
                <w:szCs w:val="24"/>
                <w:highlight w:val="none"/>
                <w:lang w:eastAsia="zh-Hans"/>
              </w:rPr>
            </w:pPr>
            <w:r>
              <w:rPr>
                <w:rFonts w:hint="eastAsia" w:ascii="宋体" w:hAnsi="宋体" w:cs="宋体"/>
                <w:sz w:val="24"/>
                <w:szCs w:val="24"/>
                <w:highlight w:val="none"/>
                <w:lang w:eastAsia="zh-Hans"/>
              </w:rPr>
              <w:t>自由跌落</w:t>
            </w:r>
          </w:p>
        </w:tc>
        <w:tc>
          <w:tcPr>
            <w:tcW w:w="6662" w:type="dxa"/>
            <w:shd w:val="clear" w:color="auto" w:fill="auto"/>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rPr>
              <w:t>设备应满足跌落高度2000mm，水泥地面，任意6个面跌落3次，共18次</w:t>
            </w:r>
            <w:r>
              <w:rPr>
                <w:rFonts w:hint="eastAsia" w:ascii="宋体" w:hAnsi="宋体" w:cs="宋体"/>
                <w:sz w:val="24"/>
                <w:szCs w:val="24"/>
                <w:highlight w:val="none"/>
                <w:lang w:eastAsia="zh-Hans"/>
              </w:rPr>
              <w:t>。</w:t>
            </w:r>
            <w:r>
              <w:rPr>
                <w:rFonts w:hint="eastAsia" w:ascii="宋体" w:hAnsi="宋体" w:cs="宋体"/>
                <w:sz w:val="24"/>
                <w:szCs w:val="24"/>
                <w:highlight w:val="none"/>
              </w:rPr>
              <w:t>试验期间执法记录仪处于工作状态，试验后执法记录仪及其内部结构单元不应该产生永久性的结构变形、机械损伤、电气故障和紧固件松动，执法记录仪内部线路、电路板和接口等接插件不应有脱落、松动和接触不良现象，实验后应能正常工作，存储的数据不应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rPr>
                <w:rFonts w:ascii="宋体" w:hAnsi="宋体" w:cs="宋体"/>
                <w:sz w:val="24"/>
                <w:szCs w:val="24"/>
                <w:highlight w:val="none"/>
              </w:rPr>
            </w:pPr>
            <w:r>
              <w:rPr>
                <w:rFonts w:hint="eastAsia" w:ascii="宋体" w:hAnsi="宋体" w:cs="宋体"/>
                <w:sz w:val="24"/>
                <w:szCs w:val="24"/>
                <w:highlight w:val="none"/>
              </w:rPr>
              <w:t>数据通讯</w:t>
            </w:r>
          </w:p>
        </w:tc>
        <w:tc>
          <w:tcPr>
            <w:tcW w:w="6662" w:type="dxa"/>
            <w:vAlign w:val="center"/>
          </w:tcPr>
          <w:p>
            <w:pPr>
              <w:widowControl/>
              <w:textAlignment w:val="top"/>
              <w:rPr>
                <w:rFonts w:ascii="宋体" w:hAnsi="宋体" w:cs="宋体"/>
                <w:b/>
                <w:sz w:val="24"/>
                <w:szCs w:val="24"/>
                <w:highlight w:val="none"/>
              </w:rPr>
            </w:pPr>
            <w:r>
              <w:rPr>
                <w:rFonts w:hint="eastAsia" w:ascii="宋体" w:hAnsi="宋体" w:cs="宋体"/>
                <w:sz w:val="24"/>
                <w:szCs w:val="24"/>
                <w:highlight w:val="none"/>
              </w:rPr>
              <w:t>执法记录仪可通过Mini</w:t>
            </w:r>
            <w:r>
              <w:rPr>
                <w:rFonts w:ascii="宋体" w:hAnsi="宋体" w:cs="宋体"/>
                <w:sz w:val="24"/>
                <w:szCs w:val="24"/>
                <w:highlight w:val="none"/>
              </w:rPr>
              <w:t xml:space="preserve"> </w:t>
            </w:r>
            <w:r>
              <w:rPr>
                <w:rFonts w:hint="eastAsia" w:ascii="宋体" w:hAnsi="宋体" w:cs="宋体"/>
                <w:sz w:val="24"/>
                <w:szCs w:val="24"/>
                <w:highlight w:val="none"/>
              </w:rPr>
              <w:t>USB口传输数据及充电，读写速率不低于180Mbps。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视音频同步记录</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回放时数字音频相对于视频图像不应存在明显的滞后或超前，记录/回放一段视频画面时，其中人物说话的口型和声音应基本一致，视音频信号的失步时间应小于或等于1s。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字符叠加</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能在录制的视频和所拍照片中自动叠加信息，信息包括产品序号、时间、执法人员等。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操作提示及状态指示</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具有声音和/或震动方式操作提示功能，包括但不限于开/关机提示，摄录启动/停止提示及录音启动/停止提示，并且能显示电池电量，充电状态，系统时间和存储余量等信息；开机、录音、摄录状态应有明显的光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语音播报</w:t>
            </w:r>
          </w:p>
        </w:tc>
        <w:tc>
          <w:tcPr>
            <w:tcW w:w="6662" w:type="dxa"/>
            <w:vAlign w:val="center"/>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lang w:eastAsia="zh-Hans"/>
              </w:rPr>
              <w:t>应具备语音播报功能，在开机、录像、录音、重点标记等操作时进行中文语音播报。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数据完整性</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能对存储的数据加以保护，存储的数据不应被本机或未经授权的设备删除和覆盖，编码视频流应有防篡改，防非法复制等认证措施（如：水印叠加），以保证原始数据的完整性。执法记录仪在出现异常问题时应能重启，重启后已保存的数据不应丢失或损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夜视</w:t>
            </w:r>
            <w:r>
              <w:rPr>
                <w:rFonts w:hint="eastAsia" w:ascii="宋体" w:hAnsi="宋体" w:cs="宋体"/>
                <w:sz w:val="24"/>
                <w:szCs w:val="24"/>
                <w:highlight w:val="none"/>
                <w:lang w:eastAsia="zh-Hans"/>
              </w:rPr>
              <w:t>性能</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距离执法记录仪5m处，可看清人脸轮廓。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异常报警</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具有电池欠压，存储溢出报警功能，电池欠压报警后电池剩余容量应能保证执法记录仪正常摄录不少于5min，但不超过30min。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视音频预录</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能在标称最大分辨率下预录出发前大于或等于</w:t>
            </w:r>
            <w:r>
              <w:rPr>
                <w:rFonts w:ascii="宋体" w:hAnsi="宋体" w:cs="宋体"/>
                <w:sz w:val="24"/>
                <w:szCs w:val="24"/>
                <w:highlight w:val="none"/>
              </w:rPr>
              <w:t>30</w:t>
            </w:r>
            <w:r>
              <w:rPr>
                <w:rFonts w:hint="eastAsia" w:ascii="宋体" w:hAnsi="宋体" w:cs="宋体"/>
                <w:sz w:val="24"/>
                <w:szCs w:val="24"/>
                <w:highlight w:val="none"/>
              </w:rPr>
              <w:t>0s的视音频信息。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重点文件标记</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在摄录过程中应能通过一键操作的方式对重点文件进行标记，标记方式应为源文件中包含IMP，标记文件能在管理平台中进行检索，并可与其他文件进行区分。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显示屏尺寸</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执法记录仪应具有色彩显示屏，显示屏对角线尺寸应大于或等于2.</w:t>
            </w:r>
            <w:r>
              <w:rPr>
                <w:rFonts w:ascii="宋体" w:hAnsi="宋体" w:cs="宋体"/>
                <w:sz w:val="24"/>
                <w:szCs w:val="24"/>
                <w:highlight w:val="none"/>
              </w:rPr>
              <w:t>4</w:t>
            </w:r>
            <w:r>
              <w:rPr>
                <w:rFonts w:hint="eastAsia" w:ascii="宋体" w:hAnsi="宋体" w:cs="宋体"/>
                <w:sz w:val="24"/>
                <w:szCs w:val="24"/>
                <w:highlight w:val="none"/>
              </w:rPr>
              <w:t>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显示屏亮度</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执法记录仪应能在回放模式显示全场白测试信号，显示全场白测试信号时的最大亮度应大于或等于</w:t>
            </w:r>
            <w:r>
              <w:rPr>
                <w:rFonts w:ascii="宋体" w:hAnsi="宋体" w:cs="宋体"/>
                <w:sz w:val="24"/>
                <w:szCs w:val="24"/>
                <w:highlight w:val="none"/>
              </w:rPr>
              <w:t>600</w:t>
            </w:r>
            <w:r>
              <w:rPr>
                <w:rFonts w:hint="eastAsia" w:ascii="宋体" w:hAnsi="宋体" w:cs="宋体"/>
                <w:sz w:val="24"/>
                <w:szCs w:val="24"/>
                <w:highlight w:val="none"/>
              </w:rPr>
              <w:t>cd/m</w:t>
            </w:r>
            <w:r>
              <w:rPr>
                <w:rFonts w:hint="eastAsia" w:ascii="宋体" w:hAnsi="宋体" w:cs="宋体"/>
                <w:sz w:val="24"/>
                <w:szCs w:val="24"/>
                <w:highlight w:val="none"/>
                <w:vertAlign w:val="superscript"/>
              </w:rPr>
              <w:t>2</w:t>
            </w:r>
            <w:r>
              <w:rPr>
                <w:rFonts w:hint="eastAsia" w:ascii="宋体" w:hAnsi="宋体" w:cs="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显示度对比度</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能在回放模式分别显示全场白和全场黑测试信号。全场白和全场黑测试信号亮度值的比应大于等于</w:t>
            </w:r>
            <w:r>
              <w:rPr>
                <w:rFonts w:ascii="宋体" w:hAnsi="宋体" w:cs="宋体"/>
                <w:sz w:val="24"/>
                <w:szCs w:val="24"/>
                <w:highlight w:val="none"/>
              </w:rPr>
              <w:t>4</w:t>
            </w:r>
            <w:r>
              <w:rPr>
                <w:rFonts w:hint="eastAsia" w:ascii="宋体" w:hAnsi="宋体" w:cs="宋体"/>
                <w:sz w:val="24"/>
                <w:szCs w:val="24"/>
                <w:highlight w:val="none"/>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屏幕显示</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摄录过程中可显示剩余存储容量，当前分辨率，帧率，剩余可录制时间等信息。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视频分辨率</w:t>
            </w:r>
          </w:p>
        </w:tc>
        <w:tc>
          <w:tcPr>
            <w:tcW w:w="6662" w:type="dxa"/>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lang w:eastAsia="zh-Hans"/>
              </w:rPr>
              <w:t>设备应最高支持支持</w:t>
            </w:r>
            <w:r>
              <w:rPr>
                <w:rFonts w:hint="eastAsia" w:ascii="宋体" w:hAnsi="宋体" w:cs="宋体"/>
                <w:sz w:val="24"/>
                <w:szCs w:val="24"/>
                <w:highlight w:val="none"/>
              </w:rPr>
              <w:t>1920*1080</w:t>
            </w:r>
            <w:r>
              <w:rPr>
                <w:rFonts w:hint="eastAsia" w:ascii="宋体" w:hAnsi="宋体" w:cs="宋体"/>
                <w:sz w:val="24"/>
                <w:szCs w:val="24"/>
                <w:highlight w:val="none"/>
                <w:lang w:eastAsia="zh-Hans"/>
              </w:rPr>
              <w:t>录像分辨率，并兼容</w:t>
            </w:r>
            <w:r>
              <w:rPr>
                <w:rFonts w:hint="eastAsia" w:ascii="宋体" w:hAnsi="宋体" w:cs="宋体"/>
                <w:sz w:val="24"/>
                <w:szCs w:val="24"/>
                <w:highlight w:val="none"/>
              </w:rPr>
              <w:t>1280*720</w:t>
            </w:r>
            <w:r>
              <w:rPr>
                <w:rFonts w:hint="eastAsia" w:ascii="宋体" w:hAnsi="宋体" w:cs="宋体"/>
                <w:sz w:val="24"/>
                <w:szCs w:val="24"/>
                <w:highlight w:val="none"/>
                <w:lang w:eastAsia="zh-Hans"/>
              </w:rPr>
              <w:t>和</w:t>
            </w:r>
            <w:r>
              <w:rPr>
                <w:rFonts w:ascii="宋体" w:hAnsi="宋体" w:cs="宋体"/>
                <w:sz w:val="24"/>
                <w:szCs w:val="24"/>
                <w:highlight w:val="none"/>
                <w:lang w:eastAsia="zh-Hans"/>
              </w:rPr>
              <w:t>848</w:t>
            </w:r>
            <w:r>
              <w:rPr>
                <w:rFonts w:hint="eastAsia" w:ascii="宋体" w:hAnsi="宋体" w:cs="宋体"/>
                <w:sz w:val="24"/>
                <w:szCs w:val="24"/>
                <w:highlight w:val="none"/>
              </w:rPr>
              <w:t>*</w:t>
            </w:r>
            <w:r>
              <w:rPr>
                <w:rFonts w:ascii="宋体" w:hAnsi="宋体" w:cs="宋体"/>
                <w:sz w:val="24"/>
                <w:szCs w:val="24"/>
                <w:highlight w:val="none"/>
                <w:lang w:eastAsia="zh-Hans"/>
              </w:rPr>
              <w:t>480</w:t>
            </w:r>
            <w:r>
              <w:rPr>
                <w:rFonts w:hint="eastAsia" w:ascii="宋体" w:hAnsi="宋体" w:cs="宋体"/>
                <w:sz w:val="24"/>
                <w:szCs w:val="24"/>
                <w:highlight w:val="none"/>
                <w:lang w:eastAsia="zh-Hans"/>
              </w:rPr>
              <w:t>等录像分辨率。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视频编码</w:t>
            </w:r>
          </w:p>
        </w:tc>
        <w:tc>
          <w:tcPr>
            <w:tcW w:w="6662" w:type="dxa"/>
          </w:tcPr>
          <w:p>
            <w:pPr>
              <w:widowControl/>
              <w:textAlignment w:val="top"/>
              <w:rPr>
                <w:rFonts w:ascii="宋体" w:hAnsi="宋体" w:cs="宋体"/>
                <w:b/>
                <w:sz w:val="24"/>
                <w:szCs w:val="24"/>
                <w:highlight w:val="none"/>
                <w:lang w:eastAsia="zh-Hans"/>
              </w:rPr>
            </w:pPr>
            <w:r>
              <w:rPr>
                <w:rFonts w:hint="eastAsia" w:ascii="宋体" w:hAnsi="宋体" w:cs="宋体"/>
                <w:sz w:val="24"/>
                <w:szCs w:val="24"/>
                <w:highlight w:val="none"/>
                <w:lang w:eastAsia="zh-Hans"/>
              </w:rPr>
              <w:t>应支持</w:t>
            </w:r>
            <w:r>
              <w:rPr>
                <w:rFonts w:ascii="宋体" w:hAnsi="宋体" w:cs="宋体"/>
                <w:sz w:val="24"/>
                <w:szCs w:val="24"/>
                <w:highlight w:val="none"/>
                <w:lang w:eastAsia="zh-Hans"/>
              </w:rPr>
              <w:t>H.264</w:t>
            </w:r>
            <w:r>
              <w:rPr>
                <w:rFonts w:hint="eastAsia" w:ascii="宋体" w:hAnsi="宋体" w:cs="宋体"/>
                <w:sz w:val="24"/>
                <w:szCs w:val="24"/>
                <w:highlight w:val="none"/>
                <w:lang w:eastAsia="zh-Hans"/>
              </w:rPr>
              <w:t>和</w:t>
            </w:r>
            <w:r>
              <w:rPr>
                <w:rFonts w:ascii="宋体" w:hAnsi="宋体" w:cs="宋体"/>
                <w:sz w:val="24"/>
                <w:szCs w:val="24"/>
                <w:highlight w:val="none"/>
                <w:lang w:eastAsia="zh-Hans"/>
              </w:rPr>
              <w:t>H.265</w:t>
            </w:r>
            <w:r>
              <w:rPr>
                <w:rFonts w:hint="eastAsia" w:ascii="宋体" w:hAnsi="宋体" w:cs="宋体"/>
                <w:sz w:val="24"/>
                <w:szCs w:val="24"/>
                <w:highlight w:val="none"/>
                <w:lang w:eastAsia="zh-Hans"/>
              </w:rPr>
              <w:t>视频编码格式</w:t>
            </w:r>
            <w:r>
              <w:rPr>
                <w:rFonts w:hint="eastAsia" w:ascii="宋体" w:hAnsi="宋体" w:cs="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视场角</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在</w:t>
            </w:r>
            <w:r>
              <w:rPr>
                <w:rFonts w:hint="eastAsia" w:ascii="宋体" w:hAnsi="宋体" w:cs="宋体"/>
                <w:sz w:val="24"/>
                <w:szCs w:val="24"/>
                <w:highlight w:val="none"/>
                <w:lang w:eastAsia="zh-Hans"/>
              </w:rPr>
              <w:t>各录像</w:t>
            </w:r>
            <w:r>
              <w:rPr>
                <w:rFonts w:hint="eastAsia" w:ascii="宋体" w:hAnsi="宋体" w:cs="宋体"/>
                <w:sz w:val="24"/>
                <w:szCs w:val="24"/>
                <w:highlight w:val="none"/>
              </w:rPr>
              <w:t>分辨率条件下，水平视场角应大于等于</w:t>
            </w:r>
            <w:r>
              <w:rPr>
                <w:rFonts w:ascii="宋体" w:hAnsi="宋体" w:cs="宋体"/>
                <w:sz w:val="24"/>
                <w:szCs w:val="24"/>
                <w:highlight w:val="none"/>
              </w:rPr>
              <w:t>100</w:t>
            </w:r>
            <w:r>
              <w:rPr>
                <w:rFonts w:hint="eastAsia" w:ascii="宋体" w:hAnsi="宋体" w:cs="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几何失真</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在</w:t>
            </w:r>
            <w:r>
              <w:rPr>
                <w:rFonts w:hint="eastAsia" w:ascii="宋体" w:hAnsi="宋体" w:cs="宋体"/>
                <w:sz w:val="24"/>
                <w:szCs w:val="24"/>
                <w:highlight w:val="none"/>
                <w:lang w:eastAsia="zh-Hans"/>
              </w:rPr>
              <w:t>各录像</w:t>
            </w:r>
            <w:r>
              <w:rPr>
                <w:rFonts w:hint="eastAsia" w:ascii="宋体" w:hAnsi="宋体" w:cs="宋体"/>
                <w:sz w:val="24"/>
                <w:szCs w:val="24"/>
                <w:highlight w:val="none"/>
              </w:rPr>
              <w:t>分辨率条件下，几何失真应小于等于</w:t>
            </w:r>
            <w:r>
              <w:rPr>
                <w:rFonts w:ascii="宋体" w:hAnsi="宋体" w:cs="宋体"/>
                <w:sz w:val="24"/>
                <w:szCs w:val="24"/>
                <w:highlight w:val="none"/>
              </w:rPr>
              <w:t>20</w:t>
            </w:r>
            <w:r>
              <w:rPr>
                <w:rFonts w:hint="eastAsia" w:ascii="宋体" w:hAnsi="宋体" w:cs="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视频性能要求</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在</w:t>
            </w:r>
            <w:r>
              <w:rPr>
                <w:rFonts w:hint="eastAsia" w:ascii="宋体" w:hAnsi="宋体" w:cs="宋体"/>
                <w:sz w:val="24"/>
                <w:szCs w:val="24"/>
                <w:highlight w:val="none"/>
                <w:lang w:eastAsia="zh-Hans"/>
              </w:rPr>
              <w:t>各</w:t>
            </w:r>
            <w:r>
              <w:rPr>
                <w:rFonts w:hint="eastAsia" w:ascii="宋体" w:hAnsi="宋体" w:cs="宋体"/>
                <w:sz w:val="24"/>
                <w:szCs w:val="24"/>
                <w:highlight w:val="none"/>
              </w:rPr>
              <w:t>分辨率条件下，视频帧率应大于或等于</w:t>
            </w:r>
            <w:r>
              <w:rPr>
                <w:rFonts w:ascii="宋体" w:hAnsi="宋体" w:cs="宋体"/>
                <w:sz w:val="24"/>
                <w:szCs w:val="24"/>
                <w:highlight w:val="none"/>
              </w:rPr>
              <w:t>25</w:t>
            </w:r>
            <w:r>
              <w:rPr>
                <w:rFonts w:hint="eastAsia" w:ascii="宋体" w:hAnsi="宋体" w:cs="宋体"/>
                <w:sz w:val="24"/>
                <w:szCs w:val="24"/>
                <w:highlight w:val="none"/>
              </w:rPr>
              <w:t>帧/s。在 1</w:t>
            </w:r>
            <w:r>
              <w:rPr>
                <w:rFonts w:ascii="宋体" w:hAnsi="宋体" w:cs="宋体"/>
                <w:sz w:val="24"/>
                <w:szCs w:val="24"/>
                <w:highlight w:val="none"/>
              </w:rPr>
              <w:t>920</w:t>
            </w:r>
            <w:r>
              <w:rPr>
                <w:rFonts w:hint="eastAsia" w:ascii="宋体" w:hAnsi="宋体" w:cs="宋体"/>
                <w:sz w:val="24"/>
                <w:szCs w:val="24"/>
                <w:highlight w:val="none"/>
              </w:rPr>
              <w:t>*</w:t>
            </w:r>
            <w:r>
              <w:rPr>
                <w:rFonts w:ascii="宋体" w:hAnsi="宋体" w:cs="宋体"/>
                <w:sz w:val="24"/>
                <w:szCs w:val="24"/>
                <w:highlight w:val="none"/>
              </w:rPr>
              <w:t>108</w:t>
            </w:r>
            <w:r>
              <w:rPr>
                <w:rFonts w:hint="eastAsia" w:ascii="宋体" w:hAnsi="宋体" w:cs="宋体"/>
                <w:sz w:val="24"/>
                <w:szCs w:val="24"/>
                <w:highlight w:val="none"/>
              </w:rPr>
              <w:t>0分辨率条件下，应大于等于</w:t>
            </w:r>
            <w:r>
              <w:rPr>
                <w:rFonts w:ascii="宋体" w:hAnsi="宋体" w:cs="宋体"/>
                <w:sz w:val="24"/>
                <w:szCs w:val="24"/>
                <w:highlight w:val="none"/>
              </w:rPr>
              <w:t>80</w:t>
            </w:r>
            <w:r>
              <w:rPr>
                <w:rFonts w:hint="eastAsia" w:ascii="宋体" w:hAnsi="宋体" w:cs="宋体"/>
                <w:sz w:val="24"/>
                <w:szCs w:val="24"/>
                <w:highlight w:val="none"/>
              </w:rPr>
              <w:t>0线</w:t>
            </w:r>
            <w:r>
              <w:rPr>
                <w:rFonts w:hint="eastAsia" w:ascii="宋体" w:hAnsi="宋体" w:cs="宋体"/>
                <w:sz w:val="24"/>
                <w:szCs w:val="24"/>
                <w:highlight w:val="none"/>
                <w:lang w:eastAsia="zh-Hans"/>
              </w:rPr>
              <w:t>，在</w:t>
            </w:r>
            <w:r>
              <w:rPr>
                <w:rFonts w:ascii="宋体" w:hAnsi="宋体" w:cs="宋体"/>
                <w:sz w:val="24"/>
                <w:szCs w:val="24"/>
                <w:highlight w:val="none"/>
                <w:lang w:eastAsia="zh-Hans"/>
              </w:rPr>
              <w:t>1280</w:t>
            </w:r>
            <w:r>
              <w:rPr>
                <w:rFonts w:hint="eastAsia" w:ascii="宋体" w:hAnsi="宋体" w:cs="宋体"/>
                <w:sz w:val="24"/>
                <w:szCs w:val="24"/>
                <w:highlight w:val="none"/>
              </w:rPr>
              <w:t>*</w:t>
            </w:r>
            <w:r>
              <w:rPr>
                <w:rFonts w:ascii="宋体" w:hAnsi="宋体" w:cs="宋体"/>
                <w:sz w:val="24"/>
                <w:szCs w:val="24"/>
                <w:highlight w:val="none"/>
              </w:rPr>
              <w:t>720</w:t>
            </w:r>
            <w:r>
              <w:rPr>
                <w:rFonts w:hint="eastAsia" w:ascii="宋体" w:hAnsi="宋体" w:cs="宋体"/>
                <w:sz w:val="24"/>
                <w:szCs w:val="24"/>
                <w:highlight w:val="none"/>
                <w:lang w:eastAsia="zh-Hans"/>
              </w:rPr>
              <w:t>的分辨率条件下，应该</w:t>
            </w:r>
            <w:r>
              <w:rPr>
                <w:rFonts w:hint="eastAsia" w:ascii="宋体" w:hAnsi="宋体" w:cs="宋体"/>
                <w:sz w:val="24"/>
                <w:szCs w:val="24"/>
                <w:highlight w:val="none"/>
              </w:rPr>
              <w:t>大于等于</w:t>
            </w:r>
            <w:r>
              <w:rPr>
                <w:rFonts w:ascii="宋体" w:hAnsi="宋体" w:cs="宋体"/>
                <w:sz w:val="24"/>
                <w:szCs w:val="24"/>
                <w:highlight w:val="none"/>
              </w:rPr>
              <w:t>60</w:t>
            </w:r>
            <w:r>
              <w:rPr>
                <w:rFonts w:hint="eastAsia" w:ascii="宋体" w:hAnsi="宋体" w:cs="宋体"/>
                <w:sz w:val="24"/>
                <w:szCs w:val="24"/>
                <w:highlight w:val="none"/>
              </w:rPr>
              <w:t>0线。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一键分辨率切换</w:t>
            </w:r>
          </w:p>
        </w:tc>
        <w:tc>
          <w:tcPr>
            <w:tcW w:w="6662" w:type="dxa"/>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lang w:eastAsia="zh-Hans"/>
              </w:rPr>
              <w:t>应具备一键切换分辨率功能，可通过一次按键实现分辨率之间的快速切换。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照片分辨力</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执法记录仪拍照的张片分辨率最大应支持</w:t>
            </w:r>
            <w:r>
              <w:rPr>
                <w:rFonts w:ascii="宋体" w:hAnsi="宋体" w:cs="宋体"/>
                <w:sz w:val="24"/>
                <w:szCs w:val="24"/>
                <w:highlight w:val="none"/>
              </w:rPr>
              <w:t>8000</w:t>
            </w:r>
            <w:r>
              <w:rPr>
                <w:rFonts w:hint="eastAsia" w:ascii="宋体" w:hAnsi="宋体" w:cs="宋体"/>
                <w:sz w:val="24"/>
                <w:szCs w:val="24"/>
                <w:highlight w:val="none"/>
              </w:rPr>
              <w:t>*</w:t>
            </w:r>
            <w:r>
              <w:rPr>
                <w:rFonts w:ascii="宋体" w:hAnsi="宋体" w:cs="宋体"/>
                <w:sz w:val="24"/>
                <w:szCs w:val="24"/>
                <w:highlight w:val="none"/>
              </w:rPr>
              <w:t>4500</w:t>
            </w:r>
            <w:r>
              <w:rPr>
                <w:rFonts w:hint="eastAsia" w:ascii="宋体" w:hAnsi="宋体" w:cs="宋体"/>
                <w:sz w:val="24"/>
                <w:szCs w:val="24"/>
                <w:highlight w:val="none"/>
              </w:rPr>
              <w:t>，且拍摄照片分辨力应大于等于</w:t>
            </w:r>
            <w:r>
              <w:rPr>
                <w:rFonts w:ascii="宋体" w:hAnsi="宋体" w:cs="宋体"/>
                <w:sz w:val="24"/>
                <w:szCs w:val="24"/>
                <w:highlight w:val="none"/>
              </w:rPr>
              <w:t>10</w:t>
            </w:r>
            <w:r>
              <w:rPr>
                <w:rFonts w:hint="eastAsia" w:ascii="宋体" w:hAnsi="宋体" w:cs="宋体"/>
                <w:sz w:val="24"/>
                <w:szCs w:val="24"/>
                <w:highlight w:val="none"/>
              </w:rPr>
              <w:t>00线。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电池要求</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单块电池电量≥2</w:t>
            </w:r>
            <w:r>
              <w:rPr>
                <w:rFonts w:ascii="宋体" w:hAnsi="宋体" w:cs="宋体"/>
                <w:sz w:val="24"/>
                <w:szCs w:val="24"/>
                <w:highlight w:val="none"/>
              </w:rPr>
              <w:t>7</w:t>
            </w:r>
            <w:r>
              <w:rPr>
                <w:rFonts w:hint="eastAsia" w:ascii="宋体" w:hAnsi="宋体" w:cs="宋体"/>
                <w:sz w:val="24"/>
                <w:szCs w:val="24"/>
                <w:highlight w:val="none"/>
              </w:rPr>
              <w:t>00mAh；充电时间≤2.5h</w:t>
            </w:r>
            <w:r>
              <w:rPr>
                <w:rFonts w:hint="eastAsia" w:ascii="宋体" w:hAnsi="宋体" w:cs="宋体"/>
                <w:sz w:val="24"/>
                <w:szCs w:val="24"/>
                <w:highlight w:val="none"/>
                <w:lang w:eastAsia="zh-Han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电池工作时间</w:t>
            </w:r>
          </w:p>
        </w:tc>
        <w:tc>
          <w:tcPr>
            <w:tcW w:w="6662" w:type="dxa"/>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rPr>
              <w:t>执法记录仪</w:t>
            </w:r>
            <w:r>
              <w:rPr>
                <w:rFonts w:hint="eastAsia" w:ascii="宋体" w:hAnsi="宋体" w:cs="宋体"/>
                <w:sz w:val="24"/>
                <w:szCs w:val="24"/>
                <w:highlight w:val="none"/>
                <w:lang w:eastAsia="zh-Hans"/>
              </w:rPr>
              <w:t>在更换一次电池的条件下，在</w:t>
            </w:r>
            <w:r>
              <w:rPr>
                <w:rFonts w:hint="eastAsia" w:ascii="宋体" w:hAnsi="宋体" w:cs="宋体"/>
                <w:sz w:val="24"/>
                <w:szCs w:val="24"/>
                <w:highlight w:val="none"/>
              </w:rPr>
              <w:t>分辨率为</w:t>
            </w:r>
            <w:r>
              <w:rPr>
                <w:rFonts w:ascii="宋体" w:hAnsi="宋体" w:cs="宋体"/>
                <w:sz w:val="24"/>
                <w:szCs w:val="24"/>
                <w:highlight w:val="none"/>
                <w:lang w:eastAsia="zh-Hans"/>
              </w:rPr>
              <w:t xml:space="preserve">1920*1080 </w:t>
            </w:r>
            <w:r>
              <w:rPr>
                <w:rFonts w:hint="eastAsia" w:ascii="宋体" w:hAnsi="宋体" w:cs="宋体"/>
                <w:sz w:val="24"/>
                <w:szCs w:val="24"/>
                <w:highlight w:val="none"/>
              </w:rPr>
              <w:t>帧率为</w:t>
            </w:r>
            <w:r>
              <w:rPr>
                <w:rFonts w:ascii="宋体" w:hAnsi="宋体" w:cs="宋体"/>
                <w:sz w:val="24"/>
                <w:szCs w:val="24"/>
                <w:highlight w:val="none"/>
                <w:lang w:eastAsia="zh-Hans"/>
              </w:rPr>
              <w:t>25</w:t>
            </w:r>
            <w:r>
              <w:rPr>
                <w:rFonts w:hint="eastAsia" w:ascii="宋体" w:hAnsi="宋体" w:cs="宋体"/>
                <w:sz w:val="24"/>
                <w:szCs w:val="24"/>
                <w:highlight w:val="none"/>
              </w:rPr>
              <w:t>帧</w:t>
            </w:r>
            <w:r>
              <w:rPr>
                <w:rFonts w:hint="eastAsia" w:ascii="宋体" w:hAnsi="宋体" w:cs="宋体"/>
                <w:sz w:val="24"/>
                <w:szCs w:val="24"/>
                <w:highlight w:val="none"/>
                <w:lang w:eastAsia="zh-Hans"/>
              </w:rPr>
              <w:t>/</w:t>
            </w:r>
            <w:r>
              <w:rPr>
                <w:rFonts w:hint="eastAsia" w:ascii="宋体" w:hAnsi="宋体" w:cs="宋体"/>
                <w:sz w:val="24"/>
                <w:szCs w:val="24"/>
                <w:highlight w:val="none"/>
              </w:rPr>
              <w:t>s，连续摄录时间不低于11h</w:t>
            </w:r>
            <w:r>
              <w:rPr>
                <w:rFonts w:hint="eastAsia" w:ascii="宋体" w:hAnsi="宋体" w:cs="宋体"/>
                <w:sz w:val="24"/>
                <w:szCs w:val="24"/>
                <w:highlight w:val="none"/>
                <w:lang w:eastAsia="zh-Han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lang w:eastAsia="zh-Hans"/>
              </w:rPr>
              <w:t>更换电池不断电</w:t>
            </w:r>
          </w:p>
        </w:tc>
        <w:tc>
          <w:tcPr>
            <w:tcW w:w="6662" w:type="dxa"/>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rPr>
              <w:t>执法记录仪</w:t>
            </w:r>
            <w:r>
              <w:rPr>
                <w:rFonts w:hint="eastAsia" w:ascii="宋体" w:hAnsi="宋体" w:cs="宋体"/>
                <w:sz w:val="24"/>
                <w:szCs w:val="24"/>
                <w:highlight w:val="none"/>
                <w:lang w:eastAsia="zh-Hans"/>
              </w:rPr>
              <w:t>内置小电池，当更换主电池的时候，设备工作状态不应发生变更。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紧急摄录</w:t>
            </w:r>
          </w:p>
        </w:tc>
        <w:tc>
          <w:tcPr>
            <w:tcW w:w="6662" w:type="dxa"/>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rPr>
              <w:t>在待机状态下发生撞击时，可自动进入录像模式。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移动侦测</w:t>
            </w:r>
          </w:p>
        </w:tc>
        <w:tc>
          <w:tcPr>
            <w:tcW w:w="6662" w:type="dxa"/>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lang w:eastAsia="zh-Hans"/>
              </w:rPr>
              <w:t>开启移动侦测功能，待机预览状态下执法记录仪检测到画面变化可自动开启录像。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录像文件大小</w:t>
            </w:r>
          </w:p>
        </w:tc>
        <w:tc>
          <w:tcPr>
            <w:tcW w:w="6662" w:type="dxa"/>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lang w:eastAsia="zh-Hans"/>
              </w:rPr>
              <w:t>设备</w:t>
            </w:r>
            <w:r>
              <w:rPr>
                <w:rFonts w:hint="eastAsia" w:ascii="宋体" w:hAnsi="宋体" w:cs="宋体"/>
                <w:sz w:val="24"/>
                <w:szCs w:val="24"/>
                <w:highlight w:val="none"/>
              </w:rPr>
              <w:t>在</w:t>
            </w:r>
            <w:r>
              <w:rPr>
                <w:rFonts w:hint="eastAsia" w:ascii="宋体" w:hAnsi="宋体" w:cs="宋体"/>
                <w:sz w:val="24"/>
                <w:szCs w:val="24"/>
                <w:highlight w:val="none"/>
                <w:lang w:eastAsia="zh-Hans"/>
              </w:rPr>
              <w:t>各视频分辨率</w:t>
            </w:r>
            <w:r>
              <w:rPr>
                <w:rFonts w:ascii="宋体" w:hAnsi="宋体" w:cs="宋体"/>
                <w:sz w:val="24"/>
                <w:szCs w:val="24"/>
                <w:highlight w:val="none"/>
                <w:lang w:eastAsia="zh-Hans"/>
              </w:rPr>
              <w:t>H.265</w:t>
            </w:r>
            <w:r>
              <w:rPr>
                <w:rFonts w:hint="eastAsia" w:ascii="宋体" w:hAnsi="宋体" w:cs="宋体"/>
                <w:sz w:val="24"/>
                <w:szCs w:val="24"/>
                <w:highlight w:val="none"/>
                <w:lang w:eastAsia="zh-Hans"/>
              </w:rPr>
              <w:t>编码</w:t>
            </w:r>
            <w:r>
              <w:rPr>
                <w:rFonts w:hint="eastAsia" w:ascii="宋体" w:hAnsi="宋体" w:cs="宋体"/>
                <w:sz w:val="24"/>
                <w:szCs w:val="24"/>
                <w:highlight w:val="none"/>
              </w:rPr>
              <w:t>格式</w:t>
            </w:r>
            <w:r>
              <w:rPr>
                <w:rFonts w:hint="eastAsia" w:ascii="宋体" w:hAnsi="宋体" w:cs="宋体"/>
                <w:sz w:val="24"/>
                <w:szCs w:val="24"/>
                <w:highlight w:val="none"/>
                <w:lang w:eastAsia="zh-Hans"/>
              </w:rPr>
              <w:t>下，视频质量正常的情况下</w:t>
            </w:r>
            <w:r>
              <w:rPr>
                <w:rFonts w:ascii="宋体" w:hAnsi="宋体" w:cs="宋体"/>
                <w:sz w:val="24"/>
                <w:szCs w:val="24"/>
                <w:highlight w:val="none"/>
                <w:lang w:eastAsia="zh-Hans"/>
              </w:rPr>
              <w:t>1</w:t>
            </w:r>
            <w:r>
              <w:rPr>
                <w:rFonts w:hint="eastAsia" w:ascii="宋体" w:hAnsi="宋体" w:cs="宋体"/>
                <w:sz w:val="24"/>
                <w:szCs w:val="24"/>
                <w:highlight w:val="none"/>
              </w:rPr>
              <w:t>小时</w:t>
            </w:r>
            <w:r>
              <w:rPr>
                <w:rFonts w:hint="eastAsia" w:ascii="宋体" w:hAnsi="宋体" w:cs="宋体"/>
                <w:sz w:val="24"/>
                <w:szCs w:val="24"/>
                <w:highlight w:val="none"/>
                <w:lang w:eastAsia="zh-Hans"/>
              </w:rPr>
              <w:t>录制文件大小：</w:t>
            </w:r>
          </w:p>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rPr>
              <w:t>1920*1080</w:t>
            </w:r>
            <w:r>
              <w:rPr>
                <w:rFonts w:ascii="宋体" w:hAnsi="宋体" w:cs="宋体"/>
                <w:sz w:val="24"/>
                <w:szCs w:val="24"/>
                <w:highlight w:val="none"/>
              </w:rPr>
              <w:t xml:space="preserve"> 25</w:t>
            </w:r>
            <w:r>
              <w:rPr>
                <w:rFonts w:hint="eastAsia" w:ascii="宋体" w:hAnsi="宋体" w:cs="宋体"/>
                <w:sz w:val="24"/>
                <w:szCs w:val="24"/>
                <w:highlight w:val="none"/>
              </w:rPr>
              <w:t>帧</w:t>
            </w:r>
            <w:r>
              <w:rPr>
                <w:rFonts w:hint="eastAsia" w:ascii="宋体" w:hAnsi="宋体" w:cs="宋体"/>
                <w:sz w:val="24"/>
                <w:szCs w:val="24"/>
                <w:highlight w:val="none"/>
                <w:lang w:eastAsia="zh-Hans"/>
              </w:rPr>
              <w:t>/</w:t>
            </w:r>
            <w:r>
              <w:rPr>
                <w:rFonts w:hint="eastAsia" w:ascii="宋体" w:hAnsi="宋体" w:cs="宋体"/>
                <w:sz w:val="24"/>
                <w:szCs w:val="24"/>
                <w:highlight w:val="none"/>
              </w:rPr>
              <w:t xml:space="preserve">秒 </w:t>
            </w:r>
            <w:r>
              <w:rPr>
                <w:rFonts w:hint="eastAsia" w:ascii="宋体" w:hAnsi="宋体" w:cs="宋体"/>
                <w:sz w:val="24"/>
                <w:szCs w:val="24"/>
                <w:highlight w:val="none"/>
                <w:lang w:eastAsia="zh-Hans"/>
              </w:rPr>
              <w:t>小于</w:t>
            </w:r>
            <w:r>
              <w:rPr>
                <w:rFonts w:hint="eastAsia" w:ascii="宋体" w:hAnsi="宋体" w:cs="宋体"/>
                <w:sz w:val="24"/>
                <w:szCs w:val="24"/>
                <w:highlight w:val="none"/>
              </w:rPr>
              <w:t>2</w:t>
            </w:r>
            <w:r>
              <w:rPr>
                <w:rFonts w:ascii="宋体" w:hAnsi="宋体" w:cs="宋体"/>
                <w:sz w:val="24"/>
                <w:szCs w:val="24"/>
                <w:highlight w:val="none"/>
                <w:lang w:eastAsia="zh-Hans"/>
              </w:rPr>
              <w:t>GB</w:t>
            </w:r>
          </w:p>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rPr>
              <w:t>1280*720</w:t>
            </w:r>
            <w:r>
              <w:rPr>
                <w:rFonts w:ascii="宋体" w:hAnsi="宋体" w:cs="宋体"/>
                <w:sz w:val="24"/>
                <w:szCs w:val="24"/>
                <w:highlight w:val="none"/>
              </w:rPr>
              <w:t xml:space="preserve"> 25</w:t>
            </w:r>
            <w:r>
              <w:rPr>
                <w:rFonts w:hint="eastAsia" w:ascii="宋体" w:hAnsi="宋体" w:cs="宋体"/>
                <w:sz w:val="24"/>
                <w:szCs w:val="24"/>
                <w:highlight w:val="none"/>
              </w:rPr>
              <w:t>帧</w:t>
            </w:r>
            <w:r>
              <w:rPr>
                <w:rFonts w:hint="eastAsia" w:ascii="宋体" w:hAnsi="宋体" w:cs="宋体"/>
                <w:sz w:val="24"/>
                <w:szCs w:val="24"/>
                <w:highlight w:val="none"/>
                <w:lang w:eastAsia="zh-Hans"/>
              </w:rPr>
              <w:t>/</w:t>
            </w:r>
            <w:r>
              <w:rPr>
                <w:rFonts w:hint="eastAsia" w:ascii="宋体" w:hAnsi="宋体" w:cs="宋体"/>
                <w:sz w:val="24"/>
                <w:szCs w:val="24"/>
                <w:highlight w:val="none"/>
              </w:rPr>
              <w:t xml:space="preserve">秒 </w:t>
            </w:r>
            <w:r>
              <w:rPr>
                <w:rFonts w:hint="eastAsia" w:ascii="宋体" w:hAnsi="宋体" w:cs="宋体"/>
                <w:sz w:val="24"/>
                <w:szCs w:val="24"/>
                <w:highlight w:val="none"/>
                <w:lang w:eastAsia="zh-Hans"/>
              </w:rPr>
              <w:t>小于</w:t>
            </w:r>
            <w:r>
              <w:rPr>
                <w:rFonts w:hint="eastAsia" w:ascii="宋体" w:hAnsi="宋体" w:cs="宋体"/>
                <w:sz w:val="24"/>
                <w:szCs w:val="24"/>
                <w:highlight w:val="none"/>
              </w:rPr>
              <w:t>1.5</w:t>
            </w:r>
            <w:r>
              <w:rPr>
                <w:rFonts w:ascii="宋体" w:hAnsi="宋体" w:cs="宋体"/>
                <w:sz w:val="24"/>
                <w:szCs w:val="24"/>
                <w:highlight w:val="none"/>
                <w:lang w:eastAsia="zh-Hans"/>
              </w:rPr>
              <w:t>GB</w:t>
            </w:r>
          </w:p>
          <w:p>
            <w:pPr>
              <w:widowControl/>
              <w:textAlignment w:val="top"/>
              <w:rPr>
                <w:rFonts w:ascii="宋体" w:hAnsi="宋体" w:cs="宋体"/>
                <w:sz w:val="24"/>
                <w:szCs w:val="24"/>
                <w:highlight w:val="none"/>
                <w:lang w:eastAsia="zh-Hans"/>
              </w:rPr>
            </w:pPr>
            <w:r>
              <w:rPr>
                <w:rFonts w:ascii="宋体" w:hAnsi="宋体" w:cs="宋体"/>
                <w:sz w:val="24"/>
                <w:szCs w:val="24"/>
                <w:highlight w:val="none"/>
                <w:lang w:eastAsia="zh-Hans"/>
              </w:rPr>
              <w:t>864</w:t>
            </w:r>
            <w:r>
              <w:rPr>
                <w:rFonts w:hint="eastAsia" w:ascii="宋体" w:hAnsi="宋体" w:cs="宋体"/>
                <w:sz w:val="24"/>
                <w:szCs w:val="24"/>
                <w:highlight w:val="none"/>
              </w:rPr>
              <w:t>*</w:t>
            </w:r>
            <w:r>
              <w:rPr>
                <w:rFonts w:ascii="宋体" w:hAnsi="宋体" w:cs="宋体"/>
                <w:sz w:val="24"/>
                <w:szCs w:val="24"/>
                <w:highlight w:val="none"/>
                <w:lang w:eastAsia="zh-Hans"/>
              </w:rPr>
              <w:t>480</w:t>
            </w:r>
            <w:r>
              <w:rPr>
                <w:rFonts w:ascii="宋体" w:hAnsi="宋体" w:cs="宋体"/>
                <w:sz w:val="24"/>
                <w:szCs w:val="24"/>
                <w:highlight w:val="none"/>
              </w:rPr>
              <w:t xml:space="preserve"> </w:t>
            </w:r>
            <w:r>
              <w:rPr>
                <w:rFonts w:hint="eastAsia" w:ascii="宋体" w:hAnsi="宋体" w:cs="宋体"/>
                <w:sz w:val="24"/>
                <w:szCs w:val="24"/>
                <w:highlight w:val="none"/>
              </w:rPr>
              <w:t>帧</w:t>
            </w:r>
            <w:r>
              <w:rPr>
                <w:rFonts w:hint="eastAsia" w:ascii="宋体" w:hAnsi="宋体" w:cs="宋体"/>
                <w:sz w:val="24"/>
                <w:szCs w:val="24"/>
                <w:highlight w:val="none"/>
                <w:lang w:eastAsia="zh-Hans"/>
              </w:rPr>
              <w:t>/</w:t>
            </w:r>
            <w:r>
              <w:rPr>
                <w:rFonts w:hint="eastAsia" w:ascii="宋体" w:hAnsi="宋体" w:cs="宋体"/>
                <w:sz w:val="24"/>
                <w:szCs w:val="24"/>
                <w:highlight w:val="none"/>
              </w:rPr>
              <w:t xml:space="preserve">秒 </w:t>
            </w:r>
            <w:r>
              <w:rPr>
                <w:rFonts w:hint="eastAsia" w:ascii="宋体" w:hAnsi="宋体" w:cs="宋体"/>
                <w:sz w:val="24"/>
                <w:szCs w:val="24"/>
                <w:highlight w:val="none"/>
                <w:lang w:eastAsia="zh-Hans"/>
              </w:rPr>
              <w:t>小于</w:t>
            </w:r>
            <w:r>
              <w:rPr>
                <w:rFonts w:ascii="宋体" w:hAnsi="宋体" w:cs="宋体"/>
                <w:sz w:val="24"/>
                <w:szCs w:val="24"/>
                <w:highlight w:val="none"/>
                <w:lang w:eastAsia="zh-Hans"/>
              </w:rPr>
              <w:t>0.</w:t>
            </w:r>
            <w:r>
              <w:rPr>
                <w:rFonts w:hint="eastAsia" w:ascii="宋体" w:hAnsi="宋体" w:cs="宋体"/>
                <w:sz w:val="24"/>
                <w:szCs w:val="24"/>
                <w:highlight w:val="none"/>
              </w:rPr>
              <w:t>8</w:t>
            </w:r>
            <w:r>
              <w:rPr>
                <w:rFonts w:ascii="宋体" w:hAnsi="宋体" w:cs="宋体"/>
                <w:sz w:val="24"/>
                <w:szCs w:val="24"/>
                <w:highlight w:val="none"/>
                <w:lang w:eastAsia="zh-Hans"/>
              </w:rPr>
              <w:t>GB</w:t>
            </w:r>
            <w:r>
              <w:rPr>
                <w:rFonts w:hint="eastAsia" w:ascii="宋体" w:hAnsi="宋体" w:cs="宋体"/>
                <w:sz w:val="24"/>
                <w:szCs w:val="24"/>
                <w:highlight w:val="none"/>
                <w:lang w:eastAsia="zh-Han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执法提示</w:t>
            </w:r>
          </w:p>
        </w:tc>
        <w:tc>
          <w:tcPr>
            <w:tcW w:w="6662" w:type="dxa"/>
          </w:tcPr>
          <w:p>
            <w:pPr>
              <w:widowControl/>
              <w:textAlignment w:val="top"/>
              <w:rPr>
                <w:rFonts w:ascii="宋体" w:hAnsi="宋体" w:cs="宋体"/>
                <w:sz w:val="24"/>
                <w:szCs w:val="24"/>
                <w:highlight w:val="none"/>
              </w:rPr>
            </w:pPr>
            <w:r>
              <w:rPr>
                <w:rFonts w:hint="eastAsia" w:ascii="宋体" w:hAnsi="宋体" w:cs="宋体"/>
                <w:sz w:val="24"/>
                <w:szCs w:val="24"/>
                <w:highlight w:val="none"/>
              </w:rPr>
              <w:t>设备正面应具备显示屏，用于进行执法状态提示。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绝缘电阻</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设备充电器或电源适配器的电极或与电源电极相连的其他导电电路与易触及部件间的绝缘电阻应≥10000MΩ。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rPr>
              <w:t>泄漏电流</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符合《GB16796-2009》标准中5.4.6的要求。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shd w:val="clear" w:color="auto" w:fill="auto"/>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高低温性能</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在温度为(55±2)</w:t>
            </w:r>
            <w:r>
              <w:rPr>
                <w:rFonts w:hint="eastAsia" w:ascii="宋体" w:hAnsi="宋体" w:cs="宋体"/>
                <w:sz w:val="24"/>
                <w:szCs w:val="24"/>
                <w:highlight w:val="none"/>
                <w:lang w:eastAsia="zh-Hans"/>
              </w:rPr>
              <w:t>℃</w:t>
            </w:r>
            <w:r>
              <w:rPr>
                <w:rFonts w:ascii="宋体" w:hAnsi="宋体" w:cs="宋体"/>
                <w:sz w:val="24"/>
                <w:szCs w:val="24"/>
                <w:highlight w:val="none"/>
                <w:lang w:eastAsia="zh-Hans"/>
              </w:rPr>
              <w:t>情况下正常工作状态的设备可持续工作时间≥4小时；在温度为(-30±3)</w:t>
            </w:r>
            <w:r>
              <w:rPr>
                <w:rFonts w:hint="eastAsia" w:ascii="宋体" w:hAnsi="宋体" w:cs="宋体"/>
                <w:sz w:val="24"/>
                <w:szCs w:val="24"/>
                <w:highlight w:val="none"/>
                <w:lang w:eastAsia="zh-Hans"/>
              </w:rPr>
              <w:t>℃</w:t>
            </w:r>
            <w:r>
              <w:rPr>
                <w:rFonts w:ascii="宋体" w:hAnsi="宋体" w:cs="宋体"/>
                <w:sz w:val="24"/>
                <w:szCs w:val="24"/>
                <w:highlight w:val="none"/>
                <w:lang w:eastAsia="zh-Hans"/>
              </w:rPr>
              <w:t>情况下正常工作状态的设备在更换一次电池情况下可持续工作时间≥2小时，符合A级要求。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耐久性</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设备主要部件进行耐久性测试，电源开关≥3000次、快门≥10000次、液晶显示以及开关≥2000次、可动部件≥3000次、模式选择开关≥3000次、USB接口以及连接线≥1000次。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一键切换功能</w:t>
            </w:r>
          </w:p>
        </w:tc>
        <w:tc>
          <w:tcPr>
            <w:tcW w:w="6662" w:type="dxa"/>
            <w:vAlign w:val="center"/>
          </w:tcPr>
          <w:p>
            <w:pPr>
              <w:widowControl/>
              <w:textAlignment w:val="top"/>
              <w:rPr>
                <w:rFonts w:ascii="宋体" w:hAnsi="宋体" w:cs="宋体"/>
                <w:sz w:val="24"/>
                <w:szCs w:val="24"/>
                <w:highlight w:val="none"/>
                <w:lang w:eastAsia="zh-Hans"/>
              </w:rPr>
            </w:pPr>
            <w:r>
              <w:rPr>
                <w:rFonts w:ascii="宋体" w:hAnsi="宋体" w:cs="宋体"/>
                <w:sz w:val="24"/>
                <w:szCs w:val="24"/>
                <w:highlight w:val="none"/>
                <w:lang w:eastAsia="zh-Hans"/>
              </w:rPr>
              <w:t>设备在摄录时按下录音键保存当前录像文件后开始录音，在录音时按下摄录键保存当前录音文件后开始摄录。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抓拍功能</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设备在摄录过程中通过按下照相键应能抓拍与视频分辨率相同的照片，但不应影响正常的摄录。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8" w:hRule="atLeast"/>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sz w:val="24"/>
                <w:szCs w:val="24"/>
                <w:highlight w:val="none"/>
              </w:rPr>
              <w:t>■</w:t>
            </w:r>
            <w:r>
              <w:rPr>
                <w:rFonts w:cs="Calibri"/>
                <w:sz w:val="24"/>
                <w:szCs w:val="24"/>
                <w:highlight w:val="none"/>
              </w:rPr>
              <w:t>①</w:t>
            </w:r>
            <w:r>
              <w:rPr>
                <w:rFonts w:hint="eastAsia" w:ascii="宋体" w:hAnsi="宋体" w:cs="宋体"/>
                <w:sz w:val="24"/>
                <w:szCs w:val="24"/>
                <w:highlight w:val="none"/>
              </w:rPr>
              <w:t>自动断网功能</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当执法记录仪接入采集设备进行音视频数据采集时，自动关闭所有网络功能，包括W</w:t>
            </w:r>
            <w:r>
              <w:rPr>
                <w:rFonts w:ascii="宋体" w:hAnsi="宋体" w:cs="宋体"/>
                <w:sz w:val="24"/>
                <w:szCs w:val="24"/>
                <w:highlight w:val="none"/>
              </w:rPr>
              <w:t>IFI</w:t>
            </w:r>
            <w:r>
              <w:rPr>
                <w:rFonts w:hint="eastAsia" w:ascii="宋体" w:hAnsi="宋体" w:cs="宋体"/>
                <w:sz w:val="24"/>
                <w:szCs w:val="24"/>
                <w:highlight w:val="none"/>
              </w:rPr>
              <w:t>、4G、蓝牙等。</w:t>
            </w:r>
          </w:p>
          <w:p>
            <w:pPr>
              <w:widowControl/>
              <w:textAlignment w:val="top"/>
              <w:rPr>
                <w:rFonts w:ascii="宋体" w:hAnsi="宋体" w:cs="宋体"/>
                <w:sz w:val="24"/>
                <w:szCs w:val="24"/>
                <w:highlight w:val="none"/>
                <w:lang w:eastAsia="zh-Hans"/>
              </w:rPr>
            </w:pPr>
            <w:r>
              <w:rPr>
                <w:rFonts w:hint="eastAsia" w:ascii="宋体" w:hAnsi="宋体" w:cs="宋体"/>
                <w:b/>
                <w:bCs/>
                <w:sz w:val="24"/>
                <w:szCs w:val="24"/>
                <w:highlight w:val="none"/>
                <w:lang w:eastAsia="zh-Hans"/>
              </w:rPr>
              <w:t>(</w:t>
            </w:r>
            <w:r>
              <w:rPr>
                <w:rFonts w:hint="eastAsia" w:ascii="宋体" w:hAnsi="宋体"/>
                <w:b/>
                <w:bCs/>
                <w:sz w:val="24"/>
                <w:szCs w:val="24"/>
                <w:highlight w:val="none"/>
              </w:rPr>
              <w:t>需提供第三方权威检测机构出具的检测报告证明</w:t>
            </w:r>
            <w:r>
              <w:rPr>
                <w:rFonts w:hint="eastAsia" w:ascii="宋体" w:hAnsi="宋体" w:cs="宋体"/>
                <w:b/>
                <w:bCs/>
                <w:sz w:val="24"/>
                <w:szCs w:val="24"/>
                <w:highlight w:val="none"/>
                <w:lang w:eastAsia="zh-Hans"/>
              </w:rPr>
              <w:t>复印件加盖公章证明参数指标合格，提供具体条款对应的序号，投标文件中若未列明检测报告中的序号，则视为条款不满足。)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无线传输功能</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可接入移动、联通、电信</w:t>
            </w:r>
            <w:r>
              <w:rPr>
                <w:rFonts w:hint="eastAsia" w:ascii="宋体" w:hAnsi="宋体" w:cs="宋体"/>
                <w:sz w:val="24"/>
                <w:szCs w:val="24"/>
                <w:highlight w:val="none"/>
                <w:lang w:eastAsia="zh-Hans"/>
              </w:rPr>
              <w:t>4G</w:t>
            </w:r>
            <w:r>
              <w:rPr>
                <w:rFonts w:ascii="宋体" w:hAnsi="宋体" w:cs="宋体"/>
                <w:sz w:val="24"/>
                <w:szCs w:val="24"/>
                <w:highlight w:val="none"/>
                <w:lang w:eastAsia="zh-Hans"/>
              </w:rPr>
              <w:t xml:space="preserve"> SIM</w:t>
            </w:r>
            <w:r>
              <w:rPr>
                <w:rFonts w:hint="eastAsia" w:ascii="宋体" w:hAnsi="宋体" w:cs="宋体"/>
                <w:sz w:val="24"/>
                <w:szCs w:val="24"/>
                <w:highlight w:val="none"/>
              </w:rPr>
              <w:t>卡，实现无线传输功能；视频回传的同时可下载并保存视频文件到本地</w:t>
            </w:r>
            <w:r>
              <w:rPr>
                <w:rFonts w:hint="eastAsia" w:ascii="宋体" w:hAnsi="宋体" w:cs="宋体"/>
                <w:sz w:val="24"/>
                <w:szCs w:val="24"/>
                <w:highlight w:val="none"/>
                <w:lang w:eastAsia="zh-Hans"/>
              </w:rPr>
              <w:t>P</w:t>
            </w:r>
            <w:r>
              <w:rPr>
                <w:rFonts w:ascii="宋体" w:hAnsi="宋体" w:cs="宋体"/>
                <w:sz w:val="24"/>
                <w:szCs w:val="24"/>
                <w:highlight w:val="none"/>
                <w:lang w:eastAsia="zh-Hans"/>
              </w:rPr>
              <w:t>C</w:t>
            </w:r>
            <w:r>
              <w:rPr>
                <w:rFonts w:hint="eastAsia" w:ascii="宋体" w:hAnsi="宋体" w:cs="宋体"/>
                <w:sz w:val="24"/>
                <w:szCs w:val="24"/>
                <w:highlight w:val="none"/>
              </w:rPr>
              <w:t>；开启无线图传功能后，存储和传输的视频的参数可有所不同并可以独立设置。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无线图传解析力</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lang w:eastAsia="zh-Hans"/>
              </w:rPr>
              <w:t>设备通过网络连接系统平台</w:t>
            </w:r>
            <w:r>
              <w:rPr>
                <w:rFonts w:ascii="宋体" w:hAnsi="宋体" w:cs="宋体"/>
                <w:sz w:val="24"/>
                <w:szCs w:val="24"/>
                <w:highlight w:val="none"/>
                <w:lang w:eastAsia="zh-Hans"/>
              </w:rPr>
              <w:t>，</w:t>
            </w:r>
            <w:r>
              <w:rPr>
                <w:rFonts w:hint="eastAsia" w:ascii="宋体" w:hAnsi="宋体" w:cs="宋体"/>
                <w:sz w:val="24"/>
                <w:szCs w:val="24"/>
                <w:highlight w:val="none"/>
                <w:lang w:eastAsia="zh-Hans"/>
              </w:rPr>
              <w:t>实时视频拉流时</w:t>
            </w:r>
            <w:r>
              <w:rPr>
                <w:rFonts w:ascii="宋体" w:hAnsi="宋体" w:cs="宋体"/>
                <w:sz w:val="24"/>
                <w:szCs w:val="24"/>
                <w:highlight w:val="none"/>
                <w:lang w:eastAsia="zh-Hans"/>
              </w:rPr>
              <w:t>，</w:t>
            </w:r>
            <w:r>
              <w:rPr>
                <w:rFonts w:hint="eastAsia" w:ascii="宋体" w:hAnsi="宋体" w:cs="宋体"/>
                <w:sz w:val="24"/>
                <w:szCs w:val="24"/>
                <w:highlight w:val="none"/>
                <w:lang w:eastAsia="zh-Hans"/>
              </w:rPr>
              <w:t>存储和传输的视频分辨力</w:t>
            </w:r>
            <w:r>
              <w:rPr>
                <w:rFonts w:ascii="宋体" w:hAnsi="宋体" w:cs="宋体"/>
                <w:sz w:val="24"/>
                <w:szCs w:val="24"/>
                <w:highlight w:val="none"/>
                <w:lang w:eastAsia="zh-Hans"/>
              </w:rPr>
              <w:t>1920*1080</w:t>
            </w:r>
            <w:r>
              <w:rPr>
                <w:rFonts w:hint="eastAsia" w:ascii="宋体" w:hAnsi="宋体" w:cs="宋体"/>
                <w:sz w:val="24"/>
                <w:szCs w:val="24"/>
                <w:highlight w:val="none"/>
                <w:lang w:eastAsia="zh-Hans"/>
              </w:rPr>
              <w:t>应大于等于</w:t>
            </w:r>
            <w:r>
              <w:rPr>
                <w:rFonts w:ascii="宋体" w:hAnsi="宋体" w:cs="宋体"/>
                <w:sz w:val="24"/>
                <w:szCs w:val="24"/>
                <w:highlight w:val="none"/>
                <w:lang w:eastAsia="zh-Hans"/>
              </w:rPr>
              <w:t>700</w:t>
            </w:r>
            <w:r>
              <w:rPr>
                <w:rFonts w:hint="eastAsia" w:ascii="宋体" w:hAnsi="宋体" w:cs="宋体"/>
                <w:sz w:val="24"/>
                <w:szCs w:val="24"/>
                <w:highlight w:val="none"/>
                <w:lang w:eastAsia="zh-Hans"/>
              </w:rPr>
              <w:t>线，</w:t>
            </w:r>
            <w:r>
              <w:rPr>
                <w:rFonts w:ascii="宋体" w:hAnsi="宋体" w:cs="宋体"/>
                <w:sz w:val="24"/>
                <w:szCs w:val="24"/>
                <w:highlight w:val="none"/>
                <w:lang w:eastAsia="zh-Hans"/>
              </w:rPr>
              <w:t>1280*720</w:t>
            </w:r>
            <w:r>
              <w:rPr>
                <w:rFonts w:hint="eastAsia" w:ascii="宋体" w:hAnsi="宋体" w:cs="宋体"/>
                <w:sz w:val="24"/>
                <w:szCs w:val="24"/>
                <w:highlight w:val="none"/>
                <w:lang w:eastAsia="zh-Hans"/>
              </w:rPr>
              <w:t>应大于等于</w:t>
            </w:r>
            <w:r>
              <w:rPr>
                <w:rFonts w:ascii="宋体" w:hAnsi="宋体" w:cs="宋体"/>
                <w:sz w:val="24"/>
                <w:szCs w:val="24"/>
                <w:highlight w:val="none"/>
                <w:lang w:eastAsia="zh-Hans"/>
              </w:rPr>
              <w:t>600</w:t>
            </w:r>
            <w:r>
              <w:rPr>
                <w:rFonts w:hint="eastAsia" w:ascii="宋体" w:hAnsi="宋体" w:cs="宋体"/>
                <w:sz w:val="24"/>
                <w:szCs w:val="24"/>
                <w:highlight w:val="none"/>
                <w:lang w:eastAsia="zh-Hans"/>
              </w:rPr>
              <w:t>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rPr>
              <w:t>状态上报功能</w:t>
            </w:r>
          </w:p>
        </w:tc>
        <w:tc>
          <w:tcPr>
            <w:tcW w:w="6662" w:type="dxa"/>
            <w:vAlign w:val="center"/>
          </w:tcPr>
          <w:p>
            <w:pPr>
              <w:pStyle w:val="4"/>
              <w:ind w:firstLine="240"/>
              <w:rPr>
                <w:sz w:val="24"/>
                <w:highlight w:val="none"/>
                <w:lang w:eastAsia="zh-Hans"/>
              </w:rPr>
            </w:pPr>
            <w:r>
              <w:rPr>
                <w:rFonts w:hint="eastAsia"/>
                <w:sz w:val="24"/>
                <w:highlight w:val="none"/>
              </w:rPr>
              <w:t>在可联网状态下，可向管理平台上报当前坐标，剩余电量、剩余存储容量、设备序号。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cs="宋体"/>
                <w:sz w:val="24"/>
                <w:szCs w:val="24"/>
                <w:highlight w:val="none"/>
              </w:rPr>
              <w:t>上传统计功能</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可在本机查看已上传/未上传至管理平台的视音频文件数量，并可查阅未上传文件。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卫星定位功能</w:t>
            </w:r>
          </w:p>
        </w:tc>
        <w:tc>
          <w:tcPr>
            <w:tcW w:w="6662" w:type="dxa"/>
            <w:vAlign w:val="center"/>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lang w:eastAsia="zh-Hans"/>
              </w:rPr>
              <w:t>执法记录仪可接收卫星数据并提供定位信息，应使用北斗卫星导航定位。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补光功能</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设备具有白光补光灯，补光灯应以常亮方式进行补光，实现夜间照明和夜间彩色视频录像和拍照。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集群对讲</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多个用户可以编成一个小组，进行呼叫，同一时间只能有一个用户讲话。能够随时对用户进行动态的重新编组，可以把某些用户或用户组重新编成一个大组。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实时回传视频信息功能</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可支持双码流，</w:t>
            </w:r>
            <w:r>
              <w:rPr>
                <w:rFonts w:hint="eastAsia" w:ascii="宋体" w:hAnsi="宋体" w:cs="宋体"/>
                <w:sz w:val="24"/>
                <w:szCs w:val="24"/>
                <w:highlight w:val="none"/>
                <w:lang w:eastAsia="zh-Hans"/>
              </w:rPr>
              <w:t>一</w:t>
            </w:r>
            <w:r>
              <w:rPr>
                <w:rFonts w:ascii="宋体" w:hAnsi="宋体" w:cs="宋体"/>
                <w:sz w:val="24"/>
                <w:szCs w:val="24"/>
                <w:highlight w:val="none"/>
                <w:lang w:eastAsia="zh-Hans"/>
              </w:rPr>
              <w:t>路进行本地录像的同时，另</w:t>
            </w:r>
            <w:r>
              <w:rPr>
                <w:rFonts w:hint="eastAsia" w:ascii="宋体" w:hAnsi="宋体" w:cs="宋体"/>
                <w:sz w:val="24"/>
                <w:szCs w:val="24"/>
                <w:highlight w:val="none"/>
                <w:lang w:eastAsia="zh-Hans"/>
              </w:rPr>
              <w:t>一</w:t>
            </w:r>
            <w:r>
              <w:rPr>
                <w:rFonts w:ascii="宋体" w:hAnsi="宋体" w:cs="宋体"/>
                <w:sz w:val="24"/>
                <w:szCs w:val="24"/>
                <w:highlight w:val="none"/>
                <w:lang w:eastAsia="zh-Hans"/>
              </w:rPr>
              <w:t>路向平台或指定地点上传视频信息。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数据接口</w:t>
            </w:r>
          </w:p>
        </w:tc>
        <w:tc>
          <w:tcPr>
            <w:tcW w:w="6662" w:type="dxa"/>
            <w:vAlign w:val="center"/>
          </w:tcPr>
          <w:p>
            <w:pPr>
              <w:widowControl/>
              <w:textAlignment w:val="top"/>
              <w:rPr>
                <w:rFonts w:ascii="宋体" w:hAnsi="宋体" w:cs="宋体"/>
                <w:sz w:val="24"/>
                <w:szCs w:val="24"/>
                <w:highlight w:val="none"/>
                <w:lang w:eastAsia="zh-Hans"/>
              </w:rPr>
            </w:pPr>
            <w:r>
              <w:rPr>
                <w:rFonts w:hint="eastAsia" w:ascii="宋体" w:hAnsi="宋体" w:cs="宋体"/>
                <w:sz w:val="24"/>
                <w:szCs w:val="24"/>
                <w:highlight w:val="none"/>
                <w:lang w:eastAsia="zh-Hans"/>
              </w:rPr>
              <w:t>执法记录仪的数据接口应符合GA/T 947.4-2015中5.1的要求。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自动校时</w:t>
            </w:r>
          </w:p>
        </w:tc>
        <w:tc>
          <w:tcPr>
            <w:tcW w:w="6662" w:type="dxa"/>
            <w:vAlign w:val="center"/>
          </w:tcPr>
          <w:p>
            <w:pPr>
              <w:widowControl/>
              <w:textAlignment w:val="top"/>
              <w:rPr>
                <w:rFonts w:ascii="宋体" w:hAnsi="宋体" w:cs="宋体"/>
                <w:sz w:val="24"/>
                <w:szCs w:val="24"/>
                <w:highlight w:val="none"/>
              </w:rPr>
            </w:pPr>
            <w:r>
              <w:rPr>
                <w:rFonts w:ascii="宋体" w:hAnsi="宋体" w:cs="宋体"/>
                <w:sz w:val="24"/>
                <w:szCs w:val="24"/>
                <w:highlight w:val="none"/>
                <w:lang w:eastAsia="zh-Hans"/>
              </w:rPr>
              <w:t>执法记录仪可自动与</w:t>
            </w:r>
            <w:r>
              <w:rPr>
                <w:rFonts w:hint="eastAsia" w:ascii="宋体" w:hAnsi="宋体" w:cs="宋体"/>
                <w:sz w:val="24"/>
                <w:szCs w:val="24"/>
                <w:highlight w:val="none"/>
                <w:lang w:eastAsia="zh-Hans"/>
              </w:rPr>
              <w:t>服务器</w:t>
            </w:r>
            <w:r>
              <w:rPr>
                <w:rFonts w:ascii="宋体" w:hAnsi="宋体" w:cs="宋体"/>
                <w:sz w:val="24"/>
                <w:szCs w:val="24"/>
                <w:highlight w:val="none"/>
                <w:lang w:eastAsia="zh-Hans"/>
              </w:rPr>
              <w:t>进行时间同步。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一键报警</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可在联网状态，按下相应的按键向管理平台发出报警信息，管理平台具有报警提示并开启视音频通话功能。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cs="宋体"/>
                <w:sz w:val="24"/>
                <w:szCs w:val="24"/>
                <w:highlight w:val="none"/>
                <w:lang w:eastAsia="zh-Hans"/>
              </w:rPr>
              <w:t>远程通知及播报功能</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lang w:eastAsia="zh-Hans"/>
              </w:rPr>
              <w:t>可在联网状态下，接收平台发送的通知，并通过语音自动播放通知正文。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lang w:eastAsia="zh-Hans"/>
              </w:rPr>
            </w:pPr>
            <w:r>
              <w:rPr>
                <w:rFonts w:hint="eastAsia" w:ascii="宋体" w:hAnsi="宋体"/>
                <w:sz w:val="24"/>
                <w:szCs w:val="24"/>
                <w:highlight w:val="none"/>
              </w:rPr>
              <w:t>■</w:t>
            </w:r>
            <w:r>
              <w:rPr>
                <w:rFonts w:cs="Calibri"/>
                <w:sz w:val="24"/>
                <w:szCs w:val="24"/>
                <w:highlight w:val="none"/>
              </w:rPr>
              <w:t>②</w:t>
            </w:r>
            <w:r>
              <w:rPr>
                <w:rFonts w:hint="eastAsia" w:ascii="宋体" w:hAnsi="宋体" w:cs="宋体"/>
                <w:sz w:val="24"/>
                <w:szCs w:val="24"/>
                <w:highlight w:val="none"/>
              </w:rPr>
              <w:t>内置</w:t>
            </w:r>
            <w:r>
              <w:rPr>
                <w:rFonts w:hint="eastAsia" w:ascii="宋体" w:hAnsi="宋体" w:cs="宋体"/>
                <w:sz w:val="24"/>
                <w:szCs w:val="24"/>
                <w:highlight w:val="none"/>
                <w:lang w:eastAsia="zh-Hans"/>
              </w:rPr>
              <w:t>RFID</w:t>
            </w:r>
            <w:r>
              <w:rPr>
                <w:rFonts w:hint="eastAsia" w:ascii="宋体" w:hAnsi="宋体" w:cs="宋体"/>
                <w:sz w:val="24"/>
                <w:szCs w:val="24"/>
                <w:highlight w:val="none"/>
              </w:rPr>
              <w:t>标签</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设备内置</w:t>
            </w:r>
            <w:r>
              <w:rPr>
                <w:rFonts w:hint="eastAsia" w:ascii="宋体" w:hAnsi="宋体" w:cs="宋体"/>
                <w:sz w:val="24"/>
                <w:szCs w:val="24"/>
                <w:highlight w:val="none"/>
                <w:lang w:eastAsia="zh-Hans"/>
              </w:rPr>
              <w:t>RFID</w:t>
            </w:r>
            <w:r>
              <w:rPr>
                <w:rFonts w:hint="eastAsia" w:ascii="宋体" w:hAnsi="宋体" w:cs="宋体"/>
                <w:sz w:val="24"/>
                <w:szCs w:val="24"/>
                <w:highlight w:val="none"/>
              </w:rPr>
              <w:t>电子标签。</w:t>
            </w:r>
          </w:p>
          <w:p>
            <w:pPr>
              <w:widowControl/>
              <w:textAlignment w:val="top"/>
              <w:rPr>
                <w:rFonts w:ascii="宋体" w:hAnsi="宋体" w:cs="宋体"/>
                <w:sz w:val="24"/>
                <w:szCs w:val="24"/>
                <w:highlight w:val="none"/>
                <w:lang w:eastAsia="zh-Hans"/>
              </w:rPr>
            </w:pPr>
            <w:r>
              <w:rPr>
                <w:rFonts w:hint="eastAsia" w:ascii="宋体" w:hAnsi="宋体" w:cs="宋体"/>
                <w:b/>
                <w:bCs/>
                <w:sz w:val="24"/>
                <w:szCs w:val="24"/>
                <w:highlight w:val="none"/>
                <w:lang w:eastAsia="zh-Hans"/>
              </w:rPr>
              <w:t>(</w:t>
            </w:r>
            <w:r>
              <w:rPr>
                <w:rFonts w:hint="eastAsia" w:ascii="宋体" w:hAnsi="宋体"/>
                <w:b/>
                <w:bCs/>
                <w:sz w:val="24"/>
                <w:szCs w:val="24"/>
                <w:highlight w:val="none"/>
              </w:rPr>
              <w:t>需提供第三方权威检测机构出具的检测报告证明</w:t>
            </w:r>
            <w:r>
              <w:rPr>
                <w:rFonts w:hint="eastAsia" w:ascii="宋体" w:hAnsi="宋体" w:cs="宋体"/>
                <w:b/>
                <w:bCs/>
                <w:sz w:val="24"/>
                <w:szCs w:val="24"/>
                <w:highlight w:val="none"/>
                <w:lang w:eastAsia="zh-Hans"/>
              </w:rPr>
              <w:t>复印件加盖公章证明参数指标合格，提供具体条款对应的序号，投标文件中若未列明检测报告中的序号，则视为条款不满足。)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center"/>
              <w:rPr>
                <w:rFonts w:ascii="宋体" w:hAnsi="宋体" w:cs="宋体"/>
                <w:sz w:val="24"/>
                <w:szCs w:val="24"/>
                <w:highlight w:val="none"/>
              </w:rPr>
            </w:pPr>
            <w:r>
              <w:rPr>
                <w:rFonts w:hint="eastAsia" w:ascii="宋体" w:hAnsi="宋体"/>
                <w:sz w:val="24"/>
                <w:szCs w:val="24"/>
                <w:highlight w:val="none"/>
              </w:rPr>
              <w:t>■</w:t>
            </w:r>
            <w:r>
              <w:rPr>
                <w:rFonts w:cs="Calibri"/>
                <w:sz w:val="24"/>
                <w:szCs w:val="24"/>
                <w:highlight w:val="none"/>
              </w:rPr>
              <w:t>③</w:t>
            </w:r>
            <w:r>
              <w:rPr>
                <w:rFonts w:hint="eastAsia" w:ascii="宋体" w:hAnsi="宋体" w:cs="宋体"/>
                <w:sz w:val="24"/>
                <w:szCs w:val="24"/>
                <w:highlight w:val="none"/>
              </w:rPr>
              <w:t>副屏提示</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设备具有正面副屏，可显示录像中、录音中、拍照中，执勤中等设备当前状态。</w:t>
            </w:r>
          </w:p>
          <w:p>
            <w:pPr>
              <w:widowControl/>
              <w:textAlignment w:val="top"/>
              <w:rPr>
                <w:rFonts w:ascii="宋体" w:hAnsi="宋体" w:cs="宋体"/>
                <w:sz w:val="24"/>
                <w:szCs w:val="24"/>
                <w:highlight w:val="none"/>
              </w:rPr>
            </w:pPr>
            <w:r>
              <w:rPr>
                <w:rFonts w:hint="eastAsia" w:ascii="宋体" w:hAnsi="宋体" w:cs="宋体"/>
                <w:b/>
                <w:bCs/>
                <w:sz w:val="24"/>
                <w:szCs w:val="24"/>
                <w:highlight w:val="none"/>
                <w:lang w:eastAsia="zh-Hans"/>
              </w:rPr>
              <w:t>(</w:t>
            </w:r>
            <w:r>
              <w:rPr>
                <w:rFonts w:hint="eastAsia" w:ascii="宋体" w:hAnsi="宋体"/>
                <w:b/>
                <w:bCs/>
                <w:sz w:val="24"/>
                <w:szCs w:val="24"/>
                <w:highlight w:val="none"/>
              </w:rPr>
              <w:t>需提供第三方权威检测机构出具的检测报告证明</w:t>
            </w:r>
            <w:r>
              <w:rPr>
                <w:rFonts w:hint="eastAsia" w:ascii="宋体" w:hAnsi="宋体" w:cs="宋体"/>
                <w:b/>
                <w:bCs/>
                <w:sz w:val="24"/>
                <w:szCs w:val="24"/>
                <w:highlight w:val="none"/>
                <w:lang w:eastAsia="zh-Hans"/>
              </w:rPr>
              <w:t>复印件加盖公章证明参数指标合格，提供具体条款对应的序号，投标文件中若未列明检测报告中的序号，则视为条款不满足。)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adjustRightInd w:val="0"/>
              <w:snapToGrid w:val="0"/>
              <w:jc w:val="left"/>
              <w:rPr>
                <w:rFonts w:ascii="宋体" w:hAnsi="宋体" w:cs="宋体"/>
                <w:b/>
                <w:bCs/>
                <w:sz w:val="24"/>
                <w:szCs w:val="24"/>
                <w:highlight w:val="none"/>
              </w:rPr>
            </w:pPr>
            <w:r>
              <w:rPr>
                <w:rFonts w:hint="eastAsia" w:ascii="宋体" w:hAnsi="宋体"/>
                <w:sz w:val="24"/>
                <w:szCs w:val="24"/>
                <w:highlight w:val="none"/>
              </w:rPr>
              <w:t>■</w:t>
            </w:r>
            <w:r>
              <w:rPr>
                <w:rFonts w:hint="eastAsia" w:ascii="宋体" w:hAnsi="宋体" w:cs="宋体"/>
                <w:sz w:val="24"/>
                <w:szCs w:val="24"/>
                <w:highlight w:val="none"/>
              </w:rPr>
              <w:t>④</w:t>
            </w:r>
            <w:r>
              <w:rPr>
                <w:rStyle w:val="12"/>
                <w:rFonts w:hint="eastAsia"/>
                <w:b w:val="0"/>
                <w:bCs w:val="0"/>
                <w:color w:val="auto"/>
                <w:sz w:val="24"/>
                <w:szCs w:val="24"/>
                <w:highlight w:val="none"/>
                <w:lang w:bidi="ar"/>
              </w:rPr>
              <w:t>GB 35114-2017协议支持</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设备支持GB 35114-2017标准协议。</w:t>
            </w:r>
          </w:p>
          <w:p>
            <w:pPr>
              <w:widowControl/>
              <w:textAlignment w:val="top"/>
              <w:rPr>
                <w:rFonts w:ascii="宋体" w:hAnsi="宋体" w:cs="宋体"/>
                <w:sz w:val="24"/>
                <w:szCs w:val="24"/>
                <w:highlight w:val="none"/>
                <w:lang w:eastAsia="zh-Hans"/>
              </w:rPr>
            </w:pPr>
            <w:r>
              <w:rPr>
                <w:rFonts w:hint="eastAsia" w:ascii="宋体" w:hAnsi="宋体" w:cs="宋体"/>
                <w:b/>
                <w:bCs/>
                <w:sz w:val="24"/>
                <w:szCs w:val="24"/>
                <w:highlight w:val="none"/>
                <w:lang w:eastAsia="zh-Hans"/>
              </w:rPr>
              <w:t>(需提供</w:t>
            </w:r>
            <w:r>
              <w:rPr>
                <w:rFonts w:hint="eastAsia" w:ascii="宋体" w:hAnsi="宋体"/>
                <w:b/>
                <w:bCs/>
                <w:sz w:val="24"/>
                <w:szCs w:val="24"/>
                <w:highlight w:val="none"/>
              </w:rPr>
              <w:t>第三方权威检测机构</w:t>
            </w:r>
            <w:r>
              <w:rPr>
                <w:rFonts w:hint="eastAsia" w:ascii="宋体" w:hAnsi="宋体" w:cs="宋体"/>
                <w:b/>
                <w:bCs/>
                <w:sz w:val="24"/>
                <w:szCs w:val="24"/>
                <w:highlight w:val="none"/>
                <w:lang w:eastAsia="zh-Hans"/>
              </w:rPr>
              <w:t>出具检测依据为GB 35114-2017 公共安全视频监控联网信息安全技术要求的检测报告，复印件加盖公章证明，如未提供或检测依据不符合，则视为条款不满足。)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widowControl/>
              <w:jc w:val="left"/>
              <w:rPr>
                <w:rStyle w:val="12"/>
                <w:b w:val="0"/>
                <w:bCs w:val="0"/>
                <w:color w:val="auto"/>
                <w:sz w:val="24"/>
                <w:szCs w:val="24"/>
                <w:highlight w:val="none"/>
                <w:lang w:bidi="ar"/>
              </w:rPr>
            </w:pPr>
            <w:r>
              <w:rPr>
                <w:rFonts w:ascii="KaiTi_GB2312" w:hAnsi="KaiTi_GB2312" w:cs="宋体"/>
                <w:kern w:val="0"/>
                <w:sz w:val="24"/>
                <w:szCs w:val="24"/>
                <w:highlight w:val="none"/>
              </w:rPr>
              <w:t>设备身份认证性能</w:t>
            </w:r>
          </w:p>
        </w:tc>
        <w:tc>
          <w:tcPr>
            <w:tcW w:w="6662" w:type="dxa"/>
            <w:vAlign w:val="center"/>
          </w:tcPr>
          <w:p>
            <w:pPr>
              <w:widowControl/>
              <w:textAlignment w:val="top"/>
              <w:rPr>
                <w:sz w:val="24"/>
                <w:szCs w:val="24"/>
                <w:highlight w:val="none"/>
              </w:rPr>
            </w:pPr>
            <w:r>
              <w:rPr>
                <w:rFonts w:ascii="宋体" w:hAnsi="宋体" w:cs="宋体"/>
                <w:sz w:val="24"/>
                <w:szCs w:val="24"/>
                <w:highlight w:val="none"/>
              </w:rPr>
              <w:t>设备身份双向认证时间</w:t>
            </w:r>
            <w:r>
              <w:rPr>
                <w:rFonts w:hint="eastAsia" w:ascii="宋体" w:hAnsi="宋体" w:cs="宋体"/>
                <w:sz w:val="24"/>
                <w:szCs w:val="24"/>
                <w:highlight w:val="none"/>
              </w:rPr>
              <w:t>平均</w:t>
            </w:r>
            <w:r>
              <w:rPr>
                <w:rFonts w:ascii="宋体" w:hAnsi="宋体" w:cs="宋体"/>
                <w:sz w:val="24"/>
                <w:szCs w:val="24"/>
                <w:highlight w:val="none"/>
              </w:rPr>
              <w:t>延迟不超过</w:t>
            </w:r>
            <w:r>
              <w:rPr>
                <w:rFonts w:hint="eastAsia" w:ascii="宋体" w:hAnsi="宋体" w:cs="宋体"/>
                <w:sz w:val="24"/>
                <w:szCs w:val="24"/>
                <w:highlight w:val="none"/>
              </w:rPr>
              <w:t>1</w:t>
            </w:r>
            <w:r>
              <w:rPr>
                <w:rFonts w:ascii="宋体" w:hAnsi="宋体" w:cs="宋体"/>
                <w:sz w:val="24"/>
                <w:szCs w:val="24"/>
                <w:highlight w:val="none"/>
              </w:rPr>
              <w:t>80ms</w:t>
            </w:r>
            <w:r>
              <w:rPr>
                <w:rFonts w:hint="eastAsia" w:ascii="宋体" w:hAnsi="宋体" w:cs="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pPr>
              <w:numPr>
                <w:ilvl w:val="0"/>
                <w:numId w:val="4"/>
              </w:numPr>
              <w:jc w:val="center"/>
              <w:rPr>
                <w:rFonts w:ascii="宋体" w:hAnsi="宋体" w:cs="宋体"/>
                <w:sz w:val="24"/>
                <w:szCs w:val="24"/>
                <w:highlight w:val="none"/>
                <w:u w:color="000000"/>
              </w:rPr>
            </w:pPr>
          </w:p>
        </w:tc>
        <w:tc>
          <w:tcPr>
            <w:tcW w:w="1425" w:type="dxa"/>
            <w:vAlign w:val="center"/>
          </w:tcPr>
          <w:p>
            <w:pPr>
              <w:widowControl/>
              <w:jc w:val="left"/>
              <w:rPr>
                <w:rStyle w:val="12"/>
                <w:b w:val="0"/>
                <w:bCs w:val="0"/>
                <w:color w:val="auto"/>
                <w:sz w:val="24"/>
                <w:szCs w:val="24"/>
                <w:highlight w:val="none"/>
                <w:lang w:bidi="ar"/>
              </w:rPr>
            </w:pPr>
            <w:r>
              <w:rPr>
                <w:rFonts w:hint="eastAsia" w:ascii="宋体" w:hAnsi="宋体"/>
                <w:sz w:val="24"/>
                <w:szCs w:val="24"/>
                <w:highlight w:val="none"/>
              </w:rPr>
              <w:t>■⑤</w:t>
            </w:r>
            <w:r>
              <w:rPr>
                <w:rStyle w:val="12"/>
                <w:rFonts w:hint="eastAsia"/>
                <w:b w:val="0"/>
                <w:bCs w:val="0"/>
                <w:color w:val="auto"/>
                <w:sz w:val="24"/>
                <w:szCs w:val="24"/>
                <w:highlight w:val="none"/>
                <w:lang w:bidi="ar"/>
              </w:rPr>
              <w:t>软件著作权</w:t>
            </w:r>
          </w:p>
        </w:tc>
        <w:tc>
          <w:tcPr>
            <w:tcW w:w="6662" w:type="dxa"/>
            <w:vAlign w:val="center"/>
          </w:tcPr>
          <w:p>
            <w:pPr>
              <w:widowControl/>
              <w:textAlignment w:val="top"/>
              <w:rPr>
                <w:rFonts w:ascii="宋体" w:hAnsi="宋体" w:cs="宋体"/>
                <w:sz w:val="24"/>
                <w:szCs w:val="24"/>
                <w:highlight w:val="none"/>
              </w:rPr>
            </w:pPr>
            <w:r>
              <w:rPr>
                <w:rFonts w:hint="eastAsia" w:ascii="宋体" w:hAnsi="宋体" w:cs="宋体"/>
                <w:sz w:val="24"/>
                <w:szCs w:val="24"/>
                <w:highlight w:val="none"/>
              </w:rPr>
              <w:t>执法记录仪内嵌入式软件具有软件著作权。</w:t>
            </w:r>
          </w:p>
          <w:p>
            <w:pPr>
              <w:pStyle w:val="4"/>
              <w:ind w:firstLine="0" w:firstLineChars="0"/>
              <w:rPr>
                <w:rFonts w:ascii="宋体" w:hAnsi="宋体" w:cs="宋体"/>
                <w:b/>
                <w:bCs/>
                <w:sz w:val="24"/>
                <w:highlight w:val="none"/>
              </w:rPr>
            </w:pPr>
            <w:r>
              <w:rPr>
                <w:rFonts w:hint="eastAsia" w:ascii="宋体" w:hAnsi="宋体" w:cs="宋体"/>
                <w:b/>
                <w:bCs/>
                <w:sz w:val="24"/>
                <w:highlight w:val="none"/>
              </w:rPr>
              <w:t>（需提供软件著作权证书复印件并加盖公章证明，如未提供视作条款不满足。）</w:t>
            </w:r>
          </w:p>
        </w:tc>
      </w:tr>
    </w:tbl>
    <w:p>
      <w:pPr>
        <w:ind w:firstLine="482" w:firstLineChars="200"/>
        <w:rPr>
          <w:rFonts w:ascii="宋体" w:hAnsi="宋体" w:cs="宋体"/>
          <w:b/>
          <w:bCs/>
          <w:sz w:val="24"/>
          <w:szCs w:val="24"/>
          <w:highlight w:val="none"/>
          <w:lang w:eastAsia="zh-Hans"/>
        </w:rPr>
      </w:pPr>
    </w:p>
    <w:p>
      <w:pPr>
        <w:ind w:firstLine="482" w:firstLineChars="200"/>
        <w:rPr>
          <w:rFonts w:ascii="宋体" w:hAnsi="宋体" w:cs="宋体"/>
          <w:b/>
          <w:bCs/>
          <w:sz w:val="24"/>
          <w:szCs w:val="24"/>
          <w:highlight w:val="none"/>
          <w:lang w:eastAsia="zh-Hans"/>
        </w:rPr>
      </w:pPr>
    </w:p>
    <w:p>
      <w:pPr>
        <w:pStyle w:val="6"/>
        <w:numPr>
          <w:ilvl w:val="1"/>
          <w:numId w:val="0"/>
        </w:numPr>
        <w:tabs>
          <w:tab w:val="left" w:pos="576"/>
        </w:tabs>
        <w:spacing w:before="0" w:after="0" w:line="480" w:lineRule="auto"/>
        <w:jc w:val="left"/>
        <w:rPr>
          <w:rFonts w:ascii="宋体" w:hAnsi="宋体" w:cs="宋体"/>
          <w:sz w:val="24"/>
          <w:szCs w:val="24"/>
          <w:highlight w:val="none"/>
        </w:rPr>
      </w:pPr>
      <w:bookmarkStart w:id="2" w:name="_Toc2790"/>
      <w:r>
        <w:rPr>
          <w:rFonts w:hint="eastAsia" w:ascii="宋体" w:hAnsi="宋体" w:cs="宋体"/>
          <w:sz w:val="24"/>
          <w:szCs w:val="24"/>
          <w:highlight w:val="none"/>
        </w:rPr>
        <w:t>2、采集工作站</w:t>
      </w:r>
    </w:p>
    <w:p>
      <w:pPr>
        <w:ind w:firstLine="480" w:firstLineChars="200"/>
        <w:rPr>
          <w:rFonts w:ascii="宋体" w:hAnsi="宋体" w:cs="宋体"/>
          <w:sz w:val="24"/>
          <w:szCs w:val="24"/>
          <w:highlight w:val="none"/>
        </w:rPr>
      </w:pPr>
      <w:r>
        <w:rPr>
          <w:rFonts w:hint="eastAsia" w:ascii="宋体" w:hAnsi="宋体" w:cs="宋体"/>
          <w:sz w:val="24"/>
          <w:szCs w:val="24"/>
          <w:highlight w:val="none"/>
        </w:rPr>
        <w:t>25口-56TB采集工作站。</w:t>
      </w:r>
    </w:p>
    <w:tbl>
      <w:tblPr>
        <w:tblStyle w:val="7"/>
        <w:tblpPr w:leftFromText="180" w:rightFromText="180" w:vertAnchor="text" w:horzAnchor="page" w:tblpX="1671" w:tblpY="313"/>
        <w:tblOverlap w:val="never"/>
        <w:tblW w:w="87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2"/>
        <w:gridCol w:w="2131"/>
        <w:gridCol w:w="5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772" w:type="dxa"/>
            <w:shd w:val="clear" w:color="auto" w:fill="auto"/>
            <w:vAlign w:val="center"/>
          </w:tcPr>
          <w:p>
            <w:pPr>
              <w:adjustRightInd w:val="0"/>
              <w:snapToGrid w:val="0"/>
              <w:jc w:val="center"/>
              <w:rPr>
                <w:rFonts w:ascii="宋体" w:hAnsi="宋体"/>
                <w:b/>
                <w:bCs/>
                <w:sz w:val="24"/>
                <w:szCs w:val="24"/>
                <w:highlight w:val="none"/>
              </w:rPr>
            </w:pPr>
            <w:r>
              <w:rPr>
                <w:rFonts w:hint="eastAsia" w:ascii="宋体" w:hAnsi="宋体" w:cs="宋体"/>
                <w:b/>
                <w:bCs/>
                <w:sz w:val="24"/>
                <w:szCs w:val="24"/>
                <w:highlight w:val="none"/>
                <w:lang w:val="zh-CN"/>
              </w:rPr>
              <w:t>序号</w:t>
            </w:r>
          </w:p>
        </w:tc>
        <w:tc>
          <w:tcPr>
            <w:tcW w:w="2131" w:type="dxa"/>
            <w:shd w:val="clear" w:color="auto" w:fill="auto"/>
            <w:vAlign w:val="center"/>
          </w:tcPr>
          <w:p>
            <w:pPr>
              <w:adjustRightInd w:val="0"/>
              <w:snapToGrid w:val="0"/>
              <w:jc w:val="center"/>
              <w:rPr>
                <w:rFonts w:ascii="宋体" w:hAnsi="宋体"/>
                <w:b/>
                <w:bCs/>
                <w:sz w:val="24"/>
                <w:szCs w:val="24"/>
                <w:highlight w:val="none"/>
              </w:rPr>
            </w:pPr>
            <w:r>
              <w:rPr>
                <w:rFonts w:hint="eastAsia" w:ascii="宋体" w:hAnsi="宋体" w:cs="宋体"/>
                <w:b/>
                <w:bCs/>
                <w:sz w:val="24"/>
                <w:szCs w:val="24"/>
                <w:highlight w:val="none"/>
                <w:lang w:val="zh-CN"/>
              </w:rPr>
              <w:t>功能及技术指标</w:t>
            </w:r>
          </w:p>
        </w:tc>
        <w:tc>
          <w:tcPr>
            <w:tcW w:w="5861" w:type="dxa"/>
            <w:shd w:val="clear" w:color="auto" w:fill="auto"/>
            <w:vAlign w:val="center"/>
          </w:tcPr>
          <w:p>
            <w:pPr>
              <w:adjustRightInd w:val="0"/>
              <w:snapToGrid w:val="0"/>
              <w:jc w:val="center"/>
              <w:rPr>
                <w:rFonts w:ascii="宋体" w:hAnsi="宋体"/>
                <w:b/>
                <w:bCs/>
                <w:sz w:val="24"/>
                <w:szCs w:val="24"/>
                <w:highlight w:val="none"/>
              </w:rPr>
            </w:pPr>
            <w:r>
              <w:rPr>
                <w:rFonts w:hint="eastAsia" w:ascii="宋体" w:hAnsi="宋体" w:cs="宋体"/>
                <w:b/>
                <w:bCs/>
                <w:sz w:val="24"/>
                <w:szCs w:val="24"/>
                <w:highlight w:val="none"/>
              </w:rPr>
              <w:t>参数</w:t>
            </w:r>
            <w:r>
              <w:rPr>
                <w:rFonts w:hint="eastAsia" w:ascii="宋体" w:hAnsi="宋体" w:cs="宋体"/>
                <w:b/>
                <w:bCs/>
                <w:sz w:val="24"/>
                <w:szCs w:val="24"/>
                <w:highlight w:val="none"/>
                <w:lang w:val="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pStyle w:val="13"/>
              <w:ind w:firstLine="0" w:firstLineChars="0"/>
              <w:rPr>
                <w:rFonts w:ascii="宋体" w:hAnsi="宋体"/>
                <w:bCs/>
                <w:sz w:val="24"/>
                <w:szCs w:val="24"/>
                <w:highlight w:val="none"/>
              </w:rPr>
            </w:pPr>
            <w:r>
              <w:rPr>
                <w:rFonts w:hint="eastAsia" w:ascii="宋体" w:hAnsi="宋体"/>
                <w:sz w:val="24"/>
                <w:szCs w:val="24"/>
                <w:highlight w:val="none"/>
              </w:rPr>
              <w:t>外壳防护等级</w:t>
            </w:r>
          </w:p>
        </w:tc>
        <w:tc>
          <w:tcPr>
            <w:tcW w:w="5861" w:type="dxa"/>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执法数据采集设备外壳防护应符合GB4208-2008中IP20要求。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pStyle w:val="13"/>
              <w:ind w:firstLine="0" w:firstLineChars="0"/>
              <w:rPr>
                <w:rFonts w:ascii="宋体" w:hAnsi="宋体"/>
                <w:bCs/>
                <w:sz w:val="24"/>
                <w:szCs w:val="24"/>
                <w:highlight w:val="none"/>
              </w:rPr>
            </w:pPr>
            <w:r>
              <w:rPr>
                <w:rFonts w:hint="eastAsia" w:ascii="宋体" w:hAnsi="宋体"/>
                <w:sz w:val="24"/>
                <w:szCs w:val="24"/>
                <w:highlight w:val="none"/>
              </w:rPr>
              <w:t>数据接口检验</w:t>
            </w:r>
          </w:p>
        </w:tc>
        <w:tc>
          <w:tcPr>
            <w:tcW w:w="5861" w:type="dxa"/>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执法数据采集设备与管理服务器的数据接口应符合GA/T947.4-2015中5.2的要求。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rPr>
                <w:rFonts w:ascii="宋体" w:hAnsi="宋体"/>
                <w:bCs/>
                <w:sz w:val="24"/>
                <w:szCs w:val="24"/>
                <w:highlight w:val="none"/>
              </w:rPr>
            </w:pPr>
            <w:r>
              <w:rPr>
                <w:rFonts w:hint="eastAsia" w:ascii="宋体" w:hAnsi="宋体"/>
                <w:sz w:val="24"/>
                <w:szCs w:val="24"/>
                <w:highlight w:val="none"/>
              </w:rPr>
              <w:t>执法记录仪接入注册功能检测</w:t>
            </w:r>
          </w:p>
        </w:tc>
        <w:tc>
          <w:tcPr>
            <w:tcW w:w="5861" w:type="dxa"/>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当执法记录仪接入执法数据采集设备时，执法数据采集设备应能获取执法记录仪的产品序号和警号，并查验该产品序号与警号是否进行了关联配置，如未关联，应能通过管理员密码验证和关联配置完成注册。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宋体"/>
                <w:kern w:val="0"/>
                <w:sz w:val="24"/>
                <w:szCs w:val="24"/>
                <w:highlight w:val="none"/>
                <w:lang w:bidi="ar"/>
              </w:rPr>
              <w:t>数据采集功能检验</w:t>
            </w:r>
          </w:p>
        </w:tc>
        <w:tc>
          <w:tcPr>
            <w:tcW w:w="5861" w:type="dxa"/>
            <w:shd w:val="clear" w:color="auto" w:fill="auto"/>
            <w:vAlign w:val="center"/>
          </w:tcPr>
          <w:p>
            <w:pPr>
              <w:widowControl/>
              <w:textAlignment w:val="center"/>
              <w:rPr>
                <w:rFonts w:ascii="宋体" w:hAnsi="宋体"/>
                <w:sz w:val="24"/>
                <w:szCs w:val="24"/>
                <w:highlight w:val="none"/>
              </w:rPr>
            </w:pPr>
            <w:r>
              <w:rPr>
                <w:rFonts w:hint="eastAsia" w:ascii="宋体" w:hAnsi="宋体" w:cs="Calibri"/>
                <w:sz w:val="24"/>
                <w:szCs w:val="24"/>
                <w:highlight w:val="none"/>
              </w:rPr>
              <w:t>执法数据采集设备应能自动采集已注册的执法仪的视音频、音频、照片和日志等数据，应能验证执法数据采集设备采集到的数据与执法记录仪存储的原始数据的一致性，并保证采集的数据应能正常浏览。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数据浏览功能检</w:t>
            </w:r>
            <w:r>
              <w:rPr>
                <w:rFonts w:hint="eastAsia" w:ascii="宋体" w:hAnsi="宋体" w:cs="宋体"/>
                <w:kern w:val="0"/>
                <w:sz w:val="24"/>
                <w:szCs w:val="24"/>
                <w:highlight w:val="none"/>
                <w:lang w:bidi="ar"/>
              </w:rPr>
              <w:t>验</w:t>
            </w:r>
          </w:p>
        </w:tc>
        <w:tc>
          <w:tcPr>
            <w:tcW w:w="5861" w:type="dxa"/>
            <w:shd w:val="clear" w:color="auto" w:fill="auto"/>
            <w:vAlign w:val="center"/>
          </w:tcPr>
          <w:p>
            <w:pPr>
              <w:widowControl/>
              <w:textAlignment w:val="center"/>
              <w:rPr>
                <w:rFonts w:ascii="宋体" w:hAnsi="宋体"/>
                <w:sz w:val="24"/>
                <w:szCs w:val="24"/>
                <w:highlight w:val="none"/>
              </w:rPr>
            </w:pPr>
            <w:r>
              <w:rPr>
                <w:rFonts w:hint="eastAsia" w:ascii="宋体" w:hAnsi="宋体" w:cs="Calibri"/>
                <w:sz w:val="24"/>
                <w:szCs w:val="24"/>
                <w:highlight w:val="none"/>
              </w:rPr>
              <w:t>执法数据采集设备应能浏览已采集的视音频、音频、照片和日志等数据。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数据检索功能检验</w:t>
            </w:r>
          </w:p>
        </w:tc>
        <w:tc>
          <w:tcPr>
            <w:tcW w:w="5861" w:type="dxa"/>
            <w:shd w:val="clear" w:color="auto" w:fill="auto"/>
            <w:vAlign w:val="center"/>
          </w:tcPr>
          <w:p>
            <w:pPr>
              <w:widowControl/>
              <w:textAlignment w:val="center"/>
              <w:rPr>
                <w:rFonts w:ascii="宋体" w:hAnsi="宋体"/>
                <w:sz w:val="24"/>
                <w:szCs w:val="24"/>
                <w:highlight w:val="none"/>
              </w:rPr>
            </w:pPr>
            <w:r>
              <w:rPr>
                <w:rFonts w:hint="eastAsia" w:ascii="宋体" w:hAnsi="宋体" w:cs="Calibri"/>
                <w:sz w:val="24"/>
                <w:szCs w:val="24"/>
                <w:highlight w:val="none"/>
              </w:rPr>
              <w:t>执法数据采集设备应能对已采集的视音频、音频、照片、和日志等数据依据执法记录仪产品序号、警号、时间、文件类型及执法记录仪重点标记文件等一种或多种条件进行查询。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数据上传功能检验</w:t>
            </w:r>
          </w:p>
        </w:tc>
        <w:tc>
          <w:tcPr>
            <w:tcW w:w="5861" w:type="dxa"/>
            <w:shd w:val="clear" w:color="auto" w:fill="auto"/>
            <w:vAlign w:val="center"/>
          </w:tcPr>
          <w:p>
            <w:pPr>
              <w:widowControl/>
              <w:textAlignment w:val="center"/>
              <w:rPr>
                <w:rFonts w:ascii="宋体" w:hAnsi="宋体"/>
                <w:sz w:val="24"/>
                <w:szCs w:val="24"/>
                <w:highlight w:val="none"/>
              </w:rPr>
            </w:pPr>
            <w:r>
              <w:rPr>
                <w:rFonts w:hint="eastAsia" w:ascii="宋体" w:hAnsi="宋体" w:cs="宋体"/>
                <w:kern w:val="0"/>
                <w:sz w:val="24"/>
                <w:szCs w:val="24"/>
                <w:highlight w:val="none"/>
                <w:lang w:bidi="ar"/>
              </w:rPr>
              <w:t>执</w:t>
            </w:r>
            <w:r>
              <w:rPr>
                <w:rFonts w:hint="eastAsia" w:ascii="宋体" w:hAnsi="宋体" w:cs="Calibri"/>
                <w:sz w:val="24"/>
                <w:szCs w:val="24"/>
                <w:highlight w:val="none"/>
              </w:rPr>
              <w:t>法数据采集设备应能自动或手动上传视音频、音频、照片、日志或索引等数据到管理服务器，应能设置自动上传时间。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执法记录仪数据清空功能检验</w:t>
            </w:r>
          </w:p>
        </w:tc>
        <w:tc>
          <w:tcPr>
            <w:tcW w:w="5861" w:type="dxa"/>
            <w:shd w:val="clear" w:color="auto" w:fill="auto"/>
            <w:vAlign w:val="center"/>
          </w:tcPr>
          <w:p>
            <w:pPr>
              <w:widowControl/>
              <w:textAlignment w:val="center"/>
              <w:rPr>
                <w:rFonts w:ascii="宋体" w:hAnsi="宋体"/>
                <w:sz w:val="24"/>
                <w:szCs w:val="24"/>
                <w:highlight w:val="none"/>
              </w:rPr>
            </w:pPr>
            <w:r>
              <w:rPr>
                <w:rFonts w:hint="eastAsia" w:ascii="宋体" w:hAnsi="宋体" w:cs="宋体"/>
                <w:kern w:val="0"/>
                <w:sz w:val="24"/>
                <w:szCs w:val="24"/>
                <w:highlight w:val="none"/>
                <w:lang w:bidi="ar"/>
              </w:rPr>
              <w:t>执法数据采集设备应能自动或手动清空已完成数据上传的执法记录仪内部数据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数据自动删除功能检验</w:t>
            </w:r>
          </w:p>
        </w:tc>
        <w:tc>
          <w:tcPr>
            <w:tcW w:w="5861" w:type="dxa"/>
            <w:shd w:val="clear" w:color="auto" w:fill="auto"/>
            <w:vAlign w:val="center"/>
          </w:tcPr>
          <w:p>
            <w:pPr>
              <w:widowControl/>
              <w:textAlignment w:val="center"/>
              <w:rPr>
                <w:rFonts w:ascii="宋体" w:hAnsi="宋体"/>
                <w:sz w:val="24"/>
                <w:szCs w:val="24"/>
                <w:highlight w:val="none"/>
              </w:rPr>
            </w:pPr>
            <w:r>
              <w:rPr>
                <w:rFonts w:hint="eastAsia" w:ascii="宋体" w:hAnsi="宋体" w:cs="宋体"/>
                <w:kern w:val="0"/>
                <w:sz w:val="24"/>
                <w:szCs w:val="24"/>
                <w:highlight w:val="none"/>
                <w:lang w:bidi="ar"/>
              </w:rPr>
              <w:t>执法数据采集设备应能自动删除超出存储期限的数据，已标记的重点文件不应被动自动删除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宋体"/>
                <w:sz w:val="24"/>
                <w:szCs w:val="24"/>
                <w:highlight w:val="none"/>
              </w:rPr>
            </w:pPr>
            <w:r>
              <w:rPr>
                <w:rFonts w:hint="eastAsia" w:ascii="宋体" w:hAnsi="宋体" w:cs="Calibri"/>
                <w:sz w:val="24"/>
                <w:szCs w:val="24"/>
                <w:highlight w:val="none"/>
              </w:rPr>
              <w:t>时间校正功能检验</w:t>
            </w:r>
          </w:p>
        </w:tc>
        <w:tc>
          <w:tcPr>
            <w:tcW w:w="5861" w:type="dxa"/>
            <w:shd w:val="clear" w:color="auto" w:fill="auto"/>
            <w:vAlign w:val="center"/>
          </w:tcPr>
          <w:p>
            <w:pPr>
              <w:widowControl/>
              <w:textAlignment w:val="center"/>
              <w:rPr>
                <w:rFonts w:ascii="宋体" w:hAnsi="宋体" w:cs="宋体"/>
                <w:sz w:val="24"/>
                <w:szCs w:val="24"/>
                <w:highlight w:val="none"/>
              </w:rPr>
            </w:pPr>
            <w:r>
              <w:rPr>
                <w:rFonts w:hint="eastAsia" w:ascii="宋体" w:hAnsi="宋体" w:cs="宋体"/>
                <w:kern w:val="0"/>
                <w:sz w:val="24"/>
                <w:szCs w:val="24"/>
                <w:highlight w:val="none"/>
                <w:lang w:bidi="ar"/>
              </w:rPr>
              <w:t>执法数据采集设备应能自动对接入的执法记录仪进行时间校正，时间应精确到“年、月、日、时、分、秒”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直接关机/重启功能</w:t>
            </w:r>
          </w:p>
        </w:tc>
        <w:tc>
          <w:tcPr>
            <w:tcW w:w="5861" w:type="dxa"/>
            <w:shd w:val="clear" w:color="auto" w:fill="auto"/>
            <w:vAlign w:val="center"/>
          </w:tcPr>
          <w:p>
            <w:pPr>
              <w:widowControl/>
              <w:textAlignment w:val="center"/>
              <w:rPr>
                <w:rFonts w:ascii="宋体" w:hAnsi="宋体"/>
                <w:sz w:val="24"/>
                <w:szCs w:val="24"/>
                <w:highlight w:val="none"/>
              </w:rPr>
            </w:pPr>
            <w:r>
              <w:rPr>
                <w:rFonts w:hint="eastAsia" w:ascii="宋体" w:hAnsi="宋体" w:cs="宋体"/>
                <w:kern w:val="0"/>
                <w:sz w:val="24"/>
                <w:szCs w:val="24"/>
                <w:highlight w:val="none"/>
                <w:lang w:bidi="ar"/>
              </w:rPr>
              <w:t>执法数据采集设备应能通过管理软件和物理按键直接对执法数据采集设备进行关机/重启操作；物理按键采用下沉式开关机按钮设计，实现开关机免误触效果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外观和结构</w:t>
            </w:r>
          </w:p>
        </w:tc>
        <w:tc>
          <w:tcPr>
            <w:tcW w:w="5861" w:type="dxa"/>
            <w:shd w:val="clear" w:color="auto" w:fill="auto"/>
            <w:vAlign w:val="center"/>
          </w:tcPr>
          <w:p>
            <w:pPr>
              <w:widowControl/>
              <w:numPr>
                <w:ilvl w:val="0"/>
                <w:numId w:val="6"/>
              </w:numPr>
              <w:textAlignment w:val="center"/>
              <w:rPr>
                <w:rFonts w:ascii="宋体" w:hAnsi="宋体"/>
                <w:sz w:val="24"/>
                <w:szCs w:val="24"/>
                <w:highlight w:val="none"/>
              </w:rPr>
            </w:pPr>
            <w:r>
              <w:rPr>
                <w:rStyle w:val="14"/>
                <w:rFonts w:hint="default"/>
                <w:color w:val="auto"/>
                <w:sz w:val="24"/>
                <w:szCs w:val="24"/>
                <w:highlight w:val="none"/>
                <w:lang w:bidi="ar"/>
              </w:rPr>
              <w:t>采用阻尼缓冲滑轨抽拉式静音抽屉对执法记录仪仓位进行管理，方便执法记录仪数据采集和存放取用。</w:t>
            </w:r>
            <w:r>
              <w:rPr>
                <w:rStyle w:val="14"/>
                <w:rFonts w:hint="default"/>
                <w:color w:val="auto"/>
                <w:sz w:val="24"/>
                <w:szCs w:val="24"/>
                <w:highlight w:val="none"/>
                <w:lang w:bidi="ar"/>
              </w:rPr>
              <w:br w:type="textWrapping"/>
            </w:r>
            <w:r>
              <w:rPr>
                <w:rStyle w:val="14"/>
                <w:rFonts w:hint="default"/>
                <w:color w:val="auto"/>
                <w:sz w:val="24"/>
                <w:szCs w:val="24"/>
                <w:highlight w:val="none"/>
                <w:lang w:bidi="ar"/>
              </w:rPr>
              <w:t>2）具有4个静音脚轮，支持360°旋转，且脚轮具有固定点位的边刹片，方便移动和固定；</w:t>
            </w:r>
            <w:r>
              <w:rPr>
                <w:rStyle w:val="14"/>
                <w:rFonts w:hint="default"/>
                <w:color w:val="auto"/>
                <w:sz w:val="24"/>
                <w:szCs w:val="24"/>
                <w:highlight w:val="none"/>
                <w:lang w:bidi="ar"/>
              </w:rPr>
              <w:br w:type="textWrapping"/>
            </w:r>
            <w:r>
              <w:rPr>
                <w:rStyle w:val="14"/>
                <w:rFonts w:hint="default"/>
                <w:color w:val="auto"/>
                <w:sz w:val="24"/>
                <w:szCs w:val="24"/>
                <w:highlight w:val="none"/>
                <w:lang w:bidi="ar"/>
              </w:rPr>
              <w:t>3）具有≥2个固定脚轮调整模块，可通过自行设置高度来适应不同高度地面；</w:t>
            </w:r>
            <w:r>
              <w:rPr>
                <w:rStyle w:val="14"/>
                <w:rFonts w:hint="default"/>
                <w:color w:val="auto"/>
                <w:sz w:val="24"/>
                <w:szCs w:val="24"/>
                <w:highlight w:val="none"/>
                <w:lang w:bidi="ar"/>
              </w:rPr>
              <w:br w:type="textWrapping"/>
            </w:r>
            <w:r>
              <w:rPr>
                <w:rStyle w:val="14"/>
                <w:rFonts w:hint="default"/>
                <w:color w:val="auto"/>
                <w:sz w:val="24"/>
                <w:szCs w:val="24"/>
                <w:highlight w:val="none"/>
                <w:lang w:bidi="ar"/>
              </w:rPr>
              <w:t>4）前置按压反弹式托盘位，可用于鼠标、键盘等物品放置；</w:t>
            </w:r>
            <w:r>
              <w:rPr>
                <w:rStyle w:val="14"/>
                <w:rFonts w:hint="default"/>
                <w:color w:val="auto"/>
                <w:sz w:val="24"/>
                <w:szCs w:val="24"/>
                <w:highlight w:val="none"/>
                <w:lang w:bidi="ar"/>
              </w:rPr>
              <w:br w:type="textWrapping"/>
            </w:r>
            <w:r>
              <w:rPr>
                <w:rStyle w:val="14"/>
                <w:rFonts w:hint="default"/>
                <w:color w:val="auto"/>
                <w:sz w:val="24"/>
                <w:szCs w:val="24"/>
                <w:highlight w:val="none"/>
                <w:lang w:bidi="ar"/>
              </w:rPr>
              <w:br w:type="textWrapping"/>
            </w:r>
            <w:r>
              <w:rPr>
                <w:rStyle w:val="14"/>
                <w:rFonts w:hint="default"/>
                <w:color w:val="auto"/>
                <w:sz w:val="24"/>
                <w:szCs w:val="24"/>
                <w:highlight w:val="none"/>
                <w:lang w:bidi="ar"/>
              </w:rPr>
              <w:t>5）显示屏模块采用翻盖式结构，内部翻转空间≥90°，显示屏和屏框处于同一平面，两侧具有双扣手位，翻转具有限位支架固定，支持显示屏模块免工具前维护；显示屏模块闭合具备4个缓冲装置，旋转具备2个缓冲装置，保护显示屏模块器件</w:t>
            </w:r>
            <w:r>
              <w:rPr>
                <w:rStyle w:val="14"/>
                <w:rFonts w:hint="default"/>
                <w:color w:val="auto"/>
                <w:sz w:val="24"/>
                <w:szCs w:val="24"/>
                <w:highlight w:val="none"/>
                <w:lang w:bidi="ar"/>
              </w:rPr>
              <w:br w:type="textWrapping"/>
            </w:r>
            <w:r>
              <w:rPr>
                <w:rStyle w:val="14"/>
                <w:rFonts w:hint="default"/>
                <w:color w:val="auto"/>
                <w:sz w:val="24"/>
                <w:szCs w:val="24"/>
                <w:highlight w:val="none"/>
                <w:lang w:bidi="ar"/>
              </w:rPr>
              <w:br w:type="textWrapping"/>
            </w:r>
            <w:r>
              <w:rPr>
                <w:rStyle w:val="14"/>
                <w:rFonts w:hint="default"/>
                <w:color w:val="auto"/>
                <w:sz w:val="24"/>
                <w:szCs w:val="24"/>
                <w:highlight w:val="none"/>
                <w:lang w:bidi="ar"/>
              </w:rPr>
              <w:t>6）柜门具备≥3个缓冲装置，避免维护门板与机箱硬冲撞；</w:t>
            </w:r>
            <w:r>
              <w:rPr>
                <w:rStyle w:val="14"/>
                <w:rFonts w:hint="default"/>
                <w:color w:val="auto"/>
                <w:sz w:val="24"/>
                <w:szCs w:val="24"/>
                <w:highlight w:val="none"/>
                <w:lang w:bidi="ar"/>
              </w:rPr>
              <w:br w:type="textWrapping"/>
            </w:r>
            <w:r>
              <w:rPr>
                <w:rStyle w:val="14"/>
                <w:rFonts w:hint="default"/>
                <w:color w:val="auto"/>
                <w:sz w:val="24"/>
                <w:szCs w:val="24"/>
                <w:highlight w:val="none"/>
                <w:lang w:bidi="ar"/>
              </w:rPr>
              <w:br w:type="textWrapping"/>
            </w:r>
            <w:r>
              <w:rPr>
                <w:rStyle w:val="14"/>
                <w:rFonts w:hint="default"/>
                <w:color w:val="auto"/>
                <w:sz w:val="24"/>
                <w:szCs w:val="24"/>
                <w:highlight w:val="none"/>
                <w:lang w:bidi="ar"/>
              </w:rPr>
              <w:t>7）显示屏模块前置内置2个2W8</w:t>
            </w:r>
            <w:r>
              <w:rPr>
                <w:rStyle w:val="15"/>
                <w:rFonts w:hint="default"/>
                <w:color w:val="auto"/>
                <w:sz w:val="24"/>
                <w:szCs w:val="24"/>
                <w:highlight w:val="none"/>
                <w:lang w:bidi="ar"/>
              </w:rPr>
              <w:t>Ω</w:t>
            </w:r>
            <w:r>
              <w:rPr>
                <w:rStyle w:val="14"/>
                <w:rFonts w:hint="default"/>
                <w:color w:val="auto"/>
                <w:sz w:val="24"/>
                <w:szCs w:val="24"/>
                <w:highlight w:val="none"/>
                <w:lang w:bidi="ar"/>
              </w:rPr>
              <w:t>的喇叭，</w:t>
            </w:r>
            <w:r>
              <w:rPr>
                <w:rStyle w:val="14"/>
                <w:rFonts w:hint="default"/>
                <w:color w:val="auto"/>
                <w:sz w:val="24"/>
                <w:szCs w:val="24"/>
                <w:highlight w:val="none"/>
                <w:lang w:bidi="ar"/>
              </w:rPr>
              <w:br w:type="textWrapping"/>
            </w:r>
            <w:r>
              <w:rPr>
                <w:rStyle w:val="14"/>
                <w:rFonts w:hint="default"/>
                <w:color w:val="auto"/>
                <w:sz w:val="24"/>
                <w:szCs w:val="24"/>
                <w:highlight w:val="none"/>
                <w:lang w:bidi="ar"/>
              </w:rPr>
              <w:t>8）支持内置物理水平仪显示样机水平状态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sz w:val="24"/>
                <w:szCs w:val="24"/>
                <w:highlight w:val="none"/>
              </w:rPr>
              <w:t>■</w:t>
            </w:r>
            <w:r>
              <w:rPr>
                <w:rFonts w:hint="eastAsia" w:ascii="宋体" w:hAnsi="宋体" w:cs="宋体"/>
                <w:sz w:val="24"/>
                <w:szCs w:val="24"/>
                <w:highlight w:val="none"/>
              </w:rPr>
              <w:t>⑥</w:t>
            </w:r>
            <w:r>
              <w:rPr>
                <w:rFonts w:hint="eastAsia" w:ascii="宋体" w:hAnsi="宋体" w:cs="Calibri"/>
                <w:sz w:val="24"/>
                <w:szCs w:val="24"/>
                <w:highlight w:val="none"/>
              </w:rPr>
              <w:t>显示屏检验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执法数据采集设备屏幕具有触摸功能，支持10点触控操作，显示屏分辨率≥1920*1080，屏幕尺寸应≥21.5英寸。</w:t>
            </w:r>
            <w:r>
              <w:rPr>
                <w:rFonts w:hint="eastAsia" w:ascii="宋体" w:hAnsi="宋体" w:cs="Calibri"/>
                <w:sz w:val="24"/>
                <w:szCs w:val="24"/>
                <w:highlight w:val="none"/>
              </w:rPr>
              <w:br w:type="textWrapping"/>
            </w:r>
            <w:r>
              <w:rPr>
                <w:rFonts w:hint="eastAsia" w:ascii="宋体" w:hAnsi="宋体" w:cs="Calibri"/>
                <w:sz w:val="24"/>
                <w:szCs w:val="24"/>
                <w:highlight w:val="none"/>
              </w:rPr>
              <w:t>支持通过管理软件和物理按键开启/关闭显示屏，支持通过按键锁屏显示屏以及支持自定义进入锁屏的时间长短，锁屏期间屏幕不关闭</w:t>
            </w:r>
          </w:p>
          <w:p>
            <w:pPr>
              <w:widowControl/>
              <w:textAlignment w:val="center"/>
              <w:rPr>
                <w:rFonts w:ascii="宋体" w:hAnsi="宋体" w:cs="Calibri"/>
                <w:sz w:val="24"/>
                <w:szCs w:val="24"/>
                <w:highlight w:val="none"/>
              </w:rPr>
            </w:pPr>
            <w:r>
              <w:rPr>
                <w:rFonts w:hint="eastAsia" w:ascii="宋体" w:hAnsi="宋体" w:cs="宋体"/>
                <w:b/>
                <w:bCs/>
                <w:sz w:val="24"/>
                <w:szCs w:val="24"/>
                <w:highlight w:val="none"/>
                <w:lang w:eastAsia="zh-Hans"/>
              </w:rPr>
              <w:t>(需提供第三方权威检测机构出具的检测报告证明复印件加盖公章证明参数指标合格，提供具体条款对应的序号，投标文件中若未列明检测报告中的序号，则视为条款不满足。)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sz w:val="24"/>
                <w:szCs w:val="24"/>
                <w:highlight w:val="none"/>
              </w:rPr>
              <w:t>■</w:t>
            </w:r>
            <w:r>
              <w:rPr>
                <w:rFonts w:hint="eastAsia" w:ascii="宋体" w:hAnsi="宋体" w:cs="宋体"/>
                <w:sz w:val="24"/>
                <w:szCs w:val="24"/>
                <w:highlight w:val="none"/>
              </w:rPr>
              <w:t>⑦</w:t>
            </w:r>
            <w:r>
              <w:rPr>
                <w:rFonts w:hint="eastAsia" w:ascii="宋体" w:hAnsi="宋体" w:cs="Calibri"/>
                <w:sz w:val="24"/>
                <w:szCs w:val="24"/>
                <w:highlight w:val="none"/>
              </w:rPr>
              <w:t>接入能力</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应支持提供USB3.0接口，且接口数量不少于25个</w:t>
            </w:r>
            <w:r>
              <w:rPr>
                <w:rFonts w:hint="eastAsia" w:ascii="宋体" w:hAnsi="宋体" w:cs="Calibri"/>
                <w:sz w:val="24"/>
                <w:szCs w:val="24"/>
                <w:highlight w:val="none"/>
              </w:rPr>
              <w:br w:type="textWrapping"/>
            </w:r>
            <w:r>
              <w:rPr>
                <w:rFonts w:hint="eastAsia" w:ascii="宋体" w:hAnsi="宋体" w:cs="Calibri"/>
                <w:sz w:val="24"/>
                <w:szCs w:val="24"/>
                <w:highlight w:val="none"/>
              </w:rPr>
              <w:t>可同时接入应不小于25台执法记录仪，且支持不小于25台执法记录仪同时并发接入上传数据。</w:t>
            </w:r>
            <w:r>
              <w:rPr>
                <w:rFonts w:hint="eastAsia" w:ascii="宋体" w:hAnsi="宋体" w:cs="Calibri"/>
                <w:sz w:val="24"/>
                <w:szCs w:val="24"/>
                <w:highlight w:val="none"/>
              </w:rPr>
              <w:br w:type="textWrapping"/>
            </w:r>
            <w:r>
              <w:rPr>
                <w:rFonts w:hint="eastAsia" w:ascii="宋体" w:hAnsi="宋体" w:cs="Calibri"/>
                <w:sz w:val="24"/>
                <w:szCs w:val="24"/>
                <w:highlight w:val="none"/>
              </w:rPr>
              <w:t>采集站接口应支持Mini usb/Type-C/Micro usb多种可选接口。</w:t>
            </w:r>
          </w:p>
          <w:p>
            <w:pPr>
              <w:widowControl/>
              <w:textAlignment w:val="center"/>
              <w:rPr>
                <w:rFonts w:ascii="宋体" w:hAnsi="宋体" w:cs="Calibri"/>
                <w:sz w:val="24"/>
                <w:szCs w:val="24"/>
                <w:highlight w:val="none"/>
              </w:rPr>
            </w:pPr>
            <w:r>
              <w:rPr>
                <w:rFonts w:hint="eastAsia" w:ascii="宋体" w:hAnsi="宋体" w:cs="宋体"/>
                <w:b/>
                <w:bCs/>
                <w:sz w:val="24"/>
                <w:szCs w:val="24"/>
                <w:highlight w:val="none"/>
                <w:lang w:eastAsia="zh-Hans"/>
              </w:rPr>
              <w:t>(需提供第三方权威检测机构出具的检测报告证明复印件加盖公章证明参数指标合格，提供具体条款对应的序号，投标文件中若未列明检测报告中的序号，则视为条款不满足。)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sz w:val="24"/>
                <w:szCs w:val="24"/>
                <w:highlight w:val="none"/>
              </w:rPr>
              <w:t>■</w:t>
            </w:r>
            <w:r>
              <w:rPr>
                <w:rFonts w:hint="eastAsia" w:ascii="宋体" w:hAnsi="宋体" w:cs="宋体"/>
                <w:sz w:val="24"/>
                <w:szCs w:val="24"/>
                <w:highlight w:val="none"/>
              </w:rPr>
              <w:t>⑧</w:t>
            </w:r>
            <w:r>
              <w:rPr>
                <w:rFonts w:hint="eastAsia" w:ascii="宋体" w:hAnsi="宋体" w:cs="Calibri"/>
                <w:sz w:val="24"/>
                <w:szCs w:val="24"/>
                <w:highlight w:val="none"/>
              </w:rPr>
              <w:t>数据采集速率</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执法数据采集设备在接入能力满负荷条件下的平均单路数据采集速率应≥10MB/s，</w:t>
            </w:r>
            <w:r>
              <w:rPr>
                <w:rFonts w:hint="eastAsia" w:ascii="宋体" w:hAnsi="宋体" w:cs="Calibri"/>
                <w:sz w:val="24"/>
                <w:szCs w:val="24"/>
                <w:highlight w:val="none"/>
              </w:rPr>
              <w:br w:type="textWrapping"/>
            </w:r>
            <w:r>
              <w:rPr>
                <w:rFonts w:hint="eastAsia" w:ascii="宋体" w:hAnsi="宋体" w:cs="Calibri"/>
                <w:sz w:val="24"/>
                <w:szCs w:val="24"/>
                <w:highlight w:val="none"/>
              </w:rPr>
              <w:t>单路数据采集速率应大于等于15MB/s。</w:t>
            </w:r>
          </w:p>
          <w:p>
            <w:pPr>
              <w:widowControl/>
              <w:textAlignment w:val="center"/>
              <w:rPr>
                <w:rFonts w:ascii="宋体" w:hAnsi="宋体" w:cs="Calibri"/>
                <w:sz w:val="24"/>
                <w:szCs w:val="24"/>
                <w:highlight w:val="none"/>
              </w:rPr>
            </w:pPr>
            <w:r>
              <w:rPr>
                <w:rFonts w:hint="eastAsia" w:ascii="宋体" w:hAnsi="宋体" w:cs="宋体"/>
                <w:b/>
                <w:bCs/>
                <w:sz w:val="24"/>
                <w:szCs w:val="24"/>
                <w:highlight w:val="none"/>
                <w:lang w:eastAsia="zh-Hans"/>
              </w:rPr>
              <w:t>(需提供第三方权威检测机构出具的检测报告证明复印件加盖公章证明参数指标合格，提供具体条款对应的序号，投标文件中若未列明检测报告中的序号，则视为条款不满足。)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bCs/>
                <w:sz w:val="24"/>
                <w:szCs w:val="24"/>
                <w:highlight w:val="none"/>
              </w:rPr>
            </w:pPr>
            <w:r>
              <w:rPr>
                <w:rFonts w:hint="eastAsia" w:ascii="宋体" w:hAnsi="宋体" w:cs="Calibri"/>
                <w:sz w:val="24"/>
                <w:szCs w:val="24"/>
                <w:highlight w:val="none"/>
              </w:rPr>
              <w:t>充电电流检验</w:t>
            </w:r>
          </w:p>
        </w:tc>
        <w:tc>
          <w:tcPr>
            <w:tcW w:w="5861" w:type="dxa"/>
            <w:shd w:val="clear" w:color="auto" w:fill="auto"/>
            <w:vAlign w:val="center"/>
          </w:tcPr>
          <w:p>
            <w:pPr>
              <w:widowControl/>
              <w:textAlignment w:val="center"/>
              <w:rPr>
                <w:sz w:val="24"/>
                <w:szCs w:val="24"/>
                <w:highlight w:val="none"/>
              </w:rPr>
            </w:pPr>
            <w:r>
              <w:rPr>
                <w:rFonts w:hint="eastAsia" w:ascii="宋体" w:hAnsi="宋体" w:cs="Calibri"/>
                <w:sz w:val="24"/>
                <w:szCs w:val="24"/>
                <w:highlight w:val="none"/>
              </w:rPr>
              <w:t>执法数据采集设备在接入能力满负荷条件下采集接口充电电流应≥1300mA</w:t>
            </w:r>
            <w:r>
              <w:rPr>
                <w:rFonts w:hint="eastAsia" w:ascii="宋体" w:hAnsi="宋体" w:cs="Calibri"/>
                <w:sz w:val="24"/>
                <w:szCs w:val="24"/>
                <w:highlight w:val="none"/>
              </w:rPr>
              <w:br w:type="textWrapping"/>
            </w:r>
            <w:r>
              <w:rPr>
                <w:rFonts w:hint="eastAsia" w:ascii="宋体" w:hAnsi="宋体" w:cs="Calibri"/>
                <w:sz w:val="24"/>
                <w:szCs w:val="24"/>
                <w:highlight w:val="none"/>
              </w:rPr>
              <w:t>执法数据采集设备具有快速充电功能，单个采集接口的充电电流应不小于1800mA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视频播放功能检验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执法数据采集设备可播放分辨率为 3840× 2160。支持文件格式为 HEVC(H.265)的视频文件。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绝缘电阻</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行标项，实测值要大于等于253MΩ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泄漏电流</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采用交流供电的执法数据采集设备的I、II类设备工作时的泄漏电流应符合GB16796-2009中表2的规定，且泄漏电流参数小于0.1mA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工作噪声检验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采集站在正常工作条件下的工作噪声不应大于45dB（A）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信息与状态显示功能检验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执法数据采集设备应能显示每台接入的执法记录仪的设备信息（包括但不限于执法记录仪产品序号、警号、执法记录仪的充电电量、数据采集进度等）和执法数据采集设备的存储容量、剩余容量、采集接口编号等信息，未接入执法记录仪的接口，应显示当前接口状态为空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用户权限管理功能检验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执法数据采集设备应能设置操作权限，未经授权的用户不可对执法数据采集设备进行操作，经授权的用户的操作权限应有分级管理机制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数据完整性检验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执法数据采集设备在数据采集过程中应保证数据完整性，要求如下：</w:t>
            </w:r>
            <w:r>
              <w:rPr>
                <w:rFonts w:hint="eastAsia" w:ascii="宋体" w:hAnsi="宋体" w:cs="Calibri"/>
                <w:sz w:val="24"/>
                <w:szCs w:val="24"/>
                <w:highlight w:val="none"/>
              </w:rPr>
              <w:br w:type="textWrapping"/>
            </w:r>
            <w:r>
              <w:rPr>
                <w:rFonts w:hint="eastAsia" w:ascii="宋体" w:hAnsi="宋体" w:cs="Calibri"/>
                <w:sz w:val="24"/>
                <w:szCs w:val="24"/>
                <w:highlight w:val="none"/>
              </w:rPr>
              <w:t>a)执法数据采集设备在数据采集过程中可选择任意接入的执法记录仪取消其数据导入，执法记录仪和执法数据采集设备中存储的数据应不丢失</w:t>
            </w:r>
            <w:r>
              <w:rPr>
                <w:rFonts w:hint="eastAsia" w:ascii="宋体" w:hAnsi="宋体" w:cs="Calibri"/>
                <w:sz w:val="24"/>
                <w:szCs w:val="24"/>
                <w:highlight w:val="none"/>
              </w:rPr>
              <w:br w:type="textWrapping"/>
            </w:r>
            <w:r>
              <w:rPr>
                <w:rFonts w:hint="eastAsia" w:ascii="宋体" w:hAnsi="宋体" w:cs="Calibri"/>
                <w:sz w:val="24"/>
                <w:szCs w:val="24"/>
                <w:highlight w:val="none"/>
              </w:rPr>
              <w:t>b）执法数据采集设备出现断电、重启、死机或执法记录仪出现意外断开连接情况，执法记录仪和执法数据采集设备中存储数据及配置信息应不丢失，且在下次正常启动及连接后应能自动继续进行数据采集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日志检验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执法数据采集设备应能自动对执法数据采集设备的运行状态及所有操作进行日志记录，日志内容包括但不限于开/关机、用户登录及操作、执法记录仪的接入/移除、执法记录仪数据采集、故障发生/恢复等时间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故障报警功能检验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当执法数据采集设备产生网络中断、存储器溢出等异常情况时，应3S内在本地同时发出可听和可见报警指示。可听报警指示的声压应介于65dB(A)~90dB(A)范围内，持续时间不应小于5min，报警期间应可通过人工干预撤除可听报警指示，当有新的报警产生时，应能重新发出可听报警指示。可见报警指示应能保持到故障完成恢复后才可消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数据存储功能检验</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应用于分布式系统的执法数据采集设备应能依据执法记录仪产品序号、警号、时间、文件类型等中的一种或多种条件对数据进行分类保存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shd w:val="clear" w:color="auto" w:fill="auto"/>
            <w:vAlign w:val="center"/>
          </w:tcPr>
          <w:p>
            <w:pPr>
              <w:numPr>
                <w:ilvl w:val="0"/>
                <w:numId w:val="5"/>
              </w:numPr>
              <w:rPr>
                <w:rFonts w:ascii="宋体" w:hAnsi="宋体"/>
                <w:sz w:val="24"/>
                <w:szCs w:val="24"/>
                <w:highlight w:val="none"/>
              </w:rPr>
            </w:pPr>
          </w:p>
        </w:tc>
        <w:tc>
          <w:tcPr>
            <w:tcW w:w="213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存储容量</w:t>
            </w:r>
          </w:p>
        </w:tc>
        <w:tc>
          <w:tcPr>
            <w:tcW w:w="5861" w:type="dxa"/>
            <w:shd w:val="clear" w:color="auto" w:fill="auto"/>
            <w:vAlign w:val="center"/>
          </w:tcPr>
          <w:p>
            <w:pPr>
              <w:widowControl/>
              <w:textAlignment w:val="center"/>
              <w:rPr>
                <w:rFonts w:ascii="宋体" w:hAnsi="宋体" w:cs="Calibri"/>
                <w:sz w:val="24"/>
                <w:szCs w:val="24"/>
                <w:highlight w:val="none"/>
              </w:rPr>
            </w:pPr>
            <w:r>
              <w:rPr>
                <w:rFonts w:hint="eastAsia" w:ascii="宋体" w:hAnsi="宋体" w:cs="Calibri"/>
                <w:sz w:val="24"/>
                <w:szCs w:val="24"/>
                <w:highlight w:val="none"/>
              </w:rPr>
              <w:t>采集工作站配备不少于56TB存储容量。</w:t>
            </w:r>
          </w:p>
        </w:tc>
      </w:tr>
    </w:tbl>
    <w:p>
      <w:pPr>
        <w:ind w:firstLine="480" w:firstLineChars="200"/>
        <w:rPr>
          <w:rFonts w:ascii="宋体" w:hAnsi="宋体" w:cs="宋体"/>
          <w:sz w:val="24"/>
          <w:szCs w:val="24"/>
          <w:highlight w:val="none"/>
        </w:rPr>
      </w:pPr>
    </w:p>
    <w:p>
      <w:pPr>
        <w:ind w:firstLine="480" w:firstLineChars="200"/>
        <w:rPr>
          <w:rFonts w:ascii="宋体" w:hAnsi="宋体" w:cs="宋体"/>
          <w:sz w:val="24"/>
          <w:szCs w:val="24"/>
          <w:highlight w:val="none"/>
        </w:rPr>
      </w:pPr>
    </w:p>
    <w:p>
      <w:pPr>
        <w:ind w:firstLine="480" w:firstLineChars="200"/>
        <w:rPr>
          <w:rFonts w:ascii="宋体" w:hAnsi="宋体" w:cs="宋体"/>
          <w:sz w:val="24"/>
          <w:szCs w:val="24"/>
          <w:highlight w:val="none"/>
        </w:rPr>
      </w:pPr>
    </w:p>
    <w:p>
      <w:pPr>
        <w:ind w:firstLine="480" w:firstLineChars="200"/>
        <w:rPr>
          <w:rFonts w:ascii="宋体" w:hAnsi="宋体" w:cs="宋体"/>
          <w:sz w:val="24"/>
          <w:szCs w:val="24"/>
          <w:highlight w:val="none"/>
        </w:rPr>
      </w:pPr>
    </w:p>
    <w:p>
      <w:pPr>
        <w:ind w:firstLine="480" w:firstLineChars="200"/>
        <w:rPr>
          <w:rFonts w:ascii="宋体" w:hAnsi="宋体" w:cs="宋体"/>
          <w:sz w:val="24"/>
          <w:szCs w:val="24"/>
          <w:highlight w:val="none"/>
        </w:rPr>
      </w:pPr>
    </w:p>
    <w:bookmarkEnd w:id="2"/>
    <w:p>
      <w:pPr>
        <w:pStyle w:val="6"/>
        <w:numPr>
          <w:ilvl w:val="1"/>
          <w:numId w:val="0"/>
        </w:numPr>
        <w:tabs>
          <w:tab w:val="left" w:pos="576"/>
        </w:tabs>
        <w:spacing w:before="240" w:beforeLines="100" w:after="0" w:line="480" w:lineRule="auto"/>
        <w:ind w:firstLine="482" w:firstLineChars="200"/>
        <w:jc w:val="left"/>
        <w:rPr>
          <w:rFonts w:ascii="宋体" w:hAnsi="宋体" w:cs="宋体"/>
          <w:sz w:val="24"/>
          <w:szCs w:val="24"/>
          <w:highlight w:val="none"/>
        </w:rPr>
      </w:pPr>
      <w:r>
        <w:rPr>
          <w:rFonts w:hint="eastAsia" w:ascii="宋体" w:hAnsi="宋体" w:cs="宋体"/>
          <w:sz w:val="24"/>
          <w:szCs w:val="24"/>
          <w:highlight w:val="none"/>
        </w:rPr>
        <w:t>3、移动智能视频接入网关设备</w:t>
      </w:r>
    </w:p>
    <w:p>
      <w:pPr>
        <w:spacing w:line="480" w:lineRule="auto"/>
        <w:ind w:firstLine="560"/>
        <w:rPr>
          <w:rFonts w:ascii="宋体" w:hAnsi="宋体" w:cs="宋体"/>
          <w:sz w:val="24"/>
          <w:szCs w:val="24"/>
          <w:highlight w:val="none"/>
        </w:rPr>
      </w:pPr>
      <w:r>
        <w:rPr>
          <w:rFonts w:hint="eastAsia" w:ascii="宋体" w:hAnsi="宋体" w:cs="宋体"/>
          <w:sz w:val="24"/>
          <w:szCs w:val="24"/>
          <w:highlight w:val="none"/>
        </w:rPr>
        <w:t>在VPDN专网建设移动智能视频接入网关设备，用于VPDN专网和公安视频传输网的连接。</w:t>
      </w:r>
    </w:p>
    <w:tbl>
      <w:tblPr>
        <w:tblStyle w:val="8"/>
        <w:tblW w:w="0" w:type="auto"/>
        <w:tblInd w:w="5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5"/>
        <w:gridCol w:w="7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adjustRightInd w:val="0"/>
              <w:snapToGrid w:val="0"/>
              <w:jc w:val="center"/>
              <w:rPr>
                <w:sz w:val="24"/>
                <w:szCs w:val="24"/>
                <w:highlight w:val="none"/>
              </w:rPr>
            </w:pPr>
            <w:r>
              <w:rPr>
                <w:rFonts w:hint="eastAsia" w:ascii="宋体" w:hAnsi="宋体" w:cs="宋体"/>
                <w:b/>
                <w:bCs/>
                <w:sz w:val="24"/>
                <w:szCs w:val="24"/>
                <w:highlight w:val="none"/>
                <w:lang w:val="zh-CN"/>
              </w:rPr>
              <w:t>序号</w:t>
            </w:r>
          </w:p>
        </w:tc>
        <w:tc>
          <w:tcPr>
            <w:tcW w:w="7988" w:type="dxa"/>
            <w:vAlign w:val="center"/>
          </w:tcPr>
          <w:p>
            <w:pPr>
              <w:adjustRightInd w:val="0"/>
              <w:snapToGrid w:val="0"/>
              <w:jc w:val="center"/>
              <w:rPr>
                <w:sz w:val="24"/>
                <w:szCs w:val="24"/>
                <w:highlight w:val="none"/>
              </w:rPr>
            </w:pPr>
            <w:r>
              <w:rPr>
                <w:rFonts w:hint="eastAsia" w:ascii="宋体" w:hAnsi="宋体" w:cs="宋体"/>
                <w:b/>
                <w:bCs/>
                <w:sz w:val="24"/>
                <w:szCs w:val="24"/>
                <w:highlight w:val="none"/>
                <w:lang w:val="zh-CN"/>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2U机柜式设备，具有专用电源、风扇、导轨；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2</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采用高性能国产处理器芯片方案,配置≥64GB内存，配置≥4路千兆网口；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3</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标配≥2*240GB SATA SSD，≥2*1TB企业级硬盘。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4</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支持4G/5G移动视频终端进行无线视频接入汇聚管理，包括执法记录仪、车载视频终端、行车记录仪终端、布控球等移动视频终端设备；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5</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支持接入管理的移动终端数量3000台；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6</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支持符合GB/T 28181-</w:t>
            </w:r>
            <w:r>
              <w:rPr>
                <w:rFonts w:ascii="宋体" w:hAnsi="宋体"/>
                <w:sz w:val="24"/>
                <w:szCs w:val="24"/>
                <w:highlight w:val="none"/>
              </w:rPr>
              <w:t>2016</w:t>
            </w:r>
            <w:r>
              <w:rPr>
                <w:rFonts w:hint="eastAsia" w:ascii="宋体" w:hAnsi="宋体"/>
                <w:sz w:val="24"/>
                <w:szCs w:val="24"/>
                <w:highlight w:val="none"/>
              </w:rPr>
              <w:t>协议标准规范的设备接入；</w:t>
            </w:r>
            <w:r>
              <w:rPr>
                <w:rFonts w:ascii="宋体" w:hAnsi="宋体"/>
                <w:sz w:val="24"/>
                <w:szCs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7</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支持符合GB 35114-2017协议标准规范的设备接入；</w:t>
            </w:r>
            <w:r>
              <w:rPr>
                <w:rFonts w:ascii="宋体" w:hAnsi="宋体"/>
                <w:b/>
                <w:bCs/>
                <w:sz w:val="24"/>
                <w:szCs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8</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设备内置硬盘用于音视频录像及坐标信息、设备状态等数据临时存储；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9</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设备具备设备注册、设备认证、资源汇聚、协议转发、异常报警、日志记录等功能；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10</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具备国标协议转换功能，对老旧非标移动视频终端进行SDK私有协议接入，并进行协议转换，转换符合GB/T 28181-2022协议标准；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11</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支持媒体流的复制分发；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12</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支持媒体流转封装；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13</w:t>
            </w:r>
          </w:p>
        </w:tc>
        <w:tc>
          <w:tcPr>
            <w:tcW w:w="7988"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支持最大入口流量为2048Mbps；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14</w:t>
            </w:r>
          </w:p>
        </w:tc>
        <w:tc>
          <w:tcPr>
            <w:tcW w:w="7988"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支持最大出口流量为2048Mbps；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15</w:t>
            </w:r>
          </w:p>
        </w:tc>
        <w:tc>
          <w:tcPr>
            <w:tcW w:w="7988"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支持GB/T 28181-2022、GB 35114-2017等联网标准；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16</w:t>
            </w:r>
          </w:p>
        </w:tc>
        <w:tc>
          <w:tcPr>
            <w:tcW w:w="7988"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音视频转发能力不低于64路1080P视频（8Mbps/路）并发；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17</w:t>
            </w:r>
          </w:p>
        </w:tc>
        <w:tc>
          <w:tcPr>
            <w:tcW w:w="7988"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支持对移动视频终端设备进行远程升级；</w:t>
            </w:r>
          </w:p>
        </w:tc>
      </w:tr>
    </w:tbl>
    <w:p>
      <w:pPr>
        <w:pStyle w:val="4"/>
        <w:ind w:firstLine="240"/>
        <w:rPr>
          <w:sz w:val="24"/>
          <w:highlight w:val="none"/>
        </w:rPr>
      </w:pPr>
    </w:p>
    <w:p>
      <w:pPr>
        <w:pStyle w:val="6"/>
        <w:numPr>
          <w:ilvl w:val="1"/>
          <w:numId w:val="0"/>
        </w:numPr>
        <w:tabs>
          <w:tab w:val="left" w:pos="576"/>
        </w:tabs>
        <w:spacing w:before="0" w:after="0" w:line="480" w:lineRule="auto"/>
        <w:ind w:firstLine="482" w:firstLineChars="200"/>
        <w:jc w:val="left"/>
        <w:rPr>
          <w:rFonts w:ascii="宋体" w:hAnsi="宋体" w:cs="宋体"/>
          <w:sz w:val="24"/>
          <w:szCs w:val="24"/>
          <w:highlight w:val="none"/>
        </w:rPr>
      </w:pPr>
      <w:r>
        <w:rPr>
          <w:rFonts w:hint="eastAsia" w:ascii="宋体" w:hAnsi="宋体" w:cs="宋体"/>
          <w:sz w:val="24"/>
          <w:szCs w:val="24"/>
          <w:highlight w:val="none"/>
        </w:rPr>
        <w:t>4、移动视频管理设备</w:t>
      </w:r>
    </w:p>
    <w:p>
      <w:pPr>
        <w:spacing w:line="360" w:lineRule="auto"/>
        <w:ind w:firstLine="420"/>
        <w:rPr>
          <w:rFonts w:ascii="宋体" w:hAnsi="宋体" w:cs="宋体"/>
          <w:sz w:val="24"/>
          <w:szCs w:val="24"/>
          <w:highlight w:val="none"/>
        </w:rPr>
      </w:pPr>
      <w:r>
        <w:rPr>
          <w:rFonts w:hint="eastAsia" w:ascii="宋体" w:hAnsi="宋体" w:cs="宋体"/>
          <w:sz w:val="24"/>
          <w:szCs w:val="24"/>
          <w:highlight w:val="none"/>
        </w:rPr>
        <w:t>在公安视频传输网和公安信息网分别建设移动视音频管理设备，用于移动视音频设备的统一管理。</w:t>
      </w:r>
    </w:p>
    <w:tbl>
      <w:tblPr>
        <w:tblStyle w:val="8"/>
        <w:tblW w:w="0" w:type="auto"/>
        <w:tblInd w:w="5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5"/>
        <w:gridCol w:w="7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adjustRightInd w:val="0"/>
              <w:snapToGrid w:val="0"/>
              <w:jc w:val="center"/>
              <w:rPr>
                <w:sz w:val="24"/>
                <w:szCs w:val="24"/>
                <w:highlight w:val="none"/>
              </w:rPr>
            </w:pPr>
            <w:r>
              <w:rPr>
                <w:rFonts w:hint="eastAsia" w:ascii="宋体" w:hAnsi="宋体" w:cs="宋体"/>
                <w:b/>
                <w:bCs/>
                <w:sz w:val="24"/>
                <w:szCs w:val="24"/>
                <w:highlight w:val="none"/>
                <w:lang w:val="zh-CN"/>
              </w:rPr>
              <w:t>序号</w:t>
            </w:r>
          </w:p>
        </w:tc>
        <w:tc>
          <w:tcPr>
            <w:tcW w:w="7988" w:type="dxa"/>
            <w:vAlign w:val="center"/>
          </w:tcPr>
          <w:p>
            <w:pPr>
              <w:adjustRightInd w:val="0"/>
              <w:snapToGrid w:val="0"/>
              <w:jc w:val="center"/>
              <w:rPr>
                <w:sz w:val="24"/>
                <w:szCs w:val="24"/>
                <w:highlight w:val="none"/>
              </w:rPr>
            </w:pPr>
            <w:r>
              <w:rPr>
                <w:rFonts w:hint="eastAsia" w:ascii="宋体" w:hAnsi="宋体" w:cs="宋体"/>
                <w:b/>
                <w:bCs/>
                <w:sz w:val="24"/>
                <w:szCs w:val="24"/>
                <w:highlight w:val="none"/>
                <w:lang w:val="zh-CN"/>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2U机柜式设备，具有专用电源、风扇、导轨；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2</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采用高性能国产处理器芯片方案,配置≥64GB内存，配置≥4路千兆网口；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3</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标配≥2*240GB SATA SSD，≥2*1TB企业级硬盘。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4</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应支持管理移动终端数量≥3000台；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5</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 xml:space="preserve">应支持国标GB/T 28181-2022协议规范的视频点播、检索、回放、下载等常规的视频服务；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6</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应兼容国标GB 35114-2017协议规范，支持双向证书认证以及信令签名；</w:t>
            </w:r>
            <w:r>
              <w:rPr>
                <w:rFonts w:ascii="宋体" w:hAnsi="宋体"/>
                <w:sz w:val="24"/>
                <w:szCs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7</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应支持自动校时，支持NTP自动校时，同时对联网的下级系统及设备提供NTP校时服务；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8</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应支持国标GB/T 28181-2022协议规范的订阅功能，应支持对前端视频设备的在线状态实时监测和网络流量的实时统计；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9</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应支持对下级联网设备（4G执法记录仪以及移动视频接入网关等）的工作状态监测并异常及时报警；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10</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应支持基于国标GB/T 28181-2022协议规范点播视频流的备份存储及管理功能；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11</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可内置硬盘或外接磁盘阵列用于音视频录像及坐标、设备状态等数据存储；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12</w:t>
            </w:r>
          </w:p>
        </w:tc>
        <w:tc>
          <w:tcPr>
            <w:tcW w:w="7988" w:type="dxa"/>
            <w:vAlign w:val="center"/>
          </w:tcPr>
          <w:p>
            <w:pPr>
              <w:pStyle w:val="13"/>
              <w:ind w:firstLine="0" w:firstLineChars="0"/>
              <w:rPr>
                <w:sz w:val="24"/>
                <w:szCs w:val="24"/>
                <w:highlight w:val="none"/>
              </w:rPr>
            </w:pPr>
            <w:r>
              <w:rPr>
                <w:rFonts w:hint="eastAsia" w:ascii="宋体" w:hAnsi="宋体"/>
                <w:sz w:val="24"/>
                <w:szCs w:val="24"/>
                <w:highlight w:val="none"/>
              </w:rPr>
              <w:t>设备应支持国密算法，为GB 35114-2017提供双向身份证书验证、信令签名验签功能；</w:t>
            </w:r>
          </w:p>
        </w:tc>
      </w:tr>
    </w:tbl>
    <w:p>
      <w:pPr>
        <w:pStyle w:val="4"/>
        <w:ind w:firstLine="240"/>
        <w:rPr>
          <w:sz w:val="24"/>
          <w:highlight w:val="none"/>
        </w:rPr>
      </w:pPr>
    </w:p>
    <w:p>
      <w:pPr>
        <w:pStyle w:val="6"/>
        <w:numPr>
          <w:ilvl w:val="1"/>
          <w:numId w:val="0"/>
        </w:numPr>
        <w:tabs>
          <w:tab w:val="left" w:pos="576"/>
        </w:tabs>
        <w:spacing w:before="0" w:after="0" w:line="480" w:lineRule="auto"/>
        <w:ind w:firstLine="482" w:firstLineChars="200"/>
        <w:jc w:val="left"/>
        <w:rPr>
          <w:rFonts w:ascii="宋体" w:hAnsi="宋体" w:cs="宋体"/>
          <w:sz w:val="24"/>
          <w:szCs w:val="24"/>
          <w:highlight w:val="none"/>
        </w:rPr>
      </w:pPr>
      <w:bookmarkStart w:id="3" w:name="_Toc20866"/>
      <w:r>
        <w:rPr>
          <w:rFonts w:hint="eastAsia" w:ascii="宋体" w:hAnsi="宋体" w:cs="宋体"/>
          <w:sz w:val="24"/>
          <w:szCs w:val="24"/>
          <w:highlight w:val="none"/>
        </w:rPr>
        <w:t>5、执法记录仪视频国标服务设备</w:t>
      </w:r>
      <w:bookmarkEnd w:id="3"/>
    </w:p>
    <w:p>
      <w:pPr>
        <w:spacing w:line="360" w:lineRule="auto"/>
        <w:ind w:firstLine="840"/>
        <w:jc w:val="left"/>
        <w:rPr>
          <w:rFonts w:ascii="宋体" w:hAnsi="宋体" w:cs="宋体"/>
          <w:sz w:val="24"/>
          <w:szCs w:val="24"/>
          <w:highlight w:val="none"/>
        </w:rPr>
      </w:pPr>
      <w:r>
        <w:rPr>
          <w:rFonts w:hint="eastAsia" w:ascii="宋体" w:hAnsi="宋体" w:cs="宋体"/>
          <w:sz w:val="24"/>
          <w:szCs w:val="24"/>
          <w:highlight w:val="none"/>
        </w:rPr>
        <w:t>本次项目需要实现，公安信息网内可以通过国标协议点播公安视频传输网内采集工作站的视音频数据，解决视频传输网执法记录仪视频数据与数字化执法办案管理系统对接应用，需要在公安视频传输网和公安信息网分别建设执法记录仪视频国标服务设备。实现对执法记录仪视音数据基于GB/T 28181-2022协议的共享调用。</w:t>
      </w:r>
    </w:p>
    <w:p>
      <w:pPr>
        <w:pStyle w:val="3"/>
        <w:rPr>
          <w:highlight w:val="none"/>
        </w:rPr>
      </w:pPr>
    </w:p>
    <w:tbl>
      <w:tblPr>
        <w:tblStyle w:val="8"/>
        <w:tblW w:w="0" w:type="auto"/>
        <w:tblInd w:w="5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5"/>
        <w:gridCol w:w="8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adjustRightInd w:val="0"/>
              <w:snapToGrid w:val="0"/>
              <w:jc w:val="center"/>
              <w:rPr>
                <w:sz w:val="24"/>
                <w:szCs w:val="24"/>
                <w:highlight w:val="none"/>
              </w:rPr>
            </w:pPr>
            <w:r>
              <w:rPr>
                <w:rFonts w:hint="eastAsia" w:ascii="宋体" w:hAnsi="宋体" w:cs="宋体"/>
                <w:b/>
                <w:bCs/>
                <w:sz w:val="24"/>
                <w:szCs w:val="24"/>
                <w:highlight w:val="none"/>
                <w:lang w:val="zh-CN"/>
              </w:rPr>
              <w:t>序号</w:t>
            </w:r>
          </w:p>
        </w:tc>
        <w:tc>
          <w:tcPr>
            <w:tcW w:w="8000" w:type="dxa"/>
            <w:vAlign w:val="center"/>
          </w:tcPr>
          <w:p>
            <w:pPr>
              <w:adjustRightInd w:val="0"/>
              <w:snapToGrid w:val="0"/>
              <w:jc w:val="center"/>
              <w:rPr>
                <w:sz w:val="24"/>
                <w:szCs w:val="24"/>
                <w:highlight w:val="none"/>
              </w:rPr>
            </w:pPr>
            <w:r>
              <w:rPr>
                <w:rFonts w:hint="eastAsia" w:ascii="宋体" w:hAnsi="宋体" w:cs="宋体"/>
                <w:b/>
                <w:bCs/>
                <w:sz w:val="24"/>
                <w:szCs w:val="24"/>
                <w:highlight w:val="none"/>
                <w:lang w:val="zh-CN"/>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2U机柜式设备，具有专用电源、风扇、导轨；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2</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采用高性能国产处理器芯片方案,配置≥64GB内存，配置≥4路千兆网口；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3</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标配≥2*240GB SATA SSD，≥2*1TB企业级硬盘；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4</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支持GB/T 28181-2022、GB 35114-2017等联网标准；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5</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具备将GA/T 947-2015的HTTP协议访问文件形式转换为GB/T 28181-2022协议进行文件点播与下载功能；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6</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具备国标上下级级联功能，可配置级联接入边界系统；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7</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支持并发视频点流128路；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8</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视频压缩标准支持H.264/H.265；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9</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视频码流支持32Kbps-4096Kbps；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10</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音频压缩标准支持G.711U、G.711A、AAC；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11</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系统吞吐量2000Mbps；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775" w:type="dxa"/>
            <w:vAlign w:val="center"/>
          </w:tcPr>
          <w:p>
            <w:pPr>
              <w:jc w:val="center"/>
              <w:rPr>
                <w:sz w:val="24"/>
                <w:szCs w:val="24"/>
                <w:highlight w:val="none"/>
              </w:rPr>
            </w:pPr>
            <w:r>
              <w:rPr>
                <w:rFonts w:hint="eastAsia"/>
                <w:sz w:val="24"/>
                <w:szCs w:val="24"/>
                <w:highlight w:val="none"/>
              </w:rPr>
              <w:t>12</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工作温度-10℃~+55℃；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pPr>
              <w:jc w:val="center"/>
              <w:rPr>
                <w:sz w:val="24"/>
                <w:szCs w:val="24"/>
                <w:highlight w:val="none"/>
              </w:rPr>
            </w:pPr>
            <w:r>
              <w:rPr>
                <w:rFonts w:hint="eastAsia"/>
                <w:sz w:val="24"/>
                <w:szCs w:val="24"/>
                <w:highlight w:val="none"/>
              </w:rPr>
              <w:t>13</w:t>
            </w:r>
          </w:p>
        </w:tc>
        <w:tc>
          <w:tcPr>
            <w:tcW w:w="8000" w:type="dxa"/>
            <w:vAlign w:val="center"/>
          </w:tcPr>
          <w:p>
            <w:pPr>
              <w:pStyle w:val="13"/>
              <w:ind w:firstLine="0" w:firstLineChars="0"/>
              <w:rPr>
                <w:sz w:val="24"/>
                <w:szCs w:val="24"/>
                <w:highlight w:val="none"/>
              </w:rPr>
            </w:pPr>
            <w:r>
              <w:rPr>
                <w:rFonts w:hint="eastAsia" w:ascii="宋体" w:hAnsi="宋体"/>
                <w:sz w:val="24"/>
                <w:szCs w:val="24"/>
                <w:highlight w:val="none"/>
              </w:rPr>
              <w:t>工作湿度 10%~90%。</w:t>
            </w:r>
          </w:p>
        </w:tc>
      </w:tr>
    </w:tbl>
    <w:p>
      <w:pPr>
        <w:pStyle w:val="4"/>
        <w:ind w:firstLine="240"/>
        <w:rPr>
          <w:sz w:val="24"/>
          <w:highlight w:val="none"/>
        </w:rPr>
      </w:pPr>
    </w:p>
    <w:p>
      <w:pPr>
        <w:pStyle w:val="6"/>
        <w:numPr>
          <w:ilvl w:val="1"/>
          <w:numId w:val="0"/>
        </w:numPr>
        <w:tabs>
          <w:tab w:val="left" w:pos="576"/>
        </w:tabs>
        <w:spacing w:before="0" w:after="0" w:line="480" w:lineRule="auto"/>
        <w:ind w:firstLine="482" w:firstLineChars="200"/>
        <w:jc w:val="left"/>
        <w:rPr>
          <w:rFonts w:ascii="宋体" w:hAnsi="宋体" w:cs="宋体"/>
          <w:sz w:val="24"/>
          <w:szCs w:val="24"/>
          <w:highlight w:val="none"/>
        </w:rPr>
      </w:pPr>
      <w:bookmarkStart w:id="4" w:name="_Toc31816"/>
      <w:r>
        <w:rPr>
          <w:rFonts w:hint="eastAsia" w:ascii="宋体" w:hAnsi="宋体" w:cs="宋体"/>
          <w:sz w:val="24"/>
          <w:szCs w:val="24"/>
          <w:highlight w:val="none"/>
        </w:rPr>
        <w:t>6、智能指挥处置系统许可</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本次项目将为12家机关单位开通智能指挥处置系统三级权限，以满足奉贤分局指挥中心业务功能要求：</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1、满足在智能指挥处置系统上能够维护12家机关单位4G执法记录仪相关信息，能够显示12家机关单位4G执法记录仪的撒点信息，并同时能够点调4G执法记录仪的功能要求。</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2、12家机关单位开通权限后，不能对分局指挥中心的接处警工作造成影响。</w:t>
      </w:r>
    </w:p>
    <w:p>
      <w:pPr>
        <w:numPr>
          <w:ilvl w:val="0"/>
          <w:numId w:val="7"/>
        </w:num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智能指挥处置系统如果后续迁移至公安网，此功能模块能够同步迁移。</w:t>
      </w:r>
    </w:p>
    <w:p>
      <w:pPr>
        <w:rPr>
          <w:rFonts w:ascii="宋体" w:hAnsi="宋体" w:cs="宋体"/>
          <w:sz w:val="24"/>
          <w:szCs w:val="24"/>
          <w:highlight w:val="none"/>
        </w:rPr>
      </w:pPr>
    </w:p>
    <w:bookmarkEnd w:id="4"/>
    <w:p>
      <w:pPr>
        <w:pStyle w:val="6"/>
        <w:numPr>
          <w:ilvl w:val="1"/>
          <w:numId w:val="0"/>
        </w:numPr>
        <w:tabs>
          <w:tab w:val="left" w:pos="576"/>
        </w:tabs>
        <w:spacing w:before="0" w:after="0" w:line="480" w:lineRule="auto"/>
        <w:ind w:firstLine="482" w:firstLineChars="200"/>
        <w:jc w:val="left"/>
        <w:rPr>
          <w:rFonts w:ascii="宋体" w:hAnsi="宋体" w:cs="宋体"/>
          <w:sz w:val="24"/>
          <w:szCs w:val="24"/>
          <w:highlight w:val="none"/>
        </w:rPr>
      </w:pPr>
      <w:r>
        <w:rPr>
          <w:rFonts w:hint="eastAsia" w:ascii="宋体" w:hAnsi="宋体" w:cs="宋体"/>
          <w:sz w:val="24"/>
          <w:szCs w:val="24"/>
          <w:highlight w:val="none"/>
        </w:rPr>
        <w:t>7、防火墙</w:t>
      </w:r>
    </w:p>
    <w:tbl>
      <w:tblPr>
        <w:tblStyle w:val="7"/>
        <w:tblW w:w="920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6"/>
        <w:gridCol w:w="7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shd w:val="clear" w:color="auto" w:fill="auto"/>
            <w:vAlign w:val="center"/>
          </w:tcPr>
          <w:p>
            <w:pPr>
              <w:pStyle w:val="13"/>
              <w:ind w:firstLine="0" w:firstLineChars="0"/>
              <w:jc w:val="center"/>
              <w:rPr>
                <w:rFonts w:ascii="宋体" w:hAnsi="宋体"/>
                <w:b/>
                <w:bCs/>
                <w:sz w:val="24"/>
                <w:szCs w:val="24"/>
                <w:highlight w:val="none"/>
              </w:rPr>
            </w:pPr>
            <w:r>
              <w:rPr>
                <w:rFonts w:hint="eastAsia" w:cs="宋体" w:asciiTheme="majorEastAsia" w:hAnsiTheme="majorEastAsia" w:eastAsiaTheme="majorEastAsia"/>
                <w:b/>
                <w:bCs/>
                <w:kern w:val="0"/>
                <w:sz w:val="24"/>
                <w:szCs w:val="24"/>
                <w:highlight w:val="none"/>
              </w:rPr>
              <w:t>功能及技术指标</w:t>
            </w:r>
          </w:p>
        </w:tc>
        <w:tc>
          <w:tcPr>
            <w:tcW w:w="7662" w:type="dxa"/>
            <w:shd w:val="clear" w:color="auto" w:fill="auto"/>
            <w:vAlign w:val="center"/>
          </w:tcPr>
          <w:p>
            <w:pPr>
              <w:pStyle w:val="13"/>
              <w:ind w:firstLine="0" w:firstLineChars="0"/>
              <w:jc w:val="center"/>
              <w:rPr>
                <w:rFonts w:ascii="宋体" w:hAnsi="宋体"/>
                <w:b/>
                <w:bCs/>
                <w:sz w:val="24"/>
                <w:szCs w:val="24"/>
                <w:highlight w:val="none"/>
              </w:rPr>
            </w:pPr>
            <w:r>
              <w:rPr>
                <w:rFonts w:hint="eastAsia" w:ascii="宋体" w:hAnsi="宋体"/>
                <w:b/>
                <w:bCs/>
                <w:sz w:val="24"/>
                <w:szCs w:val="24"/>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硬件参数</w:t>
            </w:r>
          </w:p>
        </w:tc>
        <w:tc>
          <w:tcPr>
            <w:tcW w:w="7662" w:type="dxa"/>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规格：2U，冗余电源。不少于10个千兆电口，不少于4个千兆光口，不少于2个万兆光口。配置万兆多模光模块≥2，千兆单模光模块≥2。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性能参数</w:t>
            </w:r>
          </w:p>
        </w:tc>
        <w:tc>
          <w:tcPr>
            <w:tcW w:w="7662"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网络层吞吐量≥20G，应用层吞吐量≥7G，IPS吞吐量≥2G，并发连接数≥400万，HTTP新建连接数≥16万。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46" w:type="dxa"/>
            <w:vMerge w:val="restar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网络适应性</w:t>
            </w:r>
          </w:p>
        </w:tc>
        <w:tc>
          <w:tcPr>
            <w:tcW w:w="7662" w:type="dxa"/>
            <w:vAlign w:val="center"/>
          </w:tcPr>
          <w:p>
            <w:pPr>
              <w:pStyle w:val="13"/>
              <w:ind w:firstLine="0" w:firstLineChars="0"/>
              <w:rPr>
                <w:rFonts w:ascii="宋体" w:hAnsi="宋体"/>
                <w:sz w:val="24"/>
                <w:szCs w:val="24"/>
                <w:highlight w:val="none"/>
              </w:rPr>
            </w:pPr>
            <w:bookmarkStart w:id="5" w:name="_Hlk34381267"/>
            <w:r>
              <w:rPr>
                <w:rFonts w:hint="eastAsia" w:ascii="宋体" w:hAnsi="宋体"/>
                <w:sz w:val="24"/>
                <w:szCs w:val="24"/>
                <w:highlight w:val="none"/>
              </w:rPr>
              <w:t>支持链路健康检查功能，支持基于多种协议对链路可用性进行探测，探测协议至少包括DNS解析、ARP探测和PING方式</w:t>
            </w:r>
            <w:bookmarkEnd w:id="5"/>
            <w:r>
              <w:rPr>
                <w:rFonts w:hint="eastAsia" w:ascii="宋体" w:hAnsi="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6" w:name="_Hlk56090033"/>
            <w:r>
              <w:rPr>
                <w:rFonts w:hint="eastAsia" w:ascii="宋体" w:hAnsi="宋体"/>
                <w:sz w:val="24"/>
                <w:szCs w:val="24"/>
                <w:highlight w:val="none"/>
              </w:rPr>
              <w:t>支持策略路由负载，</w:t>
            </w:r>
            <w:bookmarkEnd w:id="6"/>
            <w:r>
              <w:rPr>
                <w:rFonts w:hint="eastAsia" w:ascii="宋体" w:hAnsi="宋体"/>
                <w:sz w:val="24"/>
                <w:szCs w:val="24"/>
                <w:highlight w:val="none"/>
              </w:rPr>
              <w:t>支持基于服务、ISP地址、应用、地域等维度进行智能选路，保证关键业务流量通过优质链路转发，支持加权流量、带宽比例、线路优先等负载均衡调度算法。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7" w:name="_Hlk56107117"/>
            <w:r>
              <w:rPr>
                <w:rFonts w:hint="eastAsia" w:ascii="宋体" w:hAnsi="宋体"/>
                <w:sz w:val="24"/>
                <w:szCs w:val="24"/>
                <w:highlight w:val="none"/>
              </w:rPr>
              <w:t>支持IPv6访问控制策略设置，基于IPv6的IP地址、服务、域名、应用、时间等条件设置访问控制策略。</w:t>
            </w:r>
            <w:bookmarkEnd w:id="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1546"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应用控制</w:t>
            </w:r>
          </w:p>
        </w:tc>
        <w:tc>
          <w:tcPr>
            <w:tcW w:w="7662"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支持基于地区维度设置流控策略，实现多区域流量批量快速管控功能。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546" w:type="dxa"/>
            <w:vMerge w:val="restar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安全防护</w:t>
            </w:r>
          </w:p>
        </w:tc>
        <w:tc>
          <w:tcPr>
            <w:tcW w:w="7662" w:type="dxa"/>
            <w:vAlign w:val="center"/>
          </w:tcPr>
          <w:p>
            <w:pPr>
              <w:pStyle w:val="13"/>
              <w:ind w:firstLine="0" w:firstLineChars="0"/>
              <w:rPr>
                <w:rFonts w:ascii="宋体" w:hAnsi="宋体"/>
                <w:sz w:val="24"/>
                <w:szCs w:val="24"/>
                <w:highlight w:val="none"/>
              </w:rPr>
            </w:pPr>
            <w:bookmarkStart w:id="8" w:name="_Hlk57282691"/>
            <w:r>
              <w:rPr>
                <w:rFonts w:hint="eastAsia" w:ascii="宋体" w:hAnsi="宋体"/>
                <w:sz w:val="24"/>
                <w:szCs w:val="24"/>
                <w:highlight w:val="none"/>
              </w:rPr>
              <w:t>支持对ICMP、UDP、DNS、SYN等协议进行DDOS防护。</w:t>
            </w:r>
            <w:bookmarkEnd w:id="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9" w:name="_Hlk57284408"/>
            <w:r>
              <w:rPr>
                <w:rFonts w:hint="eastAsia" w:ascii="宋体" w:hAnsi="宋体"/>
                <w:sz w:val="24"/>
                <w:szCs w:val="24"/>
                <w:highlight w:val="none"/>
              </w:rPr>
              <w:t>支持对文件传输行为进行安全过滤，支持基于上传、下载、双向的文件内容过滤，内容过滤类型至少支持网页、脚本、压缩文件、图片、可执行文件、适配、文本等常见文件类型。</w:t>
            </w:r>
            <w:bookmarkEnd w:id="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10" w:name="_Hlk57302178"/>
            <w:r>
              <w:rPr>
                <w:rFonts w:hint="eastAsia" w:ascii="宋体" w:hAnsi="宋体"/>
                <w:sz w:val="24"/>
                <w:szCs w:val="24"/>
                <w:highlight w:val="none"/>
              </w:rPr>
              <w:t>支持僵尸主机检测功能</w:t>
            </w:r>
            <w:bookmarkEnd w:id="10"/>
            <w:r>
              <w:rPr>
                <w:rFonts w:hint="eastAsia" w:ascii="宋体" w:hAnsi="宋体"/>
                <w:sz w:val="24"/>
                <w:szCs w:val="24"/>
                <w:highlight w:val="none"/>
              </w:rPr>
              <w:t>，产品预定义特征库不少于110万种，可识别主机的异常外联行为。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11" w:name="_Hlk57293701"/>
            <w:r>
              <w:rPr>
                <w:rFonts w:hint="eastAsia" w:ascii="宋体" w:hAnsi="宋体"/>
                <w:sz w:val="24"/>
                <w:szCs w:val="24"/>
                <w:highlight w:val="none"/>
              </w:rPr>
              <w:t>支持对多重压缩文件的病毒检测能力，支持不小于12层压缩文件病毒检测与处置。</w:t>
            </w:r>
            <w:bookmarkEnd w:id="1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eastAsiaTheme="minorEastAsia"/>
                <w:sz w:val="24"/>
                <w:szCs w:val="24"/>
                <w:highlight w:val="none"/>
              </w:rPr>
            </w:pPr>
            <w:r>
              <w:rPr>
                <w:rFonts w:hint="eastAsia" w:ascii="宋体" w:hAnsi="宋体"/>
                <w:sz w:val="24"/>
                <w:szCs w:val="24"/>
                <w:highlight w:val="none"/>
              </w:rPr>
              <w:t>支持勒索病毒检测与防御功能，为保障勒索病毒的防御效果。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12" w:name="_Hlk57303580"/>
            <w:r>
              <w:rPr>
                <w:rFonts w:hint="eastAsia" w:ascii="宋体" w:hAnsi="宋体"/>
                <w:sz w:val="24"/>
                <w:szCs w:val="24"/>
                <w:highlight w:val="none"/>
              </w:rPr>
              <w:t>支持对常见Web应用攻击防御，攻击类型至少支持跨站脚本（XSS）攻击、SQL注入、文件包含攻击、信息泄露攻击、WEBSHELL、网站扫描、网页木马等类型，产品预定义Web应用漏洞特征库超过3320种。</w:t>
            </w:r>
            <w:bookmarkEnd w:id="1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13" w:name="_Hlk57310226"/>
            <w:r>
              <w:rPr>
                <w:rFonts w:hint="eastAsia" w:ascii="宋体" w:hAnsi="宋体"/>
                <w:sz w:val="24"/>
                <w:szCs w:val="24"/>
                <w:highlight w:val="none"/>
              </w:rPr>
              <w:t>支持未知威胁检测能力</w:t>
            </w:r>
            <w:bookmarkEnd w:id="13"/>
            <w:r>
              <w:rPr>
                <w:rFonts w:hint="eastAsia" w:ascii="宋体" w:hAnsi="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1546"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账号安全</w:t>
            </w:r>
          </w:p>
        </w:tc>
        <w:tc>
          <w:tcPr>
            <w:tcW w:w="7662" w:type="dxa"/>
            <w:vAlign w:val="center"/>
          </w:tcPr>
          <w:p>
            <w:pPr>
              <w:pStyle w:val="13"/>
              <w:ind w:firstLine="0" w:firstLineChars="0"/>
              <w:rPr>
                <w:rFonts w:ascii="宋体" w:hAnsi="宋体"/>
                <w:sz w:val="24"/>
                <w:szCs w:val="24"/>
                <w:highlight w:val="none"/>
              </w:rPr>
            </w:pPr>
            <w:bookmarkStart w:id="14" w:name="_Hlk57311075"/>
            <w:r>
              <w:rPr>
                <w:rFonts w:hint="eastAsia" w:ascii="宋体" w:hAnsi="宋体"/>
                <w:sz w:val="24"/>
                <w:szCs w:val="24"/>
                <w:highlight w:val="none"/>
              </w:rPr>
              <w:t>支持用户账号全生命周期保护功能，包括用户账号多余入口检测、用户账号弱口令检测、用户账号暴力破解检测、失陷账号检测，防止因账号被暴力破解导致的非法提权情况发生。</w:t>
            </w:r>
            <w:bookmarkEnd w:id="1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546" w:type="dxa"/>
            <w:vMerge w:val="restar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安全策略管理</w:t>
            </w:r>
          </w:p>
        </w:tc>
        <w:tc>
          <w:tcPr>
            <w:tcW w:w="7662" w:type="dxa"/>
            <w:vAlign w:val="center"/>
          </w:tcPr>
          <w:p>
            <w:pPr>
              <w:pStyle w:val="13"/>
              <w:ind w:firstLine="0" w:firstLineChars="0"/>
              <w:rPr>
                <w:rFonts w:ascii="宋体" w:hAnsi="宋体"/>
                <w:sz w:val="24"/>
                <w:szCs w:val="24"/>
                <w:highlight w:val="none"/>
              </w:rPr>
            </w:pPr>
            <w:bookmarkStart w:id="15" w:name="_Hlk57315111"/>
            <w:r>
              <w:rPr>
                <w:rFonts w:hint="eastAsia" w:ascii="宋体" w:hAnsi="宋体"/>
                <w:sz w:val="24"/>
                <w:szCs w:val="24"/>
                <w:highlight w:val="none"/>
              </w:rPr>
              <w:t>支持安全策略有效性分析功能，分析内容至少包括策略冗余分析、策略匹配分析、风险端口风险等内容，提供安全策略优化建议。</w:t>
            </w:r>
            <w:bookmarkEnd w:id="1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16" w:name="_Hlk57315496"/>
            <w:r>
              <w:rPr>
                <w:rFonts w:hint="eastAsia" w:ascii="宋体" w:hAnsi="宋体"/>
                <w:sz w:val="24"/>
                <w:szCs w:val="24"/>
                <w:highlight w:val="none"/>
              </w:rPr>
              <w:t>支持策略生命周期管理功能，支持对安全策略修改的时间、原因、变更类型进行统一管理，便于策略的运维与管理。</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46" w:type="dxa"/>
            <w:vMerge w:val="restar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产品运维管理</w:t>
            </w:r>
          </w:p>
        </w:tc>
        <w:tc>
          <w:tcPr>
            <w:tcW w:w="7662" w:type="dxa"/>
            <w:vAlign w:val="center"/>
          </w:tcPr>
          <w:p>
            <w:pPr>
              <w:pStyle w:val="13"/>
              <w:ind w:firstLine="0" w:firstLineChars="0"/>
              <w:rPr>
                <w:rFonts w:ascii="宋体" w:hAnsi="宋体"/>
                <w:sz w:val="24"/>
                <w:szCs w:val="24"/>
                <w:highlight w:val="none"/>
              </w:rPr>
            </w:pPr>
            <w:bookmarkStart w:id="17" w:name="_Hlk57317283"/>
            <w:r>
              <w:rPr>
                <w:rFonts w:hint="eastAsia" w:ascii="宋体" w:hAnsi="宋体"/>
                <w:sz w:val="24"/>
                <w:szCs w:val="24"/>
                <w:highlight w:val="none"/>
              </w:rPr>
              <w:t>安全日志支持本机、Syslog服务器和第三方管理平台等不同形式存储方式。</w:t>
            </w:r>
            <w:bookmarkEnd w:id="1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18" w:name="_Hlk57317968"/>
            <w:r>
              <w:rPr>
                <w:rFonts w:hint="eastAsia" w:ascii="宋体" w:hAnsi="宋体"/>
                <w:sz w:val="24"/>
                <w:szCs w:val="24"/>
                <w:highlight w:val="none"/>
              </w:rPr>
              <w:t>支持三权分立功能，根据管理员权限分为安全管理员、审计员、系统管理员三种角色。</w:t>
            </w:r>
            <w:bookmarkEnd w:id="1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bookmarkStart w:id="19" w:name="_Hlk57318031"/>
            <w:r>
              <w:rPr>
                <w:rFonts w:hint="eastAsia" w:ascii="宋体" w:hAnsi="宋体"/>
                <w:sz w:val="24"/>
                <w:szCs w:val="24"/>
                <w:highlight w:val="none"/>
              </w:rPr>
              <w:t>支持管理员双因素认证功能，用户通过用户名/密码和Key等不同方式登录产品管理界面。</w:t>
            </w:r>
            <w:bookmarkEnd w:id="1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Merge w:val="restar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产品生产厂商资质要求</w:t>
            </w:r>
          </w:p>
        </w:tc>
        <w:tc>
          <w:tcPr>
            <w:tcW w:w="7662"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要求所投产品具备IT产品信息安全认证证书EAL4增强级，提供有效证书复印件并加盖厂商公章。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所投产品的生产厂商具备云安全成熟度模型CS-CMMI 5认证。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Merge w:val="continue"/>
            <w:vAlign w:val="center"/>
          </w:tcPr>
          <w:p>
            <w:pPr>
              <w:pStyle w:val="13"/>
              <w:ind w:firstLine="0" w:firstLineChars="0"/>
              <w:rPr>
                <w:rFonts w:ascii="宋体" w:hAnsi="宋体"/>
                <w:sz w:val="24"/>
                <w:szCs w:val="24"/>
                <w:highlight w:val="none"/>
              </w:rPr>
            </w:pPr>
          </w:p>
        </w:tc>
        <w:tc>
          <w:tcPr>
            <w:tcW w:w="7662"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要求所投产品的生产厂商具备中国网络安全审查技术与认证中心的信息安全软件开发服务资质，提供有效证书复印件并加盖厂商公章。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6"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服务要求</w:t>
            </w:r>
          </w:p>
        </w:tc>
        <w:tc>
          <w:tcPr>
            <w:tcW w:w="7662"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要求包含3年规则库更新、软件升级、硬件质保</w:t>
            </w:r>
          </w:p>
        </w:tc>
      </w:tr>
    </w:tbl>
    <w:p>
      <w:pPr>
        <w:ind w:firstLine="420"/>
        <w:rPr>
          <w:rFonts w:ascii="宋体" w:hAnsi="宋体" w:cs="宋体"/>
          <w:sz w:val="24"/>
          <w:szCs w:val="24"/>
          <w:highlight w:val="none"/>
        </w:rPr>
      </w:pPr>
    </w:p>
    <w:p>
      <w:pPr>
        <w:rPr>
          <w:sz w:val="24"/>
          <w:szCs w:val="24"/>
          <w:highlight w:val="none"/>
        </w:rPr>
      </w:pPr>
    </w:p>
    <w:p>
      <w:pPr>
        <w:pStyle w:val="6"/>
        <w:numPr>
          <w:ilvl w:val="1"/>
          <w:numId w:val="0"/>
        </w:numPr>
        <w:tabs>
          <w:tab w:val="left" w:pos="576"/>
        </w:tabs>
        <w:spacing w:before="0" w:after="0" w:line="480" w:lineRule="auto"/>
        <w:ind w:firstLine="482" w:firstLineChars="200"/>
        <w:jc w:val="left"/>
        <w:rPr>
          <w:rFonts w:ascii="宋体" w:hAnsi="宋体" w:cs="宋体"/>
          <w:sz w:val="24"/>
          <w:szCs w:val="24"/>
          <w:highlight w:val="none"/>
        </w:rPr>
      </w:pPr>
      <w:r>
        <w:rPr>
          <w:rFonts w:hint="eastAsia" w:ascii="宋体" w:hAnsi="宋体" w:cs="宋体"/>
          <w:sz w:val="24"/>
          <w:szCs w:val="24"/>
          <w:highlight w:val="none"/>
        </w:rPr>
        <w:t>8、路由器</w:t>
      </w:r>
    </w:p>
    <w:tbl>
      <w:tblPr>
        <w:tblStyle w:val="7"/>
        <w:tblW w:w="9083" w:type="dxa"/>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50" w:type="dxa"/>
          <w:left w:w="100" w:type="dxa"/>
          <w:bottom w:w="50" w:type="dxa"/>
          <w:right w:w="100" w:type="dxa"/>
        </w:tblCellMar>
      </w:tblPr>
      <w:tblGrid>
        <w:gridCol w:w="1717"/>
        <w:gridCol w:w="736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tblHeader/>
          <w:jc w:val="center"/>
        </w:trPr>
        <w:tc>
          <w:tcPr>
            <w:tcW w:w="1717" w:type="dxa"/>
            <w:shd w:val="clear" w:color="auto" w:fill="auto"/>
          </w:tcPr>
          <w:p>
            <w:pPr>
              <w:pStyle w:val="13"/>
              <w:ind w:firstLine="0" w:firstLineChars="0"/>
              <w:jc w:val="center"/>
              <w:rPr>
                <w:rFonts w:cs="宋体" w:asciiTheme="majorEastAsia" w:hAnsiTheme="majorEastAsia" w:eastAsiaTheme="majorEastAsia"/>
                <w:b/>
                <w:bCs/>
                <w:kern w:val="0"/>
                <w:sz w:val="24"/>
                <w:szCs w:val="24"/>
                <w:highlight w:val="none"/>
              </w:rPr>
            </w:pPr>
            <w:r>
              <w:rPr>
                <w:rFonts w:hint="eastAsia" w:cs="宋体" w:asciiTheme="majorEastAsia" w:hAnsiTheme="majorEastAsia" w:eastAsiaTheme="majorEastAsia"/>
                <w:b/>
                <w:bCs/>
                <w:kern w:val="0"/>
                <w:sz w:val="24"/>
                <w:szCs w:val="24"/>
                <w:highlight w:val="none"/>
              </w:rPr>
              <w:t>功能及</w:t>
            </w:r>
          </w:p>
          <w:p>
            <w:pPr>
              <w:pStyle w:val="13"/>
              <w:ind w:firstLine="0" w:firstLineChars="0"/>
              <w:jc w:val="center"/>
              <w:rPr>
                <w:rFonts w:ascii="宋体" w:hAnsi="宋体"/>
                <w:b/>
                <w:bCs/>
                <w:sz w:val="24"/>
                <w:szCs w:val="24"/>
                <w:highlight w:val="none"/>
              </w:rPr>
            </w:pPr>
            <w:r>
              <w:rPr>
                <w:rFonts w:hint="eastAsia" w:cs="宋体" w:asciiTheme="majorEastAsia" w:hAnsiTheme="majorEastAsia" w:eastAsiaTheme="majorEastAsia"/>
                <w:b/>
                <w:bCs/>
                <w:kern w:val="0"/>
                <w:sz w:val="24"/>
                <w:szCs w:val="24"/>
                <w:highlight w:val="none"/>
              </w:rPr>
              <w:t>技术指标</w:t>
            </w:r>
          </w:p>
        </w:tc>
        <w:tc>
          <w:tcPr>
            <w:tcW w:w="7366" w:type="dxa"/>
            <w:shd w:val="clear" w:color="auto" w:fill="auto"/>
            <w:vAlign w:val="center"/>
          </w:tcPr>
          <w:p>
            <w:pPr>
              <w:pStyle w:val="13"/>
              <w:ind w:firstLine="0" w:firstLineChars="0"/>
              <w:jc w:val="center"/>
              <w:rPr>
                <w:rFonts w:ascii="宋体" w:hAnsi="宋体"/>
                <w:b/>
                <w:bCs/>
                <w:sz w:val="24"/>
                <w:szCs w:val="24"/>
                <w:highlight w:val="none"/>
              </w:rPr>
            </w:pPr>
            <w:r>
              <w:rPr>
                <w:rFonts w:hint="eastAsia" w:ascii="宋体" w:hAnsi="宋体"/>
                <w:b/>
                <w:bCs/>
                <w:sz w:val="24"/>
                <w:szCs w:val="24"/>
                <w:highlight w:val="none"/>
              </w:rPr>
              <w:t>参数要求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体系架构</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冗余主控,要求主控切换时不影响业务转发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性能</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整机交换容量≥135Gbps，转发性能≥150Mpps</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接口类型</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千兆光电复用口≥3，万兆SFP+口≥2，配置双主控，双电源，万兆多模光模块≥2，千兆单模光模块≥2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风道</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后出风设计，避免影响左右机柜散热效果，符合主流机房设计</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机电设计</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主机接口与扩展插槽接口均为同一朝向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IPV4路由</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支持静态路由、RIPv1/v2、OSPFv2、BGP、IS-IS、路由迭代、路由策略、IGMPV1/V2/V3，PIM-DM，PIM-SM，MBGP，MSDP</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虚拟化</w:t>
            </w:r>
          </w:p>
        </w:tc>
        <w:tc>
          <w:tcPr>
            <w:tcW w:w="7366" w:type="dxa"/>
          </w:tcPr>
          <w:p>
            <w:pPr>
              <w:pStyle w:val="13"/>
              <w:ind w:firstLine="0" w:firstLineChars="0"/>
              <w:rPr>
                <w:rFonts w:ascii="宋体" w:hAnsi="宋体" w:eastAsiaTheme="minorEastAsia"/>
                <w:sz w:val="24"/>
                <w:szCs w:val="24"/>
                <w:highlight w:val="none"/>
              </w:rPr>
            </w:pPr>
            <w:r>
              <w:rPr>
                <w:rFonts w:hint="eastAsia" w:ascii="宋体" w:hAnsi="宋体"/>
                <w:sz w:val="24"/>
                <w:szCs w:val="24"/>
                <w:highlight w:val="none"/>
              </w:rPr>
              <w:t>支持虚拟化特性，将物理上两台设备虚拟化成一台逻辑设备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上网行为审计</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支持记录终端用户访问互联网的日志，包括：用户名、源/目的IP地址、时间、访问的域名、URL等</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URL过滤黑名单功能</w:t>
            </w:r>
          </w:p>
        </w:tc>
        <w:tc>
          <w:tcPr>
            <w:tcW w:w="7366"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支持对终端用户域名访问控制功能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SSL VPN</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 xml:space="preserve">支持ssl vpn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Segment Routing</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Segment Routing，控制流量按照预先设置的网络节点逐跳转发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Telemetry</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支持Telemetry功能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ND攻击防御</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支持ND攻击防御，防止IPv6终端仿冒攻击</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VXLAN</w:t>
            </w:r>
          </w:p>
        </w:tc>
        <w:tc>
          <w:tcPr>
            <w:tcW w:w="7366" w:type="dxa"/>
          </w:tcPr>
          <w:p>
            <w:pPr>
              <w:pStyle w:val="13"/>
              <w:ind w:firstLine="0" w:firstLineChars="0"/>
              <w:rPr>
                <w:rFonts w:ascii="宋体" w:hAnsi="宋体"/>
                <w:sz w:val="24"/>
                <w:szCs w:val="24"/>
                <w:highlight w:val="none"/>
              </w:rPr>
            </w:pPr>
            <w:r>
              <w:rPr>
                <w:rFonts w:hint="eastAsia" w:ascii="宋体" w:hAnsi="宋体"/>
                <w:sz w:val="24"/>
                <w:szCs w:val="24"/>
                <w:highlight w:val="none"/>
              </w:rPr>
              <w:t>支持VXLAN数据中心特性</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50" w:type="dxa"/>
            <w:left w:w="100" w:type="dxa"/>
            <w:bottom w:w="50" w:type="dxa"/>
            <w:right w:w="100" w:type="dxa"/>
          </w:tblCellMar>
        </w:tblPrEx>
        <w:trPr>
          <w:jc w:val="center"/>
        </w:trPr>
        <w:tc>
          <w:tcPr>
            <w:tcW w:w="1717" w:type="dxa"/>
            <w:tcBorders>
              <w:bottom w:val="single" w:color="auto" w:sz="4" w:space="0"/>
            </w:tcBorders>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资质认证</w:t>
            </w:r>
          </w:p>
        </w:tc>
        <w:tc>
          <w:tcPr>
            <w:tcW w:w="7366" w:type="dxa"/>
            <w:tcBorders>
              <w:bottom w:val="single" w:color="auto" w:sz="4" w:space="0"/>
            </w:tcBorders>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要求提供工信部进网证和检验报告</w:t>
            </w:r>
          </w:p>
        </w:tc>
      </w:tr>
    </w:tbl>
    <w:p>
      <w:pPr>
        <w:rPr>
          <w:sz w:val="24"/>
          <w:szCs w:val="24"/>
          <w:highlight w:val="none"/>
        </w:rPr>
      </w:pPr>
    </w:p>
    <w:p>
      <w:pPr>
        <w:pStyle w:val="6"/>
        <w:numPr>
          <w:ilvl w:val="1"/>
          <w:numId w:val="0"/>
        </w:numPr>
        <w:tabs>
          <w:tab w:val="left" w:pos="576"/>
        </w:tabs>
        <w:spacing w:before="0" w:after="0" w:line="480" w:lineRule="auto"/>
        <w:ind w:firstLine="482" w:firstLineChars="200"/>
        <w:jc w:val="left"/>
        <w:rPr>
          <w:rFonts w:ascii="宋体" w:hAnsi="宋体" w:cs="宋体"/>
          <w:sz w:val="24"/>
          <w:szCs w:val="24"/>
          <w:highlight w:val="none"/>
        </w:rPr>
      </w:pPr>
      <w:r>
        <w:rPr>
          <w:rFonts w:hint="eastAsia" w:ascii="宋体" w:hAnsi="宋体" w:cs="宋体"/>
          <w:sz w:val="24"/>
          <w:szCs w:val="24"/>
          <w:highlight w:val="none"/>
        </w:rPr>
        <w:t>9、交换机</w:t>
      </w:r>
    </w:p>
    <w:tbl>
      <w:tblPr>
        <w:tblStyle w:val="7"/>
        <w:tblW w:w="472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3"/>
        <w:gridCol w:w="78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18" w:type="pct"/>
            <w:shd w:val="clear" w:color="auto" w:fill="auto"/>
            <w:vAlign w:val="center"/>
          </w:tcPr>
          <w:p>
            <w:pPr>
              <w:pStyle w:val="13"/>
              <w:ind w:firstLine="0" w:firstLineChars="0"/>
              <w:jc w:val="center"/>
              <w:rPr>
                <w:rFonts w:ascii="宋体" w:hAnsi="宋体"/>
                <w:b/>
                <w:bCs/>
                <w:sz w:val="24"/>
                <w:szCs w:val="24"/>
                <w:highlight w:val="none"/>
              </w:rPr>
            </w:pPr>
            <w:r>
              <w:rPr>
                <w:rFonts w:hint="eastAsia" w:cs="宋体" w:asciiTheme="majorEastAsia" w:hAnsiTheme="majorEastAsia" w:eastAsiaTheme="majorEastAsia"/>
                <w:b/>
                <w:bCs/>
                <w:kern w:val="0"/>
                <w:sz w:val="24"/>
                <w:szCs w:val="24"/>
                <w:highlight w:val="none"/>
              </w:rPr>
              <w:t>功能及技术指标</w:t>
            </w:r>
          </w:p>
        </w:tc>
        <w:tc>
          <w:tcPr>
            <w:tcW w:w="4181" w:type="pct"/>
            <w:shd w:val="clear" w:color="auto" w:fill="auto"/>
            <w:vAlign w:val="center"/>
          </w:tcPr>
          <w:p>
            <w:pPr>
              <w:pStyle w:val="13"/>
              <w:ind w:firstLine="0" w:firstLineChars="0"/>
              <w:jc w:val="center"/>
              <w:rPr>
                <w:rFonts w:ascii="宋体" w:hAnsi="宋体"/>
                <w:b/>
                <w:bCs/>
                <w:sz w:val="24"/>
                <w:szCs w:val="24"/>
                <w:highlight w:val="none"/>
              </w:rPr>
            </w:pPr>
            <w:r>
              <w:rPr>
                <w:rFonts w:hint="eastAsia" w:ascii="宋体" w:hAnsi="宋体"/>
                <w:b/>
                <w:bCs/>
                <w:sz w:val="24"/>
                <w:szCs w:val="24"/>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性能</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交换容量≥750Gbps，转发能力≥250Mpps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接口类型</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千兆电口≥48，万兆光口≥4，配置双电源、双风扇、万兆多模光模块≥2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扩展性</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扩展插槽≥1，可扩展支持万兆光、万兆多速率电、25G、40G等多种类型板卡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CPU保护</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支持CPU保护功能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网络质量分析</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要求支持智能网络质量分析技术，可快速测量网络性能的检测机制，直接对业务报文进行测量，测量数据可以真实反映网络质量状况，实时感知丢包时间、丢包位置、丢包数量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可视化管理</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可作为管理设备对下端被管理设备进行统一管理，实现整网拓扑可视，实现在网络设备上对整网交换机的统一管理，无需再额外配置网管平台。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restar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堆叠</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最大堆叠台数≥9台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最大堆叠带宽≥160G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支持跨设备链路聚合，单一IP管理，分布式弹性路由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restar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VLAN特性</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支持基于端口的VLAN，支持基于协议的VLAN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支持基于MAC的VLAN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最大VLAN数(不是VLAN ID)≥4094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SAVI</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支持SAVI功能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链路聚合</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支持链路聚合基本功能及聚合零丢包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多业务特性</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支持防火墙等安全插卡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restar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镜像功能</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支持本地端口镜像和远程端口镜像RSPAN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支持流镜像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同时支持N：M的端口镜像（M大于1）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restar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路由协议</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支持IPv4静态路由、RIP V1/V2、OSPF、BGP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支持IPv6静态路由、RIPng、OSPFv3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支持IPv4和IPv6环境下的策略路由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支持IPv6手动隧道、6to4隧道和ISATAP隧道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VXLAN</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支持VXLAN 二层交换</w:t>
            </w:r>
          </w:p>
          <w:p>
            <w:pPr>
              <w:pStyle w:val="13"/>
              <w:ind w:firstLine="0" w:firstLineChars="0"/>
              <w:rPr>
                <w:rFonts w:ascii="宋体" w:hAnsi="宋体"/>
                <w:sz w:val="24"/>
                <w:szCs w:val="24"/>
                <w:highlight w:val="none"/>
              </w:rPr>
            </w:pPr>
            <w:r>
              <w:rPr>
                <w:rFonts w:hint="eastAsia" w:ascii="宋体" w:hAnsi="宋体"/>
                <w:sz w:val="24"/>
                <w:szCs w:val="24"/>
                <w:highlight w:val="none"/>
              </w:rPr>
              <w:t>支持VXLAN 路由交换</w:t>
            </w:r>
          </w:p>
          <w:p>
            <w:pPr>
              <w:pStyle w:val="13"/>
              <w:ind w:firstLine="0" w:firstLineChars="0"/>
              <w:rPr>
                <w:rFonts w:ascii="宋体" w:hAnsi="宋体"/>
                <w:sz w:val="24"/>
                <w:szCs w:val="24"/>
                <w:highlight w:val="none"/>
              </w:rPr>
            </w:pPr>
            <w:r>
              <w:rPr>
                <w:rFonts w:hint="eastAsia" w:ascii="宋体" w:hAnsi="宋体"/>
                <w:sz w:val="24"/>
                <w:szCs w:val="24"/>
                <w:highlight w:val="none"/>
              </w:rPr>
              <w:t>支持VXLAN 网关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restar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访问控制策略</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支持基于第二层、第三层和第四层的ACL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整机提供ACl条目数不小于4K条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支持基于端口和VLAN的 ACL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支持IPv6 ACL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支持出方向ACL，以便于灵活实现数据包过滤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支持802.1x认证，支持集中式MAC地址认证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restar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绿色节能</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符合IEEE 802.3az（EEE）节能标准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端口定时down功能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vMerge w:val="continue"/>
            <w:vAlign w:val="center"/>
          </w:tcPr>
          <w:p>
            <w:pPr>
              <w:pStyle w:val="13"/>
              <w:ind w:firstLine="0" w:firstLineChars="0"/>
              <w:rPr>
                <w:rFonts w:ascii="宋体" w:hAnsi="宋体"/>
                <w:sz w:val="24"/>
                <w:szCs w:val="24"/>
                <w:highlight w:val="none"/>
              </w:rPr>
            </w:pP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支持端口休眠，关闭没有应用的端口，节省能源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安全特性</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支持MACsec加密技术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防雷能力</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采用专业的内置防雷技术，支持业界专业的10KV业务端口防雷能力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8" w:type="pct"/>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工作温度</w:t>
            </w:r>
          </w:p>
        </w:tc>
        <w:tc>
          <w:tcPr>
            <w:tcW w:w="4181" w:type="pct"/>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工作环境温度-5ºC～45ºC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818" w:type="pct"/>
            <w:tcBorders>
              <w:bottom w:val="single" w:color="auto" w:sz="4" w:space="0"/>
            </w:tcBorders>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资质认证</w:t>
            </w:r>
          </w:p>
        </w:tc>
        <w:tc>
          <w:tcPr>
            <w:tcW w:w="4181" w:type="pct"/>
            <w:tcBorders>
              <w:bottom w:val="single" w:color="auto" w:sz="4" w:space="0"/>
            </w:tcBorders>
            <w:shd w:val="clear" w:color="auto" w:fill="auto"/>
            <w:vAlign w:val="center"/>
          </w:tcPr>
          <w:p>
            <w:pPr>
              <w:pStyle w:val="13"/>
              <w:ind w:firstLine="0" w:firstLineChars="0"/>
              <w:rPr>
                <w:rFonts w:ascii="宋体" w:hAnsi="宋体"/>
                <w:sz w:val="24"/>
                <w:szCs w:val="24"/>
                <w:highlight w:val="none"/>
              </w:rPr>
            </w:pPr>
            <w:r>
              <w:rPr>
                <w:rFonts w:hint="eastAsia" w:ascii="宋体" w:hAnsi="宋体"/>
                <w:sz w:val="24"/>
                <w:szCs w:val="24"/>
                <w:highlight w:val="none"/>
              </w:rPr>
              <w:t>要求提供工信部进网证和检验报告</w:t>
            </w:r>
          </w:p>
        </w:tc>
      </w:tr>
    </w:tbl>
    <w:p>
      <w:pPr>
        <w:rPr>
          <w:sz w:val="24"/>
          <w:szCs w:val="24"/>
          <w:highlight w:val="none"/>
        </w:rPr>
      </w:pPr>
    </w:p>
    <w:p>
      <w:pPr>
        <w:pStyle w:val="6"/>
        <w:numPr>
          <w:ilvl w:val="1"/>
          <w:numId w:val="0"/>
        </w:numPr>
        <w:tabs>
          <w:tab w:val="left" w:pos="576"/>
        </w:tabs>
        <w:spacing w:before="0" w:after="0" w:line="480" w:lineRule="auto"/>
        <w:ind w:firstLine="482" w:firstLineChars="200"/>
        <w:jc w:val="left"/>
        <w:rPr>
          <w:rFonts w:ascii="宋体" w:hAnsi="宋体" w:cs="宋体"/>
          <w:sz w:val="24"/>
          <w:szCs w:val="24"/>
          <w:highlight w:val="none"/>
        </w:rPr>
      </w:pPr>
      <w:r>
        <w:rPr>
          <w:rFonts w:hint="eastAsia" w:ascii="宋体" w:hAnsi="宋体" w:cs="宋体"/>
          <w:sz w:val="24"/>
          <w:szCs w:val="24"/>
          <w:highlight w:val="none"/>
        </w:rPr>
        <w:t>10、通信服务要求</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中标人应当提供不少于730张4G流量卡（适用本项目4G执法记录仪的SIM卡），SIM卡归属地上海；3年4G-VPDN专网全国流量，每卡每月不少于40GB流量，开通专用的APN或VPDN接入点；开通流量池功能，所有流量卡流量组成一个流量池共享流量，上下行网速应当符合4G通信标准且应当满足本项目4G执法记录仪使用，视音频传输流畅、不卡顿，超出流量池总流量后不限速、不断流，超出的流量相关费用由中标人承担；承诺能根据采购人工作要求临时或在服务期内长期优化指定区域基站覆盖，且该项优化工作应当采购人指定时间内完成，确保采购人在该区域内正常传输4G执法记录仪视音频，满足采购人工作需要；配套提供一条带宽不小于350兆的网络传输专线，链路需接入南奉公路9555号指定机房。</w:t>
      </w:r>
    </w:p>
    <w:p>
      <w:pPr>
        <w:ind w:firstLine="480" w:firstLineChars="200"/>
        <w:rPr>
          <w:rFonts w:ascii="宋体" w:hAnsi="宋体" w:cs="宋体"/>
          <w:sz w:val="24"/>
          <w:szCs w:val="24"/>
          <w:highlight w:val="none"/>
        </w:rPr>
      </w:pPr>
    </w:p>
    <w:p>
      <w:pPr>
        <w:pStyle w:val="5"/>
        <w:spacing w:before="0" w:after="0"/>
        <w:rPr>
          <w:rFonts w:hint="default"/>
          <w:sz w:val="24"/>
          <w:szCs w:val="24"/>
          <w:highlight w:val="none"/>
        </w:rPr>
      </w:pPr>
      <w:r>
        <w:rPr>
          <w:sz w:val="24"/>
          <w:szCs w:val="24"/>
          <w:highlight w:val="none"/>
        </w:rPr>
        <w:t>五、供货周期及租赁服务期要求</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合同签订后30个自然日内完成设备供货、调试，并投入试运行，试运行期不少于1个月。</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验收合格之日起计算租赁服务期，服务期不少于36个月。</w:t>
      </w:r>
    </w:p>
    <w:p>
      <w:pPr>
        <w:pStyle w:val="5"/>
        <w:spacing w:before="0" w:after="0"/>
        <w:rPr>
          <w:rFonts w:hint="default"/>
          <w:sz w:val="24"/>
          <w:szCs w:val="24"/>
          <w:highlight w:val="none"/>
        </w:rPr>
      </w:pPr>
      <w:r>
        <w:rPr>
          <w:sz w:val="24"/>
          <w:szCs w:val="24"/>
          <w:highlight w:val="none"/>
        </w:rPr>
        <w:t>六、售后服务及其他</w:t>
      </w:r>
    </w:p>
    <w:p>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中标人提供以下售后服务及其他，不再收取任何费用。</w:t>
      </w:r>
    </w:p>
    <w:p>
      <w:pPr>
        <w:pStyle w:val="6"/>
        <w:numPr>
          <w:ilvl w:val="1"/>
          <w:numId w:val="0"/>
        </w:numPr>
        <w:tabs>
          <w:tab w:val="left" w:pos="576"/>
        </w:tabs>
        <w:spacing w:before="0" w:after="0" w:line="240" w:lineRule="auto"/>
        <w:ind w:firstLine="422" w:firstLineChars="175"/>
        <w:rPr>
          <w:rFonts w:ascii="宋体" w:hAnsi="宋体" w:cs="宋体"/>
          <w:sz w:val="24"/>
          <w:szCs w:val="24"/>
          <w:highlight w:val="none"/>
        </w:rPr>
      </w:pPr>
      <w:r>
        <w:rPr>
          <w:rFonts w:hint="eastAsia" w:ascii="宋体" w:hAnsi="宋体" w:cs="宋体"/>
          <w:sz w:val="24"/>
          <w:szCs w:val="24"/>
          <w:highlight w:val="none"/>
        </w:rPr>
        <w:t>1、培训服务要求</w:t>
      </w:r>
    </w:p>
    <w:p>
      <w:pPr>
        <w:numPr>
          <w:ilvl w:val="0"/>
          <w:numId w:val="8"/>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中标人必须提供对软硬件设备使用人员和管理人员的培训，培训内容包括系统的使用及维护培训。</w:t>
      </w:r>
    </w:p>
    <w:p>
      <w:pPr>
        <w:numPr>
          <w:ilvl w:val="0"/>
          <w:numId w:val="8"/>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中标人必须为所有被培训人员提供培训用文字资料和讲义等相关用品。</w:t>
      </w:r>
    </w:p>
    <w:p>
      <w:pPr>
        <w:numPr>
          <w:ilvl w:val="0"/>
          <w:numId w:val="8"/>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培训时间与日期必须在系统建设完毕后两周内安排实施，并提供具体的培训方案。</w:t>
      </w:r>
    </w:p>
    <w:p>
      <w:pPr>
        <w:pStyle w:val="6"/>
        <w:numPr>
          <w:ilvl w:val="1"/>
          <w:numId w:val="0"/>
        </w:numPr>
        <w:tabs>
          <w:tab w:val="left" w:pos="576"/>
        </w:tabs>
        <w:spacing w:before="0" w:after="0"/>
        <w:ind w:firstLine="482" w:firstLineChars="200"/>
        <w:jc w:val="left"/>
        <w:rPr>
          <w:rFonts w:ascii="宋体" w:hAnsi="宋体" w:cs="宋体"/>
          <w:sz w:val="24"/>
          <w:szCs w:val="24"/>
          <w:highlight w:val="none"/>
        </w:rPr>
      </w:pPr>
      <w:r>
        <w:rPr>
          <w:rFonts w:hint="eastAsia" w:ascii="宋体" w:hAnsi="宋体" w:cs="宋体"/>
          <w:sz w:val="24"/>
          <w:szCs w:val="24"/>
          <w:highlight w:val="none"/>
        </w:rPr>
        <w:t>2、验收要求</w:t>
      </w:r>
    </w:p>
    <w:p>
      <w:pPr>
        <w:spacing w:line="360" w:lineRule="auto"/>
        <w:ind w:firstLine="480" w:firstLineChars="200"/>
        <w:jc w:val="left"/>
        <w:rPr>
          <w:rFonts w:ascii="宋体" w:hAnsi="宋体" w:cs="宋体"/>
          <w:sz w:val="24"/>
          <w:szCs w:val="24"/>
          <w:highlight w:val="none"/>
        </w:rPr>
      </w:pPr>
      <w:r>
        <w:rPr>
          <w:rFonts w:hint="eastAsia" w:ascii="宋体" w:hAnsi="宋体" w:cs="宋体"/>
          <w:sz w:val="24"/>
          <w:szCs w:val="24"/>
          <w:highlight w:val="none"/>
        </w:rPr>
        <w:t>提供全套完善的产品设备档案资料文档。验收合格的条件必须至少满足以下要求：</w:t>
      </w:r>
    </w:p>
    <w:p>
      <w:pPr>
        <w:numPr>
          <w:ilvl w:val="0"/>
          <w:numId w:val="9"/>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完成设备采购、安装调试、系统集成，试运行时性能满足招标技术要求。</w:t>
      </w:r>
    </w:p>
    <w:p>
      <w:pPr>
        <w:numPr>
          <w:ilvl w:val="0"/>
          <w:numId w:val="9"/>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性能测试和试运行验收时出现的问题已被解决。</w:t>
      </w:r>
    </w:p>
    <w:p>
      <w:pPr>
        <w:numPr>
          <w:ilvl w:val="0"/>
          <w:numId w:val="9"/>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已提供了合同的全部货物和资料。</w:t>
      </w:r>
    </w:p>
    <w:p>
      <w:pPr>
        <w:numPr>
          <w:ilvl w:val="0"/>
          <w:numId w:val="9"/>
        </w:numPr>
        <w:spacing w:line="360" w:lineRule="auto"/>
        <w:ind w:left="0" w:firstLine="480" w:firstLineChars="200"/>
        <w:jc w:val="left"/>
        <w:rPr>
          <w:rFonts w:ascii="宋体" w:hAnsi="宋体" w:cs="宋体"/>
          <w:sz w:val="24"/>
          <w:szCs w:val="24"/>
          <w:highlight w:val="none"/>
        </w:rPr>
      </w:pPr>
      <w:r>
        <w:rPr>
          <w:rFonts w:hint="eastAsia" w:ascii="宋体" w:hAnsi="宋体" w:cs="宋体"/>
          <w:sz w:val="24"/>
          <w:szCs w:val="24"/>
          <w:highlight w:val="none"/>
        </w:rPr>
        <w:t>验收费用由成交方支付。</w:t>
      </w:r>
    </w:p>
    <w:p>
      <w:pPr>
        <w:pStyle w:val="6"/>
        <w:numPr>
          <w:ilvl w:val="1"/>
          <w:numId w:val="0"/>
        </w:numPr>
        <w:tabs>
          <w:tab w:val="left" w:pos="576"/>
        </w:tabs>
        <w:spacing w:before="0" w:after="0"/>
        <w:ind w:firstLine="482" w:firstLineChars="200"/>
        <w:jc w:val="left"/>
        <w:rPr>
          <w:rFonts w:ascii="宋体" w:hAnsi="宋体" w:cs="宋体"/>
          <w:sz w:val="24"/>
          <w:szCs w:val="24"/>
          <w:highlight w:val="none"/>
        </w:rPr>
      </w:pPr>
      <w:r>
        <w:rPr>
          <w:rFonts w:hint="eastAsia" w:ascii="宋体" w:hAnsi="宋体" w:cs="宋体"/>
          <w:sz w:val="24"/>
          <w:szCs w:val="24"/>
          <w:highlight w:val="none"/>
        </w:rPr>
        <w:t>3、其他</w:t>
      </w:r>
    </w:p>
    <w:p>
      <w:pPr>
        <w:keepNext w:val="0"/>
        <w:keepLines w:val="0"/>
        <w:pageBreakBefore w:val="0"/>
        <w:widowControl w:val="0"/>
        <w:numPr>
          <w:ilvl w:val="0"/>
          <w:numId w:val="10"/>
        </w:numPr>
        <w:kinsoku/>
        <w:wordWrap/>
        <w:overflowPunct/>
        <w:topLinePunct w:val="0"/>
        <w:autoSpaceDE/>
        <w:autoSpaceDN/>
        <w:bidi w:val="0"/>
        <w:adjustRightInd/>
        <w:snapToGrid/>
        <w:spacing w:before="0" w:beforeLines="50" w:after="0" w:afterLines="50" w:line="360" w:lineRule="auto"/>
        <w:ind w:left="0"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中标人安排专管员对接售后服务，中标人必须提供全年7×24小时上门服务，必须做到10分钟内电话响应、3小时内到达现场、24小时内故障修复或提供备机。另外，中标方需承诺在服务周期内对全部4G执法记录仪提供免费保修服务（免费保修服务包括屏幕、主板等整机主要部件进水、摔落等各类原因造成的任何主机受损维修）。</w:t>
      </w:r>
    </w:p>
    <w:p>
      <w:pPr>
        <w:keepNext w:val="0"/>
        <w:keepLines w:val="0"/>
        <w:pageBreakBefore w:val="0"/>
        <w:widowControl w:val="0"/>
        <w:numPr>
          <w:ilvl w:val="0"/>
          <w:numId w:val="10"/>
        </w:numPr>
        <w:kinsoku/>
        <w:wordWrap/>
        <w:overflowPunct/>
        <w:topLinePunct w:val="0"/>
        <w:autoSpaceDE/>
        <w:autoSpaceDN/>
        <w:bidi w:val="0"/>
        <w:adjustRightInd/>
        <w:snapToGrid/>
        <w:spacing w:before="0" w:beforeLines="50" w:after="0" w:afterLines="50" w:line="360" w:lineRule="auto"/>
        <w:ind w:left="0" w:firstLine="480" w:firstLineChars="200"/>
        <w:jc w:val="left"/>
        <w:textAlignment w:val="auto"/>
      </w:pPr>
      <w:bookmarkStart w:id="20" w:name="_GoBack"/>
      <w:bookmarkEnd w:id="20"/>
      <w:r>
        <w:rPr>
          <w:rFonts w:hint="eastAsia" w:ascii="宋体" w:hAnsi="宋体" w:cs="宋体"/>
          <w:sz w:val="24"/>
          <w:szCs w:val="24"/>
          <w:highlight w:val="none"/>
        </w:rPr>
        <w:t>中标人应提供所有产品完整的产品资料、产品使用说明书以及相关维护工具。</w:t>
      </w:r>
    </w:p>
    <w:p>
      <w:pPr>
        <w:keepNext w:val="0"/>
        <w:keepLines w:val="0"/>
        <w:pageBreakBefore w:val="0"/>
        <w:widowControl w:val="0"/>
        <w:numPr>
          <w:ilvl w:val="0"/>
          <w:numId w:val="10"/>
        </w:numPr>
        <w:kinsoku/>
        <w:wordWrap/>
        <w:overflowPunct/>
        <w:topLinePunct w:val="0"/>
        <w:autoSpaceDE/>
        <w:autoSpaceDN/>
        <w:bidi w:val="0"/>
        <w:adjustRightInd/>
        <w:snapToGrid/>
        <w:spacing w:before="0" w:beforeLines="50" w:after="0" w:afterLines="50" w:line="360" w:lineRule="auto"/>
        <w:ind w:left="0" w:firstLine="420" w:firstLineChars="200"/>
        <w:jc w:val="left"/>
        <w:textAlignment w:val="auto"/>
      </w:pPr>
      <w:r>
        <w:rPr>
          <w:rFonts w:hint="eastAsia"/>
          <w:lang w:val="en-US" w:eastAsia="zh-CN"/>
        </w:rPr>
        <w:t xml:space="preserve">    </w:t>
      </w:r>
      <w:r>
        <w:rPr>
          <w:rFonts w:hint="eastAsia"/>
        </w:rPr>
        <w:t>采集工作站、移动智能视频接入网关设备、移动视频管理设备、执法记录仪视频国标服务设备中的存储部件故障损坏的，中标人只更换，不维修。故障件由中标人处置。</w:t>
      </w:r>
    </w:p>
    <w:p>
      <w:pPr>
        <w:keepNext w:val="0"/>
        <w:keepLines w:val="0"/>
        <w:pageBreakBefore w:val="0"/>
        <w:widowControl w:val="0"/>
        <w:numPr>
          <w:ilvl w:val="0"/>
          <w:numId w:val="10"/>
        </w:numPr>
        <w:kinsoku/>
        <w:wordWrap/>
        <w:overflowPunct/>
        <w:topLinePunct w:val="0"/>
        <w:autoSpaceDE/>
        <w:autoSpaceDN/>
        <w:bidi w:val="0"/>
        <w:adjustRightInd/>
        <w:snapToGrid/>
        <w:spacing w:before="0" w:beforeLines="50" w:after="0" w:afterLines="50" w:line="360" w:lineRule="auto"/>
        <w:ind w:left="0" w:firstLine="482" w:firstLineChars="200"/>
        <w:jc w:val="left"/>
        <w:textAlignment w:val="auto"/>
        <w:rPr>
          <w:rFonts w:ascii="宋体" w:hAnsi="宋体" w:cs="宋体"/>
          <w:b/>
          <w:bCs/>
          <w:sz w:val="24"/>
          <w:szCs w:val="24"/>
          <w:highlight w:val="none"/>
          <w:u w:val="single"/>
        </w:rPr>
      </w:pPr>
      <w:r>
        <w:rPr>
          <w:rFonts w:hint="eastAsia" w:ascii="宋体" w:hAnsi="宋体" w:cs="宋体"/>
          <w:b/>
          <w:bCs/>
          <w:sz w:val="24"/>
          <w:szCs w:val="24"/>
          <w:highlight w:val="none"/>
          <w:u w:val="single"/>
        </w:rPr>
        <w:t>服务期完成后所有软硬件不返回。</w:t>
      </w:r>
    </w:p>
    <w:p>
      <w:pPr>
        <w:keepNext w:val="0"/>
        <w:keepLines w:val="0"/>
        <w:pageBreakBefore w:val="0"/>
        <w:widowControl w:val="0"/>
        <w:numPr>
          <w:ilvl w:val="0"/>
          <w:numId w:val="10"/>
        </w:numPr>
        <w:kinsoku/>
        <w:wordWrap/>
        <w:overflowPunct/>
        <w:topLinePunct w:val="0"/>
        <w:autoSpaceDE/>
        <w:autoSpaceDN/>
        <w:bidi w:val="0"/>
        <w:adjustRightInd/>
        <w:snapToGrid/>
        <w:spacing w:before="0" w:beforeLines="50" w:after="0" w:afterLines="50" w:line="360" w:lineRule="auto"/>
        <w:ind w:left="0"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投标人需承诺重大节日期间，提供指定区域的信号重点保障服务，以及指定地点的驻场保障服务。</w:t>
      </w:r>
    </w:p>
    <w:p>
      <w:pPr>
        <w:pStyle w:val="5"/>
        <w:spacing w:before="0" w:after="0"/>
        <w:rPr>
          <w:rFonts w:hint="default"/>
          <w:sz w:val="24"/>
          <w:szCs w:val="24"/>
          <w:highlight w:val="none"/>
        </w:rPr>
      </w:pPr>
      <w:r>
        <w:rPr>
          <w:sz w:val="24"/>
          <w:szCs w:val="24"/>
          <w:highlight w:val="none"/>
        </w:rPr>
        <w:t>七、对接要求</w:t>
      </w:r>
    </w:p>
    <w:tbl>
      <w:tblPr>
        <w:tblStyle w:val="7"/>
        <w:tblW w:w="0" w:type="auto"/>
        <w:jc w:val="center"/>
        <w:tblLayout w:type="fixed"/>
        <w:tblCellMar>
          <w:top w:w="0" w:type="dxa"/>
          <w:left w:w="108" w:type="dxa"/>
          <w:bottom w:w="0" w:type="dxa"/>
          <w:right w:w="108" w:type="dxa"/>
        </w:tblCellMar>
      </w:tblPr>
      <w:tblGrid>
        <w:gridCol w:w="3978"/>
        <w:gridCol w:w="4506"/>
      </w:tblGrid>
      <w:tr>
        <w:tblPrEx>
          <w:tblCellMar>
            <w:top w:w="0" w:type="dxa"/>
            <w:left w:w="108" w:type="dxa"/>
            <w:bottom w:w="0" w:type="dxa"/>
            <w:right w:w="108" w:type="dxa"/>
          </w:tblCellMar>
        </w:tblPrEx>
        <w:trPr>
          <w:trHeight w:val="720" w:hRule="atLeast"/>
          <w:jc w:val="center"/>
        </w:trPr>
        <w:tc>
          <w:tcPr>
            <w:tcW w:w="397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ascii="宋体" w:hAnsi="宋体" w:cs="宋体"/>
                <w:b/>
                <w:sz w:val="24"/>
                <w:szCs w:val="24"/>
                <w:highlight w:val="none"/>
              </w:rPr>
            </w:pPr>
            <w:r>
              <w:rPr>
                <w:rFonts w:hint="eastAsia" w:ascii="宋体" w:hAnsi="宋体" w:cs="宋体"/>
                <w:b/>
                <w:sz w:val="24"/>
                <w:szCs w:val="24"/>
                <w:highlight w:val="none"/>
              </w:rPr>
              <w:t>需对接设备及系统</w:t>
            </w:r>
          </w:p>
        </w:tc>
        <w:tc>
          <w:tcPr>
            <w:tcW w:w="4506" w:type="dxa"/>
            <w:tcBorders>
              <w:top w:val="single" w:color="auto" w:sz="4" w:space="0"/>
              <w:left w:val="nil"/>
              <w:bottom w:val="single" w:color="auto" w:sz="4" w:space="0"/>
              <w:right w:val="single" w:color="auto" w:sz="4" w:space="0"/>
            </w:tcBorders>
            <w:vAlign w:val="center"/>
          </w:tcPr>
          <w:p>
            <w:pPr>
              <w:adjustRightInd w:val="0"/>
              <w:snapToGrid w:val="0"/>
              <w:spacing w:line="360" w:lineRule="exact"/>
              <w:jc w:val="center"/>
              <w:rPr>
                <w:rFonts w:ascii="宋体" w:hAnsi="宋体" w:cs="宋体"/>
                <w:b/>
                <w:sz w:val="24"/>
                <w:szCs w:val="24"/>
                <w:highlight w:val="none"/>
              </w:rPr>
            </w:pPr>
            <w:r>
              <w:rPr>
                <w:rFonts w:hint="eastAsia" w:ascii="宋体" w:hAnsi="宋体" w:cs="宋体"/>
                <w:b/>
                <w:sz w:val="24"/>
                <w:szCs w:val="24"/>
                <w:highlight w:val="none"/>
              </w:rPr>
              <w:t>对接平台</w:t>
            </w:r>
          </w:p>
        </w:tc>
      </w:tr>
      <w:tr>
        <w:tblPrEx>
          <w:tblCellMar>
            <w:top w:w="0" w:type="dxa"/>
            <w:left w:w="108" w:type="dxa"/>
            <w:bottom w:w="0" w:type="dxa"/>
            <w:right w:w="108" w:type="dxa"/>
          </w:tblCellMar>
        </w:tblPrEx>
        <w:trPr>
          <w:trHeight w:val="720" w:hRule="atLeast"/>
          <w:jc w:val="center"/>
        </w:trPr>
        <w:tc>
          <w:tcPr>
            <w:tcW w:w="397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ascii="宋体" w:hAnsi="宋体" w:cs="宋体"/>
                <w:b/>
                <w:sz w:val="24"/>
                <w:szCs w:val="24"/>
                <w:highlight w:val="none"/>
              </w:rPr>
            </w:pPr>
            <w:r>
              <w:rPr>
                <w:rFonts w:hint="eastAsia" w:ascii="宋体" w:hAnsi="宋体" w:cs="宋体"/>
                <w:b/>
                <w:bCs/>
                <w:sz w:val="24"/>
                <w:szCs w:val="24"/>
                <w:highlight w:val="none"/>
              </w:rPr>
              <w:t>执法记录仪</w:t>
            </w:r>
          </w:p>
        </w:tc>
        <w:tc>
          <w:tcPr>
            <w:tcW w:w="4506" w:type="dxa"/>
            <w:tcBorders>
              <w:top w:val="single" w:color="auto" w:sz="4" w:space="0"/>
              <w:left w:val="nil"/>
              <w:bottom w:val="single" w:color="auto" w:sz="4" w:space="0"/>
              <w:right w:val="single" w:color="auto" w:sz="4" w:space="0"/>
            </w:tcBorders>
            <w:vAlign w:val="center"/>
          </w:tcPr>
          <w:p>
            <w:pPr>
              <w:adjustRightInd w:val="0"/>
              <w:snapToGrid w:val="0"/>
              <w:spacing w:line="360" w:lineRule="exact"/>
              <w:jc w:val="left"/>
              <w:rPr>
                <w:rFonts w:ascii="宋体" w:hAnsi="宋体" w:cs="宋体"/>
                <w:b/>
                <w:sz w:val="24"/>
                <w:szCs w:val="24"/>
                <w:highlight w:val="none"/>
              </w:rPr>
            </w:pPr>
            <w:r>
              <w:rPr>
                <w:rFonts w:hint="eastAsia" w:ascii="宋体" w:hAnsi="宋体" w:cs="宋体"/>
                <w:b/>
                <w:bCs/>
                <w:sz w:val="24"/>
                <w:szCs w:val="24"/>
                <w:highlight w:val="none"/>
                <w:lang w:eastAsia="zh-Hans"/>
              </w:rPr>
              <w:t>分局现有的4G执法记录仪实时图传平台、分局现有的采集工作站与装备柜</w:t>
            </w:r>
          </w:p>
        </w:tc>
      </w:tr>
    </w:tbl>
    <w:p>
      <w:pPr>
        <w:pStyle w:val="4"/>
        <w:adjustRightInd w:val="0"/>
        <w:spacing w:after="0" w:line="360" w:lineRule="auto"/>
        <w:ind w:firstLine="0" w:firstLineChars="0"/>
        <w:jc w:val="left"/>
        <w:rPr>
          <w:b/>
          <w:bCs/>
          <w:sz w:val="24"/>
          <w:highlight w:val="none"/>
        </w:rPr>
      </w:pPr>
    </w:p>
    <w:p>
      <w:pPr>
        <w:pStyle w:val="4"/>
        <w:adjustRightInd w:val="0"/>
        <w:spacing w:after="0" w:line="360" w:lineRule="auto"/>
        <w:ind w:firstLine="482" w:firstLineChars="200"/>
        <w:jc w:val="left"/>
        <w:rPr>
          <w:rFonts w:ascii="宋体" w:hAnsi="宋体"/>
          <w:sz w:val="24"/>
          <w:highlight w:val="none"/>
        </w:rPr>
      </w:pPr>
      <w:r>
        <w:rPr>
          <w:rFonts w:hint="eastAsia"/>
          <w:b/>
          <w:bCs/>
          <w:sz w:val="24"/>
          <w:highlight w:val="none"/>
        </w:rPr>
        <w:t>注：1、</w:t>
      </w:r>
      <w:r>
        <w:rPr>
          <w:rFonts w:hint="eastAsia" w:ascii="宋体" w:hAnsi="宋体" w:cs="宋体"/>
          <w:b/>
          <w:sz w:val="24"/>
          <w:highlight w:val="none"/>
        </w:rPr>
        <w:t>★</w:t>
      </w:r>
      <w:r>
        <w:rPr>
          <w:rFonts w:hint="eastAsia"/>
          <w:b/>
          <w:bCs/>
          <w:sz w:val="24"/>
          <w:highlight w:val="none"/>
        </w:rPr>
        <w:t>投标人所投</w:t>
      </w:r>
      <w:r>
        <w:rPr>
          <w:rFonts w:hint="eastAsia" w:ascii="宋体" w:hAnsi="宋体" w:cs="宋体"/>
          <w:b/>
          <w:bCs/>
          <w:sz w:val="24"/>
          <w:highlight w:val="none"/>
        </w:rPr>
        <w:t>执法记录仪</w:t>
      </w:r>
      <w:r>
        <w:rPr>
          <w:rFonts w:hint="eastAsia"/>
          <w:b/>
          <w:bCs/>
          <w:sz w:val="24"/>
          <w:highlight w:val="none"/>
        </w:rPr>
        <w:t>应与用户方现有1）</w:t>
      </w:r>
      <w:r>
        <w:rPr>
          <w:rFonts w:hint="eastAsia" w:ascii="宋体" w:hAnsi="宋体" w:cs="宋体"/>
          <w:b/>
          <w:bCs/>
          <w:sz w:val="24"/>
          <w:highlight w:val="none"/>
          <w:lang w:eastAsia="zh-Hans"/>
        </w:rPr>
        <w:t>4G执法记录仪实时图传平台</w:t>
      </w:r>
      <w:r>
        <w:rPr>
          <w:rFonts w:hint="eastAsia"/>
          <w:b/>
          <w:bCs/>
          <w:sz w:val="24"/>
          <w:highlight w:val="none"/>
        </w:rPr>
        <w:t>；2）</w:t>
      </w:r>
      <w:r>
        <w:rPr>
          <w:rFonts w:hint="eastAsia" w:ascii="宋体" w:hAnsi="宋体" w:cs="宋体"/>
          <w:b/>
          <w:bCs/>
          <w:sz w:val="24"/>
          <w:highlight w:val="none"/>
          <w:lang w:eastAsia="zh-Hans"/>
        </w:rPr>
        <w:t>采集工作站与装备柜</w:t>
      </w:r>
      <w:r>
        <w:rPr>
          <w:rFonts w:hint="eastAsia"/>
          <w:b/>
          <w:bCs/>
          <w:sz w:val="24"/>
          <w:highlight w:val="none"/>
        </w:rPr>
        <w:t>进行无缝对接并提供加盖公章的承诺函。</w:t>
      </w:r>
    </w:p>
    <w:p>
      <w:pPr>
        <w:pStyle w:val="13"/>
        <w:adjustRightInd w:val="0"/>
        <w:spacing w:line="360" w:lineRule="auto"/>
        <w:ind w:firstLine="960" w:firstLineChars="400"/>
        <w:jc w:val="left"/>
        <w:rPr>
          <w:rFonts w:ascii="宋体" w:hAnsi="宋体"/>
          <w:sz w:val="24"/>
          <w:szCs w:val="24"/>
          <w:highlight w:val="none"/>
        </w:rPr>
        <w:sectPr>
          <w:pgSz w:w="11910" w:h="16840"/>
          <w:pgMar w:top="1340" w:right="1020" w:bottom="1060" w:left="1134" w:header="878" w:footer="864" w:gutter="0"/>
          <w:cols w:space="720" w:num="1"/>
        </w:sectPr>
      </w:pPr>
      <w:r>
        <w:rPr>
          <w:rFonts w:hint="eastAsia" w:ascii="宋体" w:hAnsi="宋体"/>
          <w:sz w:val="24"/>
          <w:szCs w:val="24"/>
          <w:highlight w:val="none"/>
        </w:rPr>
        <w:t>2、★投标人需承诺：投标人应自行梳理与数字化执法档案管理系统对接相关工作，并充分考虑及承担对接过程中发生的接口及其他费用。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KaiTi_GB2312">
    <w:altName w:val="楷体"/>
    <w:panose1 w:val="02010609060101010101"/>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8CD679"/>
    <w:multiLevelType w:val="singleLevel"/>
    <w:tmpl w:val="9D8CD679"/>
    <w:lvl w:ilvl="0" w:tentative="0">
      <w:start w:val="3"/>
      <w:numFmt w:val="decimal"/>
      <w:suff w:val="nothing"/>
      <w:lvlText w:val="%1、"/>
      <w:lvlJc w:val="left"/>
    </w:lvl>
  </w:abstractNum>
  <w:abstractNum w:abstractNumId="1">
    <w:nsid w:val="B328F471"/>
    <w:multiLevelType w:val="singleLevel"/>
    <w:tmpl w:val="B328F471"/>
    <w:lvl w:ilvl="0" w:tentative="0">
      <w:start w:val="1"/>
      <w:numFmt w:val="decimal"/>
      <w:suff w:val="nothing"/>
      <w:lvlText w:val="%1）"/>
      <w:lvlJc w:val="left"/>
    </w:lvl>
  </w:abstractNum>
  <w:abstractNum w:abstractNumId="2">
    <w:nsid w:val="DB443558"/>
    <w:multiLevelType w:val="singleLevel"/>
    <w:tmpl w:val="DB443558"/>
    <w:lvl w:ilvl="0" w:tentative="0">
      <w:start w:val="1"/>
      <w:numFmt w:val="decimal"/>
      <w:lvlText w:val="(%1)"/>
      <w:lvlJc w:val="left"/>
      <w:pPr>
        <w:ind w:left="425" w:hanging="425"/>
      </w:pPr>
      <w:rPr>
        <w:rFonts w:hint="default"/>
      </w:rPr>
    </w:lvl>
  </w:abstractNum>
  <w:abstractNum w:abstractNumId="3">
    <w:nsid w:val="DE929088"/>
    <w:multiLevelType w:val="singleLevel"/>
    <w:tmpl w:val="DE929088"/>
    <w:lvl w:ilvl="0" w:tentative="0">
      <w:start w:val="1"/>
      <w:numFmt w:val="decimal"/>
      <w:lvlText w:val="(%1)"/>
      <w:lvlJc w:val="left"/>
      <w:pPr>
        <w:ind w:left="425" w:hanging="425"/>
      </w:pPr>
      <w:rPr>
        <w:rFonts w:hint="default"/>
      </w:rPr>
    </w:lvl>
  </w:abstractNum>
  <w:abstractNum w:abstractNumId="4">
    <w:nsid w:val="3072517D"/>
    <w:multiLevelType w:val="multilevel"/>
    <w:tmpl w:val="3072517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D042141"/>
    <w:multiLevelType w:val="multilevel"/>
    <w:tmpl w:val="3D042141"/>
    <w:lvl w:ilvl="0" w:tentative="0">
      <w:start w:val="1"/>
      <w:numFmt w:val="decimal"/>
      <w:suff w:val="nothing"/>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4AE20AFE"/>
    <w:multiLevelType w:val="multilevel"/>
    <w:tmpl w:val="4AE20AFE"/>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66E962CF"/>
    <w:multiLevelType w:val="singleLevel"/>
    <w:tmpl w:val="66E962CF"/>
    <w:lvl w:ilvl="0" w:tentative="0">
      <w:start w:val="1"/>
      <w:numFmt w:val="decimal"/>
      <w:lvlText w:val="(%1)"/>
      <w:lvlJc w:val="left"/>
      <w:pPr>
        <w:ind w:left="425" w:hanging="425"/>
      </w:pPr>
      <w:rPr>
        <w:rFonts w:hint="default" w:ascii="宋体" w:hAnsi="宋体" w:eastAsia="宋体" w:cstheme="majorEastAsia"/>
        <w:sz w:val="24"/>
        <w:szCs w:val="24"/>
      </w:rPr>
    </w:lvl>
  </w:abstractNum>
  <w:abstractNum w:abstractNumId="8">
    <w:nsid w:val="6A2F4AB3"/>
    <w:multiLevelType w:val="multilevel"/>
    <w:tmpl w:val="6A2F4AB3"/>
    <w:lvl w:ilvl="0" w:tentative="0">
      <w:start w:val="1"/>
      <w:numFmt w:val="chineseCountingThousand"/>
      <w:suff w:val="nothing"/>
      <w:lvlText w:val="%1、"/>
      <w:lvlJc w:val="left"/>
      <w:pPr>
        <w:ind w:left="425" w:hanging="425"/>
      </w:pPr>
      <w:rPr>
        <w:rFonts w:hint="eastAsia"/>
      </w:rPr>
    </w:lvl>
    <w:lvl w:ilvl="1" w:tentative="0">
      <w:start w:val="1"/>
      <w:numFmt w:val="decimal"/>
      <w:pStyle w:val="6"/>
      <w:isLgl/>
      <w:suff w:val="nothing"/>
      <w:lvlText w:val="%1.%2、"/>
      <w:lvlJc w:val="left"/>
      <w:pPr>
        <w:ind w:left="567" w:hanging="567"/>
      </w:pPr>
      <w:rPr>
        <w:rFonts w:hint="default" w:ascii="Arial" w:hAnsi="Arial" w:cs="Arial"/>
      </w:rPr>
    </w:lvl>
    <w:lvl w:ilvl="2" w:tentative="0">
      <w:start w:val="1"/>
      <w:numFmt w:val="decimal"/>
      <w:isLgl/>
      <w:suff w:val="nothing"/>
      <w:lvlText w:val="%1.%2.%3、"/>
      <w:lvlJc w:val="left"/>
      <w:pPr>
        <w:ind w:left="1069" w:hanging="1069"/>
      </w:pPr>
      <w:rPr>
        <w:rFonts w:hint="default" w:ascii="Arial" w:hAnsi="Arial" w:cs="Arial"/>
      </w:rPr>
    </w:lvl>
    <w:lvl w:ilvl="3" w:tentative="0">
      <w:start w:val="1"/>
      <w:numFmt w:val="decimal"/>
      <w:isLgl/>
      <w:suff w:val="nothing"/>
      <w:lvlText w:val="%1.%2.%3.%4、"/>
      <w:lvlJc w:val="left"/>
      <w:pPr>
        <w:ind w:left="851" w:hanging="851"/>
      </w:pPr>
      <w:rPr>
        <w:rFonts w:hint="default" w:ascii="Arial" w:hAnsi="Arial" w:cs="Arial"/>
        <w:sz w:val="24"/>
        <w:szCs w:val="24"/>
      </w:rPr>
    </w:lvl>
    <w:lvl w:ilvl="4" w:tentative="0">
      <w:start w:val="1"/>
      <w:numFmt w:val="decimal"/>
      <w:isLgl/>
      <w:suff w:val="nothing"/>
      <w:lvlText w:val="%1.%2.%3.%4.%5、"/>
      <w:lvlJc w:val="left"/>
      <w:pPr>
        <w:ind w:left="992" w:hanging="992"/>
      </w:pPr>
      <w:rPr>
        <w:rFonts w:hint="eastAsia"/>
      </w:rPr>
    </w:lvl>
    <w:lvl w:ilvl="5" w:tentative="0">
      <w:start w:val="1"/>
      <w:numFmt w:val="decimal"/>
      <w:isLgl/>
      <w:suff w:val="nothing"/>
      <w:lvlText w:val="%1.%2.%3.%4.%5.%6、"/>
      <w:lvlJc w:val="left"/>
      <w:pPr>
        <w:ind w:left="1134" w:hanging="1134"/>
      </w:pPr>
      <w:rPr>
        <w:rFonts w:hint="eastAsia"/>
      </w:rPr>
    </w:lvl>
    <w:lvl w:ilvl="6" w:tentative="0">
      <w:start w:val="1"/>
      <w:numFmt w:val="decimal"/>
      <w:isLgl/>
      <w:lvlText w:val="%1.%2.%3.%4.%5.%6.%7"/>
      <w:lvlJc w:val="left"/>
      <w:pPr>
        <w:tabs>
          <w:tab w:val="left" w:pos="1800"/>
        </w:tabs>
        <w:ind w:left="1276" w:hanging="1276"/>
      </w:pPr>
      <w:rPr>
        <w:rFonts w:hint="eastAsia"/>
      </w:rPr>
    </w:lvl>
    <w:lvl w:ilvl="7" w:tentative="0">
      <w:start w:val="1"/>
      <w:numFmt w:val="decimal"/>
      <w:isLgl/>
      <w:lvlText w:val="%1.%2.%3.%4.%5.%6.%7.%8"/>
      <w:lvlJc w:val="left"/>
      <w:pPr>
        <w:tabs>
          <w:tab w:val="left" w:pos="1800"/>
        </w:tabs>
        <w:ind w:left="1418" w:hanging="1418"/>
      </w:pPr>
      <w:rPr>
        <w:rFonts w:hint="eastAsia"/>
      </w:rPr>
    </w:lvl>
    <w:lvl w:ilvl="8" w:tentative="0">
      <w:start w:val="1"/>
      <w:numFmt w:val="decimal"/>
      <w:isLgl/>
      <w:lvlText w:val="%1.%2.%3.%4.%5.%6.%7.%8.%9"/>
      <w:lvlJc w:val="left"/>
      <w:pPr>
        <w:tabs>
          <w:tab w:val="left" w:pos="2160"/>
        </w:tabs>
        <w:ind w:left="1559" w:hanging="1559"/>
      </w:pPr>
      <w:rPr>
        <w:rFonts w:hint="eastAsia"/>
      </w:rPr>
    </w:lvl>
  </w:abstractNum>
  <w:abstractNum w:abstractNumId="9">
    <w:nsid w:val="6BBD17EB"/>
    <w:multiLevelType w:val="singleLevel"/>
    <w:tmpl w:val="6BBD17EB"/>
    <w:lvl w:ilvl="0" w:tentative="0">
      <w:start w:val="4"/>
      <w:numFmt w:val="chineseCounting"/>
      <w:suff w:val="space"/>
      <w:lvlText w:val="第%1部分"/>
      <w:lvlJc w:val="left"/>
      <w:rPr>
        <w:rFonts w:hint="eastAsia"/>
        <w:sz w:val="24"/>
        <w:szCs w:val="24"/>
      </w:rPr>
    </w:lvl>
  </w:abstractNum>
  <w:num w:numId="1">
    <w:abstractNumId w:val="8"/>
  </w:num>
  <w:num w:numId="2">
    <w:abstractNumId w:val="9"/>
  </w:num>
  <w:num w:numId="3">
    <w:abstractNumId w:val="5"/>
  </w:num>
  <w:num w:numId="4">
    <w:abstractNumId w:val="6"/>
  </w:num>
  <w:num w:numId="5">
    <w:abstractNumId w:val="4"/>
  </w:num>
  <w:num w:numId="6">
    <w:abstractNumId w:val="1"/>
  </w:num>
  <w:num w:numId="7">
    <w:abstractNumId w:val="0"/>
  </w:num>
  <w:num w:numId="8">
    <w:abstractNumId w:val="2"/>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48C82355"/>
    <w:rsid w:val="3204138A"/>
    <w:rsid w:val="38B8782F"/>
    <w:rsid w:val="48C823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link w:val="10"/>
    <w:qFormat/>
    <w:uiPriority w:val="0"/>
    <w:pPr>
      <w:spacing w:before="100" w:beforeAutospacing="1" w:after="100" w:afterAutospacing="1"/>
      <w:jc w:val="left"/>
      <w:outlineLvl w:val="0"/>
    </w:pPr>
    <w:rPr>
      <w:rFonts w:hint="eastAsia" w:ascii="宋体" w:hAnsi="宋体" w:cs="宋体"/>
      <w:b/>
      <w:kern w:val="44"/>
      <w:sz w:val="30"/>
      <w:szCs w:val="48"/>
    </w:rPr>
  </w:style>
  <w:style w:type="paragraph" w:styleId="6">
    <w:name w:val="heading 2"/>
    <w:basedOn w:val="1"/>
    <w:next w:val="1"/>
    <w:qFormat/>
    <w:uiPriority w:val="0"/>
    <w:pPr>
      <w:keepNext/>
      <w:keepLines/>
      <w:numPr>
        <w:ilvl w:val="1"/>
        <w:numId w:val="1"/>
      </w:numPr>
      <w:spacing w:before="120" w:after="120" w:line="360" w:lineRule="auto"/>
      <w:outlineLvl w:val="1"/>
    </w:pPr>
    <w:rPr>
      <w:b/>
      <w:bCs/>
      <w:sz w:val="28"/>
      <w:szCs w:val="32"/>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表格文字"/>
    <w:basedOn w:val="3"/>
    <w:next w:val="3"/>
    <w:qFormat/>
    <w:uiPriority w:val="0"/>
    <w:rPr>
      <w:spacing w:val="-20"/>
      <w:sz w:val="24"/>
    </w:rPr>
  </w:style>
  <w:style w:type="paragraph" w:styleId="3">
    <w:name w:val="Body Text"/>
    <w:basedOn w:val="1"/>
    <w:next w:val="4"/>
    <w:qFormat/>
    <w:uiPriority w:val="0"/>
    <w:pPr>
      <w:spacing w:after="120"/>
    </w:pPr>
    <w:rPr>
      <w:szCs w:val="20"/>
    </w:rPr>
  </w:style>
  <w:style w:type="paragraph" w:styleId="4">
    <w:name w:val="Body Text First Indent"/>
    <w:basedOn w:val="3"/>
    <w:qFormat/>
    <w:uiPriority w:val="0"/>
    <w:pPr>
      <w:ind w:firstLine="420" w:firstLineChars="100"/>
    </w:pPr>
    <w:rPr>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标题 1 字符"/>
    <w:link w:val="5"/>
    <w:qFormat/>
    <w:uiPriority w:val="0"/>
    <w:rPr>
      <w:rFonts w:hint="eastAsia" w:ascii="宋体" w:hAnsi="宋体" w:cs="宋体"/>
      <w:b/>
      <w:kern w:val="44"/>
      <w:sz w:val="30"/>
      <w:szCs w:val="48"/>
    </w:rPr>
  </w:style>
  <w:style w:type="paragraph" w:customStyle="1" w:styleId="11">
    <w:name w:val="1-正文"/>
    <w:basedOn w:val="1"/>
    <w:qFormat/>
    <w:uiPriority w:val="0"/>
    <w:pPr>
      <w:spacing w:line="360" w:lineRule="auto"/>
      <w:ind w:firstLine="200" w:firstLineChars="200"/>
      <w:jc w:val="left"/>
    </w:pPr>
    <w:rPr>
      <w:rFonts w:cs="黑体"/>
      <w:sz w:val="24"/>
    </w:rPr>
  </w:style>
  <w:style w:type="character" w:customStyle="1" w:styleId="12">
    <w:name w:val="font141"/>
    <w:basedOn w:val="9"/>
    <w:qFormat/>
    <w:uiPriority w:val="0"/>
    <w:rPr>
      <w:rFonts w:ascii="宋体" w:hAnsi="宋体" w:eastAsia="宋体" w:cs="宋体"/>
      <w:b/>
      <w:bCs/>
      <w:color w:val="000000"/>
      <w:sz w:val="20"/>
      <w:szCs w:val="20"/>
      <w:u w:val="none"/>
    </w:rPr>
  </w:style>
  <w:style w:type="paragraph" w:styleId="13">
    <w:name w:val="List Paragraph"/>
    <w:basedOn w:val="1"/>
    <w:qFormat/>
    <w:uiPriority w:val="34"/>
    <w:pPr>
      <w:ind w:firstLine="420" w:firstLineChars="200"/>
    </w:pPr>
  </w:style>
  <w:style w:type="character" w:customStyle="1" w:styleId="14">
    <w:name w:val="font11"/>
    <w:basedOn w:val="9"/>
    <w:qFormat/>
    <w:uiPriority w:val="0"/>
    <w:rPr>
      <w:rFonts w:hint="eastAsia" w:ascii="宋体" w:hAnsi="宋体" w:eastAsia="宋体" w:cs="宋体"/>
      <w:color w:val="000000"/>
      <w:sz w:val="22"/>
      <w:szCs w:val="22"/>
      <w:u w:val="none"/>
    </w:rPr>
  </w:style>
  <w:style w:type="character" w:customStyle="1" w:styleId="15">
    <w:name w:val="font21"/>
    <w:basedOn w:val="9"/>
    <w:qFormat/>
    <w:uiPriority w:val="0"/>
    <w:rPr>
      <w:rFonts w:hint="eastAsia" w:ascii="宋体" w:hAnsi="宋体" w:eastAsia="宋体"/>
      <w:color w:val="000000"/>
      <w:sz w:val="28"/>
      <w:szCs w:val="2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2023-11-09T02:49:00Z</dcterms:created>
  <dc:creator>zhāng</dc:creator>
  <cp:lastModifiedBy>zhāng</cp:lastModifiedBy>
  <dcterms:modified xsi:type="dcterms:W3CDTF">2023-11-09T06:14:25Z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632EF730E965453882D74F998D081398_11</vt:lpwstr>
  </property>
</Properties>
</file>