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83E04F0">
      <w:pPr>
        <w:jc w:val="center"/>
      </w:pPr>
      <w:r>
        <w:rPr>
          <w:rFonts w:hint="eastAsia"/>
          <w:b/>
          <w:sz w:val="28"/>
          <w:szCs w:val="28"/>
        </w:rPr>
        <w:t>预审查意见单</w:t>
      </w:r>
    </w:p>
    <w:p w14:paraId="7CCE58DD">
      <w:pPr>
        <w:spacing w:line="360" w:lineRule="auto"/>
        <w:ind w:right="-506" w:rightChars="-241"/>
        <w:jc w:val="left"/>
        <w:rPr>
          <w:szCs w:val="21"/>
        </w:rPr>
      </w:pPr>
      <w:r>
        <w:rPr>
          <w:rFonts w:hint="eastAsia"/>
          <w:szCs w:val="21"/>
        </w:rPr>
        <w:t>项目名称：绍兴路5号装修项目办公楼装修项目</w:t>
      </w:r>
    </w:p>
    <w:p w14:paraId="098F43E0">
      <w:pPr>
        <w:spacing w:line="360" w:lineRule="auto"/>
        <w:ind w:right="-506" w:rightChars="-241"/>
        <w:jc w:val="left"/>
      </w:pPr>
      <w:r>
        <w:rPr>
          <w:rFonts w:hint="eastAsia"/>
          <w:szCs w:val="21"/>
        </w:rPr>
        <w:t>编号： 希明（饰）202</w:t>
      </w:r>
      <w:r>
        <w:rPr>
          <w:szCs w:val="21"/>
        </w:rPr>
        <w:t xml:space="preserve">5-                      </w:t>
      </w:r>
      <w:r>
        <w:rPr>
          <w:rFonts w:hint="eastAsia"/>
          <w:szCs w:val="21"/>
        </w:rPr>
        <w:t>第1页共1页</w:t>
      </w:r>
    </w:p>
    <w:tbl>
      <w:tblPr>
        <w:tblStyle w:val="7"/>
        <w:tblW w:w="9498" w:type="dxa"/>
        <w:tblInd w:w="-74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82"/>
        <w:gridCol w:w="1356"/>
        <w:gridCol w:w="3260"/>
      </w:tblGrid>
      <w:tr w14:paraId="2A4A7A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9498" w:type="dxa"/>
            <w:gridSpan w:val="3"/>
            <w:vAlign w:val="center"/>
          </w:tcPr>
          <w:p w14:paraId="65B2603F">
            <w:r>
              <w:rPr>
                <w:rFonts w:hint="eastAsia"/>
                <w:szCs w:val="21"/>
              </w:rPr>
              <w:t>受建设单位委托，本审查机构对建设单位提供的施工图及相关文件、资料进行了预审查，提出预审查意见如下</w:t>
            </w:r>
          </w:p>
        </w:tc>
      </w:tr>
      <w:tr w14:paraId="1EC834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9498" w:type="dxa"/>
            <w:gridSpan w:val="3"/>
            <w:vAlign w:val="center"/>
          </w:tcPr>
          <w:p w14:paraId="4F9B37FE">
            <w:r>
              <w:rPr>
                <w:rFonts w:hint="eastAsia"/>
                <w:szCs w:val="21"/>
              </w:rPr>
              <w:t>□勘察</w:t>
            </w:r>
            <w:r>
              <w:rPr>
                <w:rFonts w:hint="eastAsia"/>
              </w:rPr>
              <w:sym w:font="CommercialPi BT" w:char="F035"/>
            </w:r>
            <w:r>
              <w:rPr>
                <w:rFonts w:hint="eastAsia"/>
                <w:szCs w:val="21"/>
              </w:rPr>
              <w:t>建筑□结构□给排水□动力□暖通□电气</w:t>
            </w:r>
          </w:p>
        </w:tc>
      </w:tr>
      <w:tr w14:paraId="0FDCA6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238" w:type="dxa"/>
            <w:gridSpan w:val="2"/>
            <w:vAlign w:val="center"/>
          </w:tcPr>
          <w:p w14:paraId="234A7ABD">
            <w:pPr>
              <w:jc w:val="center"/>
              <w:rPr>
                <w:b/>
              </w:rPr>
            </w:pPr>
            <w:r>
              <w:rPr>
                <w:rFonts w:hint="eastAsia"/>
                <w:b/>
                <w:szCs w:val="21"/>
              </w:rPr>
              <w:t>预审查意见</w:t>
            </w:r>
          </w:p>
        </w:tc>
        <w:tc>
          <w:tcPr>
            <w:tcW w:w="3260" w:type="dxa"/>
            <w:vAlign w:val="center"/>
          </w:tcPr>
          <w:p w14:paraId="3C25159D">
            <w:pPr>
              <w:jc w:val="center"/>
              <w:rPr>
                <w:b/>
              </w:rPr>
            </w:pPr>
            <w:r>
              <w:rPr>
                <w:rFonts w:hint="eastAsia"/>
                <w:b/>
                <w:szCs w:val="21"/>
              </w:rPr>
              <w:t>回复意见</w:t>
            </w:r>
          </w:p>
        </w:tc>
      </w:tr>
      <w:tr w14:paraId="1B8BE7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9" w:hRule="atLeast"/>
        </w:trPr>
        <w:tc>
          <w:tcPr>
            <w:tcW w:w="6238" w:type="dxa"/>
            <w:gridSpan w:val="2"/>
          </w:tcPr>
          <w:p w14:paraId="76A06518">
            <w:pPr>
              <w:pStyle w:val="15"/>
              <w:numPr>
                <w:ilvl w:val="0"/>
                <w:numId w:val="1"/>
              </w:numPr>
              <w:spacing w:line="276" w:lineRule="auto"/>
              <w:ind w:firstLineChars="0"/>
              <w:jc w:val="lef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应提供原始竣工图。请提供总平面图。</w:t>
            </w:r>
          </w:p>
          <w:p w14:paraId="01C6426E">
            <w:pPr>
              <w:pStyle w:val="15"/>
              <w:numPr>
                <w:ilvl w:val="0"/>
                <w:numId w:val="1"/>
              </w:numPr>
              <w:spacing w:line="276" w:lineRule="auto"/>
              <w:ind w:firstLineChars="0"/>
              <w:jc w:val="lef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右侧楼梯的净宽不应小于1</w:t>
            </w:r>
            <w: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4E316FC8">
            <w:pPr>
              <w:pStyle w:val="15"/>
              <w:numPr>
                <w:ilvl w:val="0"/>
                <w:numId w:val="1"/>
              </w:numPr>
              <w:spacing w:line="276" w:lineRule="auto"/>
              <w:ind w:firstLineChars="0"/>
              <w:jc w:val="lef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甲级防火窗的耐火极限4h请提供依据。</w:t>
            </w:r>
          </w:p>
          <w:p w14:paraId="59E72700">
            <w:pPr>
              <w:pStyle w:val="15"/>
              <w:numPr>
                <w:ilvl w:val="0"/>
                <w:numId w:val="1"/>
              </w:numPr>
              <w:spacing w:line="276" w:lineRule="auto"/>
              <w:ind w:firstLineChars="0"/>
              <w:jc w:val="lef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一层天花布置图中PT</w:t>
            </w:r>
            <w: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-4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应在图例中表达。PT</w:t>
            </w:r>
            <w: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-1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白色涂料应注明无机涂料。</w:t>
            </w:r>
          </w:p>
          <w:p w14:paraId="318E5971">
            <w:pPr>
              <w:pStyle w:val="15"/>
              <w:numPr>
                <w:ilvl w:val="0"/>
                <w:numId w:val="1"/>
              </w:numPr>
              <w:spacing w:line="276" w:lineRule="auto"/>
              <w:ind w:firstLineChars="0"/>
              <w:jc w:val="lef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说明九材料汇总表中的不锈钢、拉花天膜、水泥纹胶地板等各种材料应与图纸一致。</w:t>
            </w:r>
          </w:p>
          <w:p w14:paraId="1E91398F">
            <w:pPr>
              <w:pStyle w:val="15"/>
              <w:numPr>
                <w:ilvl w:val="0"/>
                <w:numId w:val="1"/>
              </w:numPr>
              <w:spacing w:line="276" w:lineRule="auto"/>
              <w:ind w:firstLineChars="0"/>
              <w:jc w:val="lef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二层地坪布置图中FM</w:t>
            </w:r>
            <w: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-6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做法应在图例中表达。</w:t>
            </w:r>
          </w:p>
          <w:p w14:paraId="575DAEBB">
            <w:pPr>
              <w:pStyle w:val="15"/>
              <w:numPr>
                <w:ilvl w:val="0"/>
                <w:numId w:val="1"/>
              </w:numPr>
              <w:spacing w:line="276" w:lineRule="auto"/>
              <w:ind w:firstLineChars="0"/>
              <w:jc w:val="lef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二层左侧防火门开向哪里？</w:t>
            </w:r>
          </w:p>
          <w:p w14:paraId="215DB55F">
            <w:pPr>
              <w:pStyle w:val="15"/>
              <w:numPr>
                <w:ilvl w:val="0"/>
                <w:numId w:val="1"/>
              </w:numPr>
              <w:spacing w:line="276" w:lineRule="auto"/>
              <w:ind w:firstLineChars="0"/>
              <w:jc w:val="lef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六层电梯机房无窗房间，墙面应采用A级材料。</w:t>
            </w:r>
          </w:p>
          <w:p w14:paraId="1F7602E8">
            <w:pPr>
              <w:pStyle w:val="15"/>
              <w:numPr>
                <w:ilvl w:val="0"/>
                <w:numId w:val="1"/>
              </w:numPr>
              <w:spacing w:line="276" w:lineRule="auto"/>
              <w:ind w:firstLineChars="0"/>
              <w:jc w:val="lef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强电间、弱电间的内部所有装修材料应采用A级装修材料。</w:t>
            </w:r>
            <w: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电气用房和智能化设备用房地面应设门槛或高出地面1</w:t>
            </w:r>
            <w: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。GB</w:t>
            </w:r>
            <w:r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55022-2022-2.0.3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2FA98BD5">
            <w:pPr>
              <w:pStyle w:val="15"/>
              <w:numPr>
                <w:ilvl w:val="0"/>
                <w:numId w:val="1"/>
              </w:numPr>
              <w:spacing w:line="276" w:lineRule="auto"/>
              <w:ind w:firstLineChars="0"/>
              <w:jc w:val="lef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应有门表和门立面图。</w:t>
            </w:r>
          </w:p>
          <w:p w14:paraId="368B10E4">
            <w:pPr>
              <w:pStyle w:val="15"/>
              <w:numPr>
                <w:ilvl w:val="0"/>
                <w:numId w:val="1"/>
              </w:numPr>
              <w:spacing w:line="276" w:lineRule="auto"/>
              <w:ind w:firstLineChars="0"/>
              <w:jc w:val="lef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应根据沪建材《2</w:t>
            </w:r>
            <w:r>
              <w:rPr>
                <w:rFonts w:ascii="宋体" w:hAnsi="宋体"/>
                <w:sz w:val="18"/>
                <w:szCs w:val="18"/>
              </w:rPr>
              <w:t>022</w:t>
            </w:r>
            <w:r>
              <w:rPr>
                <w:rFonts w:hint="eastAsia" w:ascii="宋体" w:hAnsi="宋体"/>
                <w:sz w:val="18"/>
                <w:szCs w:val="18"/>
              </w:rPr>
              <w:t>》6</w:t>
            </w:r>
            <w:r>
              <w:rPr>
                <w:rFonts w:ascii="宋体" w:hAnsi="宋体"/>
                <w:sz w:val="18"/>
                <w:szCs w:val="18"/>
              </w:rPr>
              <w:t>81</w:t>
            </w:r>
            <w:r>
              <w:rPr>
                <w:rFonts w:hint="eastAsia" w:ascii="宋体" w:hAnsi="宋体"/>
                <w:sz w:val="18"/>
                <w:szCs w:val="18"/>
              </w:rPr>
              <w:t>号文要求，建筑专业复核围护结构的保温措施，是否使用双层玻璃的窗，并设计3项节能措施。建筑图应汇总说明4项节能措施的复核说明及3条节能措施。</w:t>
            </w:r>
          </w:p>
          <w:p w14:paraId="37999B9C">
            <w:pPr>
              <w:pStyle w:val="15"/>
              <w:numPr>
                <w:ilvl w:val="0"/>
                <w:numId w:val="1"/>
              </w:numPr>
              <w:spacing w:line="276" w:lineRule="auto"/>
              <w:ind w:firstLineChars="0"/>
              <w:jc w:val="lef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地下室防火分区应设2个安全出口。</w:t>
            </w:r>
          </w:p>
          <w:p w14:paraId="76DCB5A8">
            <w:pPr>
              <w:pStyle w:val="15"/>
              <w:numPr>
                <w:ilvl w:val="0"/>
                <w:numId w:val="1"/>
              </w:numPr>
              <w:spacing w:line="276" w:lineRule="auto"/>
              <w:ind w:firstLineChars="0"/>
              <w:jc w:val="left"/>
              <w:rPr>
                <w:rFonts w:asciiTheme="minorEastAsia" w:hAnsiTheme="minor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情况说明与图纸表达不一致。情况说明不能作为设计依据。</w:t>
            </w:r>
          </w:p>
          <w:p w14:paraId="665C50EB">
            <w:pPr>
              <w:pStyle w:val="15"/>
              <w:spacing w:line="276" w:lineRule="auto"/>
              <w:ind w:left="420" w:firstLine="0" w:firstLineChars="0"/>
              <w:jc w:val="lef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3296AFF">
            <w:pPr>
              <w:pStyle w:val="15"/>
              <w:spacing w:line="276" w:lineRule="auto"/>
              <w:ind w:left="420" w:firstLine="0" w:firstLineChars="0"/>
              <w:jc w:val="lef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11DD399">
            <w:pPr>
              <w:pStyle w:val="15"/>
              <w:spacing w:line="276" w:lineRule="auto"/>
              <w:ind w:left="420" w:firstLine="0" w:firstLineChars="0"/>
              <w:jc w:val="left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60" w:type="dxa"/>
          </w:tcPr>
          <w:p w14:paraId="6DFDCD0A">
            <w:pPr>
              <w:pStyle w:val="15"/>
              <w:tabs>
                <w:tab w:val="left" w:pos="312"/>
              </w:tabs>
              <w:spacing w:line="276" w:lineRule="auto"/>
              <w:ind w:firstLine="0" w:firstLineChars="0"/>
              <w:jc w:val="left"/>
              <w:rPr>
                <w:rFonts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  <w:r>
              <w:rPr>
                <w:rFonts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.</w:t>
            </w:r>
          </w:p>
          <w:p w14:paraId="4CB3D11C">
            <w:pPr>
              <w:pStyle w:val="15"/>
              <w:tabs>
                <w:tab w:val="left" w:pos="312"/>
              </w:tabs>
              <w:spacing w:line="276" w:lineRule="auto"/>
              <w:ind w:firstLine="0" w:firstLineChars="0"/>
              <w:jc w:val="left"/>
              <w:rPr>
                <w:rFonts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2.</w:t>
            </w:r>
          </w:p>
          <w:p w14:paraId="4D148AA5">
            <w:pPr>
              <w:pStyle w:val="15"/>
              <w:tabs>
                <w:tab w:val="left" w:pos="312"/>
              </w:tabs>
              <w:spacing w:line="276" w:lineRule="auto"/>
              <w:ind w:firstLine="0" w:firstLineChars="0"/>
              <w:jc w:val="left"/>
              <w:rPr>
                <w:rFonts w:hint="default" w:ascii="仿宋_GB2312" w:eastAsia="仿宋_GB2312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3.</w:t>
            </w:r>
            <w:r>
              <w:rPr>
                <w:rFonts w:hint="eastAsia" w:ascii="仿宋_GB2312" w:eastAsia="仿宋_GB2312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由甲方提供，后续提供检测报告</w:t>
            </w:r>
          </w:p>
          <w:p w14:paraId="516992E7">
            <w:pPr>
              <w:pStyle w:val="15"/>
              <w:tabs>
                <w:tab w:val="left" w:pos="312"/>
              </w:tabs>
              <w:spacing w:line="276" w:lineRule="auto"/>
              <w:ind w:firstLine="0" w:firstLineChars="0"/>
              <w:jc w:val="left"/>
              <w:rPr>
                <w:rFonts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4.已</w:t>
            </w:r>
            <w:r>
              <w:rPr>
                <w:rFonts w:hint="eastAsia"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调整</w:t>
            </w:r>
            <w:r>
              <w:rPr>
                <w:rFonts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，详见</w:t>
            </w:r>
            <w:r>
              <w:rPr>
                <w:rFonts w:hint="eastAsia"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建施-01-04</w:t>
            </w:r>
          </w:p>
          <w:p w14:paraId="2EF96711">
            <w:pPr>
              <w:pStyle w:val="15"/>
              <w:tabs>
                <w:tab w:val="left" w:pos="312"/>
              </w:tabs>
              <w:spacing w:line="276" w:lineRule="auto"/>
              <w:ind w:firstLine="0" w:firstLineChars="0"/>
              <w:jc w:val="left"/>
              <w:rPr>
                <w:rFonts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5. 已</w:t>
            </w:r>
            <w:r>
              <w:rPr>
                <w:rFonts w:hint="eastAsia"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调整</w:t>
            </w:r>
            <w:r>
              <w:rPr>
                <w:rFonts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，详见</w:t>
            </w:r>
            <w:r>
              <w:rPr>
                <w:rFonts w:hint="eastAsia"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建施-00-02</w:t>
            </w:r>
          </w:p>
          <w:p w14:paraId="29B80255">
            <w:pPr>
              <w:pStyle w:val="15"/>
              <w:tabs>
                <w:tab w:val="left" w:pos="312"/>
              </w:tabs>
              <w:spacing w:line="276" w:lineRule="auto"/>
              <w:ind w:firstLine="0" w:firstLineChars="0"/>
              <w:jc w:val="left"/>
              <w:rPr>
                <w:rFonts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6. 已补充，详见</w:t>
            </w:r>
            <w:r>
              <w:rPr>
                <w:rFonts w:hint="eastAsia"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建施-02-05</w:t>
            </w:r>
          </w:p>
          <w:p w14:paraId="7844FAED">
            <w:pPr>
              <w:pStyle w:val="15"/>
              <w:tabs>
                <w:tab w:val="left" w:pos="312"/>
              </w:tabs>
              <w:spacing w:line="276" w:lineRule="auto"/>
              <w:ind w:firstLine="0" w:firstLineChars="0"/>
              <w:jc w:val="left"/>
              <w:rPr>
                <w:rFonts w:hint="default" w:ascii="仿宋_GB2312" w:eastAsia="仿宋_GB2312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7.</w:t>
            </w:r>
            <w:r>
              <w:rPr>
                <w:rFonts w:hint="eastAsia" w:ascii="仿宋_GB2312" w:eastAsia="仿宋_GB2312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开向西侧的办公用房</w:t>
            </w:r>
          </w:p>
          <w:p w14:paraId="58F066FB">
            <w:pPr>
              <w:pStyle w:val="15"/>
              <w:tabs>
                <w:tab w:val="left" w:pos="312"/>
              </w:tabs>
              <w:spacing w:line="276" w:lineRule="auto"/>
              <w:ind w:firstLine="0" w:firstLineChars="0"/>
              <w:jc w:val="left"/>
              <w:rPr>
                <w:rFonts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8. 已</w:t>
            </w:r>
            <w:r>
              <w:rPr>
                <w:rFonts w:hint="eastAsia"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调整</w:t>
            </w:r>
            <w:r>
              <w:rPr>
                <w:rFonts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，详见</w:t>
            </w:r>
            <w:r>
              <w:rPr>
                <w:rFonts w:hint="eastAsia"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建施-04-05</w:t>
            </w:r>
          </w:p>
          <w:p w14:paraId="3CA66A31">
            <w:pPr>
              <w:pStyle w:val="15"/>
              <w:tabs>
                <w:tab w:val="left" w:pos="312"/>
              </w:tabs>
              <w:spacing w:line="276" w:lineRule="auto"/>
              <w:ind w:firstLine="0" w:firstLineChars="0"/>
              <w:jc w:val="left"/>
              <w:rPr>
                <w:rFonts w:hint="default" w:ascii="仿宋_GB2312" w:eastAsia="仿宋_GB2312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9. 已</w:t>
            </w:r>
            <w:r>
              <w:rPr>
                <w:rFonts w:hint="eastAsia"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调整</w:t>
            </w:r>
            <w:r>
              <w:rPr>
                <w:rFonts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，详见</w:t>
            </w:r>
            <w:r>
              <w:rPr>
                <w:rFonts w:hint="eastAsia"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建施-02-0</w:t>
            </w:r>
            <w:r>
              <w:rPr>
                <w:rFonts w:hint="eastAsia" w:ascii="仿宋_GB2312" w:eastAsia="仿宋_GB2312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</w:t>
            </w:r>
            <w:r>
              <w:rPr>
                <w:rFonts w:hint="eastAsia"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，建施-04-05</w:t>
            </w:r>
            <w:r>
              <w:rPr>
                <w:rFonts w:hint="eastAsia" w:ascii="仿宋_GB2312" w:eastAsia="仿宋_GB2312"/>
                <w:color w:val="0D0D0D" w:themeColor="text1" w:themeTint="F2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，</w:t>
            </w:r>
            <w:r>
              <w:rPr>
                <w:rFonts w:hint="eastAsia" w:ascii="仿宋_GB2312" w:eastAsia="仿宋_GB2312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建施-00-02</w:t>
            </w:r>
          </w:p>
          <w:p w14:paraId="25F72B8D">
            <w:pPr>
              <w:pStyle w:val="15"/>
              <w:tabs>
                <w:tab w:val="left" w:pos="312"/>
              </w:tabs>
              <w:spacing w:line="276" w:lineRule="auto"/>
              <w:ind w:firstLine="0" w:firstLineChars="0"/>
              <w:jc w:val="left"/>
              <w:rPr>
                <w:rFonts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10已补充，详见</w:t>
            </w:r>
            <w:r>
              <w:rPr>
                <w:rFonts w:hint="eastAsia"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建施-00-03/0</w:t>
            </w:r>
            <w:r>
              <w:rPr>
                <w:rFonts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</w:t>
            </w:r>
          </w:p>
          <w:p w14:paraId="504BE4C5">
            <w:pPr>
              <w:pStyle w:val="15"/>
              <w:tabs>
                <w:tab w:val="left" w:pos="312"/>
              </w:tabs>
              <w:spacing w:line="276" w:lineRule="auto"/>
              <w:ind w:firstLine="0" w:firstLineChars="0"/>
              <w:jc w:val="left"/>
              <w:rPr>
                <w:rFonts w:hint="default" w:ascii="仿宋_GB2312" w:eastAsia="仿宋_GB2312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11.</w:t>
            </w:r>
            <w:r>
              <w:rPr>
                <w:rFonts w:hint="eastAsia" w:ascii="仿宋_GB2312" w:eastAsia="仿宋_GB2312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已补充，</w:t>
            </w:r>
            <w:r>
              <w:rPr>
                <w:rFonts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详见</w:t>
            </w:r>
            <w:r>
              <w:rPr>
                <w:rFonts w:hint="eastAsia"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建施</w:t>
            </w:r>
            <w:r>
              <w:rPr>
                <w:rFonts w:hint="eastAsia" w:ascii="仿宋_GB2312" w:eastAsia="仿宋_GB2312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-00-02</w:t>
            </w:r>
          </w:p>
          <w:p w14:paraId="1CC9593E">
            <w:pPr>
              <w:pStyle w:val="15"/>
              <w:tabs>
                <w:tab w:val="left" w:pos="312"/>
              </w:tabs>
              <w:spacing w:line="276" w:lineRule="auto"/>
              <w:ind w:firstLine="0" w:firstLineChars="0"/>
              <w:jc w:val="left"/>
              <w:rPr>
                <w:rFonts w:hint="eastAsia" w:ascii="仿宋_GB2312" w:eastAsia="仿宋_GB2312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12.</w:t>
            </w:r>
            <w:r>
              <w:rPr>
                <w:rFonts w:hint="eastAsia" w:ascii="仿宋_GB2312" w:eastAsia="仿宋_GB2312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本项目地下室建筑面积635平方米，本项目停车位10个≤50辆属</w:t>
            </w:r>
            <w:bookmarkStart w:id="0" w:name="_GoBack"/>
            <w:bookmarkEnd w:id="0"/>
            <w:r>
              <w:rPr>
                <w:rFonts w:hint="eastAsia" w:ascii="仿宋_GB2312" w:eastAsia="仿宋_GB2312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于</w:t>
            </w:r>
            <w:r>
              <w:rPr>
                <w:rFonts w:hint="default"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Ⅳ</w:t>
            </w:r>
            <w:r>
              <w:rPr>
                <w:rFonts w:hint="eastAsia" w:ascii="仿宋_GB2312" w:eastAsia="仿宋_GB2312"/>
                <w:color w:val="0D0D0D" w:themeColor="text1" w:themeTint="F2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。</w:t>
            </w:r>
            <w:r>
              <w:rPr>
                <w:rFonts w:hint="eastAsia" w:ascii="仿宋_GB2312" w:eastAsia="仿宋_GB2312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可以设置第一个安全出口。依据：</w:t>
            </w:r>
          </w:p>
          <w:p w14:paraId="2C55FE54">
            <w:pPr>
              <w:pStyle w:val="15"/>
              <w:tabs>
                <w:tab w:val="left" w:pos="312"/>
              </w:tabs>
              <w:spacing w:line="276" w:lineRule="auto"/>
              <w:ind w:firstLine="0" w:firstLineChars="0"/>
              <w:jc w:val="left"/>
              <w:rPr>
                <w:rFonts w:hint="eastAsia" w:ascii="仿宋_GB2312" w:eastAsia="仿宋_GB2312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D0D0D" w:themeColor="text1" w:themeTint="F2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《</w:t>
            </w:r>
            <w:r>
              <w:rPr>
                <w:rFonts w:hint="default"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 </w:t>
            </w:r>
            <w:r>
              <w:rPr>
                <w:rFonts w:hint="default"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fldChar w:fldCharType="begin"/>
            </w:r>
            <w:r>
              <w:rPr>
                <w:rFonts w:hint="default"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instrText xml:space="preserve"> HYPERLINK "https://gf.cabr-fire.com/list-176.htm" </w:instrText>
            </w:r>
            <w:r>
              <w:rPr>
                <w:rFonts w:hint="default"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fldChar w:fldCharType="separate"/>
            </w:r>
            <w:r>
              <w:rPr>
                <w:rFonts w:hint="default"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汽车库、修车库、停车场设计防火规范 </w:t>
            </w:r>
            <w:r>
              <w:rPr>
                <w:rFonts w:hint="eastAsia" w:ascii="仿宋_GB2312" w:eastAsia="仿宋_GB2312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G</w:t>
            </w:r>
            <w:r>
              <w:rPr>
                <w:rFonts w:hint="default"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B50067-2014</w:t>
            </w:r>
            <w:r>
              <w:rPr>
                <w:rFonts w:hint="default"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fldChar w:fldCharType="end"/>
            </w:r>
            <w:r>
              <w:rPr>
                <w:rFonts w:hint="default"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 &gt;</w:t>
            </w:r>
            <w:r>
              <w:rPr>
                <w:rFonts w:hint="eastAsia" w:ascii="仿宋_GB2312" w:eastAsia="仿宋_GB2312"/>
                <w:color w:val="0D0D0D" w:themeColor="text1" w:themeTint="F2"/>
                <w:szCs w:val="21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》</w:t>
            </w:r>
            <w:r>
              <w:rPr>
                <w:rFonts w:hint="default"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6.0.2 除室内无车道且无人员停留的机械式汽车库外，汽车库、修车库内每个防火分区的人员安全出口不应少于2个，Ⅳ类汽车库和Ⅲ、Ⅳ类修车库可设置1个。</w:t>
            </w:r>
            <w:r>
              <w:rPr>
                <w:rFonts w:hint="eastAsia" w:ascii="仿宋_GB2312" w:eastAsia="仿宋_GB2312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6.0.10</w:t>
            </w:r>
            <w:r>
              <w:rPr>
                <w:rFonts w:hint="default"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 Ⅳ类汽车库</w:t>
            </w:r>
            <w:r>
              <w:rPr>
                <w:rFonts w:hint="eastAsia" w:ascii="仿宋_GB2312" w:eastAsia="仿宋_GB2312"/>
                <w:color w:val="0D0D0D" w:themeColor="text1" w:themeTint="F2"/>
                <w:szCs w:val="21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可以设置1个汽车疏散出口。</w:t>
            </w:r>
          </w:p>
          <w:p w14:paraId="7BEBC17C">
            <w:pPr>
              <w:pStyle w:val="15"/>
              <w:tabs>
                <w:tab w:val="left" w:pos="312"/>
              </w:tabs>
              <w:spacing w:line="276" w:lineRule="auto"/>
              <w:ind w:firstLine="0" w:firstLineChars="0"/>
              <w:jc w:val="left"/>
              <w:rPr>
                <w:rFonts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仿宋_GB2312" w:eastAsia="仿宋_GB2312"/>
                <w:color w:val="0D0D0D" w:themeColor="text1" w:themeTint="F2"/>
                <w:szCs w:val="21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13.</w:t>
            </w:r>
          </w:p>
        </w:tc>
      </w:tr>
      <w:tr w14:paraId="0FB70B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882" w:type="dxa"/>
            <w:vAlign w:val="center"/>
          </w:tcPr>
          <w:p w14:paraId="04D88EC0">
            <w:r>
              <w:rPr>
                <w:rFonts w:hint="eastAsia"/>
                <w:szCs w:val="21"/>
              </w:rPr>
              <w:t>初审结果：□合格/□不合格</w:t>
            </w:r>
          </w:p>
        </w:tc>
        <w:tc>
          <w:tcPr>
            <w:tcW w:w="4616" w:type="dxa"/>
            <w:gridSpan w:val="2"/>
            <w:vAlign w:val="center"/>
          </w:tcPr>
          <w:p w14:paraId="1E3B8631">
            <w:r>
              <w:rPr>
                <w:rFonts w:hint="eastAsia"/>
                <w:szCs w:val="21"/>
              </w:rPr>
              <w:t>复审结果：□合格 / □不合格</w:t>
            </w:r>
          </w:p>
        </w:tc>
      </w:tr>
      <w:tr w14:paraId="46544F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9498" w:type="dxa"/>
            <w:gridSpan w:val="3"/>
            <w:vAlign w:val="center"/>
          </w:tcPr>
          <w:p w14:paraId="69213593">
            <w:r>
              <w:rPr>
                <w:rFonts w:hint="eastAsia"/>
                <w:szCs w:val="21"/>
              </w:rPr>
              <w:t>请建设单位将预审查意见及时送达设计单位，设计单位应对施工图设计文件中存在的问题进行修改和完善</w:t>
            </w:r>
          </w:p>
        </w:tc>
      </w:tr>
      <w:tr w14:paraId="06C405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" w:hRule="atLeast"/>
        </w:trPr>
        <w:tc>
          <w:tcPr>
            <w:tcW w:w="4882" w:type="dxa"/>
            <w:vAlign w:val="center"/>
          </w:tcPr>
          <w:p w14:paraId="2C8DE66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专业审查人签字：范 </w:t>
            </w:r>
            <w:r>
              <w:rPr>
                <w:szCs w:val="21"/>
              </w:rPr>
              <w:t>62472277-1429</w:t>
            </w:r>
          </w:p>
          <w:p w14:paraId="0A3DC0C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审查机构：</w:t>
            </w:r>
          </w:p>
          <w:p w14:paraId="2A288212">
            <w:pPr>
              <w:ind w:firstLine="1260" w:firstLineChars="600"/>
              <w:rPr>
                <w:szCs w:val="21"/>
              </w:rPr>
            </w:pPr>
            <w:r>
              <w:rPr>
                <w:rFonts w:hint="eastAsia"/>
                <w:szCs w:val="21"/>
              </w:rPr>
              <w:t>上海希明工程咨询有限公司</w:t>
            </w:r>
          </w:p>
          <w:p w14:paraId="0F9162DA">
            <w:pPr>
              <w:jc w:val="right"/>
            </w:pPr>
            <w:r>
              <w:rPr>
                <w:rFonts w:hint="eastAsia"/>
                <w:szCs w:val="21"/>
              </w:rPr>
              <w:t>202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>23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4616" w:type="dxa"/>
            <w:gridSpan w:val="2"/>
            <w:vAlign w:val="center"/>
          </w:tcPr>
          <w:p w14:paraId="4A30514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设计专业负责人签字：</w:t>
            </w:r>
          </w:p>
          <w:p w14:paraId="28FCDDE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设计单位：</w:t>
            </w:r>
          </w:p>
          <w:p w14:paraId="3676D832">
            <w:pPr>
              <w:wordWrap w:val="0"/>
              <w:jc w:val="right"/>
            </w:pPr>
            <w:r>
              <w:rPr>
                <w:rFonts w:hint="eastAsia"/>
                <w:szCs w:val="21"/>
              </w:rPr>
              <w:t>202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14:paraId="033325CC"/>
    <w:sectPr>
      <w:pgSz w:w="11906" w:h="16838"/>
      <w:pgMar w:top="993" w:right="1800" w:bottom="993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mmercialPi BT">
    <w:panose1 w:val="05020102010206080802"/>
    <w:charset w:val="02"/>
    <w:family w:val="roman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6C2CD9"/>
    <w:multiLevelType w:val="multilevel"/>
    <w:tmpl w:val="356C2CD9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Y4NmJiMTRiOTE3NGZmZTA5ZTllOTMyMzRlOWQ5NzAifQ=="/>
  </w:docVars>
  <w:rsids>
    <w:rsidRoot w:val="00172A27"/>
    <w:rsid w:val="000000C7"/>
    <w:rsid w:val="00001A77"/>
    <w:rsid w:val="00021026"/>
    <w:rsid w:val="00022497"/>
    <w:rsid w:val="00022C7B"/>
    <w:rsid w:val="00030047"/>
    <w:rsid w:val="0003209A"/>
    <w:rsid w:val="00036DBD"/>
    <w:rsid w:val="0004078B"/>
    <w:rsid w:val="0004094E"/>
    <w:rsid w:val="00040CE6"/>
    <w:rsid w:val="00040E3D"/>
    <w:rsid w:val="0005567A"/>
    <w:rsid w:val="000617B4"/>
    <w:rsid w:val="00066E47"/>
    <w:rsid w:val="0007118D"/>
    <w:rsid w:val="0007212C"/>
    <w:rsid w:val="00074E5B"/>
    <w:rsid w:val="000857FC"/>
    <w:rsid w:val="00085B78"/>
    <w:rsid w:val="000902BE"/>
    <w:rsid w:val="00094001"/>
    <w:rsid w:val="0009528A"/>
    <w:rsid w:val="000967DE"/>
    <w:rsid w:val="00097A47"/>
    <w:rsid w:val="000A7DF1"/>
    <w:rsid w:val="000B05A1"/>
    <w:rsid w:val="000B6657"/>
    <w:rsid w:val="000B7A76"/>
    <w:rsid w:val="000C5233"/>
    <w:rsid w:val="000D0E2E"/>
    <w:rsid w:val="000D7CD3"/>
    <w:rsid w:val="000E0FE1"/>
    <w:rsid w:val="000E1283"/>
    <w:rsid w:val="000E1E7B"/>
    <w:rsid w:val="000E2350"/>
    <w:rsid w:val="000E451F"/>
    <w:rsid w:val="000F36D2"/>
    <w:rsid w:val="00100B1B"/>
    <w:rsid w:val="001135AD"/>
    <w:rsid w:val="00113C91"/>
    <w:rsid w:val="00113E57"/>
    <w:rsid w:val="001175C1"/>
    <w:rsid w:val="00121BEA"/>
    <w:rsid w:val="00124EFC"/>
    <w:rsid w:val="001363CD"/>
    <w:rsid w:val="001434F3"/>
    <w:rsid w:val="001514C0"/>
    <w:rsid w:val="001528FD"/>
    <w:rsid w:val="0016027A"/>
    <w:rsid w:val="0016499B"/>
    <w:rsid w:val="00166EF8"/>
    <w:rsid w:val="00172A27"/>
    <w:rsid w:val="00175688"/>
    <w:rsid w:val="00177E94"/>
    <w:rsid w:val="001818C9"/>
    <w:rsid w:val="0018493F"/>
    <w:rsid w:val="00187112"/>
    <w:rsid w:val="00190133"/>
    <w:rsid w:val="0019033C"/>
    <w:rsid w:val="001B1861"/>
    <w:rsid w:val="001B2408"/>
    <w:rsid w:val="001B4BC6"/>
    <w:rsid w:val="001C3591"/>
    <w:rsid w:val="001C5084"/>
    <w:rsid w:val="001C6D69"/>
    <w:rsid w:val="001D131F"/>
    <w:rsid w:val="001D1C4D"/>
    <w:rsid w:val="001D6F1E"/>
    <w:rsid w:val="001E2148"/>
    <w:rsid w:val="001E4B18"/>
    <w:rsid w:val="001E6348"/>
    <w:rsid w:val="001F3817"/>
    <w:rsid w:val="001F52E7"/>
    <w:rsid w:val="001F7874"/>
    <w:rsid w:val="0020504F"/>
    <w:rsid w:val="00207F6A"/>
    <w:rsid w:val="00213B20"/>
    <w:rsid w:val="00215972"/>
    <w:rsid w:val="00215A31"/>
    <w:rsid w:val="00215F99"/>
    <w:rsid w:val="00221BA3"/>
    <w:rsid w:val="0022575C"/>
    <w:rsid w:val="002311E3"/>
    <w:rsid w:val="0024068E"/>
    <w:rsid w:val="0024092F"/>
    <w:rsid w:val="00245301"/>
    <w:rsid w:val="002455B3"/>
    <w:rsid w:val="00255460"/>
    <w:rsid w:val="002559EA"/>
    <w:rsid w:val="002614A1"/>
    <w:rsid w:val="002624C6"/>
    <w:rsid w:val="00266059"/>
    <w:rsid w:val="002671FB"/>
    <w:rsid w:val="0027495B"/>
    <w:rsid w:val="00274CBB"/>
    <w:rsid w:val="002869EB"/>
    <w:rsid w:val="00290DB2"/>
    <w:rsid w:val="002926BA"/>
    <w:rsid w:val="00292BCE"/>
    <w:rsid w:val="00292C64"/>
    <w:rsid w:val="00296584"/>
    <w:rsid w:val="002B00E3"/>
    <w:rsid w:val="002B01B7"/>
    <w:rsid w:val="002B0DC5"/>
    <w:rsid w:val="002B1F07"/>
    <w:rsid w:val="002B52FC"/>
    <w:rsid w:val="002C66C3"/>
    <w:rsid w:val="002D0BB6"/>
    <w:rsid w:val="002D37DA"/>
    <w:rsid w:val="002D4E1C"/>
    <w:rsid w:val="002D5523"/>
    <w:rsid w:val="002D5586"/>
    <w:rsid w:val="002D5686"/>
    <w:rsid w:val="002E1080"/>
    <w:rsid w:val="002E4EE0"/>
    <w:rsid w:val="002E513F"/>
    <w:rsid w:val="002E5777"/>
    <w:rsid w:val="002E68AC"/>
    <w:rsid w:val="002F15A1"/>
    <w:rsid w:val="002F1970"/>
    <w:rsid w:val="002F19C0"/>
    <w:rsid w:val="002F1E04"/>
    <w:rsid w:val="002F46F6"/>
    <w:rsid w:val="002F4CD8"/>
    <w:rsid w:val="002F6C97"/>
    <w:rsid w:val="002F742C"/>
    <w:rsid w:val="002F7B9A"/>
    <w:rsid w:val="00301357"/>
    <w:rsid w:val="00301AED"/>
    <w:rsid w:val="003057FD"/>
    <w:rsid w:val="00307576"/>
    <w:rsid w:val="00317965"/>
    <w:rsid w:val="003205F5"/>
    <w:rsid w:val="00327197"/>
    <w:rsid w:val="00330904"/>
    <w:rsid w:val="00337C85"/>
    <w:rsid w:val="00340734"/>
    <w:rsid w:val="003414F2"/>
    <w:rsid w:val="00344ACB"/>
    <w:rsid w:val="0034608E"/>
    <w:rsid w:val="00361C91"/>
    <w:rsid w:val="00365838"/>
    <w:rsid w:val="00377567"/>
    <w:rsid w:val="0038335A"/>
    <w:rsid w:val="00386490"/>
    <w:rsid w:val="00387820"/>
    <w:rsid w:val="00392CAB"/>
    <w:rsid w:val="0039459C"/>
    <w:rsid w:val="003A0DD1"/>
    <w:rsid w:val="003A3432"/>
    <w:rsid w:val="003B5FA9"/>
    <w:rsid w:val="003B6D1B"/>
    <w:rsid w:val="003C16D5"/>
    <w:rsid w:val="003C5D75"/>
    <w:rsid w:val="003D3E5D"/>
    <w:rsid w:val="003D4B9C"/>
    <w:rsid w:val="003E110A"/>
    <w:rsid w:val="003E25FC"/>
    <w:rsid w:val="003E609C"/>
    <w:rsid w:val="003E6990"/>
    <w:rsid w:val="00401143"/>
    <w:rsid w:val="00405322"/>
    <w:rsid w:val="0040555E"/>
    <w:rsid w:val="004060A8"/>
    <w:rsid w:val="00407663"/>
    <w:rsid w:val="004078B5"/>
    <w:rsid w:val="004116A3"/>
    <w:rsid w:val="00412101"/>
    <w:rsid w:val="00420338"/>
    <w:rsid w:val="0042295B"/>
    <w:rsid w:val="00423B1D"/>
    <w:rsid w:val="00426366"/>
    <w:rsid w:val="004269F6"/>
    <w:rsid w:val="00434126"/>
    <w:rsid w:val="00437C1B"/>
    <w:rsid w:val="00442B8D"/>
    <w:rsid w:val="0044397E"/>
    <w:rsid w:val="00452054"/>
    <w:rsid w:val="00452BDB"/>
    <w:rsid w:val="00457C92"/>
    <w:rsid w:val="0046415A"/>
    <w:rsid w:val="00476F94"/>
    <w:rsid w:val="004835C8"/>
    <w:rsid w:val="0048422E"/>
    <w:rsid w:val="004862E0"/>
    <w:rsid w:val="00486FEF"/>
    <w:rsid w:val="00491931"/>
    <w:rsid w:val="00494CE6"/>
    <w:rsid w:val="004952FA"/>
    <w:rsid w:val="0049788E"/>
    <w:rsid w:val="004A5378"/>
    <w:rsid w:val="004B08BF"/>
    <w:rsid w:val="004B0ED7"/>
    <w:rsid w:val="004C03E3"/>
    <w:rsid w:val="004C0A06"/>
    <w:rsid w:val="004C39AD"/>
    <w:rsid w:val="004C51D5"/>
    <w:rsid w:val="004C553E"/>
    <w:rsid w:val="004C5E85"/>
    <w:rsid w:val="004C78D9"/>
    <w:rsid w:val="004C7AF5"/>
    <w:rsid w:val="004D04E5"/>
    <w:rsid w:val="004D2BD8"/>
    <w:rsid w:val="004D715D"/>
    <w:rsid w:val="004D7CB7"/>
    <w:rsid w:val="004D7FB3"/>
    <w:rsid w:val="004E1C07"/>
    <w:rsid w:val="004E5B92"/>
    <w:rsid w:val="004F2814"/>
    <w:rsid w:val="004F4F77"/>
    <w:rsid w:val="004F7BC3"/>
    <w:rsid w:val="00503C8C"/>
    <w:rsid w:val="0051416E"/>
    <w:rsid w:val="00514D19"/>
    <w:rsid w:val="00517E9E"/>
    <w:rsid w:val="00526F74"/>
    <w:rsid w:val="005318A9"/>
    <w:rsid w:val="00534FDC"/>
    <w:rsid w:val="005371DA"/>
    <w:rsid w:val="00544545"/>
    <w:rsid w:val="00556993"/>
    <w:rsid w:val="005614BD"/>
    <w:rsid w:val="00563BA7"/>
    <w:rsid w:val="00572409"/>
    <w:rsid w:val="00580ED6"/>
    <w:rsid w:val="0058128E"/>
    <w:rsid w:val="00581BF3"/>
    <w:rsid w:val="00582715"/>
    <w:rsid w:val="0058277E"/>
    <w:rsid w:val="00590FF3"/>
    <w:rsid w:val="0059100D"/>
    <w:rsid w:val="005925EA"/>
    <w:rsid w:val="00593376"/>
    <w:rsid w:val="00595684"/>
    <w:rsid w:val="005A5693"/>
    <w:rsid w:val="005B05D4"/>
    <w:rsid w:val="005B622F"/>
    <w:rsid w:val="005B7194"/>
    <w:rsid w:val="005C3B8E"/>
    <w:rsid w:val="005D15D0"/>
    <w:rsid w:val="005D39CE"/>
    <w:rsid w:val="005E108F"/>
    <w:rsid w:val="005E461D"/>
    <w:rsid w:val="005E5A05"/>
    <w:rsid w:val="005E75F9"/>
    <w:rsid w:val="005E7E98"/>
    <w:rsid w:val="005F6FA6"/>
    <w:rsid w:val="005F7D1A"/>
    <w:rsid w:val="00600A02"/>
    <w:rsid w:val="0060360D"/>
    <w:rsid w:val="00604816"/>
    <w:rsid w:val="00607869"/>
    <w:rsid w:val="00610B77"/>
    <w:rsid w:val="00611D99"/>
    <w:rsid w:val="0061452E"/>
    <w:rsid w:val="00615701"/>
    <w:rsid w:val="006168F3"/>
    <w:rsid w:val="006229A0"/>
    <w:rsid w:val="00622ED1"/>
    <w:rsid w:val="00630AB1"/>
    <w:rsid w:val="006324EA"/>
    <w:rsid w:val="00633840"/>
    <w:rsid w:val="006364C1"/>
    <w:rsid w:val="006418CA"/>
    <w:rsid w:val="00641966"/>
    <w:rsid w:val="00641DDF"/>
    <w:rsid w:val="00643CCC"/>
    <w:rsid w:val="00655538"/>
    <w:rsid w:val="00661036"/>
    <w:rsid w:val="00662002"/>
    <w:rsid w:val="00675C3A"/>
    <w:rsid w:val="006773F7"/>
    <w:rsid w:val="00680902"/>
    <w:rsid w:val="00685CB7"/>
    <w:rsid w:val="006905FE"/>
    <w:rsid w:val="006A4384"/>
    <w:rsid w:val="006A60BB"/>
    <w:rsid w:val="006B0393"/>
    <w:rsid w:val="006B5673"/>
    <w:rsid w:val="006C0F9F"/>
    <w:rsid w:val="006C7282"/>
    <w:rsid w:val="006C7340"/>
    <w:rsid w:val="006E0A83"/>
    <w:rsid w:val="006E2E05"/>
    <w:rsid w:val="006E69A0"/>
    <w:rsid w:val="006F1163"/>
    <w:rsid w:val="0070070A"/>
    <w:rsid w:val="0070089E"/>
    <w:rsid w:val="00702AD7"/>
    <w:rsid w:val="00712731"/>
    <w:rsid w:val="007129F0"/>
    <w:rsid w:val="00713D1D"/>
    <w:rsid w:val="007155F7"/>
    <w:rsid w:val="00716858"/>
    <w:rsid w:val="0072200C"/>
    <w:rsid w:val="00722C2F"/>
    <w:rsid w:val="00724B43"/>
    <w:rsid w:val="00725D76"/>
    <w:rsid w:val="00733DAA"/>
    <w:rsid w:val="0073659D"/>
    <w:rsid w:val="007368F4"/>
    <w:rsid w:val="00736CC4"/>
    <w:rsid w:val="00740189"/>
    <w:rsid w:val="007405AB"/>
    <w:rsid w:val="007449CF"/>
    <w:rsid w:val="00745A6E"/>
    <w:rsid w:val="00746F62"/>
    <w:rsid w:val="00747EF8"/>
    <w:rsid w:val="007527AB"/>
    <w:rsid w:val="007605C0"/>
    <w:rsid w:val="0076060B"/>
    <w:rsid w:val="007617BC"/>
    <w:rsid w:val="00761C9A"/>
    <w:rsid w:val="00767AA3"/>
    <w:rsid w:val="00774822"/>
    <w:rsid w:val="0077522C"/>
    <w:rsid w:val="00777435"/>
    <w:rsid w:val="00777B07"/>
    <w:rsid w:val="00797095"/>
    <w:rsid w:val="007A36C2"/>
    <w:rsid w:val="007B55E4"/>
    <w:rsid w:val="007D197E"/>
    <w:rsid w:val="007D205C"/>
    <w:rsid w:val="007D529F"/>
    <w:rsid w:val="007E0C45"/>
    <w:rsid w:val="007E474D"/>
    <w:rsid w:val="007E65EC"/>
    <w:rsid w:val="007F48B6"/>
    <w:rsid w:val="00805A28"/>
    <w:rsid w:val="008062DE"/>
    <w:rsid w:val="00806E30"/>
    <w:rsid w:val="0080734F"/>
    <w:rsid w:val="00811083"/>
    <w:rsid w:val="008137A0"/>
    <w:rsid w:val="00814293"/>
    <w:rsid w:val="00820673"/>
    <w:rsid w:val="008231FA"/>
    <w:rsid w:val="00837159"/>
    <w:rsid w:val="00843992"/>
    <w:rsid w:val="00846EDC"/>
    <w:rsid w:val="00857124"/>
    <w:rsid w:val="00861B67"/>
    <w:rsid w:val="00862703"/>
    <w:rsid w:val="008702C9"/>
    <w:rsid w:val="00872CF6"/>
    <w:rsid w:val="0087670A"/>
    <w:rsid w:val="00880B9D"/>
    <w:rsid w:val="008873D0"/>
    <w:rsid w:val="008A22F2"/>
    <w:rsid w:val="008C0CC2"/>
    <w:rsid w:val="008C76F5"/>
    <w:rsid w:val="008C7708"/>
    <w:rsid w:val="008C79A7"/>
    <w:rsid w:val="008D0292"/>
    <w:rsid w:val="008D6C7D"/>
    <w:rsid w:val="008E1D3A"/>
    <w:rsid w:val="008E4682"/>
    <w:rsid w:val="008E478D"/>
    <w:rsid w:val="008E4874"/>
    <w:rsid w:val="008E6038"/>
    <w:rsid w:val="008F1345"/>
    <w:rsid w:val="008F3893"/>
    <w:rsid w:val="0090048C"/>
    <w:rsid w:val="00902D61"/>
    <w:rsid w:val="00906FF9"/>
    <w:rsid w:val="0090726D"/>
    <w:rsid w:val="009103DF"/>
    <w:rsid w:val="00913F9D"/>
    <w:rsid w:val="00914317"/>
    <w:rsid w:val="009161D2"/>
    <w:rsid w:val="009258C3"/>
    <w:rsid w:val="00925F3D"/>
    <w:rsid w:val="00931E9E"/>
    <w:rsid w:val="00934D01"/>
    <w:rsid w:val="00937D93"/>
    <w:rsid w:val="009412F7"/>
    <w:rsid w:val="0094516A"/>
    <w:rsid w:val="0094662F"/>
    <w:rsid w:val="0095000D"/>
    <w:rsid w:val="009502C1"/>
    <w:rsid w:val="00955C25"/>
    <w:rsid w:val="00962E91"/>
    <w:rsid w:val="00965998"/>
    <w:rsid w:val="0097097C"/>
    <w:rsid w:val="00972427"/>
    <w:rsid w:val="0097579E"/>
    <w:rsid w:val="00985BDD"/>
    <w:rsid w:val="00987BD1"/>
    <w:rsid w:val="00991B80"/>
    <w:rsid w:val="00992BEF"/>
    <w:rsid w:val="00994A79"/>
    <w:rsid w:val="009A0DEA"/>
    <w:rsid w:val="009A1348"/>
    <w:rsid w:val="009A3A58"/>
    <w:rsid w:val="009A4816"/>
    <w:rsid w:val="009A5B91"/>
    <w:rsid w:val="009B7957"/>
    <w:rsid w:val="009C2E99"/>
    <w:rsid w:val="009C31F2"/>
    <w:rsid w:val="009D0362"/>
    <w:rsid w:val="009D6CB6"/>
    <w:rsid w:val="009E2B38"/>
    <w:rsid w:val="009E7FFA"/>
    <w:rsid w:val="009F03F5"/>
    <w:rsid w:val="009F27C4"/>
    <w:rsid w:val="009F5F4C"/>
    <w:rsid w:val="009F74D5"/>
    <w:rsid w:val="00A05CE6"/>
    <w:rsid w:val="00A10A60"/>
    <w:rsid w:val="00A12E37"/>
    <w:rsid w:val="00A13004"/>
    <w:rsid w:val="00A14D3D"/>
    <w:rsid w:val="00A20CBC"/>
    <w:rsid w:val="00A235FB"/>
    <w:rsid w:val="00A24936"/>
    <w:rsid w:val="00A304C5"/>
    <w:rsid w:val="00A30EA2"/>
    <w:rsid w:val="00A37C9F"/>
    <w:rsid w:val="00A44A2B"/>
    <w:rsid w:val="00A576F0"/>
    <w:rsid w:val="00A616BC"/>
    <w:rsid w:val="00A71476"/>
    <w:rsid w:val="00A804EF"/>
    <w:rsid w:val="00A823C9"/>
    <w:rsid w:val="00A85CAC"/>
    <w:rsid w:val="00A87B47"/>
    <w:rsid w:val="00A94F93"/>
    <w:rsid w:val="00A954CF"/>
    <w:rsid w:val="00A963EA"/>
    <w:rsid w:val="00AA0DC5"/>
    <w:rsid w:val="00AA2A74"/>
    <w:rsid w:val="00AA5063"/>
    <w:rsid w:val="00AA666D"/>
    <w:rsid w:val="00AA7F92"/>
    <w:rsid w:val="00AB2624"/>
    <w:rsid w:val="00AB2828"/>
    <w:rsid w:val="00AB2B40"/>
    <w:rsid w:val="00AB3D4B"/>
    <w:rsid w:val="00AB48FA"/>
    <w:rsid w:val="00AB5675"/>
    <w:rsid w:val="00AC02F9"/>
    <w:rsid w:val="00AC0EF9"/>
    <w:rsid w:val="00AC412D"/>
    <w:rsid w:val="00AC4D1C"/>
    <w:rsid w:val="00AC5248"/>
    <w:rsid w:val="00AC72C9"/>
    <w:rsid w:val="00AC783B"/>
    <w:rsid w:val="00AD06DA"/>
    <w:rsid w:val="00AD3BB0"/>
    <w:rsid w:val="00AD5349"/>
    <w:rsid w:val="00AE0CC0"/>
    <w:rsid w:val="00AE6A27"/>
    <w:rsid w:val="00AF02B5"/>
    <w:rsid w:val="00AF02D7"/>
    <w:rsid w:val="00AF0769"/>
    <w:rsid w:val="00AF0B1D"/>
    <w:rsid w:val="00AF35D7"/>
    <w:rsid w:val="00AF6826"/>
    <w:rsid w:val="00B17D25"/>
    <w:rsid w:val="00B303B0"/>
    <w:rsid w:val="00B35850"/>
    <w:rsid w:val="00B367B4"/>
    <w:rsid w:val="00B466C8"/>
    <w:rsid w:val="00B5156C"/>
    <w:rsid w:val="00B56A8A"/>
    <w:rsid w:val="00B601F8"/>
    <w:rsid w:val="00B70408"/>
    <w:rsid w:val="00B75DDE"/>
    <w:rsid w:val="00B7719E"/>
    <w:rsid w:val="00B800EC"/>
    <w:rsid w:val="00B81A82"/>
    <w:rsid w:val="00B95CE6"/>
    <w:rsid w:val="00BB06A7"/>
    <w:rsid w:val="00BB1A5F"/>
    <w:rsid w:val="00BB1B15"/>
    <w:rsid w:val="00BB1D2E"/>
    <w:rsid w:val="00BB240B"/>
    <w:rsid w:val="00BB3FD1"/>
    <w:rsid w:val="00BB43DD"/>
    <w:rsid w:val="00BB4431"/>
    <w:rsid w:val="00BC37AB"/>
    <w:rsid w:val="00BC5824"/>
    <w:rsid w:val="00BC5EB0"/>
    <w:rsid w:val="00BC6F81"/>
    <w:rsid w:val="00BC73E0"/>
    <w:rsid w:val="00BE235C"/>
    <w:rsid w:val="00BE33D2"/>
    <w:rsid w:val="00BE3E05"/>
    <w:rsid w:val="00BE77BC"/>
    <w:rsid w:val="00BF0DCB"/>
    <w:rsid w:val="00BF10D4"/>
    <w:rsid w:val="00BF46C1"/>
    <w:rsid w:val="00C03501"/>
    <w:rsid w:val="00C06FFE"/>
    <w:rsid w:val="00C11DD9"/>
    <w:rsid w:val="00C13B00"/>
    <w:rsid w:val="00C14AD8"/>
    <w:rsid w:val="00C15AC7"/>
    <w:rsid w:val="00C206AF"/>
    <w:rsid w:val="00C263EE"/>
    <w:rsid w:val="00C27FB1"/>
    <w:rsid w:val="00C30547"/>
    <w:rsid w:val="00C33BA6"/>
    <w:rsid w:val="00C36A5A"/>
    <w:rsid w:val="00C5215B"/>
    <w:rsid w:val="00C52B33"/>
    <w:rsid w:val="00C53248"/>
    <w:rsid w:val="00C53AEB"/>
    <w:rsid w:val="00C62EBF"/>
    <w:rsid w:val="00C645B6"/>
    <w:rsid w:val="00C64B37"/>
    <w:rsid w:val="00C662F9"/>
    <w:rsid w:val="00C70E2B"/>
    <w:rsid w:val="00C7143F"/>
    <w:rsid w:val="00C84875"/>
    <w:rsid w:val="00C92A81"/>
    <w:rsid w:val="00C92CF1"/>
    <w:rsid w:val="00C961BD"/>
    <w:rsid w:val="00CA0311"/>
    <w:rsid w:val="00CA198F"/>
    <w:rsid w:val="00CA5EFD"/>
    <w:rsid w:val="00CB03E8"/>
    <w:rsid w:val="00CB198C"/>
    <w:rsid w:val="00CB1E5F"/>
    <w:rsid w:val="00CB2F92"/>
    <w:rsid w:val="00CC182B"/>
    <w:rsid w:val="00CC2901"/>
    <w:rsid w:val="00CC44DF"/>
    <w:rsid w:val="00CC4681"/>
    <w:rsid w:val="00CC4BF4"/>
    <w:rsid w:val="00CD174C"/>
    <w:rsid w:val="00CD25A9"/>
    <w:rsid w:val="00CD4DC7"/>
    <w:rsid w:val="00CD7603"/>
    <w:rsid w:val="00CE472D"/>
    <w:rsid w:val="00CE562C"/>
    <w:rsid w:val="00CF1F81"/>
    <w:rsid w:val="00CF619C"/>
    <w:rsid w:val="00D022A1"/>
    <w:rsid w:val="00D05F42"/>
    <w:rsid w:val="00D27126"/>
    <w:rsid w:val="00D3243A"/>
    <w:rsid w:val="00D33094"/>
    <w:rsid w:val="00D36322"/>
    <w:rsid w:val="00D377B0"/>
    <w:rsid w:val="00D4067B"/>
    <w:rsid w:val="00D41D77"/>
    <w:rsid w:val="00D42240"/>
    <w:rsid w:val="00D42399"/>
    <w:rsid w:val="00D45101"/>
    <w:rsid w:val="00D4745E"/>
    <w:rsid w:val="00D60614"/>
    <w:rsid w:val="00D61B6D"/>
    <w:rsid w:val="00D61D6A"/>
    <w:rsid w:val="00D62455"/>
    <w:rsid w:val="00D63D1D"/>
    <w:rsid w:val="00D6710B"/>
    <w:rsid w:val="00D67DAB"/>
    <w:rsid w:val="00D74ECF"/>
    <w:rsid w:val="00D85CFE"/>
    <w:rsid w:val="00D86D48"/>
    <w:rsid w:val="00D87D48"/>
    <w:rsid w:val="00D90BAA"/>
    <w:rsid w:val="00D90BE1"/>
    <w:rsid w:val="00DA7B3C"/>
    <w:rsid w:val="00DB104B"/>
    <w:rsid w:val="00DB23C8"/>
    <w:rsid w:val="00DB4C1B"/>
    <w:rsid w:val="00DB67EB"/>
    <w:rsid w:val="00DC1BF7"/>
    <w:rsid w:val="00DC3ECC"/>
    <w:rsid w:val="00DC42FF"/>
    <w:rsid w:val="00DC7A56"/>
    <w:rsid w:val="00DF0EF6"/>
    <w:rsid w:val="00DF2FBD"/>
    <w:rsid w:val="00DF4A7B"/>
    <w:rsid w:val="00DF64F9"/>
    <w:rsid w:val="00DF67CA"/>
    <w:rsid w:val="00DF7B98"/>
    <w:rsid w:val="00E03193"/>
    <w:rsid w:val="00E035CB"/>
    <w:rsid w:val="00E04E22"/>
    <w:rsid w:val="00E15727"/>
    <w:rsid w:val="00E21C8B"/>
    <w:rsid w:val="00E25A0C"/>
    <w:rsid w:val="00E30859"/>
    <w:rsid w:val="00E309A8"/>
    <w:rsid w:val="00E3308A"/>
    <w:rsid w:val="00E429BB"/>
    <w:rsid w:val="00E44290"/>
    <w:rsid w:val="00E50993"/>
    <w:rsid w:val="00E6052D"/>
    <w:rsid w:val="00E632CF"/>
    <w:rsid w:val="00E678FD"/>
    <w:rsid w:val="00E70555"/>
    <w:rsid w:val="00E84415"/>
    <w:rsid w:val="00E84F12"/>
    <w:rsid w:val="00E85949"/>
    <w:rsid w:val="00E93C7F"/>
    <w:rsid w:val="00EB38D4"/>
    <w:rsid w:val="00EC142B"/>
    <w:rsid w:val="00EC2645"/>
    <w:rsid w:val="00EC64F2"/>
    <w:rsid w:val="00EC6BFC"/>
    <w:rsid w:val="00EC6D33"/>
    <w:rsid w:val="00ED5075"/>
    <w:rsid w:val="00EE107A"/>
    <w:rsid w:val="00EE43B1"/>
    <w:rsid w:val="00EE50C0"/>
    <w:rsid w:val="00EE6748"/>
    <w:rsid w:val="00EF1598"/>
    <w:rsid w:val="00EF28AF"/>
    <w:rsid w:val="00EF7ECD"/>
    <w:rsid w:val="00F047D7"/>
    <w:rsid w:val="00F10530"/>
    <w:rsid w:val="00F11CD5"/>
    <w:rsid w:val="00F11DF5"/>
    <w:rsid w:val="00F120CE"/>
    <w:rsid w:val="00F138D4"/>
    <w:rsid w:val="00F14C04"/>
    <w:rsid w:val="00F228C3"/>
    <w:rsid w:val="00F2451E"/>
    <w:rsid w:val="00F37A8D"/>
    <w:rsid w:val="00F40B8F"/>
    <w:rsid w:val="00F42A4E"/>
    <w:rsid w:val="00F42E70"/>
    <w:rsid w:val="00F431B2"/>
    <w:rsid w:val="00F43CB3"/>
    <w:rsid w:val="00F5120B"/>
    <w:rsid w:val="00F54C9A"/>
    <w:rsid w:val="00F662A9"/>
    <w:rsid w:val="00F67F41"/>
    <w:rsid w:val="00F7440D"/>
    <w:rsid w:val="00F80214"/>
    <w:rsid w:val="00F87737"/>
    <w:rsid w:val="00F90853"/>
    <w:rsid w:val="00F91053"/>
    <w:rsid w:val="00FA0D67"/>
    <w:rsid w:val="00FA271B"/>
    <w:rsid w:val="00FA3E07"/>
    <w:rsid w:val="00FA7702"/>
    <w:rsid w:val="00FB400C"/>
    <w:rsid w:val="00FB6241"/>
    <w:rsid w:val="00FC2D9B"/>
    <w:rsid w:val="00FC546D"/>
    <w:rsid w:val="00FC5C70"/>
    <w:rsid w:val="00FC7850"/>
    <w:rsid w:val="00FD049D"/>
    <w:rsid w:val="00FD1ECD"/>
    <w:rsid w:val="00FD1F81"/>
    <w:rsid w:val="00FD37AE"/>
    <w:rsid w:val="00FD5AD2"/>
    <w:rsid w:val="00FE1B8D"/>
    <w:rsid w:val="00FE368F"/>
    <w:rsid w:val="00FE4E54"/>
    <w:rsid w:val="00FE5BAB"/>
    <w:rsid w:val="00FE6457"/>
    <w:rsid w:val="00FE7CD0"/>
    <w:rsid w:val="00FF3C87"/>
    <w:rsid w:val="03630936"/>
    <w:rsid w:val="0B897B2D"/>
    <w:rsid w:val="0F501135"/>
    <w:rsid w:val="11755CB6"/>
    <w:rsid w:val="1844012A"/>
    <w:rsid w:val="1C5A5F9F"/>
    <w:rsid w:val="1D0F598C"/>
    <w:rsid w:val="1F057F2D"/>
    <w:rsid w:val="24827348"/>
    <w:rsid w:val="275814FC"/>
    <w:rsid w:val="282D29EB"/>
    <w:rsid w:val="2CDD013D"/>
    <w:rsid w:val="2D734326"/>
    <w:rsid w:val="37C37093"/>
    <w:rsid w:val="387243E8"/>
    <w:rsid w:val="3A9F1446"/>
    <w:rsid w:val="4254147D"/>
    <w:rsid w:val="473A2575"/>
    <w:rsid w:val="49301412"/>
    <w:rsid w:val="4E781034"/>
    <w:rsid w:val="52097825"/>
    <w:rsid w:val="57677FC8"/>
    <w:rsid w:val="5C38658A"/>
    <w:rsid w:val="60903465"/>
    <w:rsid w:val="64F2039E"/>
    <w:rsid w:val="67074649"/>
    <w:rsid w:val="6CF07C00"/>
    <w:rsid w:val="72DF36D1"/>
    <w:rsid w:val="75CF6D8C"/>
    <w:rsid w:val="7DB87781"/>
    <w:rsid w:val="7EF21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unhideWhenUsed/>
    <w:qFormat/>
    <w:uiPriority w:val="99"/>
    <w:pPr>
      <w:jc w:val="left"/>
    </w:pPr>
  </w:style>
  <w:style w:type="paragraph" w:styleId="3">
    <w:name w:val="Balloon Text"/>
    <w:basedOn w:val="1"/>
    <w:link w:val="12"/>
    <w:qFormat/>
    <w:uiPriority w:val="0"/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paragraph" w:styleId="6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uiPriority w:val="99"/>
    <w:rPr>
      <w:color w:val="0000FF"/>
      <w:u w:val="single"/>
    </w:rPr>
  </w:style>
  <w:style w:type="character" w:styleId="11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2">
    <w:name w:val="批注框文本 Char"/>
    <w:link w:val="3"/>
    <w:qFormat/>
    <w:uiPriority w:val="0"/>
    <w:rPr>
      <w:sz w:val="18"/>
      <w:szCs w:val="18"/>
    </w:rPr>
  </w:style>
  <w:style w:type="character" w:customStyle="1" w:styleId="13">
    <w:name w:val="页脚 Char"/>
    <w:link w:val="4"/>
    <w:qFormat/>
    <w:uiPriority w:val="0"/>
    <w:rPr>
      <w:sz w:val="18"/>
      <w:szCs w:val="18"/>
    </w:rPr>
  </w:style>
  <w:style w:type="character" w:customStyle="1" w:styleId="14">
    <w:name w:val="页眉 Char"/>
    <w:link w:val="5"/>
    <w:qFormat/>
    <w:uiPriority w:val="0"/>
    <w:rPr>
      <w:sz w:val="18"/>
      <w:szCs w:val="18"/>
    </w:r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列出段落2"/>
    <w:basedOn w:val="1"/>
    <w:qFormat/>
    <w:uiPriority w:val="0"/>
    <w:pPr>
      <w:ind w:firstLine="420" w:firstLineChars="200"/>
    </w:pPr>
  </w:style>
  <w:style w:type="character" w:customStyle="1" w:styleId="18">
    <w:name w:val="批注文字 Char"/>
    <w:basedOn w:val="8"/>
    <w:link w:val="2"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19">
    <w:name w:val="批注主题 Char"/>
    <w:basedOn w:val="18"/>
    <w:link w:val="6"/>
    <w:semiHidden/>
    <w:qFormat/>
    <w:uiPriority w:val="99"/>
    <w:rPr>
      <w:rFonts w:ascii="Calibri" w:hAnsi="Calibri"/>
      <w:b/>
      <w:bCs/>
      <w:kern w:val="2"/>
      <w:sz w:val="21"/>
      <w:szCs w:val="22"/>
    </w:rPr>
  </w:style>
  <w:style w:type="paragraph" w:customStyle="1" w:styleId="20">
    <w:name w:val="Revision"/>
    <w:hidden/>
    <w:semiHidden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495F0-6481-479C-BBFA-4D4FD17F7E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 Inc.</Company>
  <Pages>2</Pages>
  <Words>666</Words>
  <Characters>780</Characters>
  <Lines>6</Lines>
  <Paragraphs>1</Paragraphs>
  <TotalTime>97</TotalTime>
  <ScaleCrop>false</ScaleCrop>
  <LinksUpToDate>false</LinksUpToDate>
  <CharactersWithSpaces>813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2025-06-24T05:36:00Z</dcterms:created>
  <dc:creator>王磊</dc:creator>
  <cp:lastModifiedBy>迹点悠悠</cp:lastModifiedBy>
  <dcterms:modified xsi:type="dcterms:W3CDTF">2025-06-24T10:09:36Z</dcterms:modified>
  <dc:title>yw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FBEC799D041C47E0A0C9C934AC22EF2F_13</vt:lpwstr>
  </property>
  <property fmtid="{D5CDD505-2E9C-101B-9397-08002B2CF9AE}" pid="4" name="KSOTemplateDocerSaveRecord">
    <vt:lpwstr>eyJoZGlkIjoiNmEzMThjMzlkZjNkZWExMGU4YTNjMDBmMzU3NzFkOTAiLCJ1c2VySWQiOiI1Njg1MjU3NDkifQ==</vt:lpwstr>
  </property>
</Properties>
</file>