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240"/>
        <w:jc w:val="center"/>
        <w:rPr>
          <w:rFonts w:ascii="仿宋" w:hAnsi="仿宋" w:eastAsia="仿宋" w:cs="仿宋"/>
          <w:i w:val="0"/>
          <w:iCs w:val="0"/>
          <w:caps w:val="0"/>
          <w:color w:val="000000"/>
          <w:spacing w:val="0"/>
          <w:sz w:val="52"/>
          <w:szCs w:val="52"/>
        </w:rPr>
      </w:pPr>
      <w:r>
        <w:rPr>
          <w:rFonts w:ascii="仿宋" w:hAnsi="仿宋" w:eastAsia="仿宋" w:cs="仿宋"/>
          <w:i w:val="0"/>
          <w:iCs w:val="0"/>
          <w:caps w:val="0"/>
          <w:color w:val="000000"/>
          <w:spacing w:val="0"/>
          <w:sz w:val="52"/>
          <w:szCs w:val="52"/>
        </w:rPr>
        <w:t>临港实验室临港园区项目</w:t>
      </w:r>
    </w:p>
    <w:p>
      <w:pPr>
        <w:pStyle w:val="6"/>
        <w:ind w:firstLine="240"/>
        <w:jc w:val="center"/>
        <w:rPr>
          <w:sz w:val="52"/>
          <w:szCs w:val="52"/>
          <w:lang w:val="en-US" w:bidi="ar-SA"/>
        </w:rPr>
      </w:pPr>
      <w:r>
        <w:rPr>
          <w:rFonts w:ascii="仿宋" w:hAnsi="仿宋" w:eastAsia="仿宋" w:cs="仿宋"/>
          <w:i w:val="0"/>
          <w:iCs w:val="0"/>
          <w:caps w:val="0"/>
          <w:color w:val="000000"/>
          <w:spacing w:val="0"/>
          <w:sz w:val="52"/>
          <w:szCs w:val="52"/>
        </w:rPr>
        <w:t>检测服务（不含桩基检测）</w:t>
      </w:r>
    </w:p>
    <w:p>
      <w:pPr>
        <w:pStyle w:val="6"/>
        <w:ind w:firstLine="240"/>
        <w:rPr>
          <w:lang w:val="en-US" w:bidi="ar-SA"/>
        </w:rPr>
      </w:pPr>
    </w:p>
    <w:p>
      <w:pPr>
        <w:pStyle w:val="6"/>
        <w:ind w:firstLine="240"/>
      </w:pPr>
    </w:p>
    <w:p>
      <w:pPr>
        <w:pStyle w:val="5"/>
        <w:ind w:firstLine="480"/>
      </w:pPr>
    </w:p>
    <w:p>
      <w:pPr>
        <w:pStyle w:val="5"/>
        <w:ind w:firstLine="480"/>
        <w:jc w:val="center"/>
        <w:rPr>
          <w:rFonts w:hint="eastAsia"/>
          <w:b/>
          <w:bCs/>
          <w:sz w:val="56"/>
          <w:szCs w:val="56"/>
        </w:rPr>
      </w:pPr>
    </w:p>
    <w:p>
      <w:pPr>
        <w:pStyle w:val="5"/>
        <w:ind w:firstLine="480"/>
        <w:jc w:val="center"/>
        <w:rPr>
          <w:rFonts w:hint="eastAsia"/>
          <w:b/>
          <w:bCs/>
          <w:sz w:val="56"/>
          <w:szCs w:val="56"/>
        </w:rPr>
      </w:pPr>
    </w:p>
    <w:p>
      <w:pPr>
        <w:pStyle w:val="5"/>
        <w:ind w:firstLine="480"/>
        <w:jc w:val="center"/>
        <w:rPr>
          <w:b/>
          <w:bCs/>
          <w:sz w:val="56"/>
          <w:szCs w:val="56"/>
        </w:rPr>
      </w:pPr>
      <w:r>
        <w:rPr>
          <w:rFonts w:hint="eastAsia"/>
          <w:b/>
          <w:bCs/>
          <w:sz w:val="56"/>
          <w:szCs w:val="56"/>
        </w:rPr>
        <w:t>招</w:t>
      </w:r>
    </w:p>
    <w:p>
      <w:pPr>
        <w:pStyle w:val="5"/>
        <w:ind w:firstLine="480"/>
        <w:jc w:val="center"/>
        <w:rPr>
          <w:b/>
          <w:bCs/>
          <w:sz w:val="56"/>
          <w:szCs w:val="56"/>
        </w:rPr>
      </w:pPr>
      <w:r>
        <w:rPr>
          <w:rFonts w:hint="eastAsia"/>
          <w:b/>
          <w:bCs/>
          <w:sz w:val="56"/>
          <w:szCs w:val="56"/>
        </w:rPr>
        <w:t>标</w:t>
      </w:r>
    </w:p>
    <w:p>
      <w:pPr>
        <w:pStyle w:val="5"/>
        <w:ind w:firstLine="480"/>
        <w:jc w:val="center"/>
        <w:rPr>
          <w:b/>
          <w:bCs/>
          <w:sz w:val="56"/>
          <w:szCs w:val="56"/>
        </w:rPr>
      </w:pPr>
      <w:r>
        <w:rPr>
          <w:rFonts w:hint="eastAsia"/>
          <w:b/>
          <w:bCs/>
          <w:sz w:val="56"/>
          <w:szCs w:val="56"/>
        </w:rPr>
        <w:t>需</w:t>
      </w:r>
    </w:p>
    <w:p>
      <w:pPr>
        <w:pStyle w:val="5"/>
        <w:ind w:firstLine="480"/>
        <w:jc w:val="center"/>
        <w:rPr>
          <w:b/>
          <w:bCs/>
          <w:sz w:val="56"/>
          <w:szCs w:val="56"/>
        </w:rPr>
      </w:pPr>
      <w:r>
        <w:rPr>
          <w:rFonts w:hint="eastAsia"/>
          <w:b/>
          <w:bCs/>
          <w:sz w:val="56"/>
          <w:szCs w:val="56"/>
        </w:rPr>
        <w:t>求</w:t>
      </w:r>
    </w:p>
    <w:p>
      <w:pPr>
        <w:spacing w:line="600" w:lineRule="auto"/>
        <w:ind w:firstLine="0" w:firstLineChars="0"/>
        <w:jc w:val="cente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lang w:val="en-US" w:bidi="ar-SA"/>
        </w:rPr>
      </w:pPr>
    </w:p>
    <w:p>
      <w:pPr>
        <w:pStyle w:val="6"/>
        <w:ind w:firstLine="240"/>
        <w:rPr>
          <w:b/>
          <w:bCs/>
          <w:sz w:val="56"/>
          <w:szCs w:val="56"/>
        </w:rPr>
      </w:pPr>
    </w:p>
    <w:p>
      <w:pPr>
        <w:ind w:firstLine="480"/>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项目名称：</w:t>
      </w:r>
      <w:r>
        <w:rPr>
          <w:rFonts w:hint="eastAsia" w:cs="仿宋" w:asciiTheme="minorEastAsia" w:hAnsiTheme="minorEastAsia" w:eastAsiaTheme="minorEastAsia"/>
          <w:spacing w:val="-7"/>
          <w:sz w:val="28"/>
          <w:szCs w:val="28"/>
          <w:lang w:eastAsia="zh-CN"/>
        </w:rPr>
        <w:t>临港实验室临港园区项目检测服务（不含桩基检测）</w:t>
      </w:r>
    </w:p>
    <w:p>
      <w:pPr>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采购单位：</w:t>
      </w:r>
      <w:r>
        <w:rPr>
          <w:rFonts w:cs="仿宋" w:asciiTheme="minorEastAsia" w:hAnsiTheme="minorEastAsia" w:eastAsiaTheme="minorEastAsia"/>
          <w:spacing w:val="-2"/>
          <w:sz w:val="28"/>
          <w:szCs w:val="28"/>
        </w:rPr>
        <w:t>上海创新药物研发中心</w:t>
      </w:r>
    </w:p>
    <w:p>
      <w:pPr>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br w:type="page"/>
      </w:r>
    </w:p>
    <w:p>
      <w:pPr>
        <w:pStyle w:val="2"/>
        <w:spacing w:line="360" w:lineRule="auto"/>
        <w:rPr>
          <w:rFonts w:ascii="宋体" w:hAnsi="宋体"/>
          <w:color w:val="auto"/>
          <w:highlight w:val="none"/>
        </w:rPr>
      </w:pPr>
      <w:r>
        <w:rPr>
          <w:rFonts w:hint="eastAsia" w:ascii="宋体" w:hAnsi="宋体"/>
          <w:color w:val="auto"/>
          <w:highlight w:val="none"/>
        </w:rPr>
        <w:t>项目背景</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2022年 12月 ,市发展改革委以沪发改高技〔2022〕171号文批复临港实验室临港园区项目建议书,批复项目建设内容主要为:科研用房及科研辅助用房、公用设施、行政及生活服务用房等。</w:t>
      </w:r>
    </w:p>
    <w:p>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新建总建筑面积161377.52平方米(地上建筑面积102327.8平方米，地下建筑面59049.72平方米，其中民防建筑面积13627.87平方米),包括：各研究室实验及辅助用房 56103平方米、科研办公用房11600平方米、实验动物用房15996 平方米、计算机房972平方米、学生宿舍14366平方米、办公及生活服务其他用房7080平方米、地下车库及公用设施用房34596.52平方米，另预留用房20664平方米。项目总投资按199436.86万元控制（不含土地费用，土地费用由临港新片区管委会承担），项目建设资金由市级建设财力安排。</w:t>
      </w:r>
    </w:p>
    <w:p>
      <w:pPr>
        <w:pStyle w:val="2"/>
        <w:spacing w:line="360" w:lineRule="auto"/>
        <w:rPr>
          <w:rFonts w:ascii="宋体" w:hAnsi="宋体"/>
          <w:color w:val="auto"/>
          <w:highlight w:val="none"/>
        </w:rPr>
      </w:pPr>
      <w:r>
        <w:rPr>
          <w:rFonts w:hint="eastAsia" w:ascii="宋体" w:hAnsi="宋体"/>
          <w:color w:val="auto"/>
          <w:highlight w:val="none"/>
        </w:rPr>
        <w:t>建设依据</w:t>
      </w:r>
    </w:p>
    <w:p>
      <w:pPr>
        <w:numPr>
          <w:ilvl w:val="-1"/>
          <w:numId w:val="0"/>
        </w:numPr>
        <w:spacing w:before="117" w:line="360" w:lineRule="auto"/>
        <w:ind w:left="0"/>
        <w:rPr>
          <w:rFonts w:ascii="宋体" w:hAnsi="宋体"/>
          <w:color w:val="auto"/>
          <w:highlight w:val="none"/>
          <w:lang w:eastAsia="zh-CN"/>
        </w:rPr>
      </w:pPr>
      <w:r>
        <w:rPr>
          <w:rFonts w:hint="eastAsia" w:ascii="微软雅黑" w:hAnsi="微软雅黑" w:eastAsia="微软雅黑" w:cs="微软雅黑"/>
          <w:strike w:val="0"/>
          <w:color w:val="auto"/>
          <w:highlight w:val="none"/>
          <w:lang w:eastAsia="zh-CN"/>
        </w:rPr>
        <w:t>●</w:t>
      </w:r>
      <w:r>
        <w:rPr>
          <w:rFonts w:hint="eastAsia" w:ascii="宋体" w:hAnsi="宋体" w:eastAsia="Arial" w:cs="Arial"/>
          <w:b w:val="0"/>
          <w:bCs w:val="0"/>
          <w:color w:val="auto"/>
          <w:spacing w:val="0"/>
          <w:position w:val="0"/>
          <w:sz w:val="21"/>
          <w:szCs w:val="21"/>
          <w:highlight w:val="none"/>
          <w:lang w:eastAsia="zh-CN"/>
        </w:rPr>
        <w:t>上海市发展改革委关于临港实验室临港园区项目可行性</w:t>
      </w:r>
      <w:r>
        <w:rPr>
          <w:rFonts w:hint="eastAsia" w:ascii="宋体" w:hAnsi="宋体" w:eastAsia="Arial" w:cs="Arial"/>
          <w:b w:val="0"/>
          <w:bCs w:val="0"/>
          <w:color w:val="auto"/>
          <w:spacing w:val="0"/>
          <w:position w:val="0"/>
          <w:sz w:val="21"/>
          <w:szCs w:val="21"/>
          <w:highlight w:val="none"/>
          <w:lang w:val="en-US" w:eastAsia="zh-CN"/>
        </w:rPr>
        <w:t>研究报告（初步设计深度）的批复</w:t>
      </w:r>
      <w:r>
        <w:rPr>
          <w:rFonts w:hint="eastAsia" w:ascii="宋体" w:hAnsi="宋体" w:eastAsia="Arial" w:cs="Arial"/>
          <w:color w:val="auto"/>
          <w:spacing w:val="0"/>
          <w:sz w:val="21"/>
          <w:szCs w:val="21"/>
          <w:highlight w:val="none"/>
          <w:lang w:eastAsia="zh-CN"/>
        </w:rPr>
        <w:t>沪发改投〔2023〕67号</w:t>
      </w:r>
    </w:p>
    <w:p>
      <w:pPr>
        <w:keepNext w:val="0"/>
        <w:keepLines w:val="0"/>
        <w:widowControl/>
        <w:suppressLineNumbers w:val="0"/>
        <w:spacing w:line="360" w:lineRule="auto"/>
        <w:jc w:val="left"/>
        <w:rPr>
          <w:rFonts w:hint="eastAsia" w:ascii="宋体" w:hAnsi="宋体"/>
          <w:color w:val="auto"/>
          <w:highlight w:val="none"/>
          <w:lang w:eastAsia="zh-CN"/>
        </w:rPr>
      </w:pPr>
      <w:r>
        <w:rPr>
          <w:rFonts w:hint="eastAsia" w:ascii="微软雅黑" w:hAnsi="微软雅黑" w:eastAsia="微软雅黑" w:cs="微软雅黑"/>
          <w:strike w:val="0"/>
          <w:color w:val="auto"/>
          <w:highlight w:val="none"/>
          <w:lang w:eastAsia="zh-CN"/>
        </w:rPr>
        <w:t>●</w:t>
      </w:r>
      <w:r>
        <w:rPr>
          <w:rFonts w:hint="eastAsia" w:ascii="宋体" w:hAnsi="宋体" w:eastAsia="Arial" w:cs="Arial"/>
          <w:snapToGrid w:val="0"/>
          <w:color w:val="auto"/>
          <w:kern w:val="0"/>
          <w:sz w:val="21"/>
          <w:szCs w:val="21"/>
          <w:highlight w:val="none"/>
          <w:lang w:val="en-US" w:eastAsia="zh-CN" w:bidi="ar"/>
        </w:rPr>
        <w:t>关于核发临港实验室临港园区《建设工程规划许可证》的决定沪自贸临港规划资源许建〔2023〕281 号</w:t>
      </w:r>
    </w:p>
    <w:p>
      <w:pPr>
        <w:pStyle w:val="2"/>
        <w:spacing w:line="360" w:lineRule="auto"/>
        <w:ind w:left="0"/>
        <w:rPr>
          <w:rFonts w:ascii="宋体" w:hAnsi="宋体"/>
          <w:color w:val="auto"/>
          <w:highlight w:val="none"/>
        </w:rPr>
      </w:pPr>
      <w:r>
        <w:rPr>
          <w:rFonts w:hint="eastAsia" w:ascii="宋体" w:hAnsi="宋体"/>
          <w:color w:val="auto"/>
          <w:highlight w:val="none"/>
        </w:rPr>
        <w:t>建设目标</w:t>
      </w:r>
    </w:p>
    <w:p>
      <w:pPr>
        <w:spacing w:line="360" w:lineRule="auto"/>
        <w:ind w:firstLine="210" w:firstLineChars="100"/>
        <w:rPr>
          <w:rFonts w:ascii="宋体" w:hAnsi="宋体"/>
          <w:color w:val="auto"/>
          <w:highlight w:val="none"/>
          <w:lang w:eastAsia="zh-CN"/>
        </w:rPr>
      </w:pPr>
      <w:r>
        <w:rPr>
          <w:rFonts w:hint="eastAsia" w:ascii="宋体" w:hAnsi="宋体"/>
          <w:color w:val="auto"/>
          <w:highlight w:val="none"/>
          <w:lang w:eastAsia="zh-CN"/>
        </w:rPr>
        <w:t>项目主要建设内容包括</w:t>
      </w:r>
      <w:r>
        <w:rPr>
          <w:rFonts w:hint="eastAsia" w:ascii="宋体" w:hAnsi="宋体" w:eastAsia="宋体" w:cs="宋体"/>
          <w:color w:val="auto"/>
          <w:sz w:val="21"/>
          <w:szCs w:val="21"/>
          <w:highlight w:val="none"/>
          <w:lang w:eastAsia="zh-CN"/>
        </w:rPr>
        <w:t>科研用房及科研辅助用房、公用设施、行政及生活服务用房等。</w:t>
      </w:r>
    </w:p>
    <w:p>
      <w:pPr>
        <w:pStyle w:val="2"/>
        <w:spacing w:line="360" w:lineRule="auto"/>
        <w:rPr>
          <w:rFonts w:ascii="宋体" w:hAnsi="宋体"/>
          <w:color w:val="auto"/>
          <w:highlight w:val="none"/>
        </w:rPr>
      </w:pPr>
      <w:r>
        <w:rPr>
          <w:rFonts w:hint="eastAsia" w:ascii="宋体" w:hAnsi="宋体"/>
          <w:color w:val="auto"/>
          <w:highlight w:val="none"/>
        </w:rPr>
        <w:t>工作内容</w:t>
      </w:r>
    </w:p>
    <w:p>
      <w:pPr>
        <w:spacing w:line="360" w:lineRule="auto"/>
        <w:ind w:firstLine="420" w:firstLineChars="200"/>
        <w:rPr>
          <w:rFonts w:ascii="宋体" w:hAnsi="宋体" w:eastAsia="宋体" w:cstheme="minorBidi"/>
          <w:color w:val="auto"/>
          <w:highlight w:val="none"/>
          <w:lang w:eastAsia="zh-CN"/>
        </w:rPr>
      </w:pPr>
      <w:r>
        <w:rPr>
          <w:rFonts w:ascii="宋体" w:hAnsi="宋体" w:eastAsia="宋体" w:cstheme="minorBidi"/>
          <w:color w:val="auto"/>
          <w:highlight w:val="none"/>
          <w:lang w:eastAsia="zh-CN"/>
        </w:rPr>
        <w:t>本项目通过公开招标方式选择一家</w:t>
      </w:r>
      <w:r>
        <w:rPr>
          <w:rFonts w:hint="eastAsia" w:ascii="宋体" w:hAnsi="宋体" w:eastAsia="宋体" w:cstheme="minorBidi"/>
          <w:color w:val="auto"/>
          <w:highlight w:val="none"/>
          <w:lang w:eastAsia="zh-CN"/>
        </w:rPr>
        <w:t>检测服务</w:t>
      </w:r>
      <w:r>
        <w:rPr>
          <w:rFonts w:ascii="宋体" w:hAnsi="宋体" w:eastAsia="宋体" w:cstheme="minorBidi"/>
          <w:color w:val="auto"/>
          <w:highlight w:val="none"/>
          <w:lang w:eastAsia="zh-CN"/>
        </w:rPr>
        <w:t>单位为临港实验室</w:t>
      </w:r>
      <w:r>
        <w:rPr>
          <w:rFonts w:hint="eastAsia" w:ascii="宋体" w:hAnsi="宋体" w:eastAsia="宋体" w:cstheme="minorBidi"/>
          <w:color w:val="auto"/>
          <w:highlight w:val="none"/>
          <w:lang w:eastAsia="zh-CN"/>
        </w:rPr>
        <w:t>临港园区提供除桩基</w:t>
      </w:r>
      <w:r>
        <w:rPr>
          <w:rFonts w:hint="eastAsia" w:ascii="宋体" w:hAnsi="宋体"/>
          <w:color w:val="auto"/>
          <w:highlight w:val="none"/>
          <w:lang w:eastAsia="zh-CN"/>
        </w:rPr>
        <w:t>工程</w:t>
      </w:r>
      <w:r>
        <w:rPr>
          <w:rFonts w:hint="eastAsia" w:ascii="宋体" w:hAnsi="宋体" w:eastAsia="宋体" w:cstheme="minorBidi"/>
          <w:color w:val="auto"/>
          <w:highlight w:val="none"/>
          <w:lang w:eastAsia="zh-CN"/>
        </w:rPr>
        <w:t>检测外的</w:t>
      </w:r>
      <w:r>
        <w:rPr>
          <w:rFonts w:hint="default" w:ascii="宋体" w:hAnsi="宋体" w:eastAsia="宋体" w:cstheme="minorBidi"/>
          <w:color w:val="auto"/>
          <w:spacing w:val="0"/>
          <w:sz w:val="21"/>
          <w:szCs w:val="21"/>
          <w:highlight w:val="none"/>
          <w:lang w:eastAsia="zh-CN"/>
        </w:rPr>
        <w:t>材料</w:t>
      </w:r>
      <w:r>
        <w:rPr>
          <w:rFonts w:hint="eastAsia" w:ascii="宋体" w:hAnsi="宋体" w:eastAsia="宋体" w:cs="宋体"/>
          <w:color w:val="auto"/>
          <w:spacing w:val="-4"/>
          <w:sz w:val="24"/>
          <w:highlight w:val="none"/>
          <w:lang w:eastAsia="zh-CN"/>
        </w:rPr>
        <w:t>（结构材料、周转材料、装饰装修材料、加固材料、防水材料、工程管材、主体结构、钢结构材料、钢结构无损、节能材料、节能现场、建筑门窗与幕墙）</w:t>
      </w:r>
      <w:r>
        <w:rPr>
          <w:rFonts w:hint="default" w:ascii="宋体" w:hAnsi="宋体" w:eastAsia="宋体" w:cstheme="minorBidi"/>
          <w:color w:val="auto"/>
          <w:spacing w:val="0"/>
          <w:sz w:val="21"/>
          <w:szCs w:val="21"/>
          <w:highlight w:val="none"/>
          <w:lang w:val="en-US" w:eastAsia="zh-CN"/>
        </w:rPr>
        <w:t>及实体</w:t>
      </w:r>
      <w:r>
        <w:rPr>
          <w:rFonts w:hint="default" w:ascii="宋体" w:hAnsi="宋体" w:eastAsia="宋体" w:cstheme="minorBidi"/>
          <w:color w:val="auto"/>
          <w:spacing w:val="0"/>
          <w:sz w:val="21"/>
          <w:szCs w:val="21"/>
          <w:highlight w:val="none"/>
          <w:lang w:eastAsia="zh-CN"/>
        </w:rPr>
        <w:t>检测（</w:t>
      </w:r>
      <w:r>
        <w:rPr>
          <w:rFonts w:hint="eastAsia" w:ascii="宋体" w:hAnsi="宋体" w:eastAsia="宋体" w:cstheme="minorBidi"/>
          <w:color w:val="auto"/>
          <w:spacing w:val="0"/>
          <w:sz w:val="21"/>
          <w:szCs w:val="21"/>
          <w:highlight w:val="none"/>
          <w:lang w:val="en-US" w:eastAsia="zh-CN"/>
        </w:rPr>
        <w:t>含室内空气检测、能效测评、通风空调检测、照明系统检测、沉降观测、人防防护设备、绿化验收、土壤检测等）</w:t>
      </w:r>
      <w:r>
        <w:rPr>
          <w:rFonts w:hint="default" w:ascii="宋体" w:hAnsi="宋体" w:eastAsia="宋体" w:cstheme="minorBidi"/>
          <w:color w:val="auto"/>
          <w:spacing w:val="0"/>
          <w:sz w:val="21"/>
          <w:szCs w:val="21"/>
          <w:highlight w:val="none"/>
          <w:lang w:eastAsia="zh-CN"/>
        </w:rPr>
        <w:t>、分项计量、低压配电系统检测、建筑消防设施检测、防雷检测、CCTV检测、集中空调通风系统竣工验收卫生学评价、集中空调通风系统竣工验收卫生学检测、二次供水竣工验收检测、</w:t>
      </w:r>
      <w:r>
        <w:rPr>
          <w:rFonts w:hint="eastAsia" w:ascii="宋体" w:hAnsi="宋体" w:eastAsia="宋体" w:cstheme="minorBidi"/>
          <w:color w:val="auto"/>
          <w:spacing w:val="0"/>
          <w:sz w:val="21"/>
          <w:szCs w:val="21"/>
          <w:highlight w:val="none"/>
          <w:lang w:eastAsia="zh-CN"/>
        </w:rPr>
        <w:t>职业病危害控制效果评价报告</w:t>
      </w:r>
      <w:r>
        <w:rPr>
          <w:rFonts w:hint="default" w:ascii="宋体" w:hAnsi="宋体" w:eastAsia="宋体" w:cstheme="minorBidi"/>
          <w:color w:val="auto"/>
          <w:spacing w:val="0"/>
          <w:sz w:val="21"/>
          <w:szCs w:val="21"/>
          <w:highlight w:val="none"/>
          <w:lang w:eastAsia="zh-CN"/>
        </w:rPr>
        <w:t>、</w:t>
      </w:r>
      <w:r>
        <w:rPr>
          <w:rFonts w:hint="default" w:ascii="宋体" w:hAnsi="宋体" w:eastAsia="宋体" w:cstheme="minorBidi"/>
          <w:color w:val="auto"/>
          <w:spacing w:val="0"/>
          <w:sz w:val="21"/>
          <w:szCs w:val="21"/>
          <w:highlight w:val="none"/>
          <w:lang w:val="en-US" w:eastAsia="zh-CN"/>
        </w:rPr>
        <w:t>民防工程防护设备</w:t>
      </w:r>
      <w:r>
        <w:rPr>
          <w:rFonts w:hint="default" w:ascii="宋体" w:hAnsi="宋体" w:eastAsia="宋体" w:cstheme="minorBidi"/>
          <w:color w:val="auto"/>
          <w:spacing w:val="0"/>
          <w:sz w:val="21"/>
          <w:szCs w:val="21"/>
          <w:highlight w:val="none"/>
          <w:lang w:eastAsia="zh-CN"/>
        </w:rPr>
        <w:t>检测服务以及基坑监测</w:t>
      </w:r>
      <w:r>
        <w:rPr>
          <w:rFonts w:hint="default" w:ascii="宋体" w:hAnsi="宋体" w:eastAsia="宋体" w:cstheme="minorBidi"/>
          <w:color w:val="auto"/>
          <w:spacing w:val="0"/>
          <w:sz w:val="21"/>
          <w:szCs w:val="21"/>
          <w:highlight w:val="none"/>
          <w:lang w:val="en-US" w:eastAsia="zh-CN"/>
        </w:rPr>
        <w:t>服务</w:t>
      </w:r>
      <w:r>
        <w:rPr>
          <w:rFonts w:hint="default" w:ascii="宋体" w:hAnsi="宋体" w:eastAsia="宋体" w:cstheme="minorBidi"/>
          <w:color w:val="auto"/>
          <w:highlight w:val="none"/>
          <w:lang w:eastAsia="zh-CN"/>
        </w:rPr>
        <w:t>，</w:t>
      </w:r>
      <w:r>
        <w:rPr>
          <w:rFonts w:hint="eastAsia" w:ascii="宋体" w:hAnsi="宋体"/>
          <w:color w:val="auto"/>
          <w:highlight w:val="none"/>
          <w:lang w:eastAsia="zh-CN"/>
        </w:rPr>
        <w:t>满足总承包等单位现场施工需求以及建设单位对项目竣工验收备案的要求</w:t>
      </w:r>
      <w:r>
        <w:rPr>
          <w:rFonts w:hint="eastAsia" w:ascii="宋体" w:hAnsi="宋体" w:eastAsia="宋体" w:cstheme="minorBidi"/>
          <w:color w:val="auto"/>
          <w:highlight w:val="none"/>
          <w:lang w:eastAsia="zh-CN"/>
        </w:rPr>
        <w:t>。（具体检测工作量详见附件）</w:t>
      </w:r>
    </w:p>
    <w:p>
      <w:pPr>
        <w:pStyle w:val="2"/>
        <w:spacing w:line="360" w:lineRule="auto"/>
        <w:rPr>
          <w:rFonts w:ascii="宋体" w:hAnsi="宋体"/>
          <w:color w:val="auto"/>
          <w:highlight w:val="none"/>
        </w:rPr>
      </w:pPr>
      <w:r>
        <w:rPr>
          <w:rFonts w:hint="eastAsia" w:ascii="宋体" w:hAnsi="宋体"/>
          <w:color w:val="auto"/>
          <w:highlight w:val="none"/>
        </w:rPr>
        <w:t>工作要求</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5.1  </w:t>
      </w:r>
      <w:r>
        <w:rPr>
          <w:rFonts w:hint="eastAsia" w:ascii="宋体" w:hAnsi="宋体"/>
          <w:color w:val="auto"/>
          <w:highlight w:val="none"/>
          <w:lang w:eastAsia="zh-CN"/>
        </w:rPr>
        <w:t>项目实施地点：</w:t>
      </w:r>
      <w:r>
        <w:rPr>
          <w:rFonts w:hint="eastAsia" w:ascii="宋体" w:hAnsi="宋体" w:eastAsia="宋体" w:cstheme="minorBidi"/>
          <w:color w:val="auto"/>
          <w:highlight w:val="none"/>
          <w:lang w:eastAsia="zh-CN"/>
        </w:rPr>
        <w:t>临港实验室临港园</w:t>
      </w:r>
      <w:r>
        <w:rPr>
          <w:rFonts w:hint="eastAsia" w:ascii="宋体" w:hAnsi="宋体"/>
          <w:color w:val="auto"/>
          <w:highlight w:val="none"/>
          <w:lang w:eastAsia="zh-CN"/>
        </w:rPr>
        <w:t>区内采购人指定地点。</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5.2  </w:t>
      </w:r>
      <w:r>
        <w:rPr>
          <w:rFonts w:hint="eastAsia" w:ascii="宋体" w:hAnsi="宋体"/>
          <w:color w:val="auto"/>
          <w:highlight w:val="none"/>
          <w:lang w:eastAsia="zh-CN"/>
        </w:rPr>
        <w:t>项目实施期限：自合同签订之日起至</w:t>
      </w:r>
      <w:r>
        <w:rPr>
          <w:rFonts w:hint="eastAsia" w:ascii="宋体" w:hAnsi="宋体" w:eastAsia="宋体" w:cs="仿宋"/>
          <w:color w:val="auto"/>
          <w:spacing w:val="-4"/>
          <w:highlight w:val="none"/>
          <w:lang w:eastAsia="zh-CN"/>
        </w:rPr>
        <w:t>工程通过竣工验收之日止</w:t>
      </w:r>
      <w:r>
        <w:rPr>
          <w:rFonts w:hint="eastAsia" w:ascii="宋体" w:hAnsi="宋体"/>
          <w:color w:val="auto"/>
          <w:highlight w:val="none"/>
          <w:lang w:eastAsia="zh-CN"/>
        </w:rPr>
        <w:t>。</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5.3  </w:t>
      </w:r>
      <w:r>
        <w:rPr>
          <w:rFonts w:hint="eastAsia" w:ascii="宋体" w:hAnsi="宋体"/>
          <w:color w:val="auto"/>
          <w:highlight w:val="none"/>
          <w:lang w:eastAsia="zh-CN"/>
        </w:rPr>
        <w:t>成果形式及验收要求</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验收要求：成果材料齐全，并通过评审验收。</w:t>
      </w:r>
    </w:p>
    <w:p>
      <w:pPr>
        <w:pStyle w:val="2"/>
        <w:spacing w:line="360" w:lineRule="auto"/>
        <w:rPr>
          <w:rFonts w:ascii="宋体" w:hAnsi="宋体"/>
          <w:color w:val="auto"/>
          <w:highlight w:val="none"/>
        </w:rPr>
      </w:pPr>
      <w:r>
        <w:rPr>
          <w:rFonts w:hint="eastAsia" w:ascii="宋体" w:hAnsi="宋体"/>
          <w:color w:val="auto"/>
          <w:highlight w:val="none"/>
        </w:rPr>
        <w:t>其他要求</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6.1  </w:t>
      </w:r>
      <w:r>
        <w:rPr>
          <w:rFonts w:hint="eastAsia" w:ascii="宋体" w:hAnsi="宋体"/>
          <w:color w:val="auto"/>
          <w:highlight w:val="none"/>
          <w:lang w:eastAsia="zh-CN"/>
        </w:rPr>
        <w:t>承诺项目在验收之日起提供一年的后续保障服务。</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6.2  </w:t>
      </w:r>
      <w:r>
        <w:rPr>
          <w:rFonts w:hint="eastAsia" w:ascii="宋体" w:hAnsi="宋体"/>
          <w:color w:val="auto"/>
          <w:highlight w:val="none"/>
          <w:lang w:eastAsia="zh-CN"/>
        </w:rPr>
        <w:t>在采购方有需要的情况下，中标方需提供驻点服务，需在园区设置驻点办事处，保障项目顺利进行。</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6.3  </w:t>
      </w:r>
      <w:r>
        <w:rPr>
          <w:rFonts w:hint="eastAsia" w:ascii="宋体" w:hAnsi="宋体"/>
          <w:color w:val="auto"/>
          <w:highlight w:val="none"/>
          <w:lang w:eastAsia="zh-CN"/>
        </w:rPr>
        <w:t>中标方需在工作日设置由专人职守的服务热线电话，接听内部的服务请求，并记录服务台事件处理结果。</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6.4  </w:t>
      </w:r>
      <w:r>
        <w:rPr>
          <w:rFonts w:hint="eastAsia" w:ascii="宋体" w:hAnsi="宋体"/>
          <w:color w:val="auto"/>
          <w:highlight w:val="none"/>
          <w:lang w:eastAsia="zh-CN"/>
        </w:rPr>
        <w:t>中标方需在非工作日设置有专人</w:t>
      </w:r>
      <w:r>
        <w:rPr>
          <w:rFonts w:ascii="宋体" w:hAnsi="宋体"/>
          <w:color w:val="auto"/>
          <w:highlight w:val="none"/>
          <w:lang w:eastAsia="zh-CN"/>
        </w:rPr>
        <w:t xml:space="preserve"> 7*24 </w:t>
      </w:r>
      <w:r>
        <w:rPr>
          <w:rFonts w:hint="eastAsia" w:ascii="宋体" w:hAnsi="宋体"/>
          <w:color w:val="auto"/>
          <w:highlight w:val="none"/>
          <w:lang w:eastAsia="zh-CN"/>
        </w:rPr>
        <w:t>小时接听的移动电话热线，用于解决内部的技术问题以及突发情况汇报。</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6.5  </w:t>
      </w:r>
      <w:r>
        <w:rPr>
          <w:rFonts w:hint="eastAsia" w:ascii="宋体" w:hAnsi="宋体"/>
          <w:color w:val="auto"/>
          <w:highlight w:val="none"/>
          <w:lang w:eastAsia="zh-CN"/>
        </w:rPr>
        <w:t>工作开展应符合国家、上海市相关要求。</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6.6  </w:t>
      </w:r>
      <w:r>
        <w:rPr>
          <w:rFonts w:hint="eastAsia" w:ascii="宋体" w:hAnsi="宋体"/>
          <w:color w:val="auto"/>
          <w:highlight w:val="none"/>
          <w:lang w:eastAsia="zh-CN"/>
        </w:rPr>
        <w:t>投标人须按照采购单位要求，保证合同期间岗位人数的满员。</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6.7  </w:t>
      </w:r>
      <w:r>
        <w:rPr>
          <w:rFonts w:hint="eastAsia" w:ascii="宋体" w:hAnsi="宋体"/>
          <w:color w:val="auto"/>
          <w:highlight w:val="none"/>
          <w:lang w:eastAsia="zh-CN"/>
        </w:rPr>
        <w:t>中标方为此项目所聘用的全部人员的生、老、病、死或事故原因、劳资纠纷，刑、民事案件等均与采购方无关，在此特别说明：投标方在投标报价时需充分考虑。</w:t>
      </w:r>
    </w:p>
    <w:p>
      <w:pPr>
        <w:pStyle w:val="2"/>
        <w:spacing w:line="360" w:lineRule="auto"/>
        <w:rPr>
          <w:rFonts w:ascii="宋体" w:hAnsi="宋体"/>
          <w:color w:val="auto"/>
          <w:highlight w:val="none"/>
        </w:rPr>
      </w:pPr>
      <w:r>
        <w:rPr>
          <w:rFonts w:hint="eastAsia" w:ascii="宋体" w:hAnsi="宋体"/>
          <w:color w:val="auto"/>
          <w:highlight w:val="none"/>
        </w:rPr>
        <w:t>申请人的资格要求</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7.1 </w:t>
      </w:r>
      <w:r>
        <w:rPr>
          <w:rFonts w:hint="eastAsia" w:ascii="宋体" w:hAnsi="宋体"/>
          <w:color w:val="auto"/>
          <w:highlight w:val="none"/>
          <w:lang w:eastAsia="zh-CN"/>
        </w:rPr>
        <w:t>符合《中华人民共和国政府采购法》第二十二条规定；</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）具有独立承担民事责任的能力；</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）具有良好的商业信誉和健全的财务会计制度；</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）具有履行合同所必需的设备和专业技术能力；</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4</w:t>
      </w:r>
      <w:r>
        <w:rPr>
          <w:rFonts w:hint="eastAsia" w:ascii="宋体" w:hAnsi="宋体"/>
          <w:color w:val="auto"/>
          <w:highlight w:val="none"/>
          <w:lang w:eastAsia="zh-CN"/>
        </w:rPr>
        <w:t>）有依法缴纳税收和社会保障资金的良好记录；</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5</w:t>
      </w:r>
      <w:r>
        <w:rPr>
          <w:rFonts w:hint="eastAsia" w:ascii="宋体" w:hAnsi="宋体"/>
          <w:color w:val="auto"/>
          <w:highlight w:val="none"/>
          <w:lang w:eastAsia="zh-CN"/>
        </w:rPr>
        <w:t>）参加政府采购活动前三年内，在经营活动中没有重大违法记录；</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6</w:t>
      </w:r>
      <w:r>
        <w:rPr>
          <w:rFonts w:hint="eastAsia" w:ascii="宋体" w:hAnsi="宋体"/>
          <w:color w:val="auto"/>
          <w:highlight w:val="none"/>
          <w:lang w:eastAsia="zh-CN"/>
        </w:rPr>
        <w:t>）法律、行政法规规定的其他条件。</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7.2 </w:t>
      </w:r>
      <w:r>
        <w:rPr>
          <w:rFonts w:hint="eastAsia" w:ascii="宋体" w:hAnsi="宋体"/>
          <w:color w:val="auto"/>
          <w:highlight w:val="none"/>
          <w:lang w:eastAsia="zh-CN"/>
        </w:rPr>
        <w:t>具有中华人民共和国境内注册的独立法人资格及相应的经营范围；</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7.3 </w:t>
      </w:r>
      <w:r>
        <w:rPr>
          <w:rFonts w:hint="eastAsia" w:ascii="宋体" w:hAnsi="宋体"/>
          <w:color w:val="auto"/>
          <w:highlight w:val="none"/>
          <w:lang w:eastAsia="zh-CN"/>
        </w:rPr>
        <w:t>具有履行合同所必需的设备和专业技术能力；</w:t>
      </w:r>
    </w:p>
    <w:p>
      <w:pPr>
        <w:spacing w:line="360" w:lineRule="auto"/>
        <w:ind w:firstLine="640"/>
        <w:rPr>
          <w:rFonts w:ascii="宋体" w:hAnsi="宋体"/>
          <w:color w:val="auto"/>
          <w:highlight w:val="none"/>
          <w:lang w:eastAsia="zh-CN"/>
        </w:rPr>
      </w:pPr>
      <w:r>
        <w:rPr>
          <w:rFonts w:ascii="宋体" w:hAnsi="宋体"/>
          <w:color w:val="auto"/>
          <w:highlight w:val="none"/>
          <w:lang w:eastAsia="zh-CN"/>
        </w:rPr>
        <w:t xml:space="preserve">7.4 </w:t>
      </w:r>
      <w:r>
        <w:rPr>
          <w:rFonts w:hint="eastAsia" w:ascii="宋体" w:hAnsi="宋体"/>
          <w:color w:val="auto"/>
          <w:highlight w:val="none"/>
          <w:lang w:eastAsia="zh-CN"/>
        </w:rPr>
        <w:t>本项目的特定资格要求：</w:t>
      </w:r>
    </w:p>
    <w:p>
      <w:pPr>
        <w:spacing w:line="360" w:lineRule="auto"/>
        <w:ind w:firstLine="64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）未被“信用中国”（</w:t>
      </w:r>
      <w:r>
        <w:rPr>
          <w:rFonts w:ascii="宋体" w:hAnsi="宋体"/>
          <w:color w:val="auto"/>
          <w:highlight w:val="none"/>
        </w:rPr>
        <w:t>www.creditchina.gov.cn</w:t>
      </w:r>
      <w:r>
        <w:rPr>
          <w:rFonts w:hint="eastAsia" w:ascii="宋体" w:hAnsi="宋体"/>
          <w:color w:val="auto"/>
          <w:highlight w:val="none"/>
        </w:rPr>
        <w:t>）、中国政府采购网（</w:t>
      </w:r>
      <w:r>
        <w:rPr>
          <w:rFonts w:ascii="宋体" w:hAnsi="宋体"/>
          <w:color w:val="auto"/>
          <w:highlight w:val="none"/>
        </w:rPr>
        <w:t>www.ccgp.gov.cn</w:t>
      </w:r>
      <w:r>
        <w:rPr>
          <w:rFonts w:hint="eastAsia" w:ascii="宋体" w:hAnsi="宋体"/>
          <w:color w:val="auto"/>
          <w:highlight w:val="none"/>
        </w:rPr>
        <w:t>）列入失信被执行人、重大税收违法案件当事人名单、政府采购严重违法失信行为记录名单；</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）单位负责人为同一人或者存在直接控股、管理关系的不同供应商，不得参加同一合同项下的政府采购活动；</w:t>
      </w:r>
    </w:p>
    <w:p>
      <w:pPr>
        <w:pStyle w:val="5"/>
        <w:spacing w:line="360" w:lineRule="auto"/>
        <w:ind w:firstLine="640"/>
        <w:rPr>
          <w:rFonts w:ascii="宋体" w:hAnsi="宋体" w:eastAsia="宋体" w:cs="宋体"/>
          <w:color w:val="auto"/>
          <w:highlight w:val="yellow"/>
          <w:lang w:eastAsia="zh-CN"/>
        </w:rPr>
      </w:pPr>
      <w:r>
        <w:rPr>
          <w:rFonts w:hint="eastAsia" w:ascii="宋体" w:hAnsi="宋体" w:eastAsia="宋体" w:cs="宋体"/>
          <w:color w:val="auto"/>
          <w:spacing w:val="-3"/>
          <w:highlight w:val="none"/>
          <w:lang w:eastAsia="zh-CN"/>
        </w:rPr>
        <w:t>（3）</w:t>
      </w:r>
      <w:r>
        <w:rPr>
          <w:rFonts w:hint="eastAsia" w:ascii="宋体" w:hAnsi="宋体" w:eastAsia="Arial" w:cs="Arial"/>
          <w:snapToGrid w:val="0"/>
          <w:color w:val="auto"/>
          <w:sz w:val="21"/>
          <w:szCs w:val="21"/>
          <w:highlight w:val="none"/>
          <w:lang w:val="en-US" w:eastAsia="zh-CN" w:bidi="ar-SA"/>
        </w:rPr>
        <w:t>须具有建设主管部门颁发的建设工程质量检测机构资质证书、上海市建设工程检测机构评估证书（资质类型综合类且须包含能效测评等）、检验检测机构资质认定证书（CMA）、人防工程防护设备检测机构备案证明、</w:t>
      </w:r>
      <w:r>
        <w:rPr>
          <w:rFonts w:hint="eastAsia" w:ascii="宋体" w:hAnsi="宋体" w:eastAsia="Arial" w:cs="Arial"/>
          <w:snapToGrid w:val="0"/>
          <w:color w:val="auto"/>
          <w:sz w:val="21"/>
          <w:szCs w:val="21"/>
          <w:highlight w:val="yellow"/>
          <w:lang w:val="en-US" w:eastAsia="zh-CN" w:bidi="ar-SA"/>
        </w:rPr>
        <w:t>工程勘测资质证书</w:t>
      </w:r>
      <w:r>
        <w:rPr>
          <w:rFonts w:hint="eastAsia" w:ascii="宋体" w:hAnsi="宋体" w:eastAsia="宋体" w:cs="宋体"/>
          <w:color w:val="auto"/>
          <w:spacing w:val="-3"/>
          <w:highlight w:val="yellow"/>
          <w:lang w:eastAsia="zh-CN"/>
        </w:rPr>
        <w:t>；</w:t>
      </w:r>
    </w:p>
    <w:p>
      <w:pPr>
        <w:pStyle w:val="5"/>
        <w:spacing w:line="360" w:lineRule="auto"/>
        <w:ind w:firstLine="64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4</w:t>
      </w:r>
      <w:r>
        <w:rPr>
          <w:rFonts w:hint="eastAsia" w:ascii="宋体" w:hAnsi="宋体"/>
          <w:color w:val="auto"/>
          <w:highlight w:val="none"/>
          <w:lang w:eastAsia="zh-CN"/>
        </w:rPr>
        <w:t>）本项目不接受联合体投标。</w:t>
      </w:r>
    </w:p>
    <w:p>
      <w:pPr>
        <w:pStyle w:val="2"/>
        <w:spacing w:line="360" w:lineRule="auto"/>
        <w:rPr>
          <w:rFonts w:ascii="宋体" w:hAnsi="宋体"/>
          <w:color w:val="auto"/>
          <w:highlight w:val="none"/>
        </w:rPr>
        <w:sectPr>
          <w:footerReference r:id="rId3" w:type="even"/>
          <w:pgSz w:w="11906" w:h="16838"/>
          <w:pgMar w:top="1418" w:right="1701" w:bottom="1418" w:left="1701" w:header="851" w:footer="992" w:gutter="0"/>
          <w:pgNumType w:fmt="decimal"/>
          <w:cols w:space="425" w:num="1"/>
          <w:titlePg/>
          <w:docGrid w:type="lines" w:linePitch="312" w:charSpace="0"/>
        </w:sectPr>
      </w:pPr>
    </w:p>
    <w:p>
      <w:pPr>
        <w:pStyle w:val="2"/>
        <w:spacing w:line="360" w:lineRule="auto"/>
        <w:rPr>
          <w:rFonts w:ascii="宋体" w:hAnsi="宋体"/>
          <w:color w:val="auto"/>
          <w:highlight w:val="none"/>
        </w:rPr>
      </w:pPr>
      <w:r>
        <w:rPr>
          <w:rFonts w:hint="eastAsia" w:ascii="宋体" w:hAnsi="宋体"/>
          <w:color w:val="auto"/>
          <w:highlight w:val="none"/>
        </w:rPr>
        <w:t>工作成果</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项目主要成果包括：项目实施过程中根据现场委托开展相关检测和评估，最终形成检测及评估报告。</w:t>
      </w:r>
    </w:p>
    <w:p>
      <w:pPr>
        <w:pStyle w:val="2"/>
        <w:spacing w:line="360" w:lineRule="auto"/>
        <w:rPr>
          <w:rFonts w:ascii="宋体" w:hAnsi="宋体"/>
          <w:color w:val="auto"/>
          <w:highlight w:val="none"/>
        </w:rPr>
      </w:pPr>
      <w:r>
        <w:rPr>
          <w:rFonts w:hint="eastAsia" w:ascii="宋体" w:hAnsi="宋体"/>
          <w:color w:val="auto"/>
          <w:highlight w:val="none"/>
        </w:rPr>
        <w:t>服务期限</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合同签订之日起至工程通过竣工验收。</w:t>
      </w:r>
    </w:p>
    <w:p>
      <w:pPr>
        <w:pStyle w:val="2"/>
        <w:spacing w:line="360" w:lineRule="auto"/>
        <w:rPr>
          <w:rFonts w:ascii="宋体" w:hAnsi="宋体"/>
          <w:color w:val="auto"/>
          <w:highlight w:val="none"/>
        </w:rPr>
      </w:pPr>
      <w:r>
        <w:rPr>
          <w:rFonts w:hint="eastAsia" w:ascii="宋体" w:hAnsi="宋体"/>
          <w:color w:val="auto"/>
          <w:highlight w:val="none"/>
        </w:rPr>
        <w:t>项目预算</w:t>
      </w:r>
    </w:p>
    <w:p>
      <w:pPr>
        <w:spacing w:line="360" w:lineRule="auto"/>
        <w:ind w:firstLine="640"/>
        <w:rPr>
          <w:rFonts w:ascii="宋体" w:hAnsi="宋体"/>
          <w:color w:val="auto"/>
          <w:highlight w:val="none"/>
        </w:rPr>
      </w:pPr>
      <w:r>
        <w:rPr>
          <w:rFonts w:hint="eastAsia" w:ascii="宋体" w:hAnsi="宋体"/>
          <w:color w:val="auto"/>
          <w:highlight w:val="none"/>
        </w:rPr>
        <w:t>项目预算：</w:t>
      </w:r>
      <w:r>
        <w:rPr>
          <w:rFonts w:hint="eastAsia" w:ascii="宋体" w:hAnsi="宋体"/>
          <w:color w:val="auto"/>
          <w:highlight w:val="none"/>
          <w:lang w:eastAsia="zh-CN"/>
        </w:rPr>
        <w:t>169</w:t>
      </w:r>
      <w:r>
        <w:rPr>
          <w:rFonts w:ascii="宋体" w:hAnsi="宋体"/>
          <w:color w:val="auto"/>
          <w:highlight w:val="none"/>
        </w:rPr>
        <w:t>0</w:t>
      </w:r>
      <w:r>
        <w:rPr>
          <w:rFonts w:hint="eastAsia" w:ascii="宋体" w:hAnsi="宋体"/>
          <w:color w:val="auto"/>
          <w:highlight w:val="none"/>
        </w:rPr>
        <w:t>万元。</w:t>
      </w:r>
    </w:p>
    <w:p>
      <w:pPr>
        <w:pStyle w:val="2"/>
        <w:spacing w:line="360" w:lineRule="auto"/>
        <w:rPr>
          <w:rFonts w:ascii="宋体" w:hAnsi="宋体"/>
          <w:color w:val="auto"/>
          <w:highlight w:val="none"/>
        </w:rPr>
      </w:pPr>
      <w:r>
        <w:rPr>
          <w:rFonts w:hint="eastAsia" w:ascii="宋体" w:hAnsi="宋体"/>
          <w:color w:val="auto"/>
          <w:highlight w:val="none"/>
        </w:rPr>
        <w:t>付款方式</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项目采购预算金额最高不超过</w:t>
      </w:r>
      <w:r>
        <w:rPr>
          <w:rFonts w:hint="eastAsia" w:ascii="宋体" w:hAnsi="宋体"/>
          <w:color w:val="auto"/>
          <w:highlight w:val="none"/>
          <w:lang w:val="en-US" w:eastAsia="zh-CN"/>
        </w:rPr>
        <w:t>966</w:t>
      </w:r>
      <w:r>
        <w:rPr>
          <w:rFonts w:hint="eastAsia" w:ascii="宋体" w:hAnsi="宋体"/>
          <w:color w:val="auto"/>
          <w:highlight w:val="none"/>
          <w:lang w:eastAsia="zh-CN"/>
        </w:rPr>
        <w:t>万元。项目分两批支付，具体见下表。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209"/>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支付批次</w:t>
            </w:r>
          </w:p>
        </w:tc>
        <w:tc>
          <w:tcPr>
            <w:tcW w:w="4209" w:type="dxa"/>
            <w:vAlign w:val="center"/>
          </w:tcPr>
          <w:p>
            <w:pPr>
              <w:widowControl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支付条件</w:t>
            </w:r>
          </w:p>
        </w:tc>
        <w:tc>
          <w:tcPr>
            <w:tcW w:w="2561" w:type="dxa"/>
            <w:vAlign w:val="center"/>
          </w:tcPr>
          <w:p>
            <w:pPr>
              <w:widowControl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val="0"/>
              <w:spacing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p>
        </w:tc>
        <w:tc>
          <w:tcPr>
            <w:tcW w:w="4209" w:type="dxa"/>
            <w:vAlign w:val="center"/>
          </w:tcPr>
          <w:p>
            <w:pPr>
              <w:widowControl w:val="0"/>
              <w:spacing w:line="360" w:lineRule="auto"/>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详见补充合同条款</w:t>
            </w:r>
          </w:p>
        </w:tc>
        <w:tc>
          <w:tcPr>
            <w:tcW w:w="2561" w:type="dxa"/>
            <w:vAlign w:val="center"/>
          </w:tcPr>
          <w:p>
            <w:pPr>
              <w:widowControl w:val="0"/>
              <w:spacing w:line="360" w:lineRule="auto"/>
              <w:jc w:val="center"/>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详见补充合同条款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val="0"/>
              <w:spacing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p>
        </w:tc>
        <w:tc>
          <w:tcPr>
            <w:tcW w:w="4209" w:type="dxa"/>
            <w:vAlign w:val="center"/>
          </w:tcPr>
          <w:p>
            <w:pPr>
              <w:widowControl w:val="0"/>
              <w:spacing w:line="360" w:lineRule="auto"/>
              <w:jc w:val="center"/>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详见补充合同条款</w:t>
            </w:r>
          </w:p>
        </w:tc>
        <w:tc>
          <w:tcPr>
            <w:tcW w:w="2561" w:type="dxa"/>
            <w:vAlign w:val="center"/>
          </w:tcPr>
          <w:p>
            <w:pPr>
              <w:widowControl w:val="0"/>
              <w:spacing w:line="360" w:lineRule="auto"/>
              <w:jc w:val="center"/>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详见补充合同条款</w:t>
            </w:r>
          </w:p>
        </w:tc>
      </w:tr>
    </w:tbl>
    <w:p>
      <w:pPr>
        <w:pStyle w:val="2"/>
        <w:spacing w:line="360" w:lineRule="auto"/>
        <w:rPr>
          <w:rFonts w:ascii="宋体" w:hAnsi="宋体"/>
          <w:color w:val="auto"/>
          <w:highlight w:val="none"/>
        </w:rPr>
      </w:pPr>
      <w:r>
        <w:rPr>
          <w:rFonts w:hint="eastAsia" w:ascii="宋体" w:hAnsi="宋体"/>
          <w:color w:val="auto"/>
          <w:highlight w:val="none"/>
        </w:rPr>
        <w:t>评分标准</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本评标办法总分</w:t>
      </w:r>
      <w:r>
        <w:rPr>
          <w:rFonts w:ascii="宋体" w:hAnsi="宋体"/>
          <w:color w:val="auto"/>
          <w:highlight w:val="none"/>
          <w:lang w:eastAsia="zh-CN"/>
        </w:rPr>
        <w:t>100</w:t>
      </w:r>
      <w:r>
        <w:rPr>
          <w:rFonts w:hint="eastAsia" w:ascii="宋体" w:hAnsi="宋体"/>
          <w:color w:val="auto"/>
          <w:highlight w:val="none"/>
          <w:lang w:eastAsia="zh-CN"/>
        </w:rPr>
        <w:t>分，采用四舍五入法，分值保留小数点后两位。总分</w:t>
      </w:r>
      <w:r>
        <w:rPr>
          <w:rFonts w:ascii="宋体" w:hAnsi="宋体"/>
          <w:color w:val="auto"/>
          <w:highlight w:val="none"/>
          <w:lang w:eastAsia="zh-CN"/>
        </w:rPr>
        <w:t>=</w:t>
      </w:r>
      <w:r>
        <w:rPr>
          <w:rFonts w:hint="eastAsia" w:ascii="宋体" w:hAnsi="宋体"/>
          <w:color w:val="auto"/>
          <w:highlight w:val="none"/>
          <w:lang w:eastAsia="zh-CN"/>
        </w:rPr>
        <w:t>技术分</w:t>
      </w:r>
      <w:r>
        <w:rPr>
          <w:rFonts w:ascii="宋体" w:hAnsi="宋体"/>
          <w:color w:val="auto"/>
          <w:highlight w:val="none"/>
          <w:lang w:eastAsia="zh-CN"/>
        </w:rPr>
        <w:t>+</w:t>
      </w:r>
      <w:r>
        <w:rPr>
          <w:rFonts w:hint="eastAsia" w:ascii="宋体" w:hAnsi="宋体"/>
          <w:color w:val="auto"/>
          <w:highlight w:val="none"/>
          <w:lang w:eastAsia="zh-CN"/>
        </w:rPr>
        <w:t>商务分</w:t>
      </w:r>
      <w:r>
        <w:rPr>
          <w:rFonts w:ascii="宋体" w:hAnsi="宋体"/>
          <w:color w:val="auto"/>
          <w:highlight w:val="none"/>
          <w:lang w:eastAsia="zh-CN"/>
        </w:rPr>
        <w:t>+</w:t>
      </w:r>
      <w:r>
        <w:rPr>
          <w:rFonts w:hint="eastAsia" w:ascii="宋体" w:hAnsi="宋体"/>
          <w:color w:val="auto"/>
          <w:highlight w:val="none"/>
          <w:lang w:eastAsia="zh-CN"/>
        </w:rPr>
        <w:t>价格分。</w:t>
      </w:r>
    </w:p>
    <w:p>
      <w:pPr>
        <w:spacing w:line="360" w:lineRule="auto"/>
        <w:ind w:firstLine="640"/>
        <w:rPr>
          <w:rFonts w:ascii="宋体" w:hAnsi="宋体"/>
          <w:color w:val="auto"/>
          <w:highlight w:val="none"/>
          <w:lang w:eastAsia="zh-CN"/>
        </w:rPr>
      </w:pPr>
      <w:r>
        <w:rPr>
          <w:rFonts w:hint="eastAsia" w:ascii="宋体" w:hAnsi="宋体"/>
          <w:color w:val="auto"/>
          <w:highlight w:val="yellow"/>
          <w:lang w:eastAsia="zh-CN"/>
        </w:rPr>
        <w:t>本项目限价为</w:t>
      </w:r>
      <w:r>
        <w:rPr>
          <w:rFonts w:hint="eastAsia" w:ascii="宋体" w:hAnsi="宋体" w:eastAsia="宋体"/>
          <w:color w:val="auto"/>
          <w:highlight w:val="yellow"/>
          <w:lang w:val="en-US" w:eastAsia="zh-CN"/>
        </w:rPr>
        <w:t>966</w:t>
      </w:r>
      <w:r>
        <w:rPr>
          <w:rFonts w:hint="eastAsia" w:ascii="宋体" w:hAnsi="宋体"/>
          <w:color w:val="auto"/>
          <w:highlight w:val="yellow"/>
          <w:lang w:eastAsia="zh-CN"/>
        </w:rPr>
        <w:t>万元</w:t>
      </w:r>
      <w:r>
        <w:rPr>
          <w:rFonts w:hint="eastAsia" w:ascii="宋体" w:hAnsi="宋体"/>
          <w:color w:val="auto"/>
          <w:highlight w:val="none"/>
          <w:lang w:eastAsia="zh-CN"/>
        </w:rPr>
        <w:t>，若超出该限价则作废标处理。</w:t>
      </w:r>
    </w:p>
    <w:p>
      <w:pPr>
        <w:spacing w:line="360" w:lineRule="auto"/>
        <w:ind w:firstLine="640"/>
        <w:rPr>
          <w:rFonts w:ascii="宋体" w:hAnsi="宋体"/>
          <w:color w:val="auto"/>
          <w:highlight w:val="none"/>
          <w:lang w:eastAsia="zh-CN"/>
        </w:rPr>
      </w:pPr>
      <w:r>
        <w:rPr>
          <w:rFonts w:hint="eastAsia" w:ascii="宋体" w:hAnsi="宋体"/>
          <w:color w:val="auto"/>
          <w:highlight w:val="none"/>
          <w:lang w:eastAsia="zh-CN"/>
        </w:rPr>
        <w:t>评标小组成员对各投标单位投标书进行分析评定后各自打分并写出书面评审意见，为使评分时能体现量化，评委按以下内容进行评定后打分，经算术平均后为各投标单位最终得分。</w:t>
      </w:r>
    </w:p>
    <w:tbl>
      <w:tblPr>
        <w:tblStyle w:val="9"/>
        <w:tblW w:w="8419" w:type="dxa"/>
        <w:tblInd w:w="0" w:type="dxa"/>
        <w:tblLayout w:type="autofit"/>
        <w:tblCellMar>
          <w:top w:w="0" w:type="dxa"/>
          <w:left w:w="108" w:type="dxa"/>
          <w:bottom w:w="0" w:type="dxa"/>
          <w:right w:w="108" w:type="dxa"/>
        </w:tblCellMar>
      </w:tblPr>
      <w:tblGrid>
        <w:gridCol w:w="1947"/>
        <w:gridCol w:w="1675"/>
        <w:gridCol w:w="4797"/>
      </w:tblGrid>
      <w:tr>
        <w:tblPrEx>
          <w:tblCellMar>
            <w:top w:w="0" w:type="dxa"/>
            <w:left w:w="108" w:type="dxa"/>
            <w:bottom w:w="0" w:type="dxa"/>
            <w:right w:w="108" w:type="dxa"/>
          </w:tblCellMar>
        </w:tblPrEx>
        <w:trPr>
          <w:trHeight w:val="517" w:hRule="atLeast"/>
        </w:trPr>
        <w:tc>
          <w:tcPr>
            <w:tcW w:w="19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评分项目</w:t>
            </w:r>
          </w:p>
        </w:tc>
        <w:tc>
          <w:tcPr>
            <w:tcW w:w="16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分值区间</w:t>
            </w:r>
          </w:p>
        </w:tc>
        <w:tc>
          <w:tcPr>
            <w:tcW w:w="47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评分办法</w:t>
            </w:r>
          </w:p>
        </w:tc>
      </w:tr>
      <w:tr>
        <w:tblPrEx>
          <w:tblCellMar>
            <w:top w:w="0" w:type="dxa"/>
            <w:left w:w="108" w:type="dxa"/>
            <w:bottom w:w="0" w:type="dxa"/>
            <w:right w:w="108" w:type="dxa"/>
          </w:tblCellMar>
        </w:tblPrEx>
        <w:trPr>
          <w:trHeight w:val="90" w:hRule="atLeast"/>
        </w:trPr>
        <w:tc>
          <w:tcPr>
            <w:tcW w:w="1947" w:type="dxa"/>
            <w:tcBorders>
              <w:top w:val="nil"/>
              <w:left w:val="single" w:color="000000" w:sz="8" w:space="0"/>
              <w:bottom w:val="nil"/>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投标报价得分</w:t>
            </w:r>
          </w:p>
        </w:tc>
        <w:tc>
          <w:tcPr>
            <w:tcW w:w="1675" w:type="dxa"/>
            <w:tcBorders>
              <w:top w:val="nil"/>
              <w:left w:val="single" w:color="000000" w:sz="8" w:space="0"/>
              <w:bottom w:val="nil"/>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0~10</w:t>
            </w:r>
          </w:p>
        </w:tc>
        <w:tc>
          <w:tcPr>
            <w:tcW w:w="4797" w:type="dxa"/>
            <w:tcBorders>
              <w:top w:val="nil"/>
              <w:left w:val="single" w:color="000000" w:sz="8" w:space="0"/>
              <w:bottom w:val="nil"/>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1.确定各有效投标人的经评审的投标价（B），B=各有效投标人的投标价格（A）+修正金额。2.确定评标基准价：满足招标文件要求且最低的经评审的投标价（B）为评标基准价。3.计算得分：投标报价得分=评标基准价／经评审的投标价（B）×价格权值（10%）×100。</w:t>
            </w:r>
          </w:p>
        </w:tc>
      </w:tr>
      <w:tr>
        <w:tblPrEx>
          <w:tblCellMar>
            <w:top w:w="0" w:type="dxa"/>
            <w:left w:w="108" w:type="dxa"/>
            <w:bottom w:w="0" w:type="dxa"/>
            <w:right w:w="108" w:type="dxa"/>
          </w:tblCellMar>
        </w:tblPrEx>
        <w:trPr>
          <w:trHeight w:val="1196" w:hRule="atLeast"/>
        </w:trPr>
        <w:tc>
          <w:tcPr>
            <w:tcW w:w="19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企业综合实力</w:t>
            </w:r>
          </w:p>
        </w:tc>
        <w:tc>
          <w:tcPr>
            <w:tcW w:w="16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1~5</w:t>
            </w:r>
          </w:p>
        </w:tc>
        <w:tc>
          <w:tcPr>
            <w:tcW w:w="4797" w:type="dxa"/>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eastAsia="zh-CN" w:bidi="ar"/>
              </w:rPr>
              <w:t>综合投标人的信誉情况、履约能力、内部管理制度、风险承担能力、营运状况、获奖情况等内容，考量投标人的综合实力，分三档打分：第一档：5分，第二档：3分，第三档：1分</w:t>
            </w:r>
          </w:p>
        </w:tc>
      </w:tr>
      <w:tr>
        <w:tblPrEx>
          <w:tblCellMar>
            <w:top w:w="0" w:type="dxa"/>
            <w:left w:w="108" w:type="dxa"/>
            <w:bottom w:w="0" w:type="dxa"/>
            <w:right w:w="108" w:type="dxa"/>
          </w:tblCellMar>
        </w:tblPrEx>
        <w:trPr>
          <w:trHeight w:val="1809" w:hRule="atLeast"/>
        </w:trPr>
        <w:tc>
          <w:tcPr>
            <w:tcW w:w="194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经验业绩情况</w:t>
            </w:r>
          </w:p>
        </w:tc>
        <w:tc>
          <w:tcPr>
            <w:tcW w:w="1675"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0~5</w:t>
            </w:r>
          </w:p>
        </w:tc>
        <w:tc>
          <w:tcPr>
            <w:tcW w:w="4797" w:type="dxa"/>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Style w:val="14"/>
                <w:rFonts w:hint="eastAsia" w:ascii="宋体" w:hAnsi="宋体" w:eastAsia="宋体" w:cs="宋体"/>
                <w:color w:val="auto"/>
                <w:sz w:val="21"/>
                <w:szCs w:val="21"/>
                <w:highlight w:val="none"/>
                <w:lang w:eastAsia="zh-CN" w:bidi="ar"/>
              </w:rPr>
              <w:t>2020年</w:t>
            </w:r>
            <w:r>
              <w:rPr>
                <w:rStyle w:val="15"/>
                <w:rFonts w:hint="eastAsia" w:ascii="宋体" w:hAnsi="宋体" w:eastAsia="宋体" w:cs="宋体"/>
                <w:color w:val="auto"/>
                <w:sz w:val="21"/>
                <w:szCs w:val="21"/>
                <w:highlight w:val="none"/>
                <w:lang w:eastAsia="zh-CN" w:bidi="ar"/>
              </w:rPr>
              <w:t>以来同类项目业绩情况（以提供的合同复印件为准），每个得</w:t>
            </w:r>
            <w:r>
              <w:rPr>
                <w:rStyle w:val="14"/>
                <w:rFonts w:hint="eastAsia" w:ascii="宋体" w:hAnsi="宋体" w:eastAsia="宋体" w:cs="宋体"/>
                <w:color w:val="auto"/>
                <w:sz w:val="21"/>
                <w:szCs w:val="21"/>
                <w:highlight w:val="none"/>
                <w:lang w:eastAsia="zh-CN" w:bidi="ar"/>
              </w:rPr>
              <w:t>1</w:t>
            </w:r>
            <w:r>
              <w:rPr>
                <w:rStyle w:val="15"/>
                <w:rFonts w:hint="eastAsia" w:ascii="宋体" w:hAnsi="宋体" w:eastAsia="宋体" w:cs="宋体"/>
                <w:color w:val="auto"/>
                <w:sz w:val="21"/>
                <w:szCs w:val="21"/>
                <w:highlight w:val="none"/>
                <w:lang w:eastAsia="zh-CN" w:bidi="ar"/>
              </w:rPr>
              <w:t>分，最多得</w:t>
            </w:r>
            <w:r>
              <w:rPr>
                <w:rStyle w:val="14"/>
                <w:rFonts w:hint="eastAsia" w:ascii="宋体" w:hAnsi="宋体" w:eastAsia="宋体" w:cs="宋体"/>
                <w:color w:val="auto"/>
                <w:sz w:val="21"/>
                <w:szCs w:val="21"/>
                <w:highlight w:val="none"/>
                <w:lang w:eastAsia="zh-CN" w:bidi="ar"/>
              </w:rPr>
              <w:t>5</w:t>
            </w:r>
            <w:r>
              <w:rPr>
                <w:rStyle w:val="15"/>
                <w:rFonts w:hint="eastAsia" w:ascii="宋体" w:hAnsi="宋体" w:eastAsia="宋体" w:cs="宋体"/>
                <w:color w:val="auto"/>
                <w:sz w:val="21"/>
                <w:szCs w:val="21"/>
                <w:highlight w:val="none"/>
                <w:lang w:eastAsia="zh-CN" w:bidi="ar"/>
              </w:rPr>
              <w:t>分，不提供得</w:t>
            </w:r>
            <w:r>
              <w:rPr>
                <w:rStyle w:val="14"/>
                <w:rFonts w:hint="eastAsia" w:ascii="宋体" w:hAnsi="宋体" w:eastAsia="宋体" w:cs="宋体"/>
                <w:color w:val="auto"/>
                <w:sz w:val="21"/>
                <w:szCs w:val="21"/>
                <w:highlight w:val="none"/>
                <w:lang w:eastAsia="zh-CN" w:bidi="ar"/>
              </w:rPr>
              <w:t>0</w:t>
            </w:r>
            <w:r>
              <w:rPr>
                <w:rStyle w:val="15"/>
                <w:rFonts w:hint="eastAsia" w:ascii="宋体" w:hAnsi="宋体" w:eastAsia="宋体" w:cs="宋体"/>
                <w:color w:val="auto"/>
                <w:sz w:val="21"/>
                <w:szCs w:val="21"/>
                <w:highlight w:val="none"/>
                <w:lang w:eastAsia="zh-CN" w:bidi="ar"/>
              </w:rPr>
              <w:t>分；</w:t>
            </w:r>
            <w:r>
              <w:rPr>
                <w:rStyle w:val="13"/>
                <w:rFonts w:hint="eastAsia" w:ascii="宋体" w:hAnsi="宋体" w:eastAsia="宋体" w:cs="宋体"/>
                <w:color w:val="auto"/>
                <w:highlight w:val="none"/>
                <w:lang w:eastAsia="zh-CN" w:bidi="ar"/>
              </w:rPr>
              <w:t>（有效证明材料以合同签订日期为准，无法判定合同签订日期的不予接受；须提供显示合同名称及服务内容的合同页和签字盖章页的扫描件。其余判定依据详见第五章附件类似业绩清单下的备注内容）。</w:t>
            </w:r>
          </w:p>
        </w:tc>
      </w:tr>
      <w:tr>
        <w:tblPrEx>
          <w:tblCellMar>
            <w:top w:w="0" w:type="dxa"/>
            <w:left w:w="108" w:type="dxa"/>
            <w:bottom w:w="0" w:type="dxa"/>
            <w:right w:w="108" w:type="dxa"/>
          </w:tblCellMar>
        </w:tblPrEx>
        <w:trPr>
          <w:trHeight w:val="683" w:hRule="atLeast"/>
        </w:trPr>
        <w:tc>
          <w:tcPr>
            <w:tcW w:w="194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整体服务方案</w:t>
            </w:r>
          </w:p>
        </w:tc>
        <w:tc>
          <w:tcPr>
            <w:tcW w:w="167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0~30</w:t>
            </w:r>
          </w:p>
        </w:tc>
        <w:tc>
          <w:tcPr>
            <w:tcW w:w="4797" w:type="dxa"/>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综合评审对项目需求的理解、服务项目定位和目标确定，以及项目实施各方案中项目管理、工作计划、方法流程、时间进度、人员组织、组织设计方案等方面的考虑。评价方案的合理性、针对性、具体性、操作性。优：方案合理性、针对性、具体性、操作性强。（21-30分）良：方案合理、有针对性，但措施不具体或操作性不强的。（11-20分）一般：方案合理，但针对性不强，措施不具体或措施操作性不强的。（1-10分）差：方案无法满足招标要求的。（0分）</w:t>
            </w: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2164"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312"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683" w:hRule="atLeast"/>
        </w:trPr>
        <w:tc>
          <w:tcPr>
            <w:tcW w:w="194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rPr>
            </w:pPr>
            <w:r>
              <w:rPr>
                <w:rStyle w:val="15"/>
                <w:rFonts w:hint="eastAsia" w:ascii="宋体" w:hAnsi="宋体" w:eastAsia="宋体" w:cs="宋体"/>
                <w:color w:val="auto"/>
                <w:sz w:val="21"/>
                <w:szCs w:val="21"/>
                <w:highlight w:val="none"/>
                <w:lang w:eastAsia="zh-CN" w:bidi="ar"/>
              </w:rPr>
              <w:t>各项保证保障措施、设备配置方案</w:t>
            </w:r>
          </w:p>
        </w:tc>
        <w:tc>
          <w:tcPr>
            <w:tcW w:w="167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9~18</w:t>
            </w:r>
          </w:p>
        </w:tc>
        <w:tc>
          <w:tcPr>
            <w:tcW w:w="4797" w:type="dxa"/>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bidi="ar"/>
              </w:rPr>
              <w:t>优：能够承诺保证有足够的人力、物力、设备等，保证按时按质按量完成委托调查工作，能够提供优质服务。良：能够承诺有人力、物力、设备等，保证按时按质按量完成调查服务。一般：基本能承诺有人力、物力、设备等，保证按时按质按量完成调查的服务。</w:t>
            </w:r>
            <w:r>
              <w:rPr>
                <w:rFonts w:hint="eastAsia" w:ascii="宋体" w:hAnsi="宋体" w:eastAsia="宋体" w:cs="宋体"/>
                <w:color w:val="auto"/>
                <w:highlight w:val="none"/>
                <w:lang w:bidi="ar"/>
              </w:rPr>
              <w:t>优：15-18分；良：12-14分；一般：9-11分。</w:t>
            </w: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312"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3" w:hRule="atLeast"/>
        </w:trPr>
        <w:tc>
          <w:tcPr>
            <w:tcW w:w="194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eastAsia="zh-CN" w:bidi="ar"/>
              </w:rPr>
              <w:t>项目组织机构、负责人及成员配置情况</w:t>
            </w:r>
          </w:p>
        </w:tc>
        <w:tc>
          <w:tcPr>
            <w:tcW w:w="167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2~8</w:t>
            </w:r>
          </w:p>
        </w:tc>
        <w:tc>
          <w:tcPr>
            <w:tcW w:w="4797" w:type="dxa"/>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bidi="ar"/>
              </w:rPr>
              <w:t>综合评审本项目组织机构，人员管理机制，主要管理人员及专业人员配置等人力配置情况，人员数量、任职资格、专业、学历、类似工作经验等等情况满足需求。优：人员配备非常充足，项目负责人及现场人员针对同类项目的工作经验丰富，人员配备的专业技术资格证书齐全；良：人员配备比较充足，项目负责人及现场人员针对同类项目具有工作经验，人员配备的专业技术资格证书较为齐全；一般：人员配备一般，项目负责人及现场人员针对同类项目的工作经验不足，人员具备的专业技术资格证书较少或无相关证书。</w:t>
            </w:r>
            <w:r>
              <w:rPr>
                <w:rFonts w:hint="eastAsia" w:ascii="宋体" w:hAnsi="宋体" w:eastAsia="宋体" w:cs="宋体"/>
                <w:color w:val="auto"/>
                <w:highlight w:val="none"/>
                <w:lang w:bidi="ar"/>
              </w:rPr>
              <w:t>优：8-10分；良：5-7分；一般：2-4分。</w:t>
            </w: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72"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3" w:hRule="atLeast"/>
        </w:trPr>
        <w:tc>
          <w:tcPr>
            <w:tcW w:w="194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eastAsia="zh-CN" w:bidi="ar"/>
              </w:rPr>
              <w:t>合理化建议及特色服务</w:t>
            </w:r>
          </w:p>
        </w:tc>
        <w:tc>
          <w:tcPr>
            <w:tcW w:w="167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bidi="ar"/>
              </w:rPr>
              <w:t>5~1</w:t>
            </w:r>
            <w:r>
              <w:rPr>
                <w:rStyle w:val="13"/>
                <w:rFonts w:hint="eastAsia" w:ascii="宋体" w:hAnsi="宋体" w:eastAsia="宋体" w:cs="宋体"/>
                <w:color w:val="auto"/>
                <w:highlight w:val="none"/>
                <w:lang w:eastAsia="zh-CN" w:bidi="ar"/>
              </w:rPr>
              <w:t>6</w:t>
            </w:r>
          </w:p>
        </w:tc>
        <w:tc>
          <w:tcPr>
            <w:tcW w:w="4797" w:type="dxa"/>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优：提出的合理化建议具有很强的操作性，合理性；特色服务有很强的有效性及针对性。良：提出的合理化建议具有合理性，可操作性较弱；特色服务针对性较弱。一般：提出的合理化建议无可操作性；特色服务无针对性。或未提出合理化建议及特色服务。优：13-16分；良：9-12分；一般：5-8分。</w:t>
            </w: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2376"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312"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683" w:hRule="atLeast"/>
        </w:trPr>
        <w:tc>
          <w:tcPr>
            <w:tcW w:w="1947"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5"/>
                <w:rFonts w:hint="eastAsia" w:ascii="宋体" w:hAnsi="宋体" w:eastAsia="宋体" w:cs="宋体"/>
                <w:color w:val="auto"/>
                <w:sz w:val="21"/>
                <w:szCs w:val="21"/>
                <w:highlight w:val="none"/>
                <w:lang w:bidi="ar"/>
              </w:rPr>
              <w:t>应急预案</w:t>
            </w:r>
          </w:p>
        </w:tc>
        <w:tc>
          <w:tcPr>
            <w:tcW w:w="167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0~6</w:t>
            </w:r>
          </w:p>
        </w:tc>
        <w:tc>
          <w:tcPr>
            <w:tcW w:w="4797" w:type="dxa"/>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优：应急预案合理性、及时性、可行性、可操作性强良：应急预案合理性、及时性、可行性、可操作性尚可一般：应急预案合理性、及时性、可行性、可操作性简单优：4-6分；良：2-3分；一般：0-1分。</w:t>
            </w: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683"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312" w:hRule="atLeast"/>
        </w:trPr>
        <w:tc>
          <w:tcPr>
            <w:tcW w:w="1947"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1675"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560"/>
              <w:jc w:val="center"/>
              <w:rPr>
                <w:rFonts w:hint="eastAsia" w:ascii="宋体" w:hAnsi="宋体" w:eastAsia="宋体" w:cs="宋体"/>
                <w:color w:val="auto"/>
                <w:highlight w:val="none"/>
                <w:lang w:eastAsia="zh-CN"/>
              </w:rPr>
            </w:pPr>
          </w:p>
        </w:tc>
        <w:tc>
          <w:tcPr>
            <w:tcW w:w="4797"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color w:val="auto"/>
                <w:highlight w:val="none"/>
                <w:lang w:eastAsia="zh-CN"/>
              </w:rPr>
            </w:pPr>
          </w:p>
        </w:tc>
      </w:tr>
      <w:tr>
        <w:tblPrEx>
          <w:tblCellMar>
            <w:top w:w="0" w:type="dxa"/>
            <w:left w:w="108" w:type="dxa"/>
            <w:bottom w:w="0" w:type="dxa"/>
            <w:right w:w="108" w:type="dxa"/>
          </w:tblCellMar>
        </w:tblPrEx>
        <w:trPr>
          <w:trHeight w:val="1511" w:hRule="atLeast"/>
        </w:trPr>
        <w:tc>
          <w:tcPr>
            <w:tcW w:w="19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技术方案和投标报价的相符性</w:t>
            </w:r>
          </w:p>
        </w:tc>
        <w:tc>
          <w:tcPr>
            <w:tcW w:w="16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0~</w:t>
            </w:r>
            <w:r>
              <w:rPr>
                <w:rFonts w:hint="eastAsia" w:ascii="宋体" w:hAnsi="宋体" w:eastAsia="宋体" w:cs="宋体"/>
                <w:color w:val="auto"/>
                <w:highlight w:val="none"/>
                <w:lang w:eastAsia="zh-CN" w:bidi="ar"/>
              </w:rPr>
              <w:t>3</w:t>
            </w:r>
          </w:p>
        </w:tc>
        <w:tc>
          <w:tcPr>
            <w:tcW w:w="4797" w:type="dxa"/>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技术部分和投标报价之间的相符性、各分项费用报价计取的准确性与合理性等</w:t>
            </w:r>
          </w:p>
          <w:p>
            <w:pP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1.技术部分和投标报价相符，各分项费用报价计取准确合理的，打分范围。（3分）</w:t>
            </w:r>
          </w:p>
          <w:p>
            <w:pP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2.技术部分和投标报价基本相符，各分项费用报价计取基本合理的，打分范围。（2分）</w:t>
            </w:r>
          </w:p>
          <w:p>
            <w:pP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eastAsia="zh-CN" w:bidi="ar"/>
              </w:rPr>
              <w:t>3.投标报价存在部分缺漏项（非核心工作内容），或各分项费用报价计取合理性较差的；或投标报价分析表之间数据勾稽关系不成立的，打分范围。</w:t>
            </w:r>
            <w:r>
              <w:rPr>
                <w:rFonts w:hint="eastAsia" w:ascii="宋体" w:hAnsi="宋体" w:eastAsia="宋体" w:cs="宋体"/>
                <w:color w:val="auto"/>
                <w:highlight w:val="none"/>
                <w:lang w:bidi="ar"/>
              </w:rPr>
              <w:t>（1分）</w:t>
            </w:r>
          </w:p>
        </w:tc>
      </w:tr>
      <w:tr>
        <w:tblPrEx>
          <w:tblCellMar>
            <w:top w:w="0" w:type="dxa"/>
            <w:left w:w="108" w:type="dxa"/>
            <w:bottom w:w="0" w:type="dxa"/>
            <w:right w:w="108" w:type="dxa"/>
          </w:tblCellMar>
        </w:tblPrEx>
        <w:trPr>
          <w:trHeight w:val="1177" w:hRule="atLeast"/>
        </w:trPr>
        <w:tc>
          <w:tcPr>
            <w:tcW w:w="194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eastAsia="zh-CN" w:bidi="ar"/>
              </w:rPr>
              <w:t>投标文件编制的完整性</w:t>
            </w:r>
          </w:p>
        </w:tc>
        <w:tc>
          <w:tcPr>
            <w:tcW w:w="1675"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highlight w:val="none"/>
              </w:rPr>
            </w:pPr>
            <w:r>
              <w:rPr>
                <w:rStyle w:val="13"/>
                <w:rFonts w:hint="eastAsia" w:ascii="宋体" w:hAnsi="宋体" w:eastAsia="宋体" w:cs="宋体"/>
                <w:color w:val="auto"/>
                <w:highlight w:val="none"/>
                <w:lang w:bidi="ar"/>
              </w:rPr>
              <w:t>0~1</w:t>
            </w:r>
          </w:p>
        </w:tc>
        <w:tc>
          <w:tcPr>
            <w:tcW w:w="4797" w:type="dxa"/>
            <w:tcBorders>
              <w:top w:val="nil"/>
              <w:left w:val="single" w:color="000000" w:sz="8" w:space="0"/>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highlight w:val="none"/>
                <w:lang w:eastAsia="zh-CN"/>
              </w:rPr>
            </w:pPr>
            <w:r>
              <w:rPr>
                <w:rStyle w:val="13"/>
                <w:rFonts w:hint="eastAsia" w:ascii="宋体" w:hAnsi="宋体" w:eastAsia="宋体" w:cs="宋体"/>
                <w:color w:val="auto"/>
                <w:highlight w:val="none"/>
                <w:lang w:eastAsia="zh-CN" w:bidi="ar"/>
              </w:rPr>
              <w:t>1.投标文件内容完整（指对招标要求逐一对应响应）、简洁明了、上传清晰，得1分；2.投标文件内容有缺漏、文字或图片不清晰，酌情扣分。</w:t>
            </w:r>
          </w:p>
        </w:tc>
      </w:tr>
    </w:tbl>
    <w:p>
      <w:pPr>
        <w:rPr>
          <w:rFonts w:ascii="仿宋" w:hAnsi="仿宋" w:eastAsia="仿宋" w:cs="仿宋"/>
          <w:b/>
          <w:bCs/>
          <w:color w:val="auto"/>
          <w:spacing w:val="-4"/>
          <w:sz w:val="24"/>
          <w:szCs w:val="24"/>
          <w:highlight w:val="none"/>
          <w:lang w:eastAsia="zh-CN"/>
        </w:rPr>
      </w:pPr>
      <w:r>
        <w:rPr>
          <w:rFonts w:hint="eastAsia" w:ascii="仿宋" w:hAnsi="仿宋" w:eastAsia="仿宋" w:cs="仿宋"/>
          <w:b/>
          <w:bCs/>
          <w:color w:val="auto"/>
          <w:spacing w:val="-4"/>
          <w:sz w:val="24"/>
          <w:szCs w:val="24"/>
          <w:highlight w:val="none"/>
          <w:lang w:eastAsia="zh-CN"/>
        </w:rPr>
        <w:br w:type="page"/>
      </w:r>
    </w:p>
    <w:p>
      <w:pPr>
        <w:pStyle w:val="5"/>
        <w:numPr>
          <w:ilvl w:val="0"/>
          <w:numId w:val="2"/>
        </w:numPr>
        <w:spacing w:line="360" w:lineRule="auto"/>
        <w:rPr>
          <w:rFonts w:hint="eastAsia"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lang w:eastAsia="zh-CN"/>
        </w:rPr>
        <w:t>工程检测服务</w:t>
      </w:r>
    </w:p>
    <w:p>
      <w:pPr>
        <w:spacing w:line="360" w:lineRule="auto"/>
        <w:outlineLvl w:val="0"/>
        <w:rPr>
          <w:rFonts w:hint="eastAsia" w:ascii="宋体" w:hAnsi="宋体" w:eastAsia="宋体" w:cs="宋体"/>
          <w:color w:val="auto"/>
          <w:spacing w:val="-4"/>
          <w:sz w:val="24"/>
          <w:szCs w:val="24"/>
          <w:highlight w:val="none"/>
          <w:lang w:eastAsia="zh-CN"/>
        </w:rPr>
      </w:pPr>
      <w:bookmarkStart w:id="0" w:name="_Toc18849"/>
      <w:bookmarkStart w:id="1" w:name="_Toc515864503"/>
      <w:bookmarkStart w:id="2" w:name="_Toc112266027"/>
      <w:r>
        <w:rPr>
          <w:rFonts w:hint="eastAsia" w:ascii="宋体" w:hAnsi="宋体" w:eastAsia="宋体" w:cs="宋体"/>
          <w:color w:val="auto"/>
          <w:spacing w:val="-4"/>
          <w:sz w:val="24"/>
          <w:szCs w:val="24"/>
          <w:highlight w:val="none"/>
          <w:lang w:eastAsia="zh-CN"/>
        </w:rPr>
        <w:t>1、工程范围：</w:t>
      </w:r>
      <w:bookmarkEnd w:id="0"/>
      <w:bookmarkEnd w:id="1"/>
      <w:bookmarkEnd w:id="2"/>
    </w:p>
    <w:p>
      <w:pPr>
        <w:spacing w:line="360" w:lineRule="auto"/>
        <w:ind w:firstLine="464" w:firstLineChars="200"/>
        <w:outlineLvl w:val="0"/>
        <w:rPr>
          <w:rFonts w:hint="eastAsia" w:ascii="宋体" w:hAnsi="宋体" w:eastAsia="宋体" w:cs="宋体"/>
          <w:color w:val="auto"/>
          <w:spacing w:val="-4"/>
          <w:sz w:val="24"/>
          <w:szCs w:val="24"/>
          <w:highlight w:val="none"/>
          <w:lang w:eastAsia="zh-CN"/>
        </w:rPr>
      </w:pPr>
      <w:bookmarkStart w:id="3" w:name="_Toc3952"/>
      <w:bookmarkStart w:id="4" w:name="_Toc515864504"/>
      <w:bookmarkStart w:id="5" w:name="_Toc112266028"/>
      <w:r>
        <w:rPr>
          <w:rFonts w:hint="eastAsia" w:ascii="宋体" w:hAnsi="宋体" w:eastAsia="宋体" w:cs="宋体"/>
          <w:color w:val="auto"/>
          <w:spacing w:val="-4"/>
          <w:sz w:val="24"/>
          <w:szCs w:val="24"/>
          <w:highlight w:val="none"/>
          <w:lang w:eastAsia="zh-CN"/>
        </w:rPr>
        <w:t>临港实验室临港园区项目选址位于临港新片区顶尖科学家社区H07-01B地块。项目主要建设内容为科研用房及科研辅助用房、公用设施、行政及生活服务用房等。</w:t>
      </w:r>
      <w:bookmarkEnd w:id="3"/>
    </w:p>
    <w:p>
      <w:pPr>
        <w:spacing w:line="360" w:lineRule="auto"/>
        <w:outlineLvl w:val="0"/>
        <w:rPr>
          <w:rFonts w:hint="eastAsia" w:ascii="宋体" w:hAnsi="宋体" w:eastAsia="宋体" w:cs="宋体"/>
          <w:color w:val="auto"/>
          <w:spacing w:val="-4"/>
          <w:sz w:val="24"/>
          <w:szCs w:val="24"/>
          <w:highlight w:val="none"/>
          <w:lang w:eastAsia="zh-CN"/>
        </w:rPr>
      </w:pPr>
      <w:bookmarkStart w:id="6" w:name="_Toc811"/>
      <w:r>
        <w:rPr>
          <w:rFonts w:hint="eastAsia" w:ascii="宋体" w:hAnsi="宋体" w:eastAsia="宋体" w:cs="宋体"/>
          <w:color w:val="auto"/>
          <w:spacing w:val="-4"/>
          <w:sz w:val="24"/>
          <w:szCs w:val="24"/>
          <w:highlight w:val="none"/>
          <w:lang w:eastAsia="zh-CN"/>
        </w:rPr>
        <w:t>2、招标内容</w:t>
      </w:r>
      <w:bookmarkEnd w:id="4"/>
      <w:bookmarkEnd w:id="5"/>
      <w:bookmarkEnd w:id="6"/>
    </w:p>
    <w:p>
      <w:pPr>
        <w:pStyle w:val="7"/>
        <w:numPr>
          <w:ilvl w:val="255"/>
          <w:numId w:val="0"/>
        </w:numPr>
        <w:spacing w:before="156" w:beforeLines="50" w:after="156" w:afterLines="50" w:line="360" w:lineRule="auto"/>
        <w:ind w:left="0" w:leftChars="0" w:firstLine="464"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pacing w:val="-4"/>
          <w:sz w:val="24"/>
          <w:szCs w:val="24"/>
          <w:highlight w:val="none"/>
          <w:lang w:eastAsia="zh-CN"/>
        </w:rPr>
        <w:t>对临港实验室临港园区项目进行工程检测，包括但不限于材料</w:t>
      </w:r>
      <w:r>
        <w:rPr>
          <w:rFonts w:hint="eastAsia" w:ascii="宋体" w:hAnsi="宋体" w:eastAsia="宋体" w:cs="宋体"/>
          <w:color w:val="auto"/>
          <w:spacing w:val="-4"/>
          <w:sz w:val="24"/>
          <w:highlight w:val="none"/>
          <w:lang w:eastAsia="zh-CN"/>
        </w:rPr>
        <w:t>（结构材料、周转材料、装饰装修材料、加固材料、防水材料、工程管材、主体结构、钢结构材料、钢结构无损、节能材料、节能现场、建筑门窗与幕墙）</w:t>
      </w:r>
      <w:r>
        <w:rPr>
          <w:rFonts w:hint="eastAsia" w:ascii="宋体" w:hAnsi="宋体" w:eastAsia="宋体" w:cs="宋体"/>
          <w:color w:val="auto"/>
          <w:spacing w:val="-4"/>
          <w:sz w:val="24"/>
          <w:szCs w:val="24"/>
          <w:highlight w:val="none"/>
          <w:lang w:val="en-US" w:eastAsia="zh-CN"/>
        </w:rPr>
        <w:t>及实体</w:t>
      </w:r>
      <w:r>
        <w:rPr>
          <w:rFonts w:hint="eastAsia" w:ascii="宋体" w:hAnsi="宋体" w:eastAsia="宋体" w:cs="宋体"/>
          <w:color w:val="auto"/>
          <w:spacing w:val="-4"/>
          <w:sz w:val="24"/>
          <w:szCs w:val="24"/>
          <w:highlight w:val="none"/>
          <w:lang w:eastAsia="zh-CN"/>
        </w:rPr>
        <w:t>检测（</w:t>
      </w:r>
      <w:r>
        <w:rPr>
          <w:rFonts w:hint="eastAsia" w:ascii="宋体" w:hAnsi="宋体" w:eastAsia="宋体" w:cs="宋体"/>
          <w:color w:val="auto"/>
          <w:spacing w:val="-4"/>
          <w:sz w:val="24"/>
          <w:szCs w:val="24"/>
          <w:highlight w:val="none"/>
          <w:lang w:val="en-US" w:eastAsia="zh-CN"/>
        </w:rPr>
        <w:t>含室内空气检测、能效测评、通风空调检测、照明系统检测、沉降观测、人防防护设备、绿化验收、土壤检测等）</w:t>
      </w:r>
      <w:r>
        <w:rPr>
          <w:rFonts w:hint="eastAsia" w:ascii="宋体" w:hAnsi="宋体" w:eastAsia="宋体" w:cs="宋体"/>
          <w:color w:val="auto"/>
          <w:spacing w:val="-4"/>
          <w:sz w:val="24"/>
          <w:szCs w:val="24"/>
          <w:highlight w:val="none"/>
          <w:lang w:eastAsia="zh-CN"/>
        </w:rPr>
        <w:t>、分项计量、低压配电系统检测、建筑消防设施检测、防雷检测、CCTV检测、集中空调通风系统竣工验收卫生学评价、集中空调通风系统竣工验收卫生学检测、二次供水竣工验收检测、</w:t>
      </w:r>
      <w:r>
        <w:rPr>
          <w:rFonts w:hint="eastAsia" w:ascii="宋体" w:hAnsi="宋体" w:eastAsia="宋体" w:cs="宋体"/>
          <w:color w:val="auto"/>
          <w:spacing w:val="-3"/>
          <w:sz w:val="24"/>
          <w:szCs w:val="24"/>
          <w:highlight w:val="none"/>
          <w:lang w:eastAsia="zh-CN"/>
        </w:rPr>
        <w:t>职业病危害控制效果评价报告</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民防工程防护设备</w:t>
      </w:r>
      <w:r>
        <w:rPr>
          <w:rFonts w:hint="eastAsia" w:ascii="宋体" w:hAnsi="宋体" w:eastAsia="宋体" w:cs="宋体"/>
          <w:color w:val="auto"/>
          <w:spacing w:val="-4"/>
          <w:sz w:val="24"/>
          <w:szCs w:val="24"/>
          <w:highlight w:val="none"/>
          <w:lang w:eastAsia="zh-CN"/>
        </w:rPr>
        <w:t>检测服务。按照相关规范及标准出具检测报告。</w:t>
      </w:r>
    </w:p>
    <w:p>
      <w:pPr>
        <w:spacing w:line="360" w:lineRule="auto"/>
        <w:outlineLvl w:val="0"/>
        <w:rPr>
          <w:rFonts w:hint="eastAsia" w:ascii="宋体" w:hAnsi="宋体" w:eastAsia="宋体" w:cs="宋体"/>
          <w:color w:val="auto"/>
          <w:spacing w:val="-4"/>
          <w:sz w:val="24"/>
          <w:szCs w:val="24"/>
          <w:highlight w:val="none"/>
          <w:lang w:eastAsia="zh-CN"/>
        </w:rPr>
      </w:pPr>
      <w:bookmarkStart w:id="7" w:name="_Toc515864505"/>
      <w:bookmarkStart w:id="8" w:name="_Toc112266029"/>
      <w:bookmarkStart w:id="9" w:name="_Toc9457"/>
      <w:r>
        <w:rPr>
          <w:rFonts w:hint="eastAsia" w:ascii="宋体" w:hAnsi="宋体" w:eastAsia="宋体" w:cs="宋体"/>
          <w:color w:val="auto"/>
          <w:spacing w:val="-4"/>
          <w:sz w:val="24"/>
          <w:szCs w:val="24"/>
          <w:highlight w:val="none"/>
          <w:lang w:eastAsia="zh-CN"/>
        </w:rPr>
        <w:t>3、报价的方式</w:t>
      </w:r>
      <w:bookmarkEnd w:id="7"/>
      <w:bookmarkEnd w:id="8"/>
      <w:bookmarkEnd w:id="9"/>
    </w:p>
    <w:p>
      <w:pPr>
        <w:spacing w:line="360" w:lineRule="auto"/>
        <w:outlineLvl w:val="0"/>
        <w:rPr>
          <w:rFonts w:hint="eastAsia" w:ascii="宋体" w:hAnsi="宋体" w:eastAsia="宋体" w:cs="宋体"/>
          <w:color w:val="auto"/>
          <w:spacing w:val="-4"/>
          <w:sz w:val="24"/>
          <w:szCs w:val="24"/>
          <w:highlight w:val="none"/>
          <w:lang w:eastAsia="zh-CN"/>
        </w:rPr>
      </w:pPr>
      <w:bookmarkStart w:id="10" w:name="_Toc515864506"/>
      <w:bookmarkStart w:id="11" w:name="_Toc112266030"/>
      <w:bookmarkStart w:id="12" w:name="_Toc9067"/>
      <w:r>
        <w:rPr>
          <w:rFonts w:hint="eastAsia" w:ascii="宋体" w:hAnsi="宋体" w:eastAsia="宋体" w:cs="宋体"/>
          <w:color w:val="auto"/>
          <w:spacing w:val="-4"/>
          <w:sz w:val="24"/>
          <w:szCs w:val="24"/>
          <w:highlight w:val="none"/>
          <w:lang w:eastAsia="zh-CN"/>
        </w:rPr>
        <w:t>3.1投标人应根据《上海市政府投资房屋建筑、市政基础设施和公路工程检测收费标准》</w:t>
      </w:r>
      <w:bookmarkEnd w:id="10"/>
      <w:bookmarkEnd w:id="11"/>
      <w:bookmarkStart w:id="13" w:name="_Toc112266031"/>
      <w:bookmarkStart w:id="14" w:name="_Toc515864507"/>
      <w:r>
        <w:rPr>
          <w:rFonts w:hint="eastAsia" w:ascii="宋体" w:hAnsi="宋体" w:eastAsia="宋体" w:cs="宋体"/>
          <w:color w:val="auto"/>
          <w:spacing w:val="-4"/>
          <w:sz w:val="24"/>
          <w:szCs w:val="24"/>
          <w:highlight w:val="none"/>
          <w:lang w:val="en-US" w:eastAsia="zh-CN"/>
        </w:rPr>
        <w:t>、上海市消防协会制定的“上海市消防安全评估计费指导价格”以及上海疾控安全健康保健评价中心2005年11月《上海疾控安全健康保健评价中心建设项目职业病危害预评价、生评收费&gt;</w:t>
      </w:r>
      <w:r>
        <w:rPr>
          <w:rFonts w:hint="eastAsia" w:ascii="宋体" w:hAnsi="宋体" w:eastAsia="宋体" w:cs="宋体"/>
          <w:color w:val="auto"/>
          <w:spacing w:val="-4"/>
          <w:sz w:val="24"/>
          <w:szCs w:val="24"/>
          <w:highlight w:val="none"/>
          <w:lang w:eastAsia="zh-CN"/>
        </w:rPr>
        <w:t>，结合企业自身情况填报各检查项单价。</w:t>
      </w:r>
      <w:bookmarkEnd w:id="12"/>
      <w:bookmarkEnd w:id="13"/>
      <w:bookmarkEnd w:id="14"/>
    </w:p>
    <w:p>
      <w:pPr>
        <w:spacing w:line="360" w:lineRule="auto"/>
        <w:outlineLvl w:val="0"/>
        <w:rPr>
          <w:rFonts w:hint="eastAsia" w:ascii="宋体" w:hAnsi="宋体" w:eastAsia="宋体" w:cs="宋体"/>
          <w:color w:val="auto"/>
          <w:spacing w:val="-4"/>
          <w:sz w:val="24"/>
          <w:szCs w:val="24"/>
          <w:highlight w:val="none"/>
          <w:lang w:eastAsia="zh-CN"/>
        </w:rPr>
      </w:pPr>
      <w:bookmarkStart w:id="15" w:name="_Toc515864508"/>
      <w:bookmarkStart w:id="16" w:name="_Toc11403"/>
      <w:bookmarkStart w:id="17" w:name="_Toc112266032"/>
      <w:r>
        <w:rPr>
          <w:rFonts w:hint="eastAsia" w:ascii="宋体" w:hAnsi="宋体" w:eastAsia="宋体" w:cs="宋体"/>
          <w:color w:val="auto"/>
          <w:spacing w:val="-4"/>
          <w:sz w:val="24"/>
          <w:szCs w:val="24"/>
          <w:highlight w:val="none"/>
          <w:lang w:eastAsia="zh-CN"/>
        </w:rPr>
        <w:t>4、工程量的确认</w:t>
      </w:r>
      <w:bookmarkEnd w:id="15"/>
      <w:bookmarkEnd w:id="16"/>
      <w:bookmarkEnd w:id="17"/>
    </w:p>
    <w:p>
      <w:pPr>
        <w:spacing w:line="360" w:lineRule="auto"/>
        <w:outlineLvl w:val="0"/>
        <w:rPr>
          <w:rFonts w:hint="eastAsia" w:ascii="宋体" w:hAnsi="宋体" w:eastAsia="宋体" w:cs="宋体"/>
          <w:color w:val="auto"/>
          <w:spacing w:val="-4"/>
          <w:sz w:val="24"/>
          <w:szCs w:val="24"/>
          <w:highlight w:val="none"/>
          <w:lang w:eastAsia="zh-CN"/>
        </w:rPr>
      </w:pPr>
      <w:bookmarkStart w:id="18" w:name="_Toc515864509"/>
      <w:bookmarkStart w:id="19" w:name="_Toc112266033"/>
      <w:bookmarkStart w:id="20" w:name="_Toc13234"/>
      <w:r>
        <w:rPr>
          <w:rFonts w:hint="eastAsia" w:ascii="宋体" w:hAnsi="宋体" w:eastAsia="宋体" w:cs="宋体"/>
          <w:color w:val="auto"/>
          <w:spacing w:val="-4"/>
          <w:sz w:val="24"/>
          <w:szCs w:val="24"/>
          <w:highlight w:val="none"/>
          <w:lang w:eastAsia="zh-CN"/>
        </w:rPr>
        <w:t>4.1工程量最终按实结算。</w:t>
      </w:r>
      <w:bookmarkEnd w:id="18"/>
      <w:bookmarkEnd w:id="19"/>
      <w:bookmarkEnd w:id="20"/>
    </w:p>
    <w:p>
      <w:pPr>
        <w:spacing w:line="360" w:lineRule="auto"/>
        <w:rPr>
          <w:rFonts w:hint="eastAsia" w:ascii="宋体" w:hAnsi="宋体" w:eastAsia="宋体" w:cs="宋体"/>
          <w:color w:val="auto"/>
          <w:spacing w:val="-4"/>
          <w:sz w:val="24"/>
          <w:szCs w:val="24"/>
          <w:highlight w:val="none"/>
          <w:lang w:eastAsia="zh-CN"/>
        </w:rPr>
      </w:pPr>
      <w:bookmarkStart w:id="21" w:name="_Toc167551928"/>
      <w:r>
        <w:rPr>
          <w:rFonts w:hint="eastAsia" w:ascii="宋体" w:hAnsi="宋体" w:eastAsia="宋体" w:cs="宋体"/>
          <w:color w:val="auto"/>
          <w:spacing w:val="-4"/>
          <w:sz w:val="24"/>
          <w:szCs w:val="24"/>
          <w:highlight w:val="none"/>
          <w:lang w:eastAsia="zh-CN"/>
        </w:rPr>
        <w:t>5、质量和期限</w:t>
      </w:r>
      <w:bookmarkEnd w:id="21"/>
    </w:p>
    <w:p>
      <w:pPr>
        <w:spacing w:line="360" w:lineRule="auto"/>
        <w:outlineLvl w:val="0"/>
        <w:rPr>
          <w:rFonts w:hint="eastAsia" w:ascii="宋体" w:hAnsi="宋体" w:eastAsia="宋体" w:cs="宋体"/>
          <w:color w:val="auto"/>
          <w:spacing w:val="-4"/>
          <w:sz w:val="24"/>
          <w:szCs w:val="24"/>
          <w:highlight w:val="none"/>
          <w:lang w:eastAsia="zh-CN"/>
        </w:rPr>
      </w:pPr>
      <w:bookmarkStart w:id="22" w:name="_Toc112266034"/>
      <w:bookmarkStart w:id="23" w:name="_Toc26141"/>
      <w:bookmarkStart w:id="24" w:name="_Toc515864510"/>
      <w:r>
        <w:rPr>
          <w:rFonts w:hint="eastAsia" w:ascii="宋体" w:hAnsi="宋体" w:eastAsia="宋体" w:cs="宋体"/>
          <w:color w:val="auto"/>
          <w:spacing w:val="-4"/>
          <w:sz w:val="24"/>
          <w:szCs w:val="24"/>
          <w:highlight w:val="none"/>
          <w:lang w:eastAsia="zh-CN"/>
        </w:rPr>
        <w:t>5.1检测期限</w:t>
      </w:r>
      <w:bookmarkEnd w:id="22"/>
      <w:bookmarkEnd w:id="23"/>
      <w:bookmarkEnd w:id="24"/>
    </w:p>
    <w:p>
      <w:pPr>
        <w:spacing w:line="360" w:lineRule="auto"/>
        <w:outlineLvl w:val="0"/>
        <w:rPr>
          <w:rFonts w:hint="eastAsia" w:ascii="宋体" w:hAnsi="宋体" w:eastAsia="宋体" w:cs="宋体"/>
          <w:color w:val="auto"/>
          <w:spacing w:val="-4"/>
          <w:sz w:val="24"/>
          <w:szCs w:val="24"/>
          <w:highlight w:val="none"/>
          <w:lang w:eastAsia="zh-CN"/>
        </w:rPr>
      </w:pPr>
      <w:bookmarkStart w:id="25" w:name="_Toc10474"/>
      <w:bookmarkStart w:id="26" w:name="_Toc515864511"/>
      <w:bookmarkStart w:id="27" w:name="_Toc112266035"/>
      <w:r>
        <w:rPr>
          <w:rFonts w:hint="eastAsia" w:ascii="宋体" w:hAnsi="宋体" w:eastAsia="宋体" w:cs="宋体"/>
          <w:color w:val="auto"/>
          <w:spacing w:val="-4"/>
          <w:sz w:val="24"/>
          <w:szCs w:val="24"/>
          <w:highlight w:val="none"/>
          <w:lang w:eastAsia="zh-CN"/>
        </w:rPr>
        <w:t>5.1.1合同签订之日起至工程通过竣工验收之日止。中标人进场时间根据合同另行确定。</w:t>
      </w:r>
      <w:bookmarkEnd w:id="25"/>
      <w:bookmarkEnd w:id="26"/>
      <w:bookmarkEnd w:id="27"/>
    </w:p>
    <w:p>
      <w:pPr>
        <w:spacing w:line="360" w:lineRule="auto"/>
        <w:outlineLvl w:val="0"/>
        <w:rPr>
          <w:rFonts w:hint="eastAsia" w:ascii="宋体" w:hAnsi="宋体" w:eastAsia="宋体" w:cs="宋体"/>
          <w:color w:val="auto"/>
          <w:spacing w:val="-4"/>
          <w:sz w:val="24"/>
          <w:szCs w:val="24"/>
          <w:highlight w:val="none"/>
          <w:lang w:eastAsia="zh-CN"/>
        </w:rPr>
      </w:pPr>
      <w:bookmarkStart w:id="28" w:name="_Toc32072"/>
      <w:bookmarkStart w:id="29" w:name="_Toc515864512"/>
      <w:bookmarkStart w:id="30" w:name="_Toc112266036"/>
      <w:r>
        <w:rPr>
          <w:rFonts w:hint="eastAsia" w:ascii="宋体" w:hAnsi="宋体" w:eastAsia="宋体" w:cs="宋体"/>
          <w:color w:val="auto"/>
          <w:spacing w:val="-4"/>
          <w:sz w:val="24"/>
          <w:szCs w:val="24"/>
          <w:highlight w:val="none"/>
          <w:lang w:eastAsia="zh-CN"/>
        </w:rPr>
        <w:t>5.1.2检测单位需在国家标准及规范的规定时间和保证施工顺利进行的时间内完成材料的检测，并提供检测报告或速报。</w:t>
      </w:r>
      <w:bookmarkEnd w:id="28"/>
      <w:bookmarkEnd w:id="29"/>
      <w:bookmarkEnd w:id="30"/>
    </w:p>
    <w:p>
      <w:pPr>
        <w:spacing w:line="360" w:lineRule="auto"/>
        <w:outlineLvl w:val="0"/>
        <w:rPr>
          <w:rFonts w:hint="eastAsia" w:ascii="宋体" w:hAnsi="宋体" w:eastAsia="宋体" w:cs="宋体"/>
          <w:color w:val="auto"/>
          <w:spacing w:val="-4"/>
          <w:sz w:val="24"/>
          <w:szCs w:val="24"/>
          <w:highlight w:val="none"/>
          <w:lang w:eastAsia="zh-CN"/>
        </w:rPr>
      </w:pPr>
      <w:bookmarkStart w:id="31" w:name="_Toc26893"/>
      <w:bookmarkStart w:id="32" w:name="_Toc515864513"/>
      <w:bookmarkStart w:id="33" w:name="_Toc112266037"/>
      <w:r>
        <w:rPr>
          <w:rFonts w:hint="eastAsia" w:ascii="宋体" w:hAnsi="宋体" w:eastAsia="宋体" w:cs="宋体"/>
          <w:color w:val="auto"/>
          <w:spacing w:val="-4"/>
          <w:sz w:val="24"/>
          <w:szCs w:val="24"/>
          <w:highlight w:val="none"/>
          <w:lang w:eastAsia="zh-CN"/>
        </w:rPr>
        <w:t>5.2质量</w:t>
      </w:r>
      <w:bookmarkEnd w:id="31"/>
      <w:bookmarkEnd w:id="32"/>
      <w:bookmarkEnd w:id="33"/>
    </w:p>
    <w:p>
      <w:pPr>
        <w:spacing w:line="360" w:lineRule="auto"/>
        <w:outlineLvl w:val="0"/>
        <w:rPr>
          <w:rFonts w:hint="eastAsia" w:ascii="宋体" w:hAnsi="宋体" w:eastAsia="宋体" w:cs="宋体"/>
          <w:color w:val="auto"/>
          <w:spacing w:val="-4"/>
          <w:sz w:val="24"/>
          <w:szCs w:val="24"/>
          <w:highlight w:val="none"/>
          <w:lang w:eastAsia="zh-CN"/>
        </w:rPr>
      </w:pPr>
      <w:bookmarkStart w:id="34" w:name="_Toc515864514"/>
      <w:bookmarkStart w:id="35" w:name="_Toc112266038"/>
      <w:bookmarkStart w:id="36" w:name="_Toc28052"/>
      <w:r>
        <w:rPr>
          <w:rFonts w:hint="eastAsia" w:ascii="宋体" w:hAnsi="宋体" w:eastAsia="宋体" w:cs="宋体"/>
          <w:color w:val="auto"/>
          <w:spacing w:val="-4"/>
          <w:sz w:val="24"/>
          <w:szCs w:val="24"/>
          <w:highlight w:val="none"/>
          <w:lang w:eastAsia="zh-CN"/>
        </w:rPr>
        <w:t>按规范要求做到科学、公平、公正。</w:t>
      </w:r>
      <w:bookmarkEnd w:id="34"/>
      <w:bookmarkEnd w:id="35"/>
      <w:bookmarkEnd w:id="36"/>
    </w:p>
    <w:p>
      <w:pPr>
        <w:spacing w:line="360" w:lineRule="auto"/>
        <w:outlineLvl w:val="0"/>
        <w:rPr>
          <w:rFonts w:hint="eastAsia" w:ascii="宋体" w:hAnsi="宋体" w:eastAsia="宋体" w:cs="宋体"/>
          <w:color w:val="auto"/>
          <w:spacing w:val="-4"/>
          <w:sz w:val="24"/>
          <w:szCs w:val="24"/>
          <w:highlight w:val="none"/>
          <w:lang w:eastAsia="zh-CN"/>
        </w:rPr>
      </w:pPr>
      <w:bookmarkStart w:id="37" w:name="_Toc515864515"/>
      <w:bookmarkStart w:id="38" w:name="_Toc112266039"/>
      <w:bookmarkStart w:id="39" w:name="_Toc16685"/>
      <w:r>
        <w:rPr>
          <w:rFonts w:hint="eastAsia" w:ascii="宋体" w:hAnsi="宋体" w:eastAsia="宋体" w:cs="宋体"/>
          <w:color w:val="auto"/>
          <w:spacing w:val="-4"/>
          <w:sz w:val="24"/>
          <w:szCs w:val="24"/>
          <w:highlight w:val="none"/>
          <w:lang w:eastAsia="zh-CN"/>
        </w:rPr>
        <w:t>5.2.1工作要求：满足设计与国家标准及规范要求以及上海市政府主管部门规定所需的一切要求。</w:t>
      </w:r>
      <w:bookmarkEnd w:id="37"/>
      <w:bookmarkEnd w:id="38"/>
      <w:bookmarkEnd w:id="39"/>
    </w:p>
    <w:p>
      <w:pPr>
        <w:spacing w:line="360" w:lineRule="auto"/>
        <w:outlineLvl w:val="0"/>
        <w:rPr>
          <w:rFonts w:hint="eastAsia" w:ascii="宋体" w:hAnsi="宋体" w:eastAsia="宋体" w:cs="宋体"/>
          <w:color w:val="auto"/>
          <w:spacing w:val="-4"/>
          <w:sz w:val="24"/>
          <w:szCs w:val="24"/>
          <w:highlight w:val="none"/>
          <w:lang w:eastAsia="zh-CN"/>
        </w:rPr>
      </w:pPr>
      <w:bookmarkStart w:id="40" w:name="_Toc112266040"/>
      <w:bookmarkStart w:id="41" w:name="_Toc515864516"/>
      <w:bookmarkStart w:id="42" w:name="_Toc14539"/>
      <w:r>
        <w:rPr>
          <w:rFonts w:hint="eastAsia" w:ascii="宋体" w:hAnsi="宋体" w:eastAsia="宋体" w:cs="宋体"/>
          <w:color w:val="auto"/>
          <w:spacing w:val="-4"/>
          <w:sz w:val="24"/>
          <w:szCs w:val="24"/>
          <w:highlight w:val="none"/>
          <w:lang w:eastAsia="zh-CN"/>
        </w:rPr>
        <w:t>5.3对检测人员要求</w:t>
      </w:r>
      <w:bookmarkEnd w:id="40"/>
      <w:bookmarkEnd w:id="41"/>
      <w:bookmarkEnd w:id="42"/>
    </w:p>
    <w:p>
      <w:pPr>
        <w:spacing w:line="360" w:lineRule="auto"/>
        <w:outlineLvl w:val="0"/>
        <w:rPr>
          <w:rFonts w:hint="eastAsia" w:ascii="宋体" w:hAnsi="宋体" w:eastAsia="宋体" w:cs="宋体"/>
          <w:color w:val="auto"/>
          <w:spacing w:val="-4"/>
          <w:sz w:val="24"/>
          <w:szCs w:val="24"/>
          <w:highlight w:val="none"/>
          <w:lang w:eastAsia="zh-CN"/>
        </w:rPr>
      </w:pPr>
      <w:bookmarkStart w:id="43" w:name="_Toc30946"/>
      <w:bookmarkStart w:id="44" w:name="_Toc515864517"/>
      <w:bookmarkStart w:id="45" w:name="_Toc112266041"/>
      <w:r>
        <w:rPr>
          <w:rFonts w:hint="eastAsia" w:ascii="宋体" w:hAnsi="宋体" w:eastAsia="宋体" w:cs="宋体"/>
          <w:color w:val="auto"/>
          <w:spacing w:val="-4"/>
          <w:sz w:val="24"/>
          <w:szCs w:val="24"/>
          <w:highlight w:val="none"/>
          <w:lang w:eastAsia="zh-CN"/>
        </w:rPr>
        <w:t>4.3.1担任本工程检测的项目负责人必须是检测单位的在编人员，持有相关证书，具有同类检测经历。</w:t>
      </w:r>
      <w:bookmarkEnd w:id="43"/>
      <w:bookmarkEnd w:id="44"/>
      <w:bookmarkEnd w:id="45"/>
    </w:p>
    <w:p>
      <w:pPr>
        <w:spacing w:line="360" w:lineRule="auto"/>
        <w:outlineLvl w:val="0"/>
        <w:rPr>
          <w:rFonts w:hint="eastAsia" w:ascii="宋体" w:hAnsi="宋体" w:eastAsia="宋体" w:cs="宋体"/>
          <w:color w:val="auto"/>
          <w:spacing w:val="-4"/>
          <w:sz w:val="24"/>
          <w:szCs w:val="24"/>
          <w:highlight w:val="none"/>
          <w:lang w:eastAsia="zh-CN"/>
        </w:rPr>
      </w:pPr>
      <w:bookmarkStart w:id="46" w:name="_Toc515864518"/>
      <w:bookmarkStart w:id="47" w:name="_Toc112266042"/>
      <w:bookmarkStart w:id="48" w:name="_Toc2357"/>
      <w:r>
        <w:rPr>
          <w:rFonts w:hint="eastAsia" w:ascii="宋体" w:hAnsi="宋体" w:eastAsia="宋体" w:cs="宋体"/>
          <w:color w:val="auto"/>
          <w:spacing w:val="-4"/>
          <w:sz w:val="24"/>
          <w:szCs w:val="24"/>
          <w:highlight w:val="none"/>
          <w:lang w:eastAsia="zh-CN"/>
        </w:rPr>
        <w:t>5.3.2除工程检测负责人外，还须配备在职专职检测工程师，持有相关证书，进驻工地的检测人员必须专业结构齐全，年龄适当，并具有同类工程的检测经历。</w:t>
      </w:r>
      <w:bookmarkEnd w:id="46"/>
      <w:bookmarkEnd w:id="47"/>
      <w:bookmarkEnd w:id="48"/>
    </w:p>
    <w:p>
      <w:pPr>
        <w:spacing w:line="360" w:lineRule="auto"/>
        <w:outlineLvl w:val="0"/>
        <w:rPr>
          <w:rFonts w:hint="eastAsia" w:ascii="宋体" w:hAnsi="宋体" w:eastAsia="宋体" w:cs="宋体"/>
          <w:color w:val="auto"/>
          <w:spacing w:val="-4"/>
          <w:sz w:val="24"/>
          <w:szCs w:val="24"/>
          <w:highlight w:val="none"/>
          <w:lang w:eastAsia="zh-CN"/>
        </w:rPr>
      </w:pPr>
      <w:bookmarkStart w:id="49" w:name="_Toc112266043"/>
      <w:bookmarkStart w:id="50" w:name="_Toc515864519"/>
      <w:bookmarkStart w:id="51" w:name="_Toc22052"/>
      <w:r>
        <w:rPr>
          <w:rFonts w:hint="eastAsia" w:ascii="宋体" w:hAnsi="宋体" w:eastAsia="宋体" w:cs="宋体"/>
          <w:color w:val="auto"/>
          <w:spacing w:val="-4"/>
          <w:sz w:val="24"/>
          <w:szCs w:val="24"/>
          <w:highlight w:val="none"/>
          <w:lang w:eastAsia="zh-CN"/>
        </w:rPr>
        <w:t>5.3.3招标人要求本工程检测人员数量应满足工程检测的需要，按工程专业配备检测人员，检测人员必须持有检测资格证书或上岗证，人员相对稳定。</w:t>
      </w:r>
      <w:bookmarkEnd w:id="49"/>
      <w:bookmarkEnd w:id="50"/>
      <w:bookmarkEnd w:id="51"/>
    </w:p>
    <w:p>
      <w:pPr>
        <w:spacing w:line="360" w:lineRule="auto"/>
        <w:outlineLvl w:val="0"/>
        <w:rPr>
          <w:rFonts w:hint="eastAsia" w:ascii="宋体" w:hAnsi="宋体" w:eastAsia="宋体" w:cs="宋体"/>
          <w:color w:val="auto"/>
          <w:spacing w:val="-4"/>
          <w:sz w:val="24"/>
          <w:szCs w:val="24"/>
          <w:highlight w:val="none"/>
          <w:lang w:eastAsia="zh-CN"/>
        </w:rPr>
      </w:pPr>
      <w:bookmarkStart w:id="52" w:name="_Toc26258"/>
      <w:bookmarkStart w:id="53" w:name="_Toc515864520"/>
      <w:bookmarkStart w:id="54" w:name="_Toc112266044"/>
      <w:r>
        <w:rPr>
          <w:rFonts w:hint="eastAsia" w:ascii="宋体" w:hAnsi="宋体" w:eastAsia="宋体" w:cs="宋体"/>
          <w:color w:val="auto"/>
          <w:spacing w:val="-4"/>
          <w:sz w:val="24"/>
          <w:szCs w:val="24"/>
          <w:highlight w:val="none"/>
          <w:lang w:eastAsia="zh-CN"/>
        </w:rPr>
        <w:t>5.3.4检测人员应有良好的职业道德和严谨的工作作风。</w:t>
      </w:r>
      <w:bookmarkEnd w:id="52"/>
      <w:bookmarkEnd w:id="53"/>
      <w:bookmarkEnd w:id="54"/>
    </w:p>
    <w:p>
      <w:pPr>
        <w:spacing w:line="360" w:lineRule="auto"/>
        <w:rPr>
          <w:rFonts w:hint="eastAsia" w:ascii="宋体" w:hAnsi="宋体" w:eastAsia="宋体" w:cs="宋体"/>
          <w:color w:val="auto"/>
          <w:spacing w:val="-4"/>
          <w:sz w:val="24"/>
          <w:szCs w:val="24"/>
          <w:highlight w:val="none"/>
          <w:lang w:eastAsia="zh-CN"/>
        </w:rPr>
      </w:pPr>
      <w:bookmarkStart w:id="55" w:name="_Toc136933363"/>
      <w:bookmarkStart w:id="56" w:name="_Toc64096892"/>
      <w:bookmarkStart w:id="57" w:name="_Toc135916848"/>
      <w:bookmarkStart w:id="58" w:name="_Toc174289426"/>
      <w:bookmarkStart w:id="59" w:name="_Toc136753148"/>
      <w:bookmarkStart w:id="60" w:name="_Toc136933037"/>
      <w:bookmarkStart w:id="61" w:name="_Toc136753867"/>
      <w:bookmarkStart w:id="62" w:name="_Toc49330233"/>
      <w:bookmarkStart w:id="63" w:name="_Toc136753106"/>
      <w:bookmarkStart w:id="64" w:name="_Toc49333663"/>
      <w:bookmarkStart w:id="65" w:name="_Toc136932986"/>
      <w:bookmarkStart w:id="66" w:name="_Toc64106675"/>
      <w:bookmarkStart w:id="67" w:name="_Toc140565169"/>
      <w:r>
        <w:rPr>
          <w:rFonts w:hint="eastAsia" w:ascii="宋体" w:hAnsi="宋体" w:eastAsia="宋体" w:cs="宋体"/>
          <w:color w:val="auto"/>
          <w:spacing w:val="-4"/>
          <w:sz w:val="24"/>
          <w:szCs w:val="24"/>
          <w:highlight w:val="none"/>
          <w:lang w:eastAsia="zh-CN"/>
        </w:rPr>
        <w:t>6、技术规范</w:t>
      </w:r>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6.1本工程有关设计单位编制的设计图中的设计说明。</w:t>
      </w:r>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6.2国家、上海市颁布的有关建设工程质量标准、规范、规程、条例等。</w:t>
      </w:r>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6.3各投标人应充分注意，凡涉及本工程的国家、行业和上海市相关规范、规程和标准、条例、规定，无论其是否在本招标文件中已列明或未列明，中标人应无条件执行；施工期间如发生变化，招标人和中标人均应执行最新版本；若有不一致之处，以最高/或最严格的标准为准。</w:t>
      </w:r>
    </w:p>
    <w:p>
      <w:pPr>
        <w:spacing w:line="360" w:lineRule="auto"/>
        <w:rPr>
          <w:rFonts w:hint="eastAsia" w:ascii="宋体" w:hAnsi="宋体" w:eastAsia="宋体" w:cs="宋体"/>
          <w:color w:val="auto"/>
          <w:spacing w:val="-4"/>
          <w:sz w:val="24"/>
          <w:szCs w:val="24"/>
          <w:highlight w:val="none"/>
          <w:lang w:eastAsia="zh-CN"/>
        </w:rPr>
      </w:pPr>
      <w:bookmarkStart w:id="68" w:name="_Toc167551927"/>
      <w:r>
        <w:rPr>
          <w:rFonts w:hint="eastAsia" w:ascii="宋体" w:hAnsi="宋体" w:eastAsia="宋体" w:cs="宋体"/>
          <w:color w:val="auto"/>
          <w:spacing w:val="-4"/>
          <w:sz w:val="24"/>
          <w:szCs w:val="24"/>
          <w:highlight w:val="none"/>
          <w:lang w:eastAsia="zh-CN"/>
        </w:rPr>
        <w:t>7、服务范围及工作内容</w:t>
      </w:r>
      <w:bookmarkEnd w:id="68"/>
    </w:p>
    <w:p>
      <w:pPr>
        <w:spacing w:line="360" w:lineRule="auto"/>
        <w:outlineLvl w:val="0"/>
        <w:rPr>
          <w:rFonts w:hint="eastAsia" w:ascii="宋体" w:hAnsi="宋体" w:eastAsia="宋体" w:cs="宋体"/>
          <w:color w:val="auto"/>
          <w:spacing w:val="-4"/>
          <w:sz w:val="24"/>
          <w:szCs w:val="24"/>
          <w:highlight w:val="none"/>
          <w:lang w:eastAsia="zh-CN"/>
        </w:rPr>
      </w:pPr>
      <w:bookmarkStart w:id="69" w:name="_Toc15563"/>
      <w:bookmarkStart w:id="70" w:name="_Toc515864521"/>
      <w:bookmarkStart w:id="71" w:name="_Toc112266045"/>
      <w:r>
        <w:rPr>
          <w:rFonts w:hint="eastAsia" w:ascii="宋体" w:hAnsi="宋体" w:eastAsia="宋体" w:cs="宋体"/>
          <w:color w:val="auto"/>
          <w:spacing w:val="-4"/>
          <w:sz w:val="24"/>
          <w:szCs w:val="24"/>
          <w:highlight w:val="none"/>
          <w:lang w:eastAsia="zh-CN"/>
        </w:rPr>
        <w:t>7.1服务范围</w:t>
      </w:r>
      <w:bookmarkEnd w:id="69"/>
      <w:bookmarkEnd w:id="70"/>
      <w:bookmarkEnd w:id="71"/>
    </w:p>
    <w:p>
      <w:pPr>
        <w:spacing w:line="360" w:lineRule="auto"/>
        <w:outlineLvl w:val="0"/>
        <w:rPr>
          <w:rFonts w:hint="eastAsia" w:ascii="宋体" w:hAnsi="宋体" w:eastAsia="宋体" w:cs="宋体"/>
          <w:color w:val="auto"/>
          <w:spacing w:val="-4"/>
          <w:sz w:val="24"/>
          <w:szCs w:val="24"/>
          <w:highlight w:val="none"/>
          <w:lang w:eastAsia="zh-CN"/>
        </w:rPr>
      </w:pPr>
      <w:bookmarkStart w:id="72" w:name="_Toc515864522"/>
      <w:bookmarkStart w:id="73" w:name="_Toc7173"/>
      <w:bookmarkStart w:id="74" w:name="_Toc112266046"/>
      <w:r>
        <w:rPr>
          <w:rFonts w:hint="eastAsia" w:ascii="宋体" w:hAnsi="宋体" w:eastAsia="宋体" w:cs="宋体"/>
          <w:color w:val="auto"/>
          <w:spacing w:val="-4"/>
          <w:sz w:val="24"/>
          <w:szCs w:val="24"/>
          <w:highlight w:val="none"/>
          <w:lang w:eastAsia="zh-CN"/>
        </w:rPr>
        <w:t>7.1.1检测范围：根据招标人的要求，对本工程中所涉及的内容进行检测，具体按照甲方要求实施。检测的具体项目应涵盖了建设工程质量检测所必需的项目内容。</w:t>
      </w:r>
      <w:bookmarkEnd w:id="72"/>
      <w:bookmarkEnd w:id="73"/>
      <w:bookmarkEnd w:id="74"/>
    </w:p>
    <w:p>
      <w:pPr>
        <w:spacing w:line="360" w:lineRule="auto"/>
        <w:outlineLvl w:val="0"/>
        <w:rPr>
          <w:rFonts w:hint="eastAsia" w:ascii="宋体" w:hAnsi="宋体" w:eastAsia="宋体" w:cs="宋体"/>
          <w:color w:val="auto"/>
          <w:spacing w:val="-4"/>
          <w:sz w:val="24"/>
          <w:szCs w:val="24"/>
          <w:highlight w:val="none"/>
          <w:lang w:eastAsia="zh-CN"/>
        </w:rPr>
      </w:pPr>
      <w:bookmarkStart w:id="75" w:name="_Toc12119"/>
      <w:bookmarkStart w:id="76" w:name="_Toc515864523"/>
      <w:bookmarkStart w:id="77" w:name="_Toc112266047"/>
      <w:r>
        <w:rPr>
          <w:rFonts w:hint="eastAsia" w:ascii="宋体" w:hAnsi="宋体" w:eastAsia="宋体" w:cs="宋体"/>
          <w:color w:val="auto"/>
          <w:spacing w:val="-4"/>
          <w:sz w:val="24"/>
          <w:szCs w:val="24"/>
          <w:highlight w:val="none"/>
          <w:lang w:eastAsia="zh-CN"/>
        </w:rPr>
        <w:t>7.2工作内容</w:t>
      </w:r>
      <w:bookmarkEnd w:id="75"/>
      <w:bookmarkEnd w:id="76"/>
      <w:bookmarkEnd w:id="77"/>
    </w:p>
    <w:p>
      <w:pPr>
        <w:spacing w:line="360" w:lineRule="auto"/>
        <w:outlineLvl w:val="0"/>
        <w:rPr>
          <w:rFonts w:hint="eastAsia" w:ascii="宋体" w:hAnsi="宋体" w:eastAsia="宋体" w:cs="宋体"/>
          <w:color w:val="auto"/>
          <w:spacing w:val="-4"/>
          <w:sz w:val="24"/>
          <w:szCs w:val="24"/>
          <w:highlight w:val="none"/>
          <w:lang w:eastAsia="zh-CN"/>
        </w:rPr>
      </w:pPr>
      <w:bookmarkStart w:id="78" w:name="_Toc515864524"/>
      <w:bookmarkStart w:id="79" w:name="_Toc7765"/>
      <w:bookmarkStart w:id="80" w:name="_Toc112266048"/>
      <w:r>
        <w:rPr>
          <w:rFonts w:hint="eastAsia" w:ascii="宋体" w:hAnsi="宋体" w:eastAsia="宋体" w:cs="宋体"/>
          <w:color w:val="auto"/>
          <w:spacing w:val="-4"/>
          <w:sz w:val="24"/>
          <w:szCs w:val="24"/>
          <w:highlight w:val="none"/>
          <w:lang w:eastAsia="zh-CN"/>
        </w:rPr>
        <w:t>7.2.1按国家及上海市有关规定进行检测。</w:t>
      </w:r>
      <w:bookmarkEnd w:id="78"/>
      <w:bookmarkEnd w:id="79"/>
      <w:bookmarkEnd w:id="80"/>
    </w:p>
    <w:p>
      <w:pPr>
        <w:spacing w:line="360" w:lineRule="auto"/>
        <w:outlineLvl w:val="0"/>
        <w:rPr>
          <w:rFonts w:hint="eastAsia" w:ascii="宋体" w:hAnsi="宋体" w:eastAsia="宋体" w:cs="宋体"/>
          <w:color w:val="auto"/>
          <w:spacing w:val="-4"/>
          <w:sz w:val="24"/>
          <w:szCs w:val="24"/>
          <w:highlight w:val="none"/>
          <w:lang w:eastAsia="zh-CN"/>
        </w:rPr>
      </w:pPr>
      <w:bookmarkStart w:id="81" w:name="_Toc25258"/>
      <w:bookmarkStart w:id="82" w:name="_Toc112266049"/>
      <w:bookmarkStart w:id="83" w:name="_Toc515864525"/>
      <w:r>
        <w:rPr>
          <w:rFonts w:hint="eastAsia" w:ascii="宋体" w:hAnsi="宋体" w:eastAsia="宋体" w:cs="宋体"/>
          <w:color w:val="auto"/>
          <w:spacing w:val="-4"/>
          <w:sz w:val="24"/>
          <w:szCs w:val="24"/>
          <w:highlight w:val="none"/>
          <w:lang w:eastAsia="zh-CN"/>
        </w:rPr>
        <w:t>7.2.2将视工程的具体情况，招标人可以对检测工作内容进行一定的修改或调整，修改或调整事项在检测委托合同中予以明确。</w:t>
      </w:r>
      <w:bookmarkEnd w:id="81"/>
      <w:bookmarkEnd w:id="82"/>
      <w:bookmarkEnd w:id="83"/>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7.2.3应提供符合国家标准及规范要求以及上海市政府主管部门规定要求的完整的检测报告。</w:t>
      </w:r>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7.3检测要求</w:t>
      </w:r>
    </w:p>
    <w:p>
      <w:pPr>
        <w:spacing w:line="360"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7.3.1  为建设项目提供技术服务的机构应具备国家规定的资质要求。提供的成果必须符合国家和上海相关规范并符合业主要求。</w:t>
      </w:r>
    </w:p>
    <w:p>
      <w:pPr>
        <w:adjustRightIn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7.3.2应当依照国家法律、行政法规、标准等相关文件的规定，开展技术服务工作，保证技术服务结果客观、真实、准确，并对作出的结论承担法律责任。</w:t>
      </w:r>
    </w:p>
    <w:p>
      <w:pPr>
        <w:adjustRightInd/>
        <w:spacing w:line="360" w:lineRule="auto"/>
        <w:textAlignment w:val="auto"/>
        <w:rPr>
          <w:rFonts w:hint="eastAsia" w:ascii="宋体" w:hAnsi="宋体" w:eastAsia="宋体" w:cs="宋体"/>
          <w:color w:val="auto"/>
          <w:spacing w:val="-4"/>
          <w:sz w:val="24"/>
          <w:szCs w:val="24"/>
          <w:highlight w:val="none"/>
          <w:lang w:eastAsia="zh-CN"/>
        </w:rPr>
        <w:sectPr>
          <w:footerReference r:id="rId5" w:type="first"/>
          <w:footerReference r:id="rId4" w:type="default"/>
          <w:pgSz w:w="11906" w:h="16838"/>
          <w:pgMar w:top="1418" w:right="1701" w:bottom="1418" w:left="1701" w:header="851" w:footer="992" w:gutter="0"/>
          <w:pgNumType w:fmt="decimal"/>
          <w:cols w:space="425" w:num="1"/>
          <w:titlePg/>
          <w:docGrid w:type="lines" w:linePitch="312" w:charSpace="0"/>
        </w:sectPr>
      </w:pPr>
    </w:p>
    <w:p>
      <w:pPr>
        <w:adjustRightInd/>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附件1、材料及实体检测清单</w:t>
      </w:r>
    </w:p>
    <w:tbl>
      <w:tblPr>
        <w:tblStyle w:val="9"/>
        <w:tblW w:w="139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2021"/>
        <w:gridCol w:w="7972"/>
        <w:gridCol w:w="928"/>
        <w:gridCol w:w="913"/>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样品名称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检测参数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抗渗</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干混砌筑砂浆</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稠度、保水性、抗压强度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干混抹灰砂浆</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稠度、保水性、拉伸粘结强度抗压强度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筛分析、含泥量、泥块含量、表观密度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颗粒级配、含泥量、泥块含量、针片状含量、表观密度、压碎值</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普通砼小型空心砌块</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强度等级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蒸压加气砼砌块</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干密度、强度级别、含水率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钢筋原材           （</w:t>
            </w:r>
            <w:r>
              <w:rPr>
                <w:rStyle w:val="16"/>
                <w:rFonts w:eastAsia="宋体"/>
                <w:sz w:val="18"/>
                <w:szCs w:val="18"/>
                <w:lang w:val="en-US" w:eastAsia="zh-CN" w:bidi="ar"/>
              </w:rPr>
              <w:t>Ф</w:t>
            </w:r>
            <w:r>
              <w:rPr>
                <w:rStyle w:val="19"/>
                <w:sz w:val="18"/>
                <w:szCs w:val="18"/>
                <w:lang w:val="en-US" w:eastAsia="zh-CN" w:bidi="ar"/>
              </w:rPr>
              <w:t>≤25mm）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重量偏差、下屈服强度、拉伸强度、反向弯曲、强屈比、超屈比、最大力总延伸率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钢筋原材           （</w:t>
            </w:r>
            <w:r>
              <w:rPr>
                <w:rStyle w:val="16"/>
                <w:rFonts w:eastAsia="宋体"/>
                <w:sz w:val="18"/>
                <w:szCs w:val="18"/>
                <w:lang w:val="en-US" w:eastAsia="zh-CN" w:bidi="ar"/>
              </w:rPr>
              <w:t>Ф</w:t>
            </w:r>
            <w:r>
              <w:rPr>
                <w:rStyle w:val="19"/>
                <w:sz w:val="18"/>
                <w:szCs w:val="18"/>
                <w:lang w:val="en-US" w:eastAsia="zh-CN" w:bidi="ar"/>
              </w:rPr>
              <w:t>=28mm）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重量偏差、下屈服强度、拉伸强度、反向弯曲、强屈比、超屈比、最大力总延伸率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钢筋原材            （</w:t>
            </w:r>
            <w:r>
              <w:rPr>
                <w:rStyle w:val="16"/>
                <w:rFonts w:eastAsia="宋体"/>
                <w:sz w:val="18"/>
                <w:szCs w:val="18"/>
                <w:lang w:val="en-US" w:eastAsia="zh-CN" w:bidi="ar"/>
              </w:rPr>
              <w:t>Ф</w:t>
            </w:r>
            <w:r>
              <w:rPr>
                <w:rStyle w:val="19"/>
                <w:sz w:val="18"/>
                <w:szCs w:val="18"/>
                <w:lang w:val="en-US" w:eastAsia="zh-CN" w:bidi="ar"/>
              </w:rPr>
              <w:t>=（32~40）mm）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重量偏差、下屈服强度、拉伸强度、反向弯曲、强屈比、超屈比、最大力总延伸率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钢筋焊接            （</w:t>
            </w:r>
            <w:r>
              <w:rPr>
                <w:rStyle w:val="16"/>
                <w:rFonts w:eastAsia="宋体"/>
                <w:sz w:val="18"/>
                <w:szCs w:val="18"/>
                <w:lang w:val="en-US" w:eastAsia="zh-CN" w:bidi="ar"/>
              </w:rPr>
              <w:t>Ф</w:t>
            </w:r>
            <w:r>
              <w:rPr>
                <w:rStyle w:val="19"/>
                <w:sz w:val="18"/>
                <w:szCs w:val="18"/>
                <w:lang w:val="en-US" w:eastAsia="zh-CN" w:bidi="ar"/>
              </w:rPr>
              <w:t>≤25mm）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钢筋焊接            （</w:t>
            </w:r>
            <w:r>
              <w:rPr>
                <w:rStyle w:val="16"/>
                <w:rFonts w:eastAsia="宋体"/>
                <w:sz w:val="18"/>
                <w:szCs w:val="18"/>
                <w:lang w:val="en-US" w:eastAsia="zh-CN" w:bidi="ar"/>
              </w:rPr>
              <w:t>Ф</w:t>
            </w:r>
            <w:r>
              <w:rPr>
                <w:rStyle w:val="19"/>
                <w:sz w:val="18"/>
                <w:szCs w:val="18"/>
                <w:lang w:val="en-US" w:eastAsia="zh-CN" w:bidi="ar"/>
              </w:rPr>
              <w:t>=28mm）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钢筋焊接           （</w:t>
            </w:r>
            <w:r>
              <w:rPr>
                <w:rStyle w:val="16"/>
                <w:rFonts w:eastAsia="宋体"/>
                <w:sz w:val="18"/>
                <w:szCs w:val="18"/>
                <w:lang w:val="en-US" w:eastAsia="zh-CN" w:bidi="ar"/>
              </w:rPr>
              <w:t>Ф</w:t>
            </w:r>
            <w:r>
              <w:rPr>
                <w:rStyle w:val="19"/>
                <w:sz w:val="18"/>
                <w:szCs w:val="18"/>
                <w:lang w:val="en-US" w:eastAsia="zh-CN" w:bidi="ar"/>
              </w:rPr>
              <w:t>=（32~40）mm）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=（32~40）mm）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抗拉强度、残余变形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抗拉强度、残余变形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           （</w:t>
            </w:r>
            <w:r>
              <w:rPr>
                <w:rStyle w:val="16"/>
                <w:rFonts w:eastAsia="宋体"/>
                <w:sz w:val="18"/>
                <w:szCs w:val="18"/>
                <w:lang w:val="en-US" w:eastAsia="zh-CN" w:bidi="ar"/>
              </w:rPr>
              <w:t>Ф</w:t>
            </w:r>
            <w:r>
              <w:rPr>
                <w:rStyle w:val="19"/>
                <w:sz w:val="18"/>
                <w:szCs w:val="18"/>
                <w:lang w:val="en-US" w:eastAsia="zh-CN" w:bidi="ar"/>
              </w:rPr>
              <w:t>=（32~40）mm）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抗拉强度、残余变形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抗拉强度、单向拉伸残余变形（工艺检验）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抗拉强度、单向拉伸残余变形（工艺检验）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套筒灌浆连接件（焊接件）Ф≥32mm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抗拉强度、单向拉伸残余变形（工艺检验）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套筒灌浆连接件（焊接件）Ф≤25mm）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抗拉强度（验收检测）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套筒灌浆连接件（焊接件）Ф=28mm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抗拉强度（验收检测）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套筒灌浆连接件（焊接件）Ф≥32mm</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抗拉强度（验收检测）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扭矩系数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紧固轴力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水泥基渗透结晶型防</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氯离子含量、初凝时间、抗折强度（7d、28d)、抗压强度（7d、28d）、湿基面粘结强度、抗渗压力（28d、56d）</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灌浆料原材料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流动度、泌水率、抗压强度比、竖向膨胀率、抗压强度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标准稠度、凝结时间、强度、安定性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土工击实</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最大干密度、最佳含水率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混凝土配合比</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稠度、抗压强度、表观密度、氯离子总含量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土工环刀</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压实度、含水率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植筋拉拔</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PC构件</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挠度、裂缝、承载力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钢结构原材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抗拉强度、屈服强度、伸长率、弯曲性能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工厂钢结构焊缝探伤</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超声波探伤（钢柱）T＞20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9400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工厂钢结构焊缝探伤</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超声波探伤（钢柱）T≤20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现场钢结构焊缝探伤</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超声波探伤（钢梁）T＞20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现场钢结构焊缝探伤</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超声波探伤（钢梁）T≤20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41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铝合金窗</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气密性能、水密性能、抗风压性能、保温性能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中空玻璃</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露点、可见光透射比、遮阳系数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纸面石膏板</w:t>
            </w:r>
          </w:p>
        </w:tc>
        <w:tc>
          <w:tcPr>
            <w:tcW w:w="79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面密度、断裂荷载、抗冲击性、护面纸与芯材粘结性、燃烧性能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力学性能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灌浆饱满度</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灌浆饱满度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密目式安全立网</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耐贯穿性能、耐冲击性能、耐阻燃性能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安全平网</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耐冲击性能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安全帽</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佩戴高度、垂直间距、耐冲击、耐穿刺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安全带</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整体静负荷、整体动负荷、零部件静负荷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密度、导热系数、燃烧性能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XPS</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密度、导热系数、压缩强度、吸水率、燃烧性能B1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PVC地坪</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燃烧性能B1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燃烧性能B1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建筑幕墙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气密性能、水密性能、抗风压性能、平面内变形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膜厚、铅笔硬度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铝型材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纵向抗剪、横向抗拉</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密封胶</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相容性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木饰面</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燃烧性能B1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SBS改性沥青防水卷材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耐热性，厚度，低温柔性/低温弯折性，不透水性，拉力/拉伸强度，断裂伸长率/扯断伸长率，渗油性，下表面沥青涂盖层厚度，可溶物含量，热处理尺寸变化率，撕裂强度，粘结剥离强度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高聚物改性沥青防水涂料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拉伸性能、耐热性、低温柔性、不透水性、剥离强度、渗油性、单位面积质量、面积、持粘性、钉杆撕裂强度、可溶物含量</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聚氨酯防水涂料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固体含量、外观、拉伸强度（无处理）、断裂伸长率（无处理）、低温柔性、无处理粘结强度、不透水性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高分子防水卷材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面积、单位面积质量、厚度、外观、拉伸性能、钉杆撕裂强度、可溶物含量、耐热性、低温柔性、不透水性、渗油性、持粘性、剥离强度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硬化混凝土</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氯离子</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非固化防水涂料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固体含量、低温柔性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木地板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甲醛释放量</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有害物质限量（VOC、苯、甲苯、乙苯、二甲苯总和、游离甲醛、铅、铬、镉、总汞；物理性能（容器中状态、施工性、低温稳定性、干燥时间、涂膜外观、对比率、耐碱性、耐洗刷性）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VOC、苯、甲苯、乙苯、二甲苯总和、游离甲醛、铅、铬、镉、总汞</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防霉涂料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有害物质限量（VOC、苯、甲苯、乙苯、二甲苯总和、游离甲醛、铅、铬、镉、总汞；物理性能（容器中状态、施工性、低温稳定性、干燥时间、涂膜外观、对比率、耐碱性、耐洗刷性）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容器中状态、施工性、低温稳定性、干燥时间、涂膜外观、对比率、耐碱性、耐洗刷性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面砖</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底漆</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容器中状态、施工性、低温稳定性、干燥时间、涂膜外观、对比率、耐碱性、耐洗刷性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室内空气检测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甲醛、氨、苯、甲苯、二甲苯、氡、TVOC</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能效测评</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项（建筑物单位面积采暖通风空调、照明全年耗能量）、规定项（外窗气密性、外墙出挑构件及附墙部件隔热热桥及保温措施等）与选择项（可再生能源利用、自然通风、自然采光、遮阳措施、蓄冷蓄热技术、变频技术等各类节能新技术利用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161377.52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通风空调检测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室内温度、空调机组总风量、机组风口风量、多联机及风机盘管风口风量、总水流量、机组水流量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161377.52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照明系统检测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照明功率密度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道路照明</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路面平均亮度、亮度总均匀度，纵向亮度均匀度、平均照度、照度均匀度、路面最小照度、最小垂直照度、最小半柱面照度、阈值增量、环境比、色温、显色指数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断面</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沉降观测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建筑物变形测量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r>
              <w:rPr>
                <w:rStyle w:val="18"/>
                <w:sz w:val="18"/>
                <w:szCs w:val="18"/>
                <w:lang w:val="en-US" w:eastAsia="zh-CN" w:bidi="ar"/>
              </w:rPr>
              <w:t>▪</w:t>
            </w:r>
            <w:r>
              <w:rPr>
                <w:rStyle w:val="19"/>
                <w:sz w:val="18"/>
                <w:szCs w:val="18"/>
                <w:lang w:val="en-US" w:eastAsia="zh-CN" w:bidi="ar"/>
              </w:rPr>
              <w:t>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外窗隔声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采光系数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采光系数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温湿度、二氧化碳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建筑隔声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房间之间空气声隔声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建筑隔声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撞击声隔声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建筑隔声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外墙及外墙构件空气声隔声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环境噪声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昼间噪声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夜间噪声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场地环境噪声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室内噪声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土壤及土壤改良材料</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pH、EC、有机质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17907.4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初始光效、灯具效率、功率因数、谐波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风机盘管</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供冷量、制热量、水阻力、出口静压、噪音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PVC地板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挥发物</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PVC地板专用胶黏剂</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游离甲醛、苯、甲苯+二甲苯、TDI、TVOC</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模块吸声板</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甲醛释放量（环境舱法）</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改性沥青耐根穿刺防水卷材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耐热性，厚度，低温柔性/低温弯折性，不透水性，拉力/拉伸强度，断裂伸长率/扯断伸长率，渗油性，下表面沥青涂盖层厚度，可溶物含量，热处理尺寸变化率，撕裂强度，粘结剥离强度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自粘聚合物改性沥青防水卷材</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拉伸性能、耐热性、低温柔性、不透水性、剥离强度、渗油性、单位面积质量、外观、面积、持粘性、钉杆撕裂强度、可溶物含量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02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1号实验综合楼</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0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钢筋保护层厚度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0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楼板厚度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2号精准药物设计楼</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钢筋保护层厚度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楼板厚度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3号宿舍楼</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钢筋保护层厚度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楼板厚度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5号地下室</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钢筋保护层厚度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楼板厚度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人防工程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钢筋保护层厚度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楼板厚度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围护结构检测</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水泥土钻孔取芯</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芯样抗压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试成孔、成孔</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孔次</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低应变动测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静载抗压试验（地下一层600kN）</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静载抗压试验（地下二层1200kN）</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bl>
    <w:p>
      <w:pPr>
        <w:adjustRightInd/>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br w:type="page"/>
      </w:r>
    </w:p>
    <w:p>
      <w:pPr>
        <w:adjustRightInd/>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highlight w:val="none"/>
          <w:lang w:eastAsia="zh-CN"/>
        </w:rPr>
        <w:t>附件2：专项检测</w:t>
      </w:r>
    </w:p>
    <w:tbl>
      <w:tblPr>
        <w:tblStyle w:val="9"/>
        <w:tblW w:w="13809" w:type="dxa"/>
        <w:tblInd w:w="93" w:type="dxa"/>
        <w:shd w:val="clear" w:color="auto" w:fill="FFFFFF" w:themeFill="background1"/>
        <w:tblLayout w:type="fixed"/>
        <w:tblCellMar>
          <w:top w:w="0" w:type="dxa"/>
          <w:left w:w="108" w:type="dxa"/>
          <w:bottom w:w="0" w:type="dxa"/>
          <w:right w:w="108" w:type="dxa"/>
        </w:tblCellMar>
      </w:tblPr>
      <w:tblGrid>
        <w:gridCol w:w="698"/>
        <w:gridCol w:w="2025"/>
        <w:gridCol w:w="6151"/>
        <w:gridCol w:w="1215"/>
        <w:gridCol w:w="1530"/>
        <w:gridCol w:w="2190"/>
      </w:tblGrid>
      <w:tr>
        <w:tblPrEx>
          <w:shd w:val="clear" w:color="auto" w:fill="FFFFFF" w:themeFill="background1"/>
          <w:tblCellMar>
            <w:top w:w="0" w:type="dxa"/>
            <w:left w:w="108" w:type="dxa"/>
            <w:bottom w:w="0" w:type="dxa"/>
            <w:right w:w="108" w:type="dxa"/>
          </w:tblCellMar>
        </w:tblPrEx>
        <w:trPr>
          <w:trHeight w:val="578" w:hRule="atLeast"/>
        </w:trPr>
        <w:tc>
          <w:tcPr>
            <w:tcW w:w="1380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
                <w:bCs/>
                <w:color w:val="auto"/>
                <w:sz w:val="36"/>
                <w:szCs w:val="36"/>
                <w:highlight w:val="none"/>
                <w:lang w:eastAsia="zh-CN" w:bidi="ar"/>
              </w:rPr>
            </w:pPr>
            <w:r>
              <w:rPr>
                <w:rFonts w:hint="eastAsia" w:ascii="宋体" w:hAnsi="宋体" w:eastAsia="宋体" w:cs="宋体"/>
                <w:b/>
                <w:bCs/>
                <w:color w:val="auto"/>
                <w:sz w:val="36"/>
                <w:szCs w:val="36"/>
                <w:highlight w:val="none"/>
                <w:lang w:eastAsia="zh-CN" w:bidi="ar"/>
              </w:rPr>
              <w:t>专项检测清单</w:t>
            </w:r>
          </w:p>
        </w:tc>
      </w:tr>
      <w:tr>
        <w:tblPrEx>
          <w:tblCellMar>
            <w:top w:w="0" w:type="dxa"/>
            <w:left w:w="108" w:type="dxa"/>
            <w:bottom w:w="0" w:type="dxa"/>
            <w:right w:w="108" w:type="dxa"/>
          </w:tblCellMar>
        </w:tblPrEx>
        <w:trPr>
          <w:trHeight w:val="579"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样品名称</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检测参数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备注</w:t>
            </w:r>
          </w:p>
        </w:tc>
      </w:tr>
      <w:tr>
        <w:tblPrEx>
          <w:shd w:val="clear" w:color="auto" w:fill="FFFFFF" w:themeFill="background1"/>
          <w:tblCellMar>
            <w:top w:w="0" w:type="dxa"/>
            <w:left w:w="108" w:type="dxa"/>
            <w:bottom w:w="0" w:type="dxa"/>
            <w:right w:w="108" w:type="dxa"/>
          </w:tblCellMar>
        </w:tblPrEx>
        <w:trPr>
          <w:trHeight w:val="579"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分项计量</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161377.52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579" w:hRule="atLeast"/>
        </w:trPr>
        <w:tc>
          <w:tcPr>
            <w:tcW w:w="698" w:type="dxa"/>
            <w:tcBorders>
              <w:top w:val="single" w:color="000000" w:sz="4" w:space="0"/>
              <w:left w:val="single" w:color="000000" w:sz="4" w:space="0"/>
              <w:bottom w:val="nil"/>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2025" w:type="dxa"/>
            <w:tcBorders>
              <w:top w:val="single" w:color="000000" w:sz="4" w:space="0"/>
              <w:left w:val="single" w:color="000000" w:sz="4" w:space="0"/>
              <w:bottom w:val="nil"/>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低压配电系统检测</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电压偏差、三相电流不平衡、谐波电压、谐波电流、功率因数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161377.52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579"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建筑消防设施检测</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火灾自动报警系统、消火栓系统、自动喷水灭火系统、机械防排烟系统</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161377.52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579"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auto"/>
                <w:sz w:val="22"/>
                <w:szCs w:val="22"/>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auto"/>
                <w:sz w:val="22"/>
                <w:szCs w:val="22"/>
                <w:highlight w:val="none"/>
              </w:rPr>
            </w:pP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特殊消防设施</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 xml:space="preserve">27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套/保护区</w:t>
            </w:r>
          </w:p>
        </w:tc>
        <w:tc>
          <w:tcPr>
            <w:tcW w:w="2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r>
        <w:tblPrEx>
          <w:shd w:val="clear" w:color="auto" w:fill="FFFFFF" w:themeFill="background1"/>
          <w:tblCellMar>
            <w:top w:w="0" w:type="dxa"/>
            <w:left w:w="108" w:type="dxa"/>
            <w:bottom w:w="0" w:type="dxa"/>
            <w:right w:w="108" w:type="dxa"/>
          </w:tblCellMar>
        </w:tblPrEx>
        <w:trPr>
          <w:trHeight w:val="579" w:hRule="atLeast"/>
        </w:trPr>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202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防雷检测</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auto"/>
                <w:sz w:val="22"/>
                <w:szCs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161377.52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219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579" w:hRule="atLeast"/>
        </w:trPr>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202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CCTV检测</w:t>
            </w:r>
          </w:p>
        </w:tc>
        <w:tc>
          <w:tcPr>
            <w:tcW w:w="6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auto"/>
                <w:sz w:val="22"/>
                <w:szCs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2797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219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auto"/>
                <w:sz w:val="22"/>
                <w:szCs w:val="22"/>
                <w:highlight w:val="none"/>
              </w:rPr>
            </w:pPr>
          </w:p>
        </w:tc>
      </w:tr>
    </w:tbl>
    <w:p>
      <w:pPr>
        <w:rPr>
          <w:rFonts w:ascii="仿宋" w:hAnsi="仿宋" w:eastAsia="仿宋" w:cs="仿宋"/>
          <w:color w:val="auto"/>
          <w:highlight w:val="none"/>
          <w:lang w:eastAsia="zh-CN"/>
        </w:rPr>
      </w:pPr>
      <w:r>
        <w:rPr>
          <w:rFonts w:ascii="仿宋" w:hAnsi="仿宋" w:eastAsia="仿宋" w:cs="仿宋"/>
          <w:color w:val="auto"/>
          <w:highlight w:val="none"/>
          <w:lang w:eastAsia="zh-CN"/>
        </w:rPr>
        <w:br w:type="page"/>
      </w:r>
    </w:p>
    <w:p>
      <w:pPr>
        <w:rPr>
          <w:color w:val="auto"/>
          <w:highlight w:val="none"/>
          <w:lang w:eastAsia="zh-CN"/>
        </w:rPr>
      </w:pPr>
      <w:r>
        <w:rPr>
          <w:rFonts w:hint="eastAsia"/>
          <w:color w:val="auto"/>
          <w:highlight w:val="none"/>
          <w:lang w:eastAsia="zh-CN"/>
        </w:rPr>
        <w:t>附件3：评估</w:t>
      </w:r>
    </w:p>
    <w:tbl>
      <w:tblPr>
        <w:tblStyle w:val="9"/>
        <w:tblW w:w="12285" w:type="dxa"/>
        <w:tblInd w:w="93" w:type="dxa"/>
        <w:tblLayout w:type="autofit"/>
        <w:tblCellMar>
          <w:top w:w="0" w:type="dxa"/>
          <w:left w:w="108" w:type="dxa"/>
          <w:bottom w:w="0" w:type="dxa"/>
          <w:right w:w="108" w:type="dxa"/>
        </w:tblCellMar>
      </w:tblPr>
      <w:tblGrid>
        <w:gridCol w:w="1069"/>
        <w:gridCol w:w="2675"/>
        <w:gridCol w:w="3195"/>
        <w:gridCol w:w="5346"/>
      </w:tblGrid>
      <w:tr>
        <w:tblPrEx>
          <w:tblCellMar>
            <w:top w:w="0" w:type="dxa"/>
            <w:left w:w="108" w:type="dxa"/>
            <w:bottom w:w="0" w:type="dxa"/>
            <w:right w:w="108" w:type="dxa"/>
          </w:tblCellMar>
        </w:tblPrEx>
        <w:trPr>
          <w:trHeight w:val="405" w:hRule="atLeast"/>
        </w:trPr>
        <w:tc>
          <w:tcPr>
            <w:tcW w:w="12285" w:type="dxa"/>
            <w:gridSpan w:val="4"/>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评估文件编制收费清单</w:t>
            </w:r>
          </w:p>
        </w:tc>
      </w:tr>
      <w:tr>
        <w:tblPrEx>
          <w:tblCellMar>
            <w:top w:w="0" w:type="dxa"/>
            <w:left w:w="108" w:type="dxa"/>
            <w:bottom w:w="0" w:type="dxa"/>
            <w:right w:w="108" w:type="dxa"/>
          </w:tblCellMar>
        </w:tblPrEx>
        <w:trPr>
          <w:trHeight w:val="5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bidi="ar"/>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bidi="ar"/>
              </w:rPr>
              <w:t>项目</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4"/>
                <w:szCs w:val="24"/>
                <w:lang w:eastAsia="zh-CN"/>
              </w:rPr>
            </w:pPr>
            <w:r>
              <w:rPr>
                <w:rFonts w:hint="eastAsia" w:ascii="宋体" w:hAnsi="宋体" w:eastAsia="宋体" w:cs="宋体"/>
                <w:b/>
                <w:bCs/>
                <w:sz w:val="24"/>
                <w:szCs w:val="24"/>
                <w:lang w:eastAsia="zh-CN" w:bidi="ar"/>
              </w:rPr>
              <w:t>工程费用分档（亿元）</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bidi="ar"/>
              </w:rPr>
              <w:t>收费依据</w:t>
            </w:r>
          </w:p>
        </w:tc>
      </w:tr>
      <w:tr>
        <w:tblPrEx>
          <w:tblCellMar>
            <w:top w:w="0" w:type="dxa"/>
            <w:left w:w="108" w:type="dxa"/>
            <w:bottom w:w="0" w:type="dxa"/>
            <w:right w:w="108" w:type="dxa"/>
          </w:tblCellMar>
        </w:tblPrEx>
        <w:trPr>
          <w:trHeight w:val="81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eastAsia="zh-CN" w:bidi="ar"/>
              </w:rPr>
              <w:t>集中空调通风系统竣工验收卫生学评价（</w:t>
            </w:r>
            <w:r>
              <w:rPr>
                <w:rFonts w:hint="eastAsia" w:ascii="宋体" w:hAnsi="宋体" w:eastAsia="宋体" w:cs="宋体"/>
                <w:sz w:val="22"/>
                <w:szCs w:val="22"/>
                <w:lang w:val="en-US" w:eastAsia="zh-CN" w:bidi="ar"/>
              </w:rPr>
              <w:t>含卫生学检测）</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10亿-30亿</w:t>
            </w:r>
          </w:p>
        </w:tc>
        <w:tc>
          <w:tcPr>
            <w:tcW w:w="5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szCs w:val="22"/>
                <w:lang w:eastAsia="zh-CN"/>
              </w:rPr>
            </w:pPr>
            <w:r>
              <w:rPr>
                <w:rFonts w:hint="eastAsia" w:ascii="宋体" w:hAnsi="宋体" w:eastAsia="宋体" w:cs="宋体"/>
                <w:b/>
                <w:bCs/>
                <w:sz w:val="22"/>
                <w:szCs w:val="22"/>
                <w:lang w:eastAsia="zh-CN" w:bidi="ar"/>
              </w:rPr>
              <w:t>上海疾控安全健康保健评价中心2005年11月《上海疾控安全健康保健评价中心建设项目职业病危害预评价、卫生预评价收费标准》</w:t>
            </w:r>
          </w:p>
        </w:tc>
      </w:tr>
      <w:tr>
        <w:tblPrEx>
          <w:tblCellMar>
            <w:top w:w="0" w:type="dxa"/>
            <w:left w:w="108" w:type="dxa"/>
            <w:bottom w:w="0" w:type="dxa"/>
            <w:right w:w="108" w:type="dxa"/>
          </w:tblCellMar>
        </w:tblPrEx>
        <w:trPr>
          <w:trHeight w:val="54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二次供水竣工验收检测</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w:t>
            </w:r>
          </w:p>
        </w:tc>
        <w:tc>
          <w:tcPr>
            <w:tcW w:w="5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szCs w:val="22"/>
              </w:rPr>
            </w:pPr>
          </w:p>
        </w:tc>
      </w:tr>
      <w:tr>
        <w:tblPrEx>
          <w:tblCellMar>
            <w:top w:w="0" w:type="dxa"/>
            <w:left w:w="108" w:type="dxa"/>
            <w:bottom w:w="0" w:type="dxa"/>
            <w:right w:w="108" w:type="dxa"/>
          </w:tblCellMar>
        </w:tblPrEx>
        <w:trPr>
          <w:trHeight w:val="54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highlight w:val="yellow"/>
              </w:rPr>
            </w:pPr>
            <w:r>
              <w:rPr>
                <w:rFonts w:hint="eastAsia" w:ascii="宋体" w:hAnsi="宋体" w:eastAsia="宋体" w:cs="宋体"/>
                <w:sz w:val="22"/>
                <w:szCs w:val="22"/>
                <w:highlight w:val="yellow"/>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2"/>
                <w:szCs w:val="22"/>
                <w:highlight w:val="yellow"/>
                <w:lang w:val="en-US" w:eastAsia="zh-CN"/>
              </w:rPr>
            </w:pPr>
            <w:r>
              <w:rPr>
                <w:rFonts w:hint="eastAsia" w:ascii="宋体" w:hAnsi="宋体" w:eastAsia="宋体" w:cs="宋体"/>
                <w:sz w:val="22"/>
                <w:szCs w:val="22"/>
                <w:highlight w:val="yellow"/>
                <w:lang w:eastAsia="zh-CN" w:bidi="ar"/>
              </w:rPr>
              <w:t>职业病危害控制效果评价报告</w:t>
            </w:r>
            <w:r>
              <w:rPr>
                <w:rFonts w:hint="eastAsia" w:eastAsia="宋体"/>
                <w:highlight w:val="yellow"/>
                <w:lang w:eastAsia="zh-CN"/>
              </w:rPr>
              <w:t>（</w:t>
            </w:r>
            <w:r>
              <w:rPr>
                <w:rFonts w:hint="eastAsia" w:eastAsia="宋体"/>
                <w:highlight w:val="yellow"/>
                <w:lang w:val="en-US" w:eastAsia="zh-CN"/>
              </w:rPr>
              <w:t>含含竣工验收）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2"/>
                <w:szCs w:val="22"/>
                <w:highlight w:val="yellow"/>
              </w:rPr>
            </w:pPr>
            <w:r>
              <w:rPr>
                <w:rFonts w:hint="eastAsia" w:ascii="宋体" w:hAnsi="宋体" w:eastAsia="宋体" w:cs="宋体"/>
                <w:sz w:val="22"/>
                <w:szCs w:val="22"/>
                <w:highlight w:val="yellow"/>
                <w:lang w:eastAsia="zh-CN" w:bidi="ar"/>
              </w:rPr>
              <w:t>10亿-30亿</w:t>
            </w:r>
          </w:p>
        </w:tc>
        <w:tc>
          <w:tcPr>
            <w:tcW w:w="5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szCs w:val="22"/>
                <w:highlight w:val="yellow"/>
              </w:rPr>
            </w:pPr>
          </w:p>
        </w:tc>
      </w:tr>
    </w:tbl>
    <w:p>
      <w:pPr>
        <w:rPr>
          <w:rFonts w:ascii="仿宋" w:hAnsi="仿宋" w:eastAsia="仿宋" w:cs="仿宋"/>
          <w:color w:val="auto"/>
          <w:highlight w:val="none"/>
          <w:lang w:eastAsia="zh-CN"/>
        </w:rPr>
      </w:pPr>
      <w:r>
        <w:rPr>
          <w:rFonts w:ascii="仿宋" w:hAnsi="仿宋" w:eastAsia="仿宋" w:cs="仿宋"/>
          <w:color w:val="auto"/>
          <w:highlight w:val="none"/>
          <w:lang w:eastAsia="zh-CN"/>
        </w:rPr>
        <w:br w:type="page"/>
      </w:r>
    </w:p>
    <w:p>
      <w:pP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附件4：人防检测</w:t>
      </w:r>
    </w:p>
    <w:p>
      <w:pPr>
        <w:jc w:val="center"/>
        <w:rPr>
          <w:rFonts w:ascii="仿宋" w:hAnsi="仿宋" w:eastAsia="仿宋" w:cs="仿宋"/>
          <w:color w:val="auto"/>
          <w:sz w:val="28"/>
          <w:szCs w:val="28"/>
          <w:highlight w:val="none"/>
          <w:lang w:eastAsia="zh-CN"/>
        </w:rPr>
      </w:pPr>
      <w:r>
        <w:rPr>
          <w:rFonts w:ascii="仿宋" w:hAnsi="仿宋" w:eastAsia="仿宋" w:cs="仿宋"/>
          <w:color w:val="auto"/>
          <w:sz w:val="28"/>
          <w:szCs w:val="28"/>
          <w:highlight w:val="none"/>
          <w:lang w:eastAsia="zh-CN"/>
        </w:rPr>
        <w:t>地下室人防工程（战时）</w:t>
      </w:r>
    </w:p>
    <w:tbl>
      <w:tblPr>
        <w:tblStyle w:val="9"/>
        <w:tblW w:w="13899"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3"/>
        <w:gridCol w:w="547"/>
        <w:gridCol w:w="1087"/>
        <w:gridCol w:w="617"/>
        <w:gridCol w:w="931"/>
        <w:gridCol w:w="1180"/>
        <w:gridCol w:w="885"/>
        <w:gridCol w:w="915"/>
        <w:gridCol w:w="1319"/>
        <w:gridCol w:w="437"/>
        <w:gridCol w:w="2518"/>
        <w:gridCol w:w="855"/>
        <w:gridCol w:w="17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7" w:hRule="atLeast"/>
        </w:trPr>
        <w:tc>
          <w:tcPr>
            <w:tcW w:w="823"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检测</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类别</w:t>
            </w: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序号</w:t>
            </w:r>
          </w:p>
        </w:tc>
        <w:tc>
          <w:tcPr>
            <w:tcW w:w="1704"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检测对象</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计数单位</w:t>
            </w:r>
          </w:p>
        </w:tc>
        <w:tc>
          <w:tcPr>
            <w:tcW w:w="1180"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总数</w:t>
            </w:r>
          </w:p>
        </w:tc>
        <w:tc>
          <w:tcPr>
            <w:tcW w:w="8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抽样率</w:t>
            </w:r>
          </w:p>
        </w:tc>
        <w:tc>
          <w:tcPr>
            <w:tcW w:w="91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抽样数</w:t>
            </w: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检测项目/参数名称</w:t>
            </w:r>
          </w:p>
        </w:tc>
        <w:tc>
          <w:tcPr>
            <w:tcW w:w="85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计价</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单位</w:t>
            </w:r>
          </w:p>
        </w:tc>
        <w:tc>
          <w:tcPr>
            <w:tcW w:w="17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民防工程防护设备生产质量检测</w:t>
            </w: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手动钢结构门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30</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焊缝质量</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拼接焊缝超声波</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m</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闭合焊缝磁粉</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m</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面板厚度偏差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型材厚度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门扇及门框型材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钢筋混凝土门防护密闭门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46</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混凝土强度（回弹法）</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测区</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1个门扇10个测区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型材厚度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钢筋混凝土门密闭门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30</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混凝土强度（回弹法）</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测区</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1个门扇10个测区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型材厚度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密闭阀门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76</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16</w:t>
            </w:r>
          </w:p>
        </w:tc>
        <w:tc>
          <w:tcPr>
            <w:tcW w:w="1319"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壳体外径</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管壁厚度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阀板厚度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阀板启闭力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密闭性能</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23"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检测</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类别</w:t>
            </w: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序号</w:t>
            </w:r>
          </w:p>
        </w:tc>
        <w:tc>
          <w:tcPr>
            <w:tcW w:w="1704"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检测对象</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计数单位</w:t>
            </w:r>
          </w:p>
        </w:tc>
        <w:tc>
          <w:tcPr>
            <w:tcW w:w="1180"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总数</w:t>
            </w:r>
          </w:p>
        </w:tc>
        <w:tc>
          <w:tcPr>
            <w:tcW w:w="8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抽样率</w:t>
            </w:r>
          </w:p>
        </w:tc>
        <w:tc>
          <w:tcPr>
            <w:tcW w:w="91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抽样数</w:t>
            </w: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检测项目/参数名称</w:t>
            </w:r>
          </w:p>
        </w:tc>
        <w:tc>
          <w:tcPr>
            <w:tcW w:w="85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计价</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单位</w:t>
            </w:r>
          </w:p>
        </w:tc>
        <w:tc>
          <w:tcPr>
            <w:tcW w:w="17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4" w:hRule="atLeast"/>
        </w:trPr>
        <w:tc>
          <w:tcPr>
            <w:tcW w:w="823"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民防工程防护设备生产质量检测</w:t>
            </w: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悬摆式防爆波活门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15</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门框孔对角线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门扇高度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门扇对角线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悬摆板长度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块</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悬摆板为3块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悬摆板宽度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块</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悬摆板为3块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焊缝质量</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闭合焊缝磁粉</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m</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bookmarkStart w:id="93" w:name="_GoBack"/>
            <w:bookmarkEnd w:id="93"/>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型材厚度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扇</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悬摆板厚度偏差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块</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悬摆板为3块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排气活门</w:t>
            </w:r>
          </w:p>
        </w:tc>
        <w:tc>
          <w:tcPr>
            <w:tcW w:w="931"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29</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319"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阀盖外径偏差</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密闭性能</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7</w:t>
            </w:r>
          </w:p>
        </w:tc>
        <w:tc>
          <w:tcPr>
            <w:tcW w:w="1704"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防爆地漏</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180"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0</w:t>
            </w:r>
          </w:p>
        </w:tc>
        <w:tc>
          <w:tcPr>
            <w:tcW w:w="885"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0</w:t>
            </w:r>
          </w:p>
        </w:tc>
        <w:tc>
          <w:tcPr>
            <w:tcW w:w="1319"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外形尺寸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壳体外径</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9" w:hRule="atLeast"/>
        </w:trPr>
        <w:tc>
          <w:tcPr>
            <w:tcW w:w="823"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民防工程防护设备安装质量检测</w:t>
            </w: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手动钢结构门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30</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配合尺寸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门扇与门框贴合面中心线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门扇中心至门框下门槛距离</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4"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门扇与门框贴合面间隙</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垂直度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关锁操纵力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钢筋混凝土门防护密闭门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46</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配合尺寸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门扇与门框贴合面中心线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门扇中心至门框下门槛距离</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门扇与门框贴合面间隙</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垂直度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关锁操纵力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钢筋混凝土门密闭门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30</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配合尺寸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门扇与门框贴合面中心线</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门扇中心至门框下门槛距离</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门扇与门框贴合面间隙</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垂直度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关锁操纵力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w:t>
            </w:r>
          </w:p>
        </w:tc>
        <w:tc>
          <w:tcPr>
            <w:tcW w:w="1704" w:type="dxa"/>
            <w:gridSpan w:val="2"/>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悬摆式防爆波活门</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180"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15</w:t>
            </w:r>
          </w:p>
        </w:tc>
        <w:tc>
          <w:tcPr>
            <w:tcW w:w="8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1319"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配合尺寸</w:t>
            </w: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门扇与门框贴合面间隙</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1"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319"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955"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悬摆板与门扇贴合面间隙</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樘</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门扇启闭力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04" w:type="dxa"/>
            <w:gridSpan w:val="2"/>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1180"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8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悬摆板启闭力</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项</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23"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检测</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类别</w:t>
            </w: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序号</w:t>
            </w:r>
          </w:p>
        </w:tc>
        <w:tc>
          <w:tcPr>
            <w:tcW w:w="1704" w:type="dxa"/>
            <w:gridSpan w:val="2"/>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检测对象</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计数单位</w:t>
            </w:r>
          </w:p>
        </w:tc>
        <w:tc>
          <w:tcPr>
            <w:tcW w:w="1180"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总数</w:t>
            </w:r>
          </w:p>
        </w:tc>
        <w:tc>
          <w:tcPr>
            <w:tcW w:w="8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抽样率</w:t>
            </w:r>
          </w:p>
        </w:tc>
        <w:tc>
          <w:tcPr>
            <w:tcW w:w="91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抽样数</w:t>
            </w:r>
          </w:p>
        </w:tc>
        <w:tc>
          <w:tcPr>
            <w:tcW w:w="4274" w:type="dxa"/>
            <w:gridSpan w:val="3"/>
            <w:tcBorders>
              <w:tl2br w:val="nil"/>
              <w:tr2bl w:val="nil"/>
            </w:tcBorders>
            <w:shd w:val="clear" w:color="auto" w:fill="FFFFFF" w:themeFill="background1"/>
            <w:noWrap/>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检测项目/参数名称</w:t>
            </w:r>
          </w:p>
        </w:tc>
        <w:tc>
          <w:tcPr>
            <w:tcW w:w="85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lang w:eastAsia="zh-CN" w:bidi="ar"/>
              </w:rPr>
            </w:pPr>
            <w:r>
              <w:rPr>
                <w:rFonts w:hint="eastAsia" w:ascii="宋体" w:hAnsi="宋体" w:eastAsia="宋体" w:cs="宋体"/>
                <w:b/>
                <w:bCs/>
                <w:color w:val="auto"/>
                <w:highlight w:val="none"/>
                <w:lang w:eastAsia="zh-CN" w:bidi="ar"/>
              </w:rPr>
              <w:t>计价</w:t>
            </w:r>
          </w:p>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单位</w:t>
            </w:r>
          </w:p>
        </w:tc>
        <w:tc>
          <w:tcPr>
            <w:tcW w:w="1785" w:type="dxa"/>
            <w:tcBorders>
              <w:tl2br w:val="nil"/>
              <w:tr2bl w:val="nil"/>
            </w:tcBorders>
            <w:shd w:val="clear" w:color="auto" w:fill="FFFFFF" w:themeFill="background1"/>
            <w:vAlign w:val="center"/>
          </w:tcPr>
          <w:p>
            <w:pPr>
              <w:jc w:val="center"/>
              <w:textAlignment w:val="center"/>
              <w:rPr>
                <w:rFonts w:ascii="宋体" w:hAnsi="宋体" w:eastAsia="宋体" w:cs="宋体"/>
                <w:b/>
                <w:bCs/>
                <w:color w:val="auto"/>
                <w:highlight w:val="none"/>
              </w:rPr>
            </w:pPr>
            <w:r>
              <w:rPr>
                <w:rFonts w:hint="eastAsia" w:ascii="宋体" w:hAnsi="宋体" w:eastAsia="宋体" w:cs="宋体"/>
                <w:b/>
                <w:bCs/>
                <w:color w:val="auto"/>
                <w:highlight w:val="none"/>
                <w:lang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8" w:hRule="atLeast"/>
        </w:trPr>
        <w:tc>
          <w:tcPr>
            <w:tcW w:w="823"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防护性能</w:t>
            </w:r>
          </w:p>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检测</w:t>
            </w: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108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局部气密性</w:t>
            </w: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工程口部密闭门</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单元</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密闭性能</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组</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每个单元至少检测一组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78"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lang w:eastAsia="zh-CN"/>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w:t>
            </w:r>
          </w:p>
        </w:tc>
        <w:tc>
          <w:tcPr>
            <w:tcW w:w="1087"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防护通风</w:t>
            </w:r>
          </w:p>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系统</w:t>
            </w: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防护密闭段通风管道</w:t>
            </w:r>
          </w:p>
        </w:tc>
        <w:tc>
          <w:tcPr>
            <w:tcW w:w="931" w:type="dxa"/>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组</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25</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25</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管道厚度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组</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5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防护段通风管道</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m²</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50</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50</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气密性</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m²</w:t>
            </w:r>
          </w:p>
        </w:tc>
        <w:tc>
          <w:tcPr>
            <w:tcW w:w="1785" w:type="dxa"/>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风管管壁面积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清洁风量</w:t>
            </w:r>
          </w:p>
        </w:tc>
        <w:tc>
          <w:tcPr>
            <w:tcW w:w="931"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w:t>
            </w:r>
          </w:p>
        </w:tc>
        <w:tc>
          <w:tcPr>
            <w:tcW w:w="2065" w:type="dxa"/>
            <w:gridSpan w:val="2"/>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13627.87</w:t>
            </w:r>
          </w:p>
        </w:tc>
        <w:tc>
          <w:tcPr>
            <w:tcW w:w="915"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13627.87</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清洁进风量</w:t>
            </w:r>
          </w:p>
        </w:tc>
        <w:tc>
          <w:tcPr>
            <w:tcW w:w="855"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w:t>
            </w:r>
          </w:p>
        </w:tc>
        <w:tc>
          <w:tcPr>
            <w:tcW w:w="1785" w:type="dxa"/>
            <w:vMerge w:val="restart"/>
            <w:tcBorders>
              <w:tl2br w:val="nil"/>
              <w:tr2bl w:val="nil"/>
            </w:tcBorders>
            <w:shd w:val="clear" w:color="auto" w:fill="FFFFFF" w:themeFill="background1"/>
            <w:vAlign w:val="center"/>
          </w:tcPr>
          <w:p>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工程报监建筑面积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065" w:type="dxa"/>
            <w:gridSpan w:val="2"/>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56" w:type="dxa"/>
            <w:gridSpan w:val="2"/>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清洁排风量</w:t>
            </w:r>
          </w:p>
        </w:tc>
        <w:tc>
          <w:tcPr>
            <w:tcW w:w="855"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85" w:type="dxa"/>
            <w:vMerge w:val="continue"/>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风机</w:t>
            </w:r>
          </w:p>
        </w:tc>
        <w:tc>
          <w:tcPr>
            <w:tcW w:w="931"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065" w:type="dxa"/>
            <w:gridSpan w:val="2"/>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915"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56" w:type="dxa"/>
            <w:gridSpan w:val="2"/>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振动速度</w:t>
            </w:r>
          </w:p>
        </w:tc>
        <w:tc>
          <w:tcPr>
            <w:tcW w:w="855"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85" w:type="dxa"/>
            <w:vMerge w:val="continue"/>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7</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油网滤尘器</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组</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垂直度/水平度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组</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8</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过滤吸收器</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台</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垂直度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台</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9</w:t>
            </w: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排气活门</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29</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29</w:t>
            </w:r>
          </w:p>
        </w:tc>
        <w:tc>
          <w:tcPr>
            <w:tcW w:w="2518"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平衡锤杆铅垂度</w:t>
            </w:r>
          </w:p>
        </w:tc>
        <w:tc>
          <w:tcPr>
            <w:tcW w:w="85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只</w:t>
            </w:r>
          </w:p>
        </w:tc>
        <w:tc>
          <w:tcPr>
            <w:tcW w:w="1785" w:type="dxa"/>
            <w:tcBorders>
              <w:tl2br w:val="nil"/>
              <w:tr2bl w:val="nil"/>
            </w:tcBorders>
            <w:shd w:val="clear" w:color="auto" w:fill="FFFFFF" w:themeFill="background1"/>
            <w:vAlign w:val="center"/>
          </w:tcPr>
          <w:p>
            <w:pPr>
              <w:rPr>
                <w:rFonts w:ascii="宋体" w:hAnsi="宋体" w:eastAsia="宋体" w:cs="宋体"/>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2"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c>
          <w:tcPr>
            <w:tcW w:w="547"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w:t>
            </w:r>
          </w:p>
        </w:tc>
        <w:tc>
          <w:tcPr>
            <w:tcW w:w="1087"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主体结构门框墙</w:t>
            </w: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全工程内</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单元</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2518"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混凝土强度</w:t>
            </w:r>
          </w:p>
        </w:tc>
        <w:tc>
          <w:tcPr>
            <w:tcW w:w="855" w:type="dxa"/>
            <w:vMerge w:val="restart"/>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构件</w:t>
            </w:r>
          </w:p>
        </w:tc>
        <w:tc>
          <w:tcPr>
            <w:tcW w:w="1785" w:type="dxa"/>
            <w:vMerge w:val="restart"/>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抽取单元总数的20%，被检单元内门框墙全检。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5" w:hRule="atLeast"/>
        </w:trPr>
        <w:tc>
          <w:tcPr>
            <w:tcW w:w="823"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lang w:eastAsia="zh-CN"/>
              </w:rPr>
            </w:pPr>
          </w:p>
        </w:tc>
        <w:tc>
          <w:tcPr>
            <w:tcW w:w="547"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lang w:eastAsia="zh-CN"/>
              </w:rPr>
            </w:pPr>
          </w:p>
        </w:tc>
        <w:tc>
          <w:tcPr>
            <w:tcW w:w="1087"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lang w:eastAsia="zh-CN"/>
              </w:rPr>
            </w:pPr>
          </w:p>
        </w:tc>
        <w:tc>
          <w:tcPr>
            <w:tcW w:w="617"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被检单元内</w:t>
            </w:r>
          </w:p>
        </w:tc>
        <w:tc>
          <w:tcPr>
            <w:tcW w:w="931"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构件</w:t>
            </w:r>
          </w:p>
        </w:tc>
        <w:tc>
          <w:tcPr>
            <w:tcW w:w="2065"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16</w:t>
            </w:r>
          </w:p>
        </w:tc>
        <w:tc>
          <w:tcPr>
            <w:tcW w:w="915" w:type="dxa"/>
            <w:tcBorders>
              <w:tl2br w:val="nil"/>
              <w:tr2bl w:val="nil"/>
            </w:tcBorders>
            <w:shd w:val="clear" w:color="auto" w:fill="FFFFFF" w:themeFill="background1"/>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100%</w:t>
            </w:r>
          </w:p>
        </w:tc>
        <w:tc>
          <w:tcPr>
            <w:tcW w:w="1756" w:type="dxa"/>
            <w:gridSpan w:val="2"/>
            <w:tcBorders>
              <w:tl2br w:val="nil"/>
              <w:tr2bl w:val="nil"/>
            </w:tcBorders>
            <w:shd w:val="clear" w:color="auto" w:fill="FFFFFF" w:themeFill="background1"/>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16</w:t>
            </w:r>
          </w:p>
        </w:tc>
        <w:tc>
          <w:tcPr>
            <w:tcW w:w="2518"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855" w:type="dxa"/>
            <w:vMerge w:val="continue"/>
            <w:tcBorders>
              <w:tl2br w:val="nil"/>
              <w:tr2bl w:val="nil"/>
            </w:tcBorders>
            <w:shd w:val="clear" w:color="auto" w:fill="FFFFFF" w:themeFill="background1"/>
            <w:noWrap/>
            <w:vAlign w:val="center"/>
          </w:tcPr>
          <w:p>
            <w:pPr>
              <w:jc w:val="center"/>
              <w:rPr>
                <w:rFonts w:ascii="宋体" w:hAnsi="宋体" w:eastAsia="宋体" w:cs="宋体"/>
                <w:color w:val="auto"/>
                <w:sz w:val="24"/>
                <w:szCs w:val="24"/>
                <w:highlight w:val="none"/>
              </w:rPr>
            </w:pPr>
          </w:p>
        </w:tc>
        <w:tc>
          <w:tcPr>
            <w:tcW w:w="1785" w:type="dxa"/>
            <w:vMerge w:val="continue"/>
            <w:tcBorders>
              <w:tl2br w:val="nil"/>
              <w:tr2bl w:val="nil"/>
            </w:tcBorders>
            <w:shd w:val="clear" w:color="auto" w:fill="FFFFFF" w:themeFill="background1"/>
            <w:vAlign w:val="center"/>
          </w:tcPr>
          <w:p>
            <w:pPr>
              <w:jc w:val="center"/>
              <w:rPr>
                <w:rFonts w:ascii="宋体" w:hAnsi="宋体" w:eastAsia="宋体" w:cs="宋体"/>
                <w:color w:val="auto"/>
                <w:sz w:val="24"/>
                <w:szCs w:val="24"/>
                <w:highlight w:val="none"/>
              </w:rPr>
            </w:pPr>
          </w:p>
        </w:tc>
      </w:tr>
    </w:tbl>
    <w:p>
      <w:pPr>
        <w:rPr>
          <w:rFonts w:ascii="仿宋" w:hAnsi="仿宋" w:eastAsia="仿宋" w:cs="仿宋"/>
          <w:color w:val="auto"/>
          <w:highlight w:val="none"/>
          <w:lang w:eastAsia="zh-CN"/>
        </w:rPr>
      </w:pPr>
      <w:r>
        <w:rPr>
          <w:rFonts w:ascii="仿宋" w:hAnsi="仿宋" w:eastAsia="仿宋" w:cs="仿宋"/>
          <w:color w:val="auto"/>
          <w:highlight w:val="none"/>
          <w:lang w:eastAsia="zh-CN"/>
        </w:rPr>
        <w:br w:type="page"/>
      </w:r>
    </w:p>
    <w:p>
      <w:pPr>
        <w:adjustRightInd/>
        <w:spacing w:line="360" w:lineRule="auto"/>
        <w:textAlignment w:val="auto"/>
        <w:rPr>
          <w:rFonts w:ascii="仿宋" w:hAnsi="仿宋" w:eastAsia="仿宋" w:cs="仿宋"/>
          <w:color w:val="auto"/>
          <w:spacing w:val="-4"/>
          <w:sz w:val="24"/>
          <w:szCs w:val="24"/>
          <w:highlight w:val="none"/>
          <w:lang w:eastAsia="zh-CN"/>
        </w:rPr>
        <w:sectPr>
          <w:pgSz w:w="16838" w:h="11906" w:orient="landscape"/>
          <w:pgMar w:top="1701" w:right="1418" w:bottom="1701" w:left="1418" w:header="851" w:footer="992" w:gutter="0"/>
          <w:pgNumType w:fmt="decimal"/>
          <w:cols w:space="425" w:num="1"/>
          <w:titlePg/>
          <w:docGrid w:type="lines" w:linePitch="312" w:charSpace="0"/>
        </w:sectPr>
      </w:pPr>
    </w:p>
    <w:p>
      <w:pPr>
        <w:pStyle w:val="5"/>
        <w:numPr>
          <w:ilvl w:val="255"/>
          <w:numId w:val="0"/>
        </w:numPr>
        <w:spacing w:line="309" w:lineRule="auto"/>
        <w:rPr>
          <w:rFonts w:ascii="仿宋" w:hAnsi="仿宋" w:eastAsia="仿宋" w:cs="仿宋"/>
          <w:b/>
          <w:bCs/>
          <w:color w:val="auto"/>
          <w:spacing w:val="-4"/>
          <w:sz w:val="24"/>
          <w:szCs w:val="24"/>
          <w:highlight w:val="none"/>
          <w:lang w:eastAsia="zh-CN"/>
        </w:rPr>
      </w:pPr>
      <w:r>
        <w:rPr>
          <w:rFonts w:hint="eastAsia" w:ascii="仿宋" w:hAnsi="仿宋" w:eastAsia="仿宋" w:cs="仿宋"/>
          <w:b/>
          <w:bCs/>
          <w:color w:val="auto"/>
          <w:spacing w:val="-4"/>
          <w:sz w:val="24"/>
          <w:szCs w:val="24"/>
          <w:highlight w:val="none"/>
          <w:lang w:eastAsia="zh-CN"/>
        </w:rPr>
        <w:t>（二）基坑监测服务</w:t>
      </w:r>
    </w:p>
    <w:p>
      <w:pPr>
        <w:adjustRightInd/>
        <w:spacing w:line="360" w:lineRule="auto"/>
        <w:textAlignment w:val="auto"/>
        <w:rPr>
          <w:rFonts w:ascii="仿宋" w:hAnsi="仿宋" w:eastAsia="仿宋" w:cs="仿宋"/>
          <w:color w:val="auto"/>
          <w:spacing w:val="-4"/>
          <w:sz w:val="24"/>
          <w:szCs w:val="24"/>
          <w:highlight w:val="none"/>
          <w:lang w:eastAsia="zh-CN"/>
        </w:rPr>
      </w:pPr>
      <w:bookmarkStart w:id="84" w:name="_Toc30595"/>
      <w:bookmarkStart w:id="85" w:name="_Toc27491767"/>
      <w:r>
        <w:rPr>
          <w:rFonts w:hint="eastAsia" w:ascii="仿宋" w:hAnsi="仿宋" w:eastAsia="仿宋" w:cs="仿宋"/>
          <w:color w:val="auto"/>
          <w:spacing w:val="-4"/>
          <w:sz w:val="24"/>
          <w:szCs w:val="24"/>
          <w:highlight w:val="none"/>
          <w:lang w:eastAsia="zh-CN"/>
        </w:rPr>
        <w:t>1 工程概况</w:t>
      </w:r>
      <w:bookmarkEnd w:id="84"/>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临港实验室临港园区项目位于上海市浦东新区临港地区，本项目总体地下二层、局部地下一层，基坑总面积约36885万平方米，总周长1007m，基坑挖深10.20m，西侧局部降板挖深13.50m，局部地下一层挖深5.60m，集水井落深1.1m~3.0m。</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（1）本工程建筑±0.000相当于绝对标高+5.800m,场地自然地面平均绝对标高+4.000m，即相对标高-1.800m。</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（2）本工程基坑安全等级二级，基坑周边环境等级三级（局部角部距离河道较近，相应区域环境保护等级二级）基坑为临时支护、围护结构设计使用年限为2年。</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（3）本工程基坑主要采用双排灌注桩+前撑式注浆钢管或单排灌注桩+二道水平钢砼支撑支护，局部地下一层采用单排灌注桩+前撑注浆钢管支护，高差区域采用重力坝支护。</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（4）本工程基坑施工顺序为：基坑整体开挖，地下一二层交界区域地下一层垫层施工完成后开挖地下二层，西侧降板区域待相邻区域地下一层施工完成后开挖降板区域。</w:t>
      </w:r>
    </w:p>
    <w:p>
      <w:pPr>
        <w:spacing w:line="360" w:lineRule="auto"/>
        <w:outlineLvl w:val="0"/>
        <w:rPr>
          <w:rFonts w:ascii="仿宋" w:hAnsi="仿宋" w:eastAsia="仿宋" w:cs="仿宋"/>
          <w:color w:val="auto"/>
          <w:spacing w:val="-4"/>
          <w:sz w:val="24"/>
          <w:szCs w:val="24"/>
          <w:highlight w:val="none"/>
          <w:lang w:eastAsia="zh-CN"/>
        </w:rPr>
      </w:pPr>
      <w:bookmarkStart w:id="86" w:name="_Toc23858"/>
      <w:r>
        <w:rPr>
          <w:rFonts w:hint="eastAsia" w:ascii="仿宋" w:hAnsi="仿宋" w:eastAsia="仿宋" w:cs="仿宋"/>
          <w:color w:val="auto"/>
          <w:spacing w:val="-4"/>
          <w:sz w:val="24"/>
          <w:szCs w:val="24"/>
          <w:highlight w:val="none"/>
          <w:lang w:val="en-US" w:eastAsia="zh-CN"/>
        </w:rPr>
        <w:t xml:space="preserve">2 </w:t>
      </w:r>
      <w:r>
        <w:rPr>
          <w:rFonts w:hint="eastAsia" w:ascii="仿宋" w:hAnsi="仿宋" w:eastAsia="仿宋" w:cs="仿宋"/>
          <w:color w:val="auto"/>
          <w:spacing w:val="-4"/>
          <w:sz w:val="24"/>
          <w:szCs w:val="24"/>
          <w:highlight w:val="none"/>
          <w:lang w:eastAsia="zh-CN"/>
        </w:rPr>
        <w:t>报价的方式</w:t>
      </w:r>
    </w:p>
    <w:p>
      <w:pPr>
        <w:spacing w:line="360" w:lineRule="auto"/>
        <w:outlineLvl w:val="0"/>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监测点的埋设和材料费按现行市场价格收费，测试费按《工程勘察设计收费标准》2002版，</w:t>
      </w:r>
      <w:r>
        <w:rPr>
          <w:rFonts w:hint="eastAsia" w:ascii="仿宋" w:hAnsi="仿宋" w:eastAsia="仿宋" w:cs="仿宋"/>
          <w:color w:val="auto"/>
          <w:spacing w:val="-4"/>
          <w:sz w:val="24"/>
          <w:szCs w:val="24"/>
          <w:highlight w:val="none"/>
          <w:lang w:val="en-US" w:eastAsia="zh-CN"/>
        </w:rPr>
        <w:t>上述</w:t>
      </w:r>
      <w:r>
        <w:rPr>
          <w:rFonts w:hint="eastAsia" w:ascii="仿宋" w:hAnsi="仿宋" w:eastAsia="仿宋" w:cs="仿宋"/>
          <w:color w:val="auto"/>
          <w:spacing w:val="-4"/>
          <w:sz w:val="24"/>
          <w:szCs w:val="24"/>
          <w:highlight w:val="none"/>
          <w:lang w:eastAsia="zh-CN"/>
        </w:rPr>
        <w:t>基础上并结合企业自身情况填报各项单价。</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lang w:eastAsia="zh-CN"/>
        </w:rPr>
        <w:t xml:space="preserve"> 监测工作依据</w:t>
      </w:r>
      <w:bookmarkEnd w:id="85"/>
      <w:bookmarkEnd w:id="86"/>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（1）《国家一、二等水准测量规范》国家标准（GB/T 12897-2006）；</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（2）《建筑基坑工程监测技术规范》国家标准（GB 50497-2009）；</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（3）《工程测量规范》国家标准（GB50026-2007）；</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（4）《建筑变形测量规范》行业标准（JGJ 8-2016）；</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（5）《基坑工程施工监测规程》上海市标准（DG/TJ 08-2001-2016）；</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（6）《建筑基坑工程监测技术规范》国家标准（GB 50497-2009）；</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（7）《建筑基坑支护技术规程》行业标准(JGJ 120-2012)；</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（8）《建筑地基处理技术规范》行业标准(JGJ 79-2012)；</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（9）《上海市岩土工程勘察规范》上海市标准(DGJ08-37-2012)；</w:t>
      </w:r>
    </w:p>
    <w:p>
      <w:pPr>
        <w:adjustRightInd/>
        <w:spacing w:line="360" w:lineRule="auto"/>
        <w:textAlignment w:val="auto"/>
        <w:rPr>
          <w:rFonts w:ascii="仿宋" w:hAnsi="仿宋" w:eastAsia="仿宋" w:cs="仿宋"/>
          <w:color w:val="auto"/>
          <w:spacing w:val="-4"/>
          <w:sz w:val="24"/>
          <w:szCs w:val="24"/>
          <w:highlight w:val="none"/>
          <w:lang w:eastAsia="zh-CN"/>
        </w:rPr>
      </w:pPr>
      <w:bookmarkStart w:id="87" w:name="_Toc27251"/>
      <w:bookmarkStart w:id="88" w:name="_Toc438743988"/>
      <w:bookmarkStart w:id="89" w:name="_Toc27491771"/>
      <w:r>
        <w:rPr>
          <w:rFonts w:hint="eastAsia" w:ascii="仿宋" w:hAnsi="仿宋" w:eastAsia="仿宋" w:cs="仿宋"/>
          <w:color w:val="auto"/>
          <w:spacing w:val="-4"/>
          <w:sz w:val="24"/>
          <w:szCs w:val="24"/>
          <w:highlight w:val="none"/>
          <w:lang w:eastAsia="zh-CN"/>
        </w:rPr>
        <w:t>3 基坑监测项目</w:t>
      </w:r>
      <w:bookmarkEnd w:id="87"/>
      <w:bookmarkEnd w:id="88"/>
      <w:bookmarkEnd w:id="89"/>
    </w:p>
    <w:p>
      <w:pPr>
        <w:adjustRightInd/>
        <w:spacing w:line="360" w:lineRule="auto"/>
        <w:textAlignment w:val="auto"/>
        <w:rPr>
          <w:rFonts w:ascii="仿宋" w:hAnsi="仿宋" w:eastAsia="仿宋" w:cs="仿宋"/>
          <w:color w:val="auto"/>
          <w:spacing w:val="-4"/>
          <w:sz w:val="24"/>
          <w:szCs w:val="24"/>
          <w:highlight w:val="none"/>
          <w:lang w:eastAsia="zh-CN"/>
        </w:rPr>
      </w:pPr>
      <w:bookmarkStart w:id="90" w:name="_Toc373507353"/>
      <w:r>
        <w:rPr>
          <w:rFonts w:hint="eastAsia" w:ascii="仿宋" w:hAnsi="仿宋" w:eastAsia="仿宋" w:cs="仿宋"/>
          <w:color w:val="auto"/>
          <w:spacing w:val="-4"/>
          <w:sz w:val="24"/>
          <w:szCs w:val="24"/>
          <w:highlight w:val="none"/>
          <w:lang w:eastAsia="zh-CN"/>
        </w:rPr>
        <w:t>本项目拟定监测工作范围： 2倍基坑开挖深度范围内布点监测。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（1）围护体系</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1）围护顶部竖向位移、水平位移监测；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2）围护结构深层水平位移监测；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3）立柱竖向位移监测；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4）支撑轴力监测；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5）钢管轴力监测；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6）坑外地下潜水水位监测；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（2）周边环境</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1）坑外地表竖向位移监测；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2）周边河道驳岸竖向、水平位移监测</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3）现场巡视。</w:t>
      </w:r>
    </w:p>
    <w:bookmarkEnd w:id="90"/>
    <w:p>
      <w:pPr>
        <w:adjustRightInd/>
        <w:spacing w:line="360" w:lineRule="auto"/>
        <w:textAlignment w:val="auto"/>
        <w:rPr>
          <w:rFonts w:ascii="仿宋" w:hAnsi="仿宋" w:eastAsia="仿宋" w:cs="仿宋"/>
          <w:color w:val="auto"/>
          <w:spacing w:val="-4"/>
          <w:sz w:val="24"/>
          <w:szCs w:val="24"/>
          <w:highlight w:val="none"/>
          <w:lang w:eastAsia="zh-CN"/>
        </w:rPr>
      </w:pPr>
      <w:bookmarkStart w:id="91" w:name="_Toc31029"/>
      <w:r>
        <w:rPr>
          <w:rFonts w:hint="eastAsia" w:ascii="仿宋" w:hAnsi="仿宋" w:eastAsia="仿宋" w:cs="仿宋"/>
          <w:color w:val="auto"/>
          <w:spacing w:val="-4"/>
          <w:sz w:val="24"/>
          <w:szCs w:val="24"/>
          <w:highlight w:val="none"/>
          <w:lang w:eastAsia="zh-CN"/>
        </w:rPr>
        <w:t>4 监测技术要求</w:t>
      </w:r>
      <w:bookmarkEnd w:id="91"/>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（1）监测仪器的选型，要考虑最大可能需要的量程并根据基坑工程只在地下施工期内使用的性质选用满足安全监测要求、合适的仪器。</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（2）仪器安装埋设前要进行检验和率定，绘制监测点安装埋设详图，并按照方案和埋设要求作好埋设准备。</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（3）仪器埋设时，核定传感器的位置是否正确，埋设的准备是否符合技术要求，按监测的位置和方向埋设传感器。</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（4）所有监测点安装埋设完成后，及时绘制测点位置图，并加强对现场测点保护，以防监测测点被破坏。</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（5）监测频率依据方案确定，并根据施工情况随时作出调整，在达到报警值或遇到不良天气等时，加密观测，作好监测和相关特征状态记录，并会同有关人员分析安全状态。</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监测数据必须做到及时、准确和完整，发现异常现象，应加强监测工作。监测数据未达到报警值期间，应向设计单位每周提交一次书面监测结果（包括每天的监测数据及周报），监测材料上应注明对应的施工工况及工况平面分布图等施工信息，便于相关各方分析监测结果所反映的情况。</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（7）监测数据如达到或超过报警值应及时通报有关各方，以尽快采取有效措施保证本工程进展顺利。</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（8）对原始数据要进行分析，去伪存真后方可进行计算，并绘制观测读数与时间、深度及开挖过程曲线，按施工阶段提出简报。</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（9）监测工作贯穿基坑工程始终，待全部资料备齐后，应提供完整的电子版监测数据、监测时程曲线图及监测报告。</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10）本工程须由专业的监测单位制定详尽的监测方案，监测方案须满足相关规范要求，须得到设计单位的认可。测试方案应明确测试结果所对应的不同施工工况。监测得到的数据必须及时提供给设计单位，施工总包单位根据监测数据及时调整施工进度和施工工况，以保证本基坑工程的信息化施工。</w:t>
      </w:r>
    </w:p>
    <w:p>
      <w:pPr>
        <w:adjustRightInd/>
        <w:spacing w:line="360" w:lineRule="auto"/>
        <w:textAlignment w:val="auto"/>
        <w:rPr>
          <w:rFonts w:ascii="仿宋" w:hAnsi="仿宋" w:eastAsia="仿宋" w:cs="仿宋"/>
          <w:color w:val="auto"/>
          <w:spacing w:val="-4"/>
          <w:sz w:val="24"/>
          <w:szCs w:val="24"/>
          <w:highlight w:val="none"/>
          <w:lang w:eastAsia="zh-CN"/>
        </w:rPr>
      </w:pPr>
      <w:bookmarkStart w:id="92" w:name="_Toc5386"/>
      <w:r>
        <w:rPr>
          <w:rFonts w:hint="eastAsia" w:ascii="仿宋" w:hAnsi="仿宋" w:eastAsia="仿宋" w:cs="仿宋"/>
          <w:color w:val="auto"/>
          <w:spacing w:val="-4"/>
          <w:sz w:val="24"/>
          <w:szCs w:val="24"/>
          <w:highlight w:val="none"/>
          <w:lang w:eastAsia="zh-CN"/>
        </w:rPr>
        <w:t>5 监测频率及监测报警值</w:t>
      </w:r>
      <w:bookmarkEnd w:id="92"/>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（1）监测频率</w:t>
      </w:r>
    </w:p>
    <w:p>
      <w:pPr>
        <w:autoSpaceDE/>
        <w:autoSpaceDN/>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频率结合工程进度、基坑施工进行合理安排，根据工程的施工特点及影响的范围和程度初步判断，初始值至少测试3次，取3次有效测试的平均值作为初始值。初始值测取后，建议各项目的监测频率如下表。具体监测频率将根据不同项目的实际情况由设计或专家评审意见确定。</w:t>
      </w:r>
    </w:p>
    <w:p>
      <w:pPr>
        <w:autoSpaceDE/>
        <w:autoSpaceDN/>
        <w:adjustRightInd/>
        <w:spacing w:line="360" w:lineRule="auto"/>
        <w:textAlignment w:val="auto"/>
        <w:rPr>
          <w:rFonts w:ascii="仿宋" w:hAnsi="仿宋" w:eastAsia="仿宋" w:cs="仿宋"/>
          <w:color w:val="auto"/>
          <w:spacing w:val="-4"/>
          <w:sz w:val="24"/>
          <w:szCs w:val="24"/>
          <w:highlight w:val="none"/>
          <w:lang w:eastAsia="zh-CN"/>
        </w:rPr>
      </w:pPr>
    </w:p>
    <w:p>
      <w:pPr>
        <w:autoSpaceDE/>
        <w:autoSpaceDN/>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表5-1                     基坑及周边环境监测频率</w:t>
      </w:r>
    </w:p>
    <w:tbl>
      <w:tblPr>
        <w:tblStyle w:val="9"/>
        <w:tblpPr w:leftFromText="180" w:rightFromText="180" w:vertAnchor="text" w:horzAnchor="margin" w:tblpXSpec="center" w:tblpY="50"/>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5"/>
        <w:gridCol w:w="1414"/>
        <w:gridCol w:w="1672"/>
        <w:gridCol w:w="218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54" w:type="pct"/>
            <w:vMerge w:val="restar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施工工况</w:t>
            </w:r>
          </w:p>
        </w:tc>
        <w:tc>
          <w:tcPr>
            <w:tcW w:w="849" w:type="pct"/>
            <w:vMerge w:val="restar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施工围护结构到基坑开挖前</w:t>
            </w:r>
          </w:p>
        </w:tc>
        <w:tc>
          <w:tcPr>
            <w:tcW w:w="1004" w:type="pct"/>
            <w:vMerge w:val="restar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基坑开挖到底板浇筑完成后3天</w:t>
            </w:r>
          </w:p>
        </w:tc>
        <w:tc>
          <w:tcPr>
            <w:tcW w:w="2393" w:type="pct"/>
            <w:gridSpan w:val="2"/>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底板浇筑完成后3天到基坑回填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0" w:type="auto"/>
            <w:vMerge w:val="continue"/>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1312"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支撑（钢管）拆除到拆除完成后3天</w:t>
            </w:r>
          </w:p>
        </w:tc>
        <w:tc>
          <w:tcPr>
            <w:tcW w:w="1081"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54"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监测频率</w:t>
            </w:r>
          </w:p>
        </w:tc>
        <w:tc>
          <w:tcPr>
            <w:tcW w:w="849"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1~2次/周</w:t>
            </w:r>
          </w:p>
        </w:tc>
        <w:tc>
          <w:tcPr>
            <w:tcW w:w="1004"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1天/次</w:t>
            </w:r>
          </w:p>
        </w:tc>
        <w:tc>
          <w:tcPr>
            <w:tcW w:w="1312"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1天/次</w:t>
            </w:r>
          </w:p>
        </w:tc>
        <w:tc>
          <w:tcPr>
            <w:tcW w:w="1081"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2~3次/周</w:t>
            </w:r>
          </w:p>
        </w:tc>
      </w:tr>
    </w:tbl>
    <w:p>
      <w:pPr>
        <w:autoSpaceDE/>
        <w:autoSpaceDN/>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注：发生异常情况时应加密监测频率，待监测数据稳定后，再逐渐将监测频率恢复正常，确保基坑和工程结构的施工安全。</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（2）监测报警值</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表5-2                   </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                地下2层区域基坑围护结构建议监测报警值</w:t>
      </w:r>
    </w:p>
    <w:tbl>
      <w:tblPr>
        <w:tblStyle w:val="9"/>
        <w:tblW w:w="46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48"/>
        <w:gridCol w:w="1946"/>
        <w:gridCol w:w="25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监测项目</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速率（mm/d）</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累计值（mm）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围护墙顶竖向位移、水平位移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40/30（二级环境）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围护体深层水平最大位移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40/30（二级环境）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坑外地面竖向位移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35/25（二级环境）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坑外潜水水位</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300</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立柱竖向位移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前撑钢管轴力</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600kN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前撑钢管挠度</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第一道支撑轴力</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5000kN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第二道支撑轴力</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8000kN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相邻工程桩</w:t>
            </w:r>
          </w:p>
        </w:tc>
        <w:tc>
          <w:tcPr>
            <w:tcW w:w="2833" w:type="pct"/>
            <w:gridSpan w:val="2"/>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20mm</w:t>
            </w:r>
          </w:p>
        </w:tc>
      </w:tr>
    </w:tbl>
    <w:p>
      <w:pPr>
        <w:adjustRightInd/>
        <w:spacing w:line="360" w:lineRule="auto"/>
        <w:textAlignment w:val="auto"/>
        <w:rPr>
          <w:rFonts w:ascii="仿宋" w:hAnsi="仿宋" w:eastAsia="仿宋" w:cs="仿宋"/>
          <w:color w:val="auto"/>
          <w:spacing w:val="-4"/>
          <w:sz w:val="24"/>
          <w:szCs w:val="24"/>
          <w:highlight w:val="none"/>
          <w:lang w:eastAsia="zh-CN"/>
        </w:rPr>
      </w:pPr>
    </w:p>
    <w:p>
      <w:pPr>
        <w:adjustRightInd/>
        <w:spacing w:line="360" w:lineRule="auto"/>
        <w:textAlignment w:val="auto"/>
        <w:rPr>
          <w:rFonts w:ascii="仿宋" w:hAnsi="仿宋" w:eastAsia="仿宋" w:cs="仿宋"/>
          <w:color w:val="auto"/>
          <w:spacing w:val="-4"/>
          <w:sz w:val="24"/>
          <w:szCs w:val="24"/>
          <w:highlight w:val="none"/>
          <w:lang w:eastAsia="zh-CN"/>
        </w:rPr>
      </w:pP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表5-3                   </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             局部地下1层区域基坑围护结构建议监测报警值</w:t>
      </w:r>
    </w:p>
    <w:tbl>
      <w:tblPr>
        <w:tblStyle w:val="9"/>
        <w:tblW w:w="46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48"/>
        <w:gridCol w:w="1946"/>
        <w:gridCol w:w="25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监测项目</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速率（mm/d）</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累计值（mm）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围护墙顶竖向位移、水平位移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围护体深层水平最大位移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坑外地面竖向位移</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坑外潜水水位</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300</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前撑钢管轴力</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600kN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6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前撑钢管挠度</w:t>
            </w:r>
          </w:p>
        </w:tc>
        <w:tc>
          <w:tcPr>
            <w:tcW w:w="122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w:t>
            </w:r>
          </w:p>
        </w:tc>
      </w:tr>
    </w:tbl>
    <w:p>
      <w:pPr>
        <w:adjustRightInd/>
        <w:spacing w:line="360" w:lineRule="auto"/>
        <w:textAlignment w:val="auto"/>
        <w:rPr>
          <w:rFonts w:ascii="仿宋" w:hAnsi="仿宋" w:eastAsia="仿宋" w:cs="仿宋"/>
          <w:color w:val="auto"/>
          <w:spacing w:val="-4"/>
          <w:sz w:val="24"/>
          <w:szCs w:val="24"/>
          <w:highlight w:val="none"/>
          <w:lang w:eastAsia="zh-CN"/>
        </w:rPr>
      </w:pP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表5-4                   </w:t>
      </w: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                     基坑周边环境建议监测报警值</w:t>
      </w:r>
    </w:p>
    <w:tbl>
      <w:tblPr>
        <w:tblStyle w:val="9"/>
        <w:tblW w:w="46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50"/>
        <w:gridCol w:w="2344"/>
        <w:gridCol w:w="25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center"/>
        </w:trPr>
        <w:tc>
          <w:tcPr>
            <w:tcW w:w="191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监测项目</w:t>
            </w:r>
          </w:p>
        </w:tc>
        <w:tc>
          <w:tcPr>
            <w:tcW w:w="147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速率（mm/d）</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累计值（mm）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91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地下管线位移</w:t>
            </w:r>
          </w:p>
        </w:tc>
        <w:tc>
          <w:tcPr>
            <w:tcW w:w="147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2（刚性）/5（柔性）</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917"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周边河道驳岸位移</w:t>
            </w:r>
          </w:p>
        </w:tc>
        <w:tc>
          <w:tcPr>
            <w:tcW w:w="1473"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w:t>
            </w:r>
          </w:p>
        </w:tc>
        <w:tc>
          <w:tcPr>
            <w:tcW w:w="1610" w:type="pct"/>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20</w:t>
            </w:r>
          </w:p>
        </w:tc>
      </w:tr>
    </w:tbl>
    <w:p>
      <w:pPr>
        <w:adjustRightInd/>
        <w:spacing w:line="360" w:lineRule="auto"/>
        <w:textAlignment w:val="auto"/>
        <w:rPr>
          <w:rFonts w:ascii="仿宋" w:hAnsi="仿宋" w:eastAsia="仿宋" w:cs="仿宋"/>
          <w:color w:val="auto"/>
          <w:spacing w:val="-4"/>
          <w:sz w:val="24"/>
          <w:szCs w:val="24"/>
          <w:highlight w:val="none"/>
          <w:lang w:eastAsia="zh-CN"/>
        </w:rPr>
      </w:pPr>
    </w:p>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6、监测工程量（附件5）</w:t>
      </w:r>
    </w:p>
    <w:tbl>
      <w:tblPr>
        <w:tblStyle w:val="9"/>
        <w:tblW w:w="8712" w:type="dxa"/>
        <w:tblInd w:w="93" w:type="dxa"/>
        <w:tblLayout w:type="autofit"/>
        <w:tblCellMar>
          <w:top w:w="0" w:type="dxa"/>
          <w:left w:w="108" w:type="dxa"/>
          <w:bottom w:w="0" w:type="dxa"/>
          <w:right w:w="108" w:type="dxa"/>
        </w:tblCellMar>
      </w:tblPr>
      <w:tblGrid>
        <w:gridCol w:w="943"/>
        <w:gridCol w:w="3248"/>
        <w:gridCol w:w="1044"/>
        <w:gridCol w:w="954"/>
        <w:gridCol w:w="2523"/>
      </w:tblGrid>
      <w:tr>
        <w:tblPrEx>
          <w:tblCellMar>
            <w:top w:w="0" w:type="dxa"/>
            <w:left w:w="108" w:type="dxa"/>
            <w:bottom w:w="0" w:type="dxa"/>
            <w:right w:w="108" w:type="dxa"/>
          </w:tblCellMar>
        </w:tblPrEx>
        <w:trPr>
          <w:trHeight w:val="330" w:hRule="atLeast"/>
        </w:trPr>
        <w:tc>
          <w:tcPr>
            <w:tcW w:w="87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监测点埋设及材料费</w:t>
            </w:r>
          </w:p>
        </w:tc>
      </w:tr>
      <w:tr>
        <w:tblPrEx>
          <w:tblCellMar>
            <w:top w:w="0" w:type="dxa"/>
            <w:left w:w="108" w:type="dxa"/>
            <w:bottom w:w="0" w:type="dxa"/>
            <w:right w:w="108" w:type="dxa"/>
          </w:tblCellMar>
        </w:tblPrEx>
        <w:trPr>
          <w:trHeight w:val="4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埋设内容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备注</w:t>
            </w:r>
          </w:p>
        </w:tc>
      </w:tr>
      <w:tr>
        <w:tblPrEx>
          <w:tblCellMar>
            <w:top w:w="0" w:type="dxa"/>
            <w:left w:w="108" w:type="dxa"/>
            <w:bottom w:w="0" w:type="dxa"/>
            <w:right w:w="108" w:type="dxa"/>
          </w:tblCellMar>
        </w:tblPrEx>
        <w:trPr>
          <w:trHeight w:val="4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围护墙体测斜监测孔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米</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孔数33孔，平均孔深26米</w:t>
            </w: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围护墙顶竖向位移监测点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竖向与水平位移共用一点</w:t>
            </w: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围护墙顶水平位移监测点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坑外地下水位监测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米</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ascii="仿宋" w:hAnsi="仿宋" w:eastAsia="仿宋" w:cs="仿宋"/>
                <w:color w:val="auto"/>
                <w:spacing w:val="-4"/>
                <w:highlight w:val="none"/>
                <w:lang w:eastAsia="zh-CN"/>
              </w:rPr>
              <w:t>孔深8米</w:t>
            </w: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周边河道驳岸竖向位移监测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竖向与水平位移共用一点</w:t>
            </w: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周边河道驳岸水平位移监测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钢管轴力监测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支撑轴力监测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周边地表竖向位移监测点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立柱竖向位移监测点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bl>
    <w:p>
      <w:pPr>
        <w:adjustRightInd/>
        <w:spacing w:line="360" w:lineRule="auto"/>
        <w:textAlignment w:val="auto"/>
        <w:rPr>
          <w:rFonts w:ascii="仿宋" w:hAnsi="仿宋" w:eastAsia="仿宋" w:cs="仿宋"/>
          <w:color w:val="auto"/>
          <w:spacing w:val="-4"/>
          <w:sz w:val="24"/>
          <w:szCs w:val="24"/>
          <w:highlight w:val="none"/>
          <w:lang w:eastAsia="zh-CN"/>
        </w:rPr>
      </w:pPr>
    </w:p>
    <w:tbl>
      <w:tblPr>
        <w:tblStyle w:val="9"/>
        <w:tblW w:w="8716" w:type="dxa"/>
        <w:tblInd w:w="93" w:type="dxa"/>
        <w:tblLayout w:type="fixed"/>
        <w:tblCellMar>
          <w:top w:w="0" w:type="dxa"/>
          <w:left w:w="108" w:type="dxa"/>
          <w:bottom w:w="0" w:type="dxa"/>
          <w:right w:w="108" w:type="dxa"/>
        </w:tblCellMar>
      </w:tblPr>
      <w:tblGrid>
        <w:gridCol w:w="761"/>
        <w:gridCol w:w="2510"/>
        <w:gridCol w:w="798"/>
        <w:gridCol w:w="761"/>
        <w:gridCol w:w="1229"/>
        <w:gridCol w:w="2657"/>
      </w:tblGrid>
      <w:tr>
        <w:tblPrEx>
          <w:tblCellMar>
            <w:top w:w="0" w:type="dxa"/>
            <w:left w:w="108" w:type="dxa"/>
            <w:bottom w:w="0" w:type="dxa"/>
            <w:right w:w="108" w:type="dxa"/>
          </w:tblCellMar>
        </w:tblPrEx>
        <w:trPr>
          <w:trHeight w:val="373" w:hRule="atLeast"/>
        </w:trPr>
        <w:tc>
          <w:tcPr>
            <w:tcW w:w="8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开挖期间测试费</w:t>
            </w:r>
          </w:p>
        </w:tc>
      </w:tr>
      <w:tr>
        <w:tblPrEx>
          <w:tblCellMar>
            <w:top w:w="0" w:type="dxa"/>
            <w:left w:w="108" w:type="dxa"/>
            <w:bottom w:w="0" w:type="dxa"/>
            <w:right w:w="108" w:type="dxa"/>
          </w:tblCellMar>
        </w:tblPrEx>
        <w:trPr>
          <w:trHeight w:val="91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序号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监测项目</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平均监测次数</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备注</w:t>
            </w:r>
          </w:p>
        </w:tc>
      </w:tr>
      <w:tr>
        <w:tblPrEx>
          <w:tblCellMar>
            <w:top w:w="0" w:type="dxa"/>
            <w:left w:w="108" w:type="dxa"/>
            <w:bottom w:w="0" w:type="dxa"/>
            <w:right w:w="108" w:type="dxa"/>
          </w:tblCellMar>
        </w:tblPrEx>
        <w:trPr>
          <w:trHeight w:val="625"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B</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围护墙体测斜监测孔</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858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孔数33孔，平均孔深26米</w:t>
            </w:r>
          </w:p>
        </w:tc>
      </w:tr>
      <w:tr>
        <w:tblPrEx>
          <w:tblCellMar>
            <w:top w:w="0" w:type="dxa"/>
            <w:left w:w="108" w:type="dxa"/>
            <w:bottom w:w="0" w:type="dxa"/>
            <w:right w:w="108" w:type="dxa"/>
          </w:tblCellMar>
        </w:tblPrEx>
        <w:trPr>
          <w:trHeight w:val="625"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围护墙顶竖向位移监测点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625"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围护墙顶水平位移监测点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73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8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坑外地下水位监测</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孔</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625"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周边河道驳岸竖向位移监测</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625"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周边河道驳岸水平位移监测</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8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钢管轴力监测</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38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支撑轴力监测</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625"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周边地表竖向位移监测点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r>
        <w:tblPrEx>
          <w:tblCellMar>
            <w:top w:w="0" w:type="dxa"/>
            <w:left w:w="108" w:type="dxa"/>
            <w:bottom w:w="0" w:type="dxa"/>
            <w:right w:w="108" w:type="dxa"/>
          </w:tblCellMar>
        </w:tblPrEx>
        <w:trPr>
          <w:trHeight w:val="40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立柱竖向位移监测点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80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360" w:lineRule="auto"/>
              <w:textAlignment w:val="auto"/>
              <w:rPr>
                <w:rFonts w:ascii="仿宋" w:hAnsi="仿宋" w:eastAsia="仿宋" w:cs="仿宋"/>
                <w:color w:val="auto"/>
                <w:spacing w:val="-4"/>
                <w:sz w:val="24"/>
                <w:szCs w:val="24"/>
                <w:highlight w:val="none"/>
                <w:lang w:eastAsia="zh-CN"/>
              </w:rPr>
            </w:pPr>
          </w:p>
        </w:tc>
      </w:tr>
    </w:tbl>
    <w:p>
      <w:pPr>
        <w:textAlignment w:val="center"/>
        <w:rPr>
          <w:rFonts w:hint="eastAsia" w:ascii="宋体" w:hAnsi="宋体" w:eastAsia="宋体" w:cs="宋体"/>
          <w:color w:val="auto"/>
          <w:sz w:val="24"/>
          <w:szCs w:val="24"/>
          <w:highlight w:val="none"/>
          <w:lang w:val="en-US" w:eastAsia="zh-CN" w:bidi="ar"/>
        </w:rPr>
      </w:pPr>
    </w:p>
    <w:p>
      <w:pPr>
        <w:adjustRightInd/>
        <w:spacing w:line="360" w:lineRule="auto"/>
        <w:textAlignment w:val="auto"/>
        <w:rPr>
          <w:rFonts w:hint="eastAsia" w:ascii="仿宋" w:hAnsi="仿宋" w:eastAsia="仿宋" w:cs="仿宋"/>
          <w:color w:val="auto"/>
          <w:spacing w:val="-4"/>
          <w:sz w:val="24"/>
          <w:szCs w:val="24"/>
          <w:highlight w:val="none"/>
          <w:lang w:val="en-US" w:eastAsia="zh-CN" w:bidi="ar"/>
        </w:rPr>
      </w:pPr>
      <w:r>
        <w:rPr>
          <w:rFonts w:hint="eastAsia" w:ascii="仿宋" w:hAnsi="仿宋" w:eastAsia="仿宋" w:cs="仿宋"/>
          <w:color w:val="auto"/>
          <w:spacing w:val="-4"/>
          <w:sz w:val="24"/>
          <w:szCs w:val="24"/>
          <w:highlight w:val="none"/>
          <w:lang w:val="en-US" w:eastAsia="zh-CN" w:bidi="ar"/>
        </w:rPr>
        <w:t>上述数量暂估仅供参考，最终结算以现场实际监测数量为准。</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51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7CE76"/>
    <w:multiLevelType w:val="multilevel"/>
    <w:tmpl w:val="CD97CE76"/>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31D8A15"/>
    <w:multiLevelType w:val="singleLevel"/>
    <w:tmpl w:val="F31D8A1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TZhMDllZTNlODQ1NzYyZGNhMjgwN2E2M2UyOWUifQ=="/>
  </w:docVars>
  <w:rsids>
    <w:rsidRoot w:val="0C182533"/>
    <w:rsid w:val="010736C1"/>
    <w:rsid w:val="07645419"/>
    <w:rsid w:val="0C182533"/>
    <w:rsid w:val="131B0F01"/>
    <w:rsid w:val="157E0A7A"/>
    <w:rsid w:val="1A3069EE"/>
    <w:rsid w:val="220435B3"/>
    <w:rsid w:val="54A37C4C"/>
    <w:rsid w:val="71E3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numPr>
        <w:ilvl w:val="0"/>
        <w:numId w:val="1"/>
      </w:numPr>
      <w:ind w:firstLine="0"/>
      <w:outlineLvl w:val="0"/>
    </w:pPr>
    <w:rPr>
      <w:b/>
      <w:kern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annotation text"/>
    <w:basedOn w:val="1"/>
    <w:autoRedefine/>
    <w:qFormat/>
    <w:uiPriority w:val="0"/>
  </w:style>
  <w:style w:type="paragraph" w:styleId="5">
    <w:name w:val="Body Text"/>
    <w:basedOn w:val="1"/>
    <w:next w:val="6"/>
    <w:autoRedefine/>
    <w:semiHidden/>
    <w:qFormat/>
    <w:uiPriority w:val="0"/>
  </w:style>
  <w:style w:type="paragraph" w:styleId="6">
    <w:name w:val="Body Text First Indent"/>
    <w:basedOn w:val="5"/>
    <w:autoRedefine/>
    <w:qFormat/>
    <w:uiPriority w:val="0"/>
    <w:pPr>
      <w:ind w:firstLine="420" w:firstLineChars="100"/>
    </w:pPr>
    <w:rPr>
      <w:rFonts w:ascii="宋体" w:hAnsi="宋体" w:cs="宋体"/>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11"/>
    <w:basedOn w:val="11"/>
    <w:autoRedefine/>
    <w:qFormat/>
    <w:uiPriority w:val="0"/>
    <w:rPr>
      <w:rFonts w:hint="eastAsia" w:ascii="仿宋" w:hAnsi="仿宋" w:eastAsia="仿宋" w:cs="仿宋"/>
      <w:color w:val="000000"/>
      <w:sz w:val="21"/>
      <w:szCs w:val="21"/>
      <w:u w:val="none"/>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FF0000"/>
      <w:sz w:val="24"/>
      <w:szCs w:val="24"/>
      <w:u w:val="none"/>
    </w:rPr>
  </w:style>
  <w:style w:type="character" w:customStyle="1" w:styleId="16">
    <w:name w:val="font101"/>
    <w:basedOn w:val="11"/>
    <w:autoRedefine/>
    <w:qFormat/>
    <w:uiPriority w:val="0"/>
    <w:rPr>
      <w:rFonts w:ascii="Calibri" w:hAnsi="Calibri" w:cs="Calibri"/>
      <w:color w:val="000000"/>
      <w:sz w:val="22"/>
      <w:szCs w:val="22"/>
      <w:u w:val="none"/>
    </w:rPr>
  </w:style>
  <w:style w:type="character" w:customStyle="1" w:styleId="17">
    <w:name w:val="font111"/>
    <w:basedOn w:val="11"/>
    <w:autoRedefine/>
    <w:qFormat/>
    <w:uiPriority w:val="0"/>
    <w:rPr>
      <w:rFonts w:hint="eastAsia" w:ascii="宋体" w:hAnsi="宋体" w:eastAsia="宋体" w:cs="宋体"/>
      <w:color w:val="000000"/>
      <w:sz w:val="22"/>
      <w:szCs w:val="22"/>
      <w:u w:val="none"/>
    </w:rPr>
  </w:style>
  <w:style w:type="character" w:customStyle="1" w:styleId="18">
    <w:name w:val="font121"/>
    <w:basedOn w:val="11"/>
    <w:autoRedefine/>
    <w:qFormat/>
    <w:uiPriority w:val="0"/>
    <w:rPr>
      <w:rFonts w:ascii="Segoe UI Symbol" w:hAnsi="Segoe UI Symbol" w:eastAsia="Segoe UI Symbol" w:cs="Segoe UI Symbol"/>
      <w:color w:val="000000"/>
      <w:sz w:val="22"/>
      <w:szCs w:val="22"/>
      <w:u w:val="none"/>
    </w:rPr>
  </w:style>
  <w:style w:type="character" w:customStyle="1" w:styleId="19">
    <w:name w:val="font112"/>
    <w:basedOn w:val="1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2023-12-28T03:10:00Z</dcterms:created>
  <dc:creator>葛诚喆</dc:creator>
  <cp:lastModifiedBy>葛诚喆</cp:lastModifiedBy>
  <dcterms:modified xsi:type="dcterms:W3CDTF">2024-01-12T07:35:16Z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D766B574FEFA419A9D4E922722FCA332_13</vt:lpwstr>
  </property>
</Properties>
</file>