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46132">
      <w:pPr>
        <w:pStyle w:val="9"/>
        <w:spacing w:before="0" w:beforeAutospacing="0" w:after="0" w:afterAutospacing="0" w:line="500" w:lineRule="exact"/>
        <w:jc w:val="both"/>
        <w:rPr>
          <w:rFonts w:hint="eastAsia" w:cs="宋体"/>
          <w:b/>
          <w:bCs/>
          <w:color w:val="auto"/>
          <w:sz w:val="21"/>
          <w:szCs w:val="21"/>
          <w:highlight w:val="none"/>
        </w:rPr>
      </w:pPr>
      <w:r>
        <w:t xml:space="preserve">I. Basic information of the project </w:t>
      </w:r>
    </w:p>
    <w:p w14:paraId="2C7CD712">
      <w:pPr>
        <w:pStyle w:val="10"/>
        <w:spacing w:before="0" w:beforeAutospacing="0" w:after="0" w:afterAutospacing="0" w:line="500" w:lineRule="exact"/>
        <w:ind w:firstLine="420" w:firstLineChars="200"/>
        <w:rPr>
          <w:rFonts w:hint="eastAsia" w:cs="宋体"/>
          <w:color w:val="auto"/>
          <w:sz w:val="21"/>
          <w:szCs w:val="21"/>
          <w:highlight w:val="none"/>
        </w:rPr>
      </w:pPr>
      <w:r>
        <w:t>Project Number: 310115140250313191489-15239306</w:t>
      </w:r>
    </w:p>
    <w:p w14:paraId="0A23D38A">
      <w:pPr>
        <w:pStyle w:val="10"/>
        <w:spacing w:before="0" w:beforeAutospacing="0" w:after="0" w:afterAutospacing="0" w:line="500" w:lineRule="exact"/>
        <w:ind w:firstLine="420" w:firstLineChars="200"/>
        <w:rPr>
          <w:rFonts w:hint="eastAsia" w:eastAsia="宋体" w:cs="宋体"/>
          <w:color w:val="auto"/>
          <w:sz w:val="21"/>
          <w:szCs w:val="21"/>
          <w:highlight w:val="none"/>
        </w:rPr>
      </w:pPr>
      <w:r>
        <w:t>Project Name: Construction Project of Protective Fence Facilities for Road Safety Hidden Dangers near River</w:t>
      </w:r>
    </w:p>
    <w:p w14:paraId="39B9141B">
      <w:pPr>
        <w:pStyle w:val="10"/>
        <w:spacing w:before="0" w:beforeAutospacing="0" w:after="0" w:afterAutospacing="0" w:line="500" w:lineRule="exact"/>
        <w:ind w:firstLine="420" w:firstLineChars="200"/>
        <w:rPr>
          <w:rFonts w:cs="宋体"/>
          <w:color w:val="auto"/>
          <w:sz w:val="21"/>
          <w:szCs w:val="21"/>
          <w:highlight w:val="none"/>
        </w:rPr>
      </w:pPr>
      <w:r>
        <w:t>Budget Number: 1524-W1401XXXX</w:t>
      </w:r>
    </w:p>
    <w:p w14:paraId="0972739F">
      <w:pPr>
        <w:pStyle w:val="10"/>
        <w:spacing w:before="0" w:beforeAutospacing="0" w:after="0" w:afterAutospacing="0" w:line="500" w:lineRule="exact"/>
        <w:ind w:firstLine="420" w:firstLineChars="200"/>
        <w:rPr>
          <w:rFonts w:hint="eastAsia" w:cs="宋体"/>
          <w:color w:val="auto"/>
          <w:sz w:val="21"/>
          <w:szCs w:val="21"/>
          <w:highlight w:val="none"/>
        </w:rPr>
      </w:pPr>
      <w:r>
        <w:t>Procurement method: competitive consultation</w:t>
      </w:r>
    </w:p>
    <w:p w14:paraId="7F7652B2">
      <w:pPr>
        <w:pStyle w:val="11"/>
        <w:spacing w:before="0" w:beforeAutospacing="0" w:after="0" w:afterAutospacing="0" w:line="500" w:lineRule="exact"/>
        <w:ind w:firstLine="420" w:firstLineChars="200"/>
        <w:rPr>
          <w:rFonts w:hint="eastAsia" w:cs="宋体"/>
          <w:color w:val="auto"/>
          <w:sz w:val="21"/>
          <w:szCs w:val="21"/>
          <w:highlight w:val="none"/>
        </w:rPr>
      </w:pPr>
      <w:r>
        <w:t>Budget amount (RMB): RMB 1,750,000</w:t>
      </w:r>
    </w:p>
    <w:p w14:paraId="418BDBC8">
      <w:pPr>
        <w:pStyle w:val="11"/>
        <w:spacing w:before="0" w:beforeAutospacing="0" w:after="0" w:afterAutospacing="0" w:line="500" w:lineRule="exact"/>
        <w:ind w:firstLine="420" w:firstLineChars="200"/>
        <w:rPr>
          <w:rFonts w:hint="eastAsia" w:cs="宋体"/>
          <w:color w:val="auto"/>
          <w:sz w:val="21"/>
          <w:szCs w:val="21"/>
          <w:highlight w:val="none"/>
        </w:rPr>
      </w:pPr>
      <w:r>
        <w:t>Maximum price limit (yuan): package 1-1568299.72 yuan</w:t>
      </w:r>
    </w:p>
    <w:p w14:paraId="0C358C59">
      <w:pPr>
        <w:pStyle w:val="10"/>
        <w:spacing w:before="0" w:beforeAutospacing="0" w:after="0" w:afterAutospacing="0" w:line="500" w:lineRule="exact"/>
        <w:ind w:firstLine="420" w:firstLineChars="200"/>
        <w:rPr>
          <w:rFonts w:hint="eastAsia" w:cs="宋体"/>
          <w:color w:val="auto"/>
          <w:sz w:val="21"/>
          <w:szCs w:val="21"/>
          <w:highlight w:val="none"/>
        </w:rPr>
      </w:pPr>
      <w:r>
        <w:t>Procurement requirements:</w:t>
      </w:r>
    </w:p>
    <w:p w14:paraId="6D8DA718">
      <w:pPr>
        <w:pStyle w:val="12"/>
        <w:widowControl/>
        <w:spacing w:line="500" w:lineRule="exact"/>
        <w:ind w:firstLine="420" w:firstLineChars="200"/>
        <w:jc w:val="left"/>
        <w:rPr>
          <w:rFonts w:hint="eastAsia" w:ascii="宋体" w:hAnsi="宋体" w:cs="宋体"/>
          <w:color w:val="auto"/>
          <w:sz w:val="21"/>
          <w:szCs w:val="21"/>
          <w:highlight w:val="none"/>
        </w:rPr>
      </w:pPr>
      <w:r>
        <w:rPr>
          <w:rFonts w:hint="eastAsia" w:ascii="宋体" w:hAnsi="宋体" w:cs="宋体"/>
        </w:rPr>
        <w:t>Package Name:</w:t>
      </w:r>
      <w:r>
        <w:rPr>
          <w:rFonts w:hint="eastAsia" w:ascii="宋体" w:hAnsi="宋体" w:eastAsia="宋体" w:cs="宋体"/>
        </w:rPr>
        <w:t>Construction Project of Protective Fence Facilities for Potential Safety Hazards of Linhe Road</w:t>
      </w:r>
    </w:p>
    <w:p w14:paraId="17540E07">
      <w:pPr>
        <w:pStyle w:val="10"/>
        <w:spacing w:before="0" w:beforeAutospacing="0" w:after="0" w:afterAutospacing="0" w:line="500" w:lineRule="exact"/>
        <w:ind w:firstLine="420" w:firstLineChars="200"/>
        <w:rPr>
          <w:rFonts w:hint="eastAsia" w:cs="宋体"/>
          <w:color w:val="auto"/>
          <w:sz w:val="21"/>
          <w:szCs w:val="21"/>
          <w:highlight w:val="none"/>
        </w:rPr>
      </w:pPr>
      <w:r>
        <w:t>Number: 1</w:t>
      </w:r>
    </w:p>
    <w:p w14:paraId="73908193">
      <w:pPr>
        <w:pStyle w:val="10"/>
        <w:spacing w:before="0" w:beforeAutospacing="0" w:after="0" w:afterAutospacing="0" w:line="500" w:lineRule="exact"/>
        <w:ind w:firstLine="420" w:firstLineChars="200"/>
        <w:rPr>
          <w:rFonts w:hint="eastAsia" w:cs="宋体"/>
          <w:color w:val="auto"/>
          <w:sz w:val="21"/>
          <w:szCs w:val="21"/>
          <w:highlight w:val="none"/>
        </w:rPr>
      </w:pPr>
      <w:r>
        <w:t>Budget Amount (Yuan): 1,750,000</w:t>
      </w:r>
    </w:p>
    <w:p w14:paraId="20B980CB">
      <w:pPr>
        <w:pStyle w:val="13"/>
        <w:widowControl/>
        <w:tabs>
          <w:tab w:val="left" w:pos="840"/>
        </w:tabs>
        <w:spacing w:line="500" w:lineRule="exact"/>
        <w:ind w:firstLine="420" w:firstLineChars="200"/>
        <w:jc w:val="left"/>
        <w:rPr>
          <w:rFonts w:hint="eastAsia" w:ascii="宋体" w:hAnsi="宋体" w:cs="宋体"/>
          <w:color w:val="auto"/>
          <w:sz w:val="21"/>
          <w:szCs w:val="21"/>
          <w:highlight w:val="none"/>
        </w:rPr>
      </w:pPr>
      <w:r>
        <w:t>Brief rule description: 60 hidden danger points of road facilities near water to be treated within the jurisdiction area shall be treated (see Bill of Quantities for specific quantity and requirements)</w:t>
      </w:r>
    </w:p>
    <w:p w14:paraId="01B0060B">
      <w:pPr>
        <w:pStyle w:val="10"/>
        <w:spacing w:before="0" w:beforeAutospacing="0" w:after="0" w:afterAutospacing="0" w:line="500" w:lineRule="exact"/>
        <w:ind w:firstLine="420" w:firstLineChars="200"/>
        <w:rPr>
          <w:rFonts w:hint="eastAsia" w:cs="宋体"/>
          <w:b/>
          <w:bCs/>
          <w:color w:val="auto"/>
          <w:sz w:val="21"/>
          <w:szCs w:val="21"/>
          <w:highlight w:val="none"/>
        </w:rPr>
      </w:pPr>
      <w:r>
        <w:t>Contract performance period: from the effective date of contract signing to the end of warranty period,</w:t>
      </w:r>
      <w:r>
        <w:rPr>
          <w:b/>
          <w:bCs/>
        </w:rPr>
        <w:t>planned construction period: 45 calendar days</w:t>
      </w:r>
    </w:p>
    <w:p w14:paraId="3B9D4F58">
      <w:pPr>
        <w:pStyle w:val="10"/>
        <w:spacing w:before="0" w:beforeAutospacing="0" w:after="0" w:afterAutospacing="0" w:line="500" w:lineRule="exact"/>
        <w:ind w:firstLine="420" w:firstLineChars="200"/>
        <w:rPr>
          <w:rFonts w:hint="eastAsia" w:cs="宋体"/>
          <w:color w:val="auto"/>
          <w:sz w:val="21"/>
          <w:szCs w:val="21"/>
          <w:highlight w:val="none"/>
        </w:rPr>
      </w:pPr>
      <w:r>
        <w:t>The consortium bid is accepted for this project (No).</w:t>
      </w:r>
    </w:p>
    <w:p w14:paraId="71D09224">
      <w:pPr>
        <w:pStyle w:val="2"/>
        <w:spacing w:before="0" w:beforeAutospacing="0" w:after="0" w:afterAutospacing="0" w:line="500" w:lineRule="exact"/>
        <w:jc w:val="both"/>
        <w:rPr>
          <w:rFonts w:hint="eastAsia" w:cs="宋体"/>
          <w:color w:val="auto"/>
          <w:sz w:val="21"/>
          <w:szCs w:val="21"/>
          <w:highlight w:val="none"/>
        </w:rPr>
      </w:pPr>
      <w:r>
        <w:rPr>
          <w:rStyle w:val="5"/>
          <w:rFonts w:hint="eastAsia" w:cs="宋体"/>
          <w:color w:val="auto"/>
          <w:sz w:val="21"/>
          <w:szCs w:val="21"/>
        </w:rPr>
        <w:t>II. Eligibility requirements for applicants:</w:t>
      </w:r>
    </w:p>
    <w:p w14:paraId="201119D7">
      <w:pPr>
        <w:pStyle w:val="13"/>
        <w:widowControl/>
        <w:numPr>
          <w:ilvl w:val="0"/>
          <w:numId w:val="1"/>
        </w:numPr>
        <w:spacing w:line="500" w:lineRule="exact"/>
        <w:ind w:firstLine="420" w:firstLineChars="200"/>
        <w:jc w:val="left"/>
        <w:rPr>
          <w:rFonts w:hint="eastAsia" w:ascii="宋体" w:hAnsi="宋体" w:cs="宋体"/>
          <w:color w:val="auto"/>
          <w:sz w:val="21"/>
          <w:szCs w:val="21"/>
          <w:highlight w:val="none"/>
        </w:rPr>
      </w:pPr>
      <w:r>
        <w:t>Meet the provisions of Article 22 of the Government Procurement Law of the People's Republic of China;</w:t>
      </w:r>
    </w:p>
    <w:p w14:paraId="164E25C5">
      <w:pPr>
        <w:pStyle w:val="13"/>
        <w:widowControl/>
        <w:numPr>
          <w:ilvl w:val="0"/>
          <w:numId w:val="1"/>
        </w:numPr>
        <w:spacing w:line="500" w:lineRule="exact"/>
        <w:ind w:firstLine="420" w:firstLineChars="200"/>
        <w:jc w:val="left"/>
        <w:rPr>
          <w:rFonts w:ascii="宋体" w:hAnsi="宋体" w:cs="宋体"/>
          <w:color w:val="auto"/>
          <w:szCs w:val="21"/>
          <w:highlight w:val="none"/>
        </w:rPr>
      </w:pPr>
      <w:bookmarkStart w:id="0" w:name="_Hlk189571068"/>
      <w:r>
        <w:t>Qualification requirements to be met for the implementation of government procurement policies: this project is a procurement project with reserved shares, and the reserved shares are reserved as a whole (specially for small and medium-sized enterprises)</w:t>
      </w:r>
      <w:bookmarkEnd w:id="0"/>
    </w:p>
    <w:p w14:paraId="385C88B5">
      <w:pPr>
        <w:pStyle w:val="13"/>
        <w:widowControl/>
        <w:numPr>
          <w:ilvl w:val="0"/>
          <w:numId w:val="1"/>
        </w:numPr>
        <w:spacing w:line="500" w:lineRule="exact"/>
        <w:ind w:firstLine="420" w:firstLineChars="200"/>
        <w:jc w:val="left"/>
        <w:rPr>
          <w:rFonts w:ascii="宋体" w:hAnsi="宋体" w:cs="宋体"/>
          <w:color w:val="auto"/>
          <w:szCs w:val="21"/>
          <w:highlight w:val="none"/>
        </w:rPr>
      </w:pPr>
      <w:r>
        <w:t>Specific eligibility requirements for this project:</w:t>
      </w:r>
    </w:p>
    <w:p w14:paraId="31E89ADA">
      <w:pPr>
        <w:pStyle w:val="14"/>
        <w:numPr>
          <w:ilvl w:val="3"/>
          <w:numId w:val="2"/>
        </w:numPr>
        <w:ind w:firstLineChars="0"/>
        <w:rPr>
          <w:rFonts w:hAnsi="宋体"/>
          <w:color w:val="auto"/>
          <w:szCs w:val="21"/>
          <w:highlight w:val="none"/>
        </w:rPr>
      </w:pPr>
      <w:r>
        <w:t>Conform to the provisions of Article 22 of the Government Procurement Law of the People's Republic of China.</w:t>
      </w:r>
    </w:p>
    <w:p w14:paraId="48284D2D">
      <w:pPr>
        <w:pStyle w:val="15"/>
        <w:numPr>
          <w:ilvl w:val="3"/>
          <w:numId w:val="2"/>
        </w:numPr>
        <w:ind w:firstLineChars="0"/>
        <w:rPr>
          <w:color w:val="auto"/>
          <w:highlight w:val="none"/>
        </w:rPr>
      </w:pPr>
      <w:r>
        <w:t>It has not been included in the list of persons subject to breach of trust execution, parties involved in major tax violation cases and records of serious illegal and dishonest behaviors in government procurement by "Credit China"(www.creditchina.gov.cn) and "China Government Procurement Network"(www.ccgp.gov.cn).</w:t>
      </w:r>
    </w:p>
    <w:p w14:paraId="4870DA27">
      <w:pPr>
        <w:pStyle w:val="16"/>
        <w:numPr>
          <w:ilvl w:val="3"/>
          <w:numId w:val="2"/>
        </w:numPr>
        <w:ind w:firstLineChars="0"/>
        <w:rPr>
          <w:color w:val="auto"/>
          <w:highlight w:val="none"/>
        </w:rPr>
      </w:pPr>
      <w:r>
        <w:t>If the person in charge of the unit is the same person or different suppliers with direct controlling or management relationships, they shall not participate in government procurement activities under the same contract; suppliers that provide overall design, specification preparation or project management, supervision, testing and other services for procurement projects, They are not allowed to participate in other procurement activities of the procurement project.</w:t>
      </w:r>
    </w:p>
    <w:p w14:paraId="3B496B66">
      <w:pPr>
        <w:pStyle w:val="15"/>
        <w:numPr>
          <w:ilvl w:val="3"/>
          <w:numId w:val="2"/>
        </w:numPr>
        <w:ind w:firstLineChars="0"/>
        <w:rPr>
          <w:color w:val="auto"/>
          <w:highlight w:val="none"/>
        </w:rPr>
      </w:pPr>
      <w:r>
        <w:t>With municipal public works construction general contracting grade III and above qualification or highway safety facilities sub-grade II and above qualification.</w:t>
      </w:r>
    </w:p>
    <w:p w14:paraId="081C5E03">
      <w:pPr>
        <w:pStyle w:val="16"/>
        <w:numPr>
          <w:ilvl w:val="3"/>
          <w:numId w:val="2"/>
        </w:numPr>
        <w:ind w:firstLineChars="0"/>
        <w:rPr>
          <w:color w:val="auto"/>
          <w:highlight w:val="none"/>
        </w:rPr>
      </w:pPr>
      <w:r>
        <w:t>Have safety production license (valid period).</w:t>
      </w:r>
    </w:p>
    <w:p w14:paraId="440CE869">
      <w:pPr>
        <w:pStyle w:val="15"/>
        <w:numPr>
          <w:ilvl w:val="3"/>
          <w:numId w:val="2"/>
        </w:numPr>
        <w:ind w:firstLineChars="0"/>
        <w:rPr>
          <w:rFonts w:hint="eastAsia" w:hAnsi="宋体" w:cs="宋体"/>
          <w:color w:val="auto"/>
          <w:szCs w:val="21"/>
          <w:highlight w:val="none"/>
        </w:rPr>
      </w:pPr>
      <w:r>
        <w:t>The proposed project leader of the general contractor of municipal public works shall have the practicing qualification of registered constructor of Grade II or above of municipal public works specialty, and the proposed project leader of the sub-qualification of highway safety facilities shall have the practicing qualification of registered constructor of Grade II or above of highway engineering specialty. Possess valid safety production assessment certificate, and do not serve as the project leader of other construction projects under construction.</w:t>
      </w:r>
    </w:p>
    <w:p w14:paraId="323F3835">
      <w:pPr>
        <w:pStyle w:val="2"/>
        <w:spacing w:before="0" w:beforeAutospacing="0" w:after="0" w:afterAutospacing="0" w:line="500" w:lineRule="exact"/>
        <w:jc w:val="both"/>
        <w:rPr>
          <w:rStyle w:val="5"/>
          <w:rFonts w:hint="eastAsia" w:cs="宋体"/>
          <w:color w:val="auto"/>
          <w:sz w:val="21"/>
          <w:szCs w:val="21"/>
          <w:highlight w:val="none"/>
        </w:rPr>
      </w:pPr>
      <w:r>
        <w:rPr>
          <w:rStyle w:val="5"/>
          <w:rFonts w:hint="eastAsia" w:cs="宋体"/>
          <w:color w:val="auto"/>
          <w:sz w:val="21"/>
          <w:szCs w:val="21"/>
        </w:rPr>
        <w:t>III. Access to procurement documents</w:t>
      </w:r>
    </w:p>
    <w:p w14:paraId="423ECFB6">
      <w:pPr>
        <w:pStyle w:val="10"/>
        <w:spacing w:before="0" w:beforeAutospacing="0" w:after="0" w:afterAutospacing="0" w:line="500" w:lineRule="exact"/>
        <w:ind w:firstLine="420" w:firstLineChars="200"/>
        <w:rPr>
          <w:rFonts w:hint="eastAsia" w:cs="宋体"/>
          <w:color w:val="auto"/>
          <w:sz w:val="21"/>
          <w:szCs w:val="21"/>
          <w:highlight w:val="none"/>
        </w:rPr>
      </w:pPr>
      <w:r>
        <w:t>Time: June 27, 2025 to July 4, 2025, 00:00-12:00:00 a.m. and 12:00:00-23:59:59 p.m.(Beijing time, except legal holidays)</w:t>
      </w:r>
    </w:p>
    <w:p w14:paraId="2A633DD8">
      <w:pPr>
        <w:pStyle w:val="10"/>
        <w:spacing w:before="0" w:beforeAutospacing="0" w:after="0" w:afterAutospacing="0" w:line="500" w:lineRule="exact"/>
        <w:ind w:firstLine="420" w:firstLineChars="200"/>
        <w:rPr>
          <w:rFonts w:hint="eastAsia" w:cs="宋体"/>
          <w:color w:val="auto"/>
          <w:sz w:val="21"/>
          <w:szCs w:val="21"/>
          <w:highlight w:val="none"/>
        </w:rPr>
      </w:pPr>
      <w:r>
        <w:t>Location: Shanghai City Government Procurement Network</w:t>
      </w:r>
    </w:p>
    <w:p w14:paraId="37B14FDB">
      <w:pPr>
        <w:pStyle w:val="2"/>
        <w:spacing w:before="0" w:beforeAutospacing="0" w:after="0" w:afterAutospacing="0" w:line="500" w:lineRule="exact"/>
        <w:ind w:firstLine="420" w:firstLineChars="200"/>
        <w:rPr>
          <w:rFonts w:hint="eastAsia" w:cs="宋体"/>
          <w:color w:val="auto"/>
          <w:sz w:val="21"/>
          <w:szCs w:val="21"/>
          <w:highlight w:val="none"/>
        </w:rPr>
      </w:pPr>
      <w:r>
        <w:rPr>
          <w:rFonts w:hint="eastAsia" w:cs="宋体"/>
          <w:color w:val="auto"/>
          <w:sz w:val="21"/>
          <w:szCs w:val="21"/>
        </w:rPr>
        <w:t>Method:</w:t>
      </w:r>
      <w:r>
        <w:rPr>
          <w:rStyle w:val="6"/>
          <w:rFonts w:hint="eastAsia" w:ascii="宋体" w:hAnsi="宋体" w:eastAsia="宋体" w:cs="宋体"/>
          <w:color w:val="auto"/>
        </w:rPr>
        <w:t>Online access</w:t>
      </w:r>
    </w:p>
    <w:p w14:paraId="0C6DB8DF">
      <w:pPr>
        <w:pStyle w:val="17"/>
        <w:spacing w:before="0" w:beforeAutospacing="0" w:after="0" w:afterAutospacing="0" w:line="500" w:lineRule="exact"/>
        <w:ind w:firstLine="420" w:firstLineChars="200"/>
        <w:rPr>
          <w:rFonts w:hint="eastAsia" w:cs="宋体"/>
          <w:color w:val="auto"/>
          <w:sz w:val="21"/>
          <w:szCs w:val="21"/>
          <w:highlight w:val="none"/>
        </w:rPr>
      </w:pPr>
      <w:r>
        <w:t>Price (RMB): 0</w:t>
      </w:r>
    </w:p>
    <w:p w14:paraId="434D2EA2">
      <w:pPr>
        <w:pStyle w:val="2"/>
        <w:spacing w:before="0" w:beforeAutospacing="0" w:after="0" w:afterAutospacing="0" w:line="500" w:lineRule="exact"/>
        <w:jc w:val="both"/>
        <w:rPr>
          <w:rStyle w:val="5"/>
          <w:rFonts w:hint="eastAsia" w:cs="宋体"/>
          <w:color w:val="auto"/>
          <w:sz w:val="21"/>
          <w:szCs w:val="21"/>
          <w:highlight w:val="none"/>
        </w:rPr>
      </w:pPr>
      <w:r>
        <w:rPr>
          <w:rStyle w:val="5"/>
          <w:rFonts w:hint="eastAsia" w:cs="宋体"/>
          <w:color w:val="auto"/>
          <w:sz w:val="21"/>
          <w:szCs w:val="21"/>
        </w:rPr>
        <w:t>IV. Submission of Response Documents</w:t>
      </w:r>
    </w:p>
    <w:p w14:paraId="6AFC138C">
      <w:pPr>
        <w:pStyle w:val="10"/>
        <w:spacing w:before="0" w:beforeAutospacing="0" w:after="0" w:afterAutospacing="0" w:line="500" w:lineRule="exact"/>
        <w:ind w:firstLine="420" w:firstLineChars="200"/>
        <w:rPr>
          <w:rFonts w:hint="eastAsia" w:cs="宋体"/>
          <w:color w:val="auto"/>
          <w:sz w:val="21"/>
          <w:szCs w:val="21"/>
          <w:highlight w:val="none"/>
        </w:rPr>
      </w:pPr>
      <w:bookmarkStart w:id="1" w:name="_Hlk189571102"/>
      <w:r>
        <w:t>Deadline: July 11, 2025 13:30 (Beijing time)</w:t>
      </w:r>
    </w:p>
    <w:bookmarkEnd w:id="1"/>
    <w:p w14:paraId="13DDC2A2">
      <w:pPr>
        <w:pStyle w:val="18"/>
        <w:spacing w:before="0" w:beforeAutospacing="0" w:after="0" w:afterAutospacing="0" w:line="500" w:lineRule="exact"/>
        <w:ind w:firstLine="420" w:firstLineChars="200"/>
        <w:rPr>
          <w:rFonts w:hint="eastAsia" w:cs="宋体"/>
          <w:color w:val="auto"/>
          <w:sz w:val="21"/>
          <w:szCs w:val="21"/>
          <w:highlight w:val="none"/>
        </w:rPr>
      </w:pPr>
      <w:r>
        <w:rPr>
          <w:rFonts w:hint="eastAsia" w:ascii="宋体"/>
        </w:rPr>
        <w:t>Location: (electronic response document) Shanghai City Government Procurement Network (http://www.zfcg.sh.gov.cn);(paper response document)</w:t>
      </w:r>
      <w:r>
        <w:rPr>
          <w:rFonts w:hint="eastAsia" w:cs="宋体"/>
        </w:rPr>
        <w:t>Conference Room 2201-2203, No. 38, Lane 2626, Gongji Road, Pudong New District (Sanlingqi Innovation Park)</w:t>
      </w:r>
    </w:p>
    <w:p w14:paraId="15C075A1">
      <w:pPr>
        <w:pStyle w:val="2"/>
        <w:spacing w:before="0" w:beforeAutospacing="0" w:after="0" w:afterAutospacing="0" w:line="500" w:lineRule="exact"/>
        <w:jc w:val="both"/>
        <w:rPr>
          <w:rStyle w:val="5"/>
          <w:rFonts w:hint="eastAsia" w:cs="宋体"/>
          <w:color w:val="auto"/>
          <w:sz w:val="21"/>
          <w:szCs w:val="21"/>
          <w:highlight w:val="none"/>
        </w:rPr>
      </w:pPr>
      <w:r>
        <w:rPr>
          <w:rStyle w:val="5"/>
          <w:rFonts w:hint="eastAsia" w:cs="宋体"/>
          <w:color w:val="auto"/>
          <w:sz w:val="21"/>
          <w:szCs w:val="21"/>
        </w:rPr>
        <w:t>V. Response file open</w:t>
      </w:r>
    </w:p>
    <w:p w14:paraId="194FC148">
      <w:pPr>
        <w:pStyle w:val="10"/>
        <w:spacing w:before="0" w:beforeAutospacing="0" w:after="0" w:afterAutospacing="0" w:line="500" w:lineRule="exact"/>
        <w:ind w:firstLine="420" w:firstLineChars="200"/>
        <w:rPr>
          <w:rFonts w:hint="eastAsia" w:cs="宋体"/>
          <w:color w:val="auto"/>
          <w:sz w:val="21"/>
          <w:szCs w:val="21"/>
          <w:highlight w:val="none"/>
        </w:rPr>
      </w:pPr>
      <w:bookmarkStart w:id="2" w:name="_Hlk189571112"/>
      <w:r>
        <w:t>Opening time: July 11, 2025 13:30 (Beijing time)</w:t>
      </w:r>
    </w:p>
    <w:p w14:paraId="20C8B139">
      <w:pPr>
        <w:pStyle w:val="10"/>
        <w:adjustRightInd w:val="0"/>
        <w:spacing w:before="0" w:beforeAutospacing="0" w:after="0" w:afterAutospacing="0" w:line="500" w:lineRule="exact"/>
        <w:ind w:firstLine="420" w:firstLineChars="200"/>
        <w:textAlignment w:val="baseline"/>
        <w:rPr>
          <w:rFonts w:hint="eastAsia" w:eastAsia="宋体" w:cs="宋体"/>
          <w:color w:val="auto"/>
          <w:sz w:val="21"/>
          <w:szCs w:val="21"/>
          <w:highlight w:val="none"/>
        </w:rPr>
      </w:pPr>
      <w:r>
        <w:t>Venue: Shanghai government procurement website (http://www.zfcg.sh.gov.cn)(on-site meeting room: Room 2201-2203, No.38, Lane 2626, Gongji Road, Pudong New District (Sanling Qichuang Park)</w:t>
      </w:r>
      <w:bookmarkEnd w:id="2"/>
    </w:p>
    <w:p w14:paraId="383F85A5">
      <w:pPr>
        <w:pStyle w:val="2"/>
        <w:spacing w:before="0" w:beforeAutospacing="0" w:after="0" w:afterAutospacing="0" w:line="500" w:lineRule="exact"/>
        <w:jc w:val="both"/>
        <w:rPr>
          <w:rStyle w:val="5"/>
          <w:rFonts w:hint="eastAsia" w:cs="宋体"/>
          <w:color w:val="auto"/>
          <w:sz w:val="21"/>
          <w:szCs w:val="21"/>
          <w:highlight w:val="none"/>
        </w:rPr>
      </w:pPr>
      <w:r>
        <w:rPr>
          <w:rStyle w:val="5"/>
          <w:rFonts w:hint="eastAsia" w:cs="宋体"/>
          <w:color w:val="auto"/>
          <w:sz w:val="21"/>
          <w:szCs w:val="21"/>
        </w:rPr>
        <w:t>VI. Time limit for announcement</w:t>
      </w:r>
    </w:p>
    <w:p w14:paraId="4F975A96">
      <w:pPr>
        <w:pStyle w:val="10"/>
        <w:spacing w:before="0" w:beforeAutospacing="0" w:after="0" w:afterAutospacing="0" w:line="500" w:lineRule="exact"/>
        <w:ind w:firstLine="420" w:firstLineChars="200"/>
        <w:rPr>
          <w:rFonts w:hint="eastAsia" w:cs="宋体"/>
          <w:color w:val="auto"/>
          <w:sz w:val="21"/>
          <w:szCs w:val="21"/>
          <w:highlight w:val="none"/>
        </w:rPr>
      </w:pPr>
      <w:r>
        <w:t>Three working days from the date of this announcement.</w:t>
      </w:r>
    </w:p>
    <w:p w14:paraId="70D74FF4">
      <w:pPr>
        <w:pStyle w:val="2"/>
        <w:spacing w:before="0" w:beforeAutospacing="0" w:after="0" w:afterAutospacing="0" w:line="500" w:lineRule="exact"/>
        <w:jc w:val="both"/>
        <w:rPr>
          <w:rStyle w:val="5"/>
          <w:rFonts w:hint="eastAsia" w:cs="宋体"/>
          <w:color w:val="auto"/>
          <w:sz w:val="21"/>
          <w:szCs w:val="21"/>
          <w:highlight w:val="none"/>
        </w:rPr>
      </w:pPr>
      <w:r>
        <w:rPr>
          <w:rStyle w:val="5"/>
          <w:rFonts w:hint="eastAsia" w:cs="宋体"/>
          <w:color w:val="auto"/>
          <w:sz w:val="21"/>
          <w:szCs w:val="21"/>
        </w:rPr>
        <w:t>VII. Other supplementary matters</w:t>
      </w:r>
    </w:p>
    <w:p w14:paraId="610CA5DB">
      <w:pPr>
        <w:pStyle w:val="13"/>
        <w:spacing w:line="360" w:lineRule="auto"/>
        <w:ind w:firstLine="420" w:firstLineChars="200"/>
        <w:rPr>
          <w:color w:val="auto"/>
          <w:kern w:val="0"/>
          <w:sz w:val="21"/>
          <w:szCs w:val="21"/>
          <w:highlight w:val="none"/>
        </w:rPr>
      </w:pPr>
      <w:bookmarkStart w:id="3" w:name="_Hlk189571140"/>
      <w:r>
        <w:t>Materials required to open response files: computer equipment, digital certificates (CA certificates).</w:t>
      </w:r>
      <w:bookmarkEnd w:id="3"/>
    </w:p>
    <w:p w14:paraId="1BC6ADED">
      <w:pPr>
        <w:pStyle w:val="2"/>
        <w:spacing w:before="0" w:beforeAutospacing="0" w:after="0" w:afterAutospacing="0" w:line="500" w:lineRule="exact"/>
        <w:jc w:val="both"/>
        <w:rPr>
          <w:rStyle w:val="5"/>
          <w:rFonts w:hint="eastAsia" w:cs="宋体"/>
          <w:color w:val="auto"/>
          <w:sz w:val="21"/>
          <w:szCs w:val="21"/>
          <w:highlight w:val="none"/>
        </w:rPr>
      </w:pPr>
      <w:r>
        <w:rPr>
          <w:rStyle w:val="5"/>
          <w:rFonts w:hint="eastAsia" w:cs="宋体"/>
          <w:color w:val="auto"/>
          <w:sz w:val="21"/>
          <w:szCs w:val="21"/>
        </w:rPr>
        <w:t>VIII. Inquiries regarding this consultation should be addressed as follows</w:t>
      </w:r>
    </w:p>
    <w:p w14:paraId="49AF4DA0">
      <w:pPr>
        <w:pStyle w:val="10"/>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1. Buyer Information</w:t>
      </w:r>
    </w:p>
    <w:p w14:paraId="481A979F">
      <w:pPr>
        <w:pStyle w:val="10"/>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Name: Shanghai City Pudong New District Nicheng Town People's Government</w:t>
      </w:r>
    </w:p>
    <w:p w14:paraId="064C6002">
      <w:pPr>
        <w:pStyle w:val="10"/>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Address: No.2 Nicheng Road, Nicheng Town, Pudong New District, Shanghai City</w:t>
      </w:r>
    </w:p>
    <w:p w14:paraId="0822D8C8">
      <w:pPr>
        <w:pStyle w:val="10"/>
        <w:adjustRightInd w:val="0"/>
        <w:spacing w:before="0" w:beforeAutospacing="0" w:after="0" w:afterAutospacing="0" w:line="500" w:lineRule="exact"/>
        <w:ind w:firstLine="420" w:firstLineChars="200"/>
        <w:textAlignment w:val="baseline"/>
        <w:rPr>
          <w:rFonts w:hint="eastAsia" w:eastAsia="宋体" w:cs="宋体"/>
          <w:color w:val="auto"/>
          <w:sz w:val="21"/>
          <w:szCs w:val="21"/>
          <w:highlight w:val="none"/>
        </w:rPr>
      </w:pPr>
      <w:r>
        <w:t>Contact: 021-58070971</w:t>
      </w:r>
    </w:p>
    <w:p w14:paraId="6AEDC276">
      <w:pPr>
        <w:pStyle w:val="10"/>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2. Purchasing Agency Information</w:t>
      </w:r>
    </w:p>
    <w:p w14:paraId="516C01DD">
      <w:pPr>
        <w:pStyle w:val="10"/>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 xml:space="preserve">Name: Shanghai Shefa Project Management Service Co., Ltd. </w:t>
      </w:r>
    </w:p>
    <w:p w14:paraId="7AC11C72">
      <w:pPr>
        <w:pStyle w:val="10"/>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Address: Building 16, Zone B, Jinling Capital, Lane 568, Tanglu Road, Pudong New District, Shanghai City</w:t>
      </w:r>
    </w:p>
    <w:p w14:paraId="344FE8C0">
      <w:pPr>
        <w:pStyle w:val="11"/>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Contact: 021-58300777-8029</w:t>
      </w:r>
    </w:p>
    <w:p w14:paraId="3D1DC971">
      <w:pPr>
        <w:pStyle w:val="10"/>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3. Project contact information</w:t>
      </w:r>
    </w:p>
    <w:p w14:paraId="4B38930E">
      <w:pPr>
        <w:pStyle w:val="10"/>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Project Contact: Tang Jiaming</w:t>
      </w:r>
    </w:p>
    <w:p w14:paraId="0C7B20EE">
      <w:pPr>
        <w:pStyle w:val="11"/>
        <w:adjustRightInd w:val="0"/>
        <w:spacing w:before="0" w:beforeAutospacing="0" w:after="0" w:afterAutospacing="0" w:line="500" w:lineRule="exact"/>
        <w:ind w:firstLine="420" w:firstLineChars="200"/>
        <w:textAlignment w:val="baseline"/>
        <w:rPr>
          <w:rFonts w:hint="eastAsia" w:cs="宋体"/>
          <w:color w:val="auto"/>
          <w:sz w:val="21"/>
          <w:szCs w:val="21"/>
          <w:highlight w:val="none"/>
        </w:rPr>
      </w:pPr>
      <w:r>
        <w:t>Tel: 021-58300777-8029</w:t>
      </w:r>
    </w:p>
    <w:p w14:paraId="745FDB94">
      <w:pPr>
        <w:rPr>
          <w:color w:val="auto"/>
          <w:highlight w:val="none"/>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AA9ED"/>
    <w:multiLevelType w:val="multilevel"/>
    <w:tmpl w:val="C24AA9ED"/>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857E640"/>
    <w:multiLevelType w:val="singleLevel"/>
    <w:tmpl w:val="5857E640"/>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463D0"/>
    <w:rsid w:val="379463D0"/>
    <w:rsid w:val="72260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5">
    <w:name w:val="Strong"/>
    <w:qFormat/>
    <w:uiPriority w:val="0"/>
    <w:rPr>
      <w:b/>
      <w:bCs/>
    </w:rPr>
  </w:style>
  <w:style w:type="character" w:styleId="6">
    <w:name w:val="HTML Sample"/>
    <w:unhideWhenUsed/>
    <w:qFormat/>
    <w:uiPriority w:val="0"/>
    <w:rPr>
      <w:rFonts w:hint="default" w:ascii="Menlo" w:hAnsi="Menlo" w:eastAsia="Menlo" w:cs="Menlo"/>
      <w:sz w:val="21"/>
      <w:szCs w:val="21"/>
    </w:rPr>
  </w:style>
  <w:style w:type="paragraph" w:customStyle="1" w:styleId="7">
    <w:name w:val="BodyText1I"/>
    <w:basedOn w:val="8"/>
    <w:qFormat/>
    <w:uiPriority w:val="0"/>
    <w:pPr>
      <w:spacing w:before="149" w:line="540" w:lineRule="exact"/>
      <w:ind w:left="761" w:firstLine="100" w:firstLineChars="100"/>
      <w:jc w:val="left"/>
    </w:pPr>
    <w:rPr>
      <w:rFonts w:ascii="宋体" w:eastAsia="宋体"/>
      <w:kern w:val="0"/>
      <w:szCs w:val="28"/>
    </w:rPr>
  </w:style>
  <w:style w:type="paragraph" w:customStyle="1" w:styleId="8">
    <w:name w:val="BodyText"/>
    <w:basedOn w:val="1"/>
    <w:qFormat/>
    <w:uiPriority w:val="0"/>
    <w:rPr>
      <w:rFonts w:ascii="新宋体" w:hAnsi="Times New Roman" w:eastAsia="新宋体" w:cs="Times New Roman"/>
      <w:szCs w:val="32"/>
    </w:rPr>
  </w:style>
  <w:style w:type="paragraph" w:customStyle="1" w:styleId="9">
    <w:name w:val="P68B1DB1-21"/>
    <w:basedOn w:val="2"/>
    <w:qFormat/>
    <w:uiPriority w:val="0"/>
    <w:rPr>
      <w:rFonts w:hint="eastAsia" w:cs="宋体"/>
      <w:b/>
      <w:bCs/>
      <w:color w:val="auto"/>
      <w:sz w:val="21"/>
      <w:szCs w:val="21"/>
    </w:rPr>
  </w:style>
  <w:style w:type="paragraph" w:customStyle="1" w:styleId="10">
    <w:name w:val="P68B1DB1-22"/>
    <w:basedOn w:val="2"/>
    <w:qFormat/>
    <w:uiPriority w:val="0"/>
    <w:rPr>
      <w:rFonts w:hint="eastAsia" w:cs="宋体"/>
      <w:color w:val="auto"/>
      <w:sz w:val="21"/>
      <w:szCs w:val="21"/>
    </w:rPr>
  </w:style>
  <w:style w:type="paragraph" w:customStyle="1" w:styleId="11">
    <w:name w:val="P68B1DB1-23"/>
    <w:basedOn w:val="2"/>
    <w:qFormat/>
    <w:uiPriority w:val="0"/>
    <w:rPr>
      <w:rFonts w:hint="eastAsia"/>
      <w:color w:val="auto"/>
      <w:sz w:val="21"/>
      <w:szCs w:val="21"/>
    </w:rPr>
  </w:style>
  <w:style w:type="paragraph" w:customStyle="1" w:styleId="12">
    <w:name w:val="P68B1DB1-14"/>
    <w:basedOn w:val="1"/>
    <w:qFormat/>
    <w:uiPriority w:val="0"/>
    <w:rPr>
      <w:color w:val="auto"/>
      <w:szCs w:val="21"/>
    </w:rPr>
  </w:style>
  <w:style w:type="paragraph" w:customStyle="1" w:styleId="13">
    <w:name w:val="P68B1DB1-15"/>
    <w:basedOn w:val="1"/>
    <w:qFormat/>
    <w:uiPriority w:val="0"/>
    <w:rPr>
      <w:rFonts w:hint="eastAsia" w:ascii="宋体" w:hAnsi="宋体" w:cs="宋体"/>
      <w:color w:val="auto"/>
      <w:szCs w:val="21"/>
    </w:rPr>
  </w:style>
  <w:style w:type="paragraph" w:customStyle="1" w:styleId="14">
    <w:name w:val="P68B1DB1-76"/>
    <w:basedOn w:val="7"/>
    <w:qFormat/>
    <w:uiPriority w:val="0"/>
    <w:rPr>
      <w:rFonts w:hint="eastAsia" w:hAnsi="宋体"/>
      <w:color w:val="auto"/>
      <w:szCs w:val="21"/>
    </w:rPr>
  </w:style>
  <w:style w:type="paragraph" w:customStyle="1" w:styleId="15">
    <w:name w:val="P68B1DB1-77"/>
    <w:basedOn w:val="7"/>
    <w:qFormat/>
    <w:uiPriority w:val="0"/>
    <w:rPr>
      <w:rFonts w:hint="eastAsia" w:hAnsi="宋体" w:cs="宋体"/>
      <w:color w:val="auto"/>
      <w:szCs w:val="21"/>
    </w:rPr>
  </w:style>
  <w:style w:type="paragraph" w:customStyle="1" w:styleId="16">
    <w:name w:val="P68B1DB1-78"/>
    <w:basedOn w:val="7"/>
    <w:qFormat/>
    <w:uiPriority w:val="0"/>
    <w:rPr>
      <w:rFonts w:hint="eastAsia"/>
      <w:color w:val="auto"/>
    </w:rPr>
  </w:style>
  <w:style w:type="paragraph" w:customStyle="1" w:styleId="17">
    <w:name w:val="P68B1DB1-29"/>
    <w:basedOn w:val="2"/>
    <w:qFormat/>
    <w:uiPriority w:val="0"/>
    <w:rPr>
      <w:rFonts w:hint="eastAsia" w:ascii="宋体" w:cs="宋体"/>
      <w:color w:val="auto"/>
      <w:sz w:val="21"/>
      <w:szCs w:val="21"/>
    </w:rPr>
  </w:style>
  <w:style w:type="paragraph" w:customStyle="1" w:styleId="18">
    <w:name w:val="P68B1DB1-210"/>
    <w:basedOn w:val="2"/>
    <w:qFormat/>
    <w:uiPriority w:val="0"/>
    <w:rPr>
      <w:color w:val="auto"/>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631</Words>
  <Characters>4055</Characters>
  <Lines>0</Lines>
  <Paragraphs>0</Paragraphs>
  <TotalTime>5</TotalTime>
  <ScaleCrop>false</ScaleCrop>
  <LinksUpToDate>false</LinksUpToDate>
  <CharactersWithSpaces>4637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2025-06-27T00:55:00Z</dcterms:created>
  <dc:creator>Administrator</dc:creator>
  <cp:lastModifiedBy>Administrator</cp:lastModifiedBy>
  <dcterms:modified xsi:type="dcterms:W3CDTF">2025-06-27T01:02:50Z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50109FA89AFB445EA9990FB43015F6BE_11</vt:lpwstr>
  </property>
  <property fmtid="{D5CDD505-2E9C-101B-9397-08002B2CF9AE}" pid="4" name="KSOTemplateDocerSaveRecord">
    <vt:lpwstr>eyJoZGlkIjoiNjFjZDcyZjRkYWNhMWZiNzZhZjRmM2ZjNGFkN2YyZTUiLCJ1c2VySWQiOiIzMzkxMTI4MzYifQ==</vt:lpwstr>
  </property>
</Properties>
</file>