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84"/>
          <w:szCs w:val="84"/>
        </w:rPr>
      </w:pPr>
      <w:r>
        <w:rPr>
          <w:rFonts w:hint="eastAsia" w:ascii="宋体" w:hAnsi="宋体" w:eastAsia="宋体" w:cs="宋体"/>
          <w:b/>
          <w:bCs/>
          <w:sz w:val="84"/>
          <w:szCs w:val="84"/>
        </w:rPr>
        <w:t>采购需求</w:t>
      </w:r>
    </w:p>
    <w:p>
      <w:pPr>
        <w:pStyle w:val="2"/>
      </w:pPr>
      <w:r>
        <w:rPr>
          <w:rFonts w:hint="eastAsia"/>
        </w:rPr>
        <w:t>项目背景</w:t>
      </w:r>
    </w:p>
    <w:p>
      <w:pPr>
        <w:spacing w:line="360" w:lineRule="auto"/>
        <w:ind w:right="-29" w:rightChars="-14" w:firstLine="480"/>
        <w:rPr>
          <w:sz w:val="24"/>
        </w:rPr>
      </w:pPr>
      <w:r>
        <w:rPr>
          <w:rFonts w:hint="eastAsia"/>
          <w:sz w:val="24"/>
        </w:rPr>
        <w:t>普陀区社区智能安防前端系统建设项目于2019年实施，系统在线运行时长已达5年。建设项目依据《上海市推进智慧城市建设“十三五”规划》、《关于加强本市城市管理精细化工作的实施意见》、《关于上海市社会面智能安防建设的指导意见》、《关于进一步做好住宅小区智能安防建设工作》、《2019年上海市智慧公安建设任务清单》、《关于做好社区楼宇智能安防建设牵头工作》等文件要求，在智慧城市建设的总体框架下，坚持“以需求为导向、以应用为核心”的建设理念，按照“政府主导、市场运作、各方参与、公安融入”的建设模式，开展全区社区层面的智能安防建设，加强社区治安防控，深化社区安全战略。</w:t>
      </w:r>
    </w:p>
    <w:p>
      <w:pPr>
        <w:spacing w:line="360" w:lineRule="auto"/>
        <w:ind w:right="-29" w:rightChars="-14" w:firstLine="480"/>
        <w:rPr>
          <w:sz w:val="24"/>
        </w:rPr>
      </w:pPr>
      <w:r>
        <w:rPr>
          <w:rFonts w:hint="eastAsia"/>
          <w:sz w:val="24"/>
        </w:rPr>
        <w:t>由于普陀区社区智能安防前端系统设备已经投入使用5年之久，为确保系统设备可以持续稳定运行，更有效地延长各小区视频监控系统的使用，对系统中所涉及到的前端社区智能安防设备、管线设施的软件和硬件进行定期维护保养工作。</w:t>
      </w:r>
    </w:p>
    <w:p>
      <w:pPr>
        <w:pStyle w:val="2"/>
      </w:pPr>
      <w:r>
        <w:rPr>
          <w:rFonts w:hint="eastAsia"/>
        </w:rPr>
        <w:t>运维服务目标</w:t>
      </w:r>
    </w:p>
    <w:p>
      <w:pPr>
        <w:spacing w:line="360" w:lineRule="auto"/>
        <w:ind w:right="-29" w:rightChars="-14" w:firstLine="480"/>
        <w:rPr>
          <w:sz w:val="24"/>
        </w:rPr>
      </w:pPr>
      <w:r>
        <w:rPr>
          <w:rFonts w:hint="eastAsia"/>
          <w:sz w:val="24"/>
        </w:rPr>
        <w:t>通过本项目，可保障现有社区智能安防系统的正常运行，持续完善小区安全体系建设，扫除监管盲区，提高城市治安防控、应急以及处突能力。为社区管理者提供实时、‌全面的监控信息，‌便于及时发现问题并采取措施，‌提高应急响应速度和决策效率。‌结合公安治安监控系统建设，‌有效预防、减少社区内的盗窃、‌破坏等事件的发生，降低人民群众的财产损失。</w:t>
      </w:r>
    </w:p>
    <w:p>
      <w:pPr>
        <w:pStyle w:val="3"/>
        <w:rPr>
          <w:rFonts w:hint="eastAsia" w:asciiTheme="minorEastAsia" w:hAnsiTheme="minorEastAsia" w:eastAsiaTheme="minorEastAsia" w:cstheme="minorEastAsia"/>
        </w:rPr>
      </w:pPr>
      <w:bookmarkStart w:id="0" w:name="_Toc171080563"/>
      <w:r>
        <w:rPr>
          <w:rFonts w:hint="eastAsia" w:asciiTheme="minorEastAsia" w:hAnsiTheme="minorEastAsia" w:eastAsiaTheme="minorEastAsia" w:cstheme="minorEastAsia"/>
        </w:rPr>
        <w:t>业务绩效考核目标</w:t>
      </w:r>
      <w:bookmarkEnd w:id="0"/>
    </w:p>
    <w:tbl>
      <w:tblPr>
        <w:tblStyle w:val="23"/>
        <w:tblW w:w="7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134"/>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56" w:type="dxa"/>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测试项</w:t>
            </w:r>
          </w:p>
        </w:tc>
        <w:tc>
          <w:tcPr>
            <w:tcW w:w="4134" w:type="dxa"/>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c>
          <w:tcPr>
            <w:tcW w:w="2694" w:type="dxa"/>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达标要求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56" w:type="dxa"/>
            <w:vMerge w:val="restart"/>
            <w:tcBorders>
              <w:bottom w:val="nil"/>
            </w:tcBorders>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终端在线率</w:t>
            </w:r>
          </w:p>
        </w:tc>
        <w:tc>
          <w:tcPr>
            <w:tcW w:w="4134" w:type="dxa"/>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设备终端成功接入平台的比例。</w:t>
            </w:r>
          </w:p>
        </w:tc>
        <w:tc>
          <w:tcPr>
            <w:tcW w:w="2694" w:type="dxa"/>
            <w:vMerge w:val="restart"/>
            <w:tcBorders>
              <w:bottom w:val="nil"/>
            </w:tcBorders>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视频类：在线率≥95%</w:t>
            </w:r>
          </w:p>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智能门禁：在线率≥90%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856" w:type="dxa"/>
            <w:vMerge w:val="continue"/>
            <w:tcBorders>
              <w:top w:val="nil"/>
            </w:tcBorders>
            <w:vAlign w:val="center"/>
          </w:tcPr>
          <w:p>
            <w:pPr>
              <w:pStyle w:val="26"/>
              <w:jc w:val="center"/>
              <w:rPr>
                <w:rFonts w:hint="eastAsia" w:asciiTheme="minorEastAsia" w:hAnsiTheme="minorEastAsia" w:eastAsiaTheme="minorEastAsia" w:cstheme="minorEastAsia"/>
                <w:sz w:val="24"/>
              </w:rPr>
            </w:pPr>
          </w:p>
        </w:tc>
        <w:tc>
          <w:tcPr>
            <w:tcW w:w="4134" w:type="dxa"/>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在线率=终端在线数量÷终端设计数量×100%</w:t>
            </w:r>
          </w:p>
        </w:tc>
        <w:tc>
          <w:tcPr>
            <w:tcW w:w="2694" w:type="dxa"/>
            <w:vMerge w:val="continue"/>
            <w:tcBorders>
              <w:top w:val="nil"/>
            </w:tcBorders>
            <w:vAlign w:val="center"/>
          </w:tcPr>
          <w:p>
            <w:pPr>
              <w:pStyle w:val="26"/>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856" w:type="dxa"/>
            <w:vMerge w:val="restart"/>
            <w:tcBorders>
              <w:bottom w:val="nil"/>
            </w:tcBorders>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终端成功率</w:t>
            </w:r>
          </w:p>
        </w:tc>
        <w:tc>
          <w:tcPr>
            <w:tcW w:w="4134" w:type="dxa"/>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设备功能是否符合设计要求的比例</w:t>
            </w:r>
          </w:p>
        </w:tc>
        <w:tc>
          <w:tcPr>
            <w:tcW w:w="2694" w:type="dxa"/>
            <w:vMerge w:val="restart"/>
            <w:tcBorders>
              <w:bottom w:val="nil"/>
            </w:tcBorders>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成功率≥95%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856" w:type="dxa"/>
            <w:vMerge w:val="continue"/>
            <w:tcBorders>
              <w:top w:val="nil"/>
            </w:tcBorders>
            <w:vAlign w:val="center"/>
          </w:tcPr>
          <w:p>
            <w:pPr>
              <w:pStyle w:val="26"/>
              <w:jc w:val="center"/>
              <w:rPr>
                <w:rFonts w:hint="eastAsia" w:asciiTheme="minorEastAsia" w:hAnsiTheme="minorEastAsia" w:eastAsiaTheme="minorEastAsia" w:cstheme="minorEastAsia"/>
                <w:sz w:val="24"/>
              </w:rPr>
            </w:pPr>
          </w:p>
        </w:tc>
        <w:tc>
          <w:tcPr>
            <w:tcW w:w="4134" w:type="dxa"/>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成功率=成功次数+测试次数×100%</w:t>
            </w:r>
          </w:p>
        </w:tc>
        <w:tc>
          <w:tcPr>
            <w:tcW w:w="2694" w:type="dxa"/>
            <w:vMerge w:val="continue"/>
            <w:tcBorders>
              <w:top w:val="nil"/>
            </w:tcBorders>
            <w:vAlign w:val="center"/>
          </w:tcPr>
          <w:p>
            <w:pPr>
              <w:pStyle w:val="26"/>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856" w:type="dxa"/>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运维响应时间</w:t>
            </w:r>
          </w:p>
        </w:tc>
        <w:tc>
          <w:tcPr>
            <w:tcW w:w="4134" w:type="dxa"/>
            <w:vAlign w:val="center"/>
          </w:tcPr>
          <w:p>
            <w:pPr>
              <w:pStyle w:val="26"/>
              <w:rPr>
                <w:rFonts w:hint="eastAsia" w:asciiTheme="minorEastAsia" w:hAnsiTheme="minorEastAsia" w:eastAsiaTheme="minorEastAsia" w:cstheme="minorEastAsia"/>
                <w:sz w:val="24"/>
              </w:rPr>
            </w:pPr>
          </w:p>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接到故障报修后，在规定时间内排除故障</w:t>
            </w:r>
          </w:p>
        </w:tc>
        <w:tc>
          <w:tcPr>
            <w:tcW w:w="2694" w:type="dxa"/>
            <w:vAlign w:val="center"/>
          </w:tcPr>
          <w:p>
            <w:pPr>
              <w:pStyle w:val="2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6小时内排除故障设备。对于一时无法按时排除故障，需要12个小时内提供备件更换解决。</w:t>
            </w:r>
          </w:p>
        </w:tc>
      </w:tr>
    </w:tbl>
    <w:p/>
    <w:p>
      <w:pPr>
        <w:pStyle w:val="3"/>
        <w:rPr>
          <w:rFonts w:hint="eastAsia" w:asciiTheme="minorEastAsia" w:hAnsiTheme="minorEastAsia" w:eastAsiaTheme="minorEastAsia" w:cstheme="minorEastAsia"/>
        </w:rPr>
      </w:pPr>
      <w:bookmarkStart w:id="1" w:name="_Toc171080564"/>
      <w:r>
        <w:rPr>
          <w:rFonts w:hint="eastAsia" w:asciiTheme="minorEastAsia" w:hAnsiTheme="minorEastAsia" w:eastAsiaTheme="minorEastAsia" w:cstheme="minorEastAsia"/>
        </w:rPr>
        <w:t>技术绩效考核目标</w:t>
      </w:r>
      <w:bookmarkEnd w:id="1"/>
    </w:p>
    <w:tbl>
      <w:tblPr>
        <w:tblStyle w:val="1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442"/>
        <w:gridCol w:w="1440"/>
        <w:gridCol w:w="1571"/>
        <w:gridCol w:w="1437"/>
        <w:gridCol w:w="18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5000" w:type="pct"/>
            <w:gridSpan w:val="6"/>
            <w:shd w:val="clear" w:color="auto" w:fill="auto"/>
            <w:vAlign w:val="center"/>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846"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一级指标</w:t>
            </w:r>
          </w:p>
        </w:tc>
        <w:tc>
          <w:tcPr>
            <w:tcW w:w="845"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二级指标</w:t>
            </w:r>
          </w:p>
        </w:tc>
        <w:tc>
          <w:tcPr>
            <w:tcW w:w="922"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三级指标</w:t>
            </w:r>
          </w:p>
        </w:tc>
        <w:tc>
          <w:tcPr>
            <w:tcW w:w="843" w:type="pct"/>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四级指标</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46" w:type="pct"/>
            <w:vMerge w:val="restar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通用指标</w:t>
            </w:r>
          </w:p>
        </w:tc>
        <w:tc>
          <w:tcPr>
            <w:tcW w:w="845" w:type="pct"/>
            <w:vMerge w:val="restar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产出指标</w:t>
            </w:r>
          </w:p>
        </w:tc>
        <w:tc>
          <w:tcPr>
            <w:tcW w:w="922" w:type="pct"/>
            <w:vMerge w:val="restar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产出数量</w:t>
            </w:r>
          </w:p>
        </w:tc>
        <w:tc>
          <w:tcPr>
            <w:tcW w:w="843" w:type="pct"/>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街道镇小区覆盖数量</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846"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5"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922"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3" w:type="pct"/>
          </w:tcPr>
          <w:p>
            <w:pPr>
              <w:pStyle w:val="26"/>
              <w:ind w:firstLine="240" w:firstLineChars="1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小区数量</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846"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5"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922" w:type="pct"/>
            <w:vMerge w:val="restar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产出质量</w:t>
            </w:r>
          </w:p>
        </w:tc>
        <w:tc>
          <w:tcPr>
            <w:tcW w:w="843" w:type="pct"/>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系统可靠性</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846"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5"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922"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3" w:type="pct"/>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系统稳定率</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846"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5"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922"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3" w:type="pct"/>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响应及时率</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470"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846"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5"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922" w:type="pct"/>
            <w:vMerge w:val="continue"/>
            <w:shd w:val="clear" w:color="auto" w:fill="auto"/>
            <w:vAlign w:val="center"/>
          </w:tcPr>
          <w:p>
            <w:pPr>
              <w:pStyle w:val="26"/>
              <w:widowControl w:val="0"/>
              <w:jc w:val="center"/>
              <w:rPr>
                <w:rFonts w:hint="eastAsia" w:asciiTheme="minorEastAsia" w:hAnsiTheme="minorEastAsia" w:eastAsiaTheme="minorEastAsia" w:cstheme="minorEastAsia"/>
                <w:sz w:val="24"/>
              </w:rPr>
            </w:pPr>
          </w:p>
        </w:tc>
        <w:tc>
          <w:tcPr>
            <w:tcW w:w="843" w:type="pct"/>
          </w:tcPr>
          <w:p>
            <w:pPr>
              <w:pStyle w:val="2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重保完成率</w:t>
            </w:r>
          </w:p>
        </w:tc>
        <w:tc>
          <w:tcPr>
            <w:tcW w:w="1074" w:type="pct"/>
            <w:shd w:val="clear" w:color="auto" w:fill="auto"/>
            <w:vAlign w:val="center"/>
          </w:tcPr>
          <w:p>
            <w:pPr>
              <w:pStyle w:val="26"/>
              <w:widowControl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bl>
    <w:p>
      <w:pPr>
        <w:pStyle w:val="14"/>
        <w:rPr>
          <w:rFonts w:hint="eastAsia" w:asciiTheme="minorEastAsia" w:hAnsiTheme="minorEastAsia" w:cstheme="minorEastAsia"/>
        </w:rPr>
      </w:pPr>
    </w:p>
    <w:p>
      <w:pPr>
        <w:spacing w:line="360" w:lineRule="auto"/>
        <w:ind w:right="-29" w:rightChars="-14" w:firstLine="480"/>
        <w:rPr>
          <w:sz w:val="24"/>
        </w:rPr>
      </w:pPr>
    </w:p>
    <w:p>
      <w:pPr>
        <w:pStyle w:val="2"/>
      </w:pPr>
      <w:r>
        <w:rPr>
          <w:rFonts w:hint="eastAsia"/>
        </w:rPr>
        <w:t>项目招标范围及内容</w:t>
      </w:r>
    </w:p>
    <w:p>
      <w:pPr>
        <w:pStyle w:val="3"/>
      </w:pPr>
      <w:r>
        <w:rPr>
          <w:rFonts w:hint="eastAsia"/>
        </w:rPr>
        <w:t>招标范围</w:t>
      </w:r>
    </w:p>
    <w:p>
      <w:pPr>
        <w:spacing w:line="360" w:lineRule="auto"/>
        <w:ind w:right="-29" w:rightChars="-14" w:firstLine="480"/>
        <w:rPr>
          <w:sz w:val="24"/>
        </w:rPr>
      </w:pPr>
      <w:r>
        <w:rPr>
          <w:rFonts w:hint="eastAsia"/>
          <w:sz w:val="24"/>
        </w:rPr>
        <w:t>涉及普陀区10个街道镇的707个小区前端运维工作，具体包含：</w:t>
      </w:r>
    </w:p>
    <w:tbl>
      <w:tblPr>
        <w:tblStyle w:val="18"/>
        <w:tblW w:w="5792" w:type="pct"/>
        <w:jc w:val="center"/>
        <w:tblLayout w:type="fixed"/>
        <w:tblCellMar>
          <w:top w:w="0" w:type="dxa"/>
          <w:left w:w="108" w:type="dxa"/>
          <w:bottom w:w="0" w:type="dxa"/>
          <w:right w:w="108" w:type="dxa"/>
        </w:tblCellMar>
      </w:tblPr>
      <w:tblGrid>
        <w:gridCol w:w="572"/>
        <w:gridCol w:w="2251"/>
        <w:gridCol w:w="792"/>
        <w:gridCol w:w="503"/>
        <w:gridCol w:w="495"/>
        <w:gridCol w:w="569"/>
        <w:gridCol w:w="569"/>
        <w:gridCol w:w="569"/>
        <w:gridCol w:w="569"/>
        <w:gridCol w:w="569"/>
        <w:gridCol w:w="569"/>
        <w:gridCol w:w="569"/>
        <w:gridCol w:w="569"/>
        <w:gridCol w:w="708"/>
      </w:tblGrid>
      <w:tr>
        <w:tblPrEx>
          <w:tblCellMar>
            <w:top w:w="0" w:type="dxa"/>
            <w:left w:w="108" w:type="dxa"/>
            <w:bottom w:w="0" w:type="dxa"/>
            <w:right w:w="108" w:type="dxa"/>
          </w:tblCellMar>
        </w:tblPrEx>
        <w:trPr>
          <w:trHeight w:val="21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曹杨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甘泉</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石泉</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桃浦</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万里</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宜川</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长风</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长寿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长征</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真如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小计</w:t>
            </w:r>
          </w:p>
        </w:tc>
      </w:tr>
      <w:tr>
        <w:tblPrEx>
          <w:tblCellMar>
            <w:top w:w="0" w:type="dxa"/>
            <w:left w:w="108" w:type="dxa"/>
            <w:bottom w:w="0" w:type="dxa"/>
            <w:right w:w="108" w:type="dxa"/>
          </w:tblCellMar>
        </w:tblPrEx>
        <w:trPr>
          <w:trHeight w:val="21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1.1</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前端社区智能安防项目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18"/>
                <w:szCs w:val="18"/>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495" w:type="dxa"/>
            <w:tcBorders>
              <w:top w:val="nil"/>
              <w:left w:val="nil"/>
              <w:bottom w:val="nil"/>
              <w:right w:val="nil"/>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210" w:hRule="atLeast"/>
          <w:jc w:val="center"/>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视频监控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人脸抓拍智能摄像机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1954</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车角抓拍智能摄像机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1160</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高清摄像机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1186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5580</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补光灯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737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5308</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立杆(双挑管F型)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1019</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立杆(单挑臂L型)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1137</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背包箱</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409</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4858</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NVR</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953</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视频显示器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937</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电脑操作终端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4路解码器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1.2米机柜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643</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2米机柜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409</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4925</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24口接入交换机(含光模块)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625</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48口接入光交换机(含光模块)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w:t>
            </w:r>
          </w:p>
        </w:tc>
      </w:tr>
      <w:tr>
        <w:tblPrEx>
          <w:tblCellMar>
            <w:top w:w="0" w:type="dxa"/>
            <w:left w:w="108" w:type="dxa"/>
            <w:bottom w:w="0" w:type="dxa"/>
            <w:right w:w="108" w:type="dxa"/>
          </w:tblCellMar>
        </w:tblPrEx>
        <w:trPr>
          <w:trHeight w:val="210" w:hRule="atLeast"/>
          <w:jc w:val="center"/>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道闸系统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车牌识别控制系统(单车道单进或单出)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车牌识别控制系统(单车道进出混合)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前端车的收费管理系统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r>
      <w:tr>
        <w:tblPrEx>
          <w:tblCellMar>
            <w:top w:w="0" w:type="dxa"/>
            <w:left w:w="108" w:type="dxa"/>
            <w:bottom w:w="0" w:type="dxa"/>
            <w:right w:w="108" w:type="dxa"/>
          </w:tblCellMar>
        </w:tblPrEx>
        <w:trPr>
          <w:trHeight w:val="210" w:hRule="atLeast"/>
          <w:jc w:val="center"/>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门禁系统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智能门禁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673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2902</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门禁卡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门禁手环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发卡器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门禁管理子系统软件授权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r>
      <w:tr>
        <w:tblPrEx>
          <w:tblCellMar>
            <w:top w:w="0" w:type="dxa"/>
            <w:left w:w="108" w:type="dxa"/>
            <w:bottom w:w="0" w:type="dxa"/>
            <w:right w:w="108" w:type="dxa"/>
          </w:tblCellMar>
        </w:tblPrEx>
        <w:trPr>
          <w:trHeight w:val="21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管线设施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108" w:type="dxa"/>
            <w:bottom w:w="0" w:type="dxa"/>
            <w:right w:w="108" w:type="dxa"/>
          </w:tblCellMar>
        </w:tblPrEx>
        <w:trPr>
          <w:trHeight w:val="210" w:hRule="atLeast"/>
          <w:jc w:val="center"/>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管线设施</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管道建设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孔公里</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3.091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14.33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21.89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13.24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18.818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10.435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26.75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127.484</w:t>
            </w:r>
          </w:p>
        </w:tc>
      </w:tr>
      <w:tr>
        <w:tblPrEx>
          <w:tblCellMar>
            <w:top w:w="0" w:type="dxa"/>
            <w:left w:w="108" w:type="dxa"/>
            <w:bottom w:w="0" w:type="dxa"/>
            <w:right w:w="108" w:type="dxa"/>
          </w:tblCellMar>
        </w:tblPrEx>
        <w:trPr>
          <w:trHeight w:val="21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18"/>
                <w:szCs w:val="18"/>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光缆建设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芯公里</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353.95</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1406.482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479.29</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756.55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113.16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265.575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172.36</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374.218</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496.15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5037.735</w:t>
            </w:r>
          </w:p>
        </w:tc>
      </w:tr>
    </w:tbl>
    <w:p>
      <w:pPr>
        <w:spacing w:line="360" w:lineRule="auto"/>
        <w:ind w:right="-29" w:rightChars="-14" w:firstLine="480"/>
        <w:rPr>
          <w:sz w:val="24"/>
        </w:rPr>
      </w:pPr>
    </w:p>
    <w:p>
      <w:pPr>
        <w:pStyle w:val="3"/>
      </w:pPr>
      <w:r>
        <w:rPr>
          <w:rFonts w:hint="eastAsia"/>
        </w:rPr>
        <w:t>运维服务内容</w:t>
      </w:r>
    </w:p>
    <w:p>
      <w:pPr>
        <w:spacing w:line="360" w:lineRule="auto"/>
        <w:ind w:right="-29" w:rightChars="-14" w:firstLine="480"/>
        <w:rPr>
          <w:sz w:val="24"/>
        </w:rPr>
      </w:pPr>
      <w:r>
        <w:rPr>
          <w:rFonts w:hint="eastAsia"/>
          <w:sz w:val="24"/>
        </w:rPr>
        <w:t>维护服务内容包括日常运作、服务咨询、巡检保养、主动监测、故障修复、特殊保障和升级优化，通过建立专业高效的运维服务体系，对普陀区社区智能安防前端系统建设内容进行系统维护，保障本项目涉及的所有设备在保障期内能正常运行。</w:t>
      </w:r>
    </w:p>
    <w:p>
      <w:pPr>
        <w:pStyle w:val="4"/>
      </w:pPr>
      <w:r>
        <w:rPr>
          <w:rFonts w:hint="eastAsia"/>
        </w:rPr>
        <w:t>总体拓扑图</w:t>
      </w:r>
    </w:p>
    <w:p>
      <w:pPr>
        <w:spacing w:line="360" w:lineRule="auto"/>
        <w:ind w:right="-29" w:rightChars="-14" w:firstLine="480"/>
        <w:rPr>
          <w:sz w:val="24"/>
        </w:rPr>
      </w:pPr>
      <w:r>
        <w:rPr>
          <w:rFonts w:hint="eastAsia"/>
          <w:sz w:val="24"/>
        </w:rPr>
        <w:t>项目总体拓扑结构图如下：</w:t>
      </w:r>
    </w:p>
    <w:p>
      <w:pPr>
        <w:spacing w:line="360" w:lineRule="auto"/>
        <w:ind w:right="-29" w:rightChars="-14"/>
        <w:jc w:val="center"/>
        <w:rPr>
          <w:sz w:val="24"/>
        </w:rPr>
      </w:pPr>
      <w:r>
        <w:rPr>
          <w:rFonts w:hint="eastAsia"/>
          <w:sz w:val="24"/>
        </w:rPr>
        <w:drawing>
          <wp:inline distT="0" distB="0" distL="114300" distR="114300">
            <wp:extent cx="5116195" cy="5279390"/>
            <wp:effectExtent l="0" t="0" r="8255" b="0"/>
            <wp:docPr id="4" name="图片 4" descr="绘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绘图7"/>
                    <pic:cNvPicPr>
                      <a:picLocks noChangeAspect="1"/>
                    </pic:cNvPicPr>
                  </pic:nvPicPr>
                  <pic:blipFill>
                    <a:blip r:embed="rId6"/>
                    <a:stretch>
                      <a:fillRect/>
                    </a:stretch>
                  </pic:blipFill>
                  <pic:spPr>
                    <a:xfrm>
                      <a:off x="0" y="0"/>
                      <a:ext cx="5129416" cy="5292569"/>
                    </a:xfrm>
                    <a:prstGeom prst="rect">
                      <a:avLst/>
                    </a:prstGeom>
                  </pic:spPr>
                </pic:pic>
              </a:graphicData>
            </a:graphic>
          </wp:inline>
        </w:drawing>
      </w:r>
    </w:p>
    <w:p>
      <w:pPr>
        <w:spacing w:line="360" w:lineRule="auto"/>
        <w:ind w:right="-29" w:rightChars="-14" w:firstLine="480"/>
        <w:rPr>
          <w:sz w:val="24"/>
        </w:rPr>
      </w:pPr>
      <w:r>
        <w:rPr>
          <w:rFonts w:hint="eastAsia"/>
          <w:sz w:val="24"/>
        </w:rPr>
        <w:t>本项目运维服务内容包括普陀区10个街道镇的707个小区前端日常运作、服务咨询、巡检保养、主动监测、故障修复、特殊保障和升级优化，通过建立专业高效的运维服务体系，对普陀区社区智能安防前端系统建设内容进行系统维护，保障本项目涉及的所有设备在保障期内能正常运行。主要包括：</w:t>
      </w:r>
    </w:p>
    <w:p>
      <w:pPr>
        <w:numPr>
          <w:ilvl w:val="0"/>
          <w:numId w:val="3"/>
        </w:numPr>
        <w:spacing w:line="360" w:lineRule="auto"/>
        <w:ind w:right="-29" w:rightChars="-14"/>
        <w:rPr>
          <w:sz w:val="24"/>
        </w:rPr>
      </w:pPr>
      <w:r>
        <w:rPr>
          <w:rFonts w:hint="eastAsia"/>
          <w:sz w:val="24"/>
        </w:rPr>
        <w:t>小区出入口智能视频监控系统运维：</w:t>
      </w:r>
    </w:p>
    <w:p>
      <w:pPr>
        <w:spacing w:line="360" w:lineRule="auto"/>
        <w:ind w:right="-29" w:rightChars="-14" w:firstLine="480"/>
        <w:rPr>
          <w:sz w:val="24"/>
        </w:rPr>
      </w:pPr>
      <w:r>
        <w:rPr>
          <w:rFonts w:hint="eastAsia"/>
          <w:sz w:val="24"/>
        </w:rPr>
        <w:t>在小区出入口安装的智能摄像机、车辆抓拍智能摄像机，在小区集中汇聚点（如小区门卫室或监控中心）放置的视频显示器、电脑操作终端、解码器、视频存储设备NVR、网络传输设备及机柜运维，并向街道智能安防系统上传人脸、车辆抓拍图片及数据。</w:t>
      </w:r>
    </w:p>
    <w:p>
      <w:pPr>
        <w:numPr>
          <w:ilvl w:val="0"/>
          <w:numId w:val="3"/>
        </w:numPr>
        <w:spacing w:line="360" w:lineRule="auto"/>
        <w:ind w:right="-29" w:rightChars="-14"/>
        <w:rPr>
          <w:sz w:val="24"/>
        </w:rPr>
      </w:pPr>
      <w:r>
        <w:rPr>
          <w:rFonts w:hint="eastAsia"/>
          <w:sz w:val="24"/>
        </w:rPr>
        <w:t>小区出入口车辆道闸管理系统运维：</w:t>
      </w:r>
    </w:p>
    <w:p>
      <w:pPr>
        <w:spacing w:line="360" w:lineRule="auto"/>
        <w:ind w:right="-29" w:rightChars="-14" w:firstLine="480"/>
        <w:rPr>
          <w:sz w:val="24"/>
        </w:rPr>
      </w:pPr>
      <w:r>
        <w:rPr>
          <w:rFonts w:hint="eastAsia"/>
          <w:sz w:val="24"/>
        </w:rPr>
        <w:t>在小区出入口安装的车辆道闸管理系统运维，实现对进出车辆的管理。</w:t>
      </w:r>
    </w:p>
    <w:p>
      <w:pPr>
        <w:numPr>
          <w:ilvl w:val="0"/>
          <w:numId w:val="3"/>
        </w:numPr>
        <w:spacing w:line="360" w:lineRule="auto"/>
        <w:ind w:right="-29" w:rightChars="-14"/>
        <w:rPr>
          <w:sz w:val="24"/>
        </w:rPr>
      </w:pPr>
      <w:r>
        <w:rPr>
          <w:rFonts w:hint="eastAsia"/>
          <w:sz w:val="24"/>
        </w:rPr>
        <w:t>小区公共区域视频监控系统运维：</w:t>
      </w:r>
    </w:p>
    <w:p>
      <w:pPr>
        <w:spacing w:line="360" w:lineRule="auto"/>
        <w:ind w:right="-29" w:rightChars="-14" w:firstLine="480"/>
        <w:rPr>
          <w:sz w:val="24"/>
        </w:rPr>
      </w:pPr>
      <w:r>
        <w:rPr>
          <w:rFonts w:hint="eastAsia"/>
          <w:sz w:val="24"/>
        </w:rPr>
        <w:t>小区内高清摄像机以及小区4米宽以上主要通道、公共活动区、河道周边、配电房、垃圾站等区域补充建设的高清摄像机运维，实现对小区内部公共区域的高清监控。</w:t>
      </w:r>
    </w:p>
    <w:p>
      <w:pPr>
        <w:numPr>
          <w:ilvl w:val="0"/>
          <w:numId w:val="3"/>
        </w:numPr>
        <w:spacing w:line="360" w:lineRule="auto"/>
        <w:ind w:right="-29" w:rightChars="-14"/>
        <w:rPr>
          <w:sz w:val="24"/>
        </w:rPr>
      </w:pPr>
      <w:r>
        <w:rPr>
          <w:rFonts w:hint="eastAsia"/>
          <w:sz w:val="24"/>
        </w:rPr>
        <w:t>小区楼栋智能门禁系统运维：</w:t>
      </w:r>
    </w:p>
    <w:p>
      <w:pPr>
        <w:spacing w:line="360" w:lineRule="auto"/>
        <w:ind w:right="-29" w:rightChars="-14" w:firstLine="480"/>
        <w:rPr>
          <w:sz w:val="24"/>
        </w:rPr>
      </w:pPr>
      <w:r>
        <w:rPr>
          <w:rFonts w:hint="eastAsia"/>
          <w:sz w:val="24"/>
        </w:rPr>
        <w:t>在小区楼栋安装的非接触式门禁系统运维，实现智能开门和人员进出楼栋信息的记录。</w:t>
      </w:r>
    </w:p>
    <w:p>
      <w:pPr>
        <w:numPr>
          <w:ilvl w:val="0"/>
          <w:numId w:val="3"/>
        </w:numPr>
        <w:spacing w:line="360" w:lineRule="auto"/>
        <w:ind w:right="-29" w:rightChars="-14"/>
        <w:rPr>
          <w:sz w:val="24"/>
        </w:rPr>
      </w:pPr>
      <w:r>
        <w:rPr>
          <w:rFonts w:hint="eastAsia"/>
          <w:sz w:val="24"/>
        </w:rPr>
        <w:t>网络传输运维：</w:t>
      </w:r>
    </w:p>
    <w:p>
      <w:pPr>
        <w:spacing w:line="360" w:lineRule="auto"/>
        <w:ind w:right="-29" w:rightChars="-14" w:firstLine="480"/>
        <w:rPr>
          <w:sz w:val="24"/>
        </w:rPr>
      </w:pPr>
      <w:r>
        <w:rPr>
          <w:rFonts w:hint="eastAsia"/>
          <w:sz w:val="24"/>
        </w:rPr>
        <w:t>包括小区红线内的光纤收发器、接入交换机、管道、光缆等网络传输运维，保障小区内网络传输稳定。</w:t>
      </w:r>
    </w:p>
    <w:p>
      <w:pPr>
        <w:spacing w:line="360" w:lineRule="auto"/>
        <w:ind w:right="-29" w:rightChars="-14" w:firstLine="480"/>
        <w:rPr>
          <w:sz w:val="24"/>
        </w:rPr>
      </w:pPr>
      <w:r>
        <w:rPr>
          <w:rFonts w:hint="eastAsia"/>
          <w:sz w:val="24"/>
        </w:rPr>
        <w:t>运维单位配合采购方每半年进行运维测试‌，并满足运维测试要求。</w:t>
      </w:r>
    </w:p>
    <w:p>
      <w:pPr>
        <w:pStyle w:val="3"/>
      </w:pPr>
      <w:r>
        <w:rPr>
          <w:rFonts w:hint="eastAsia"/>
        </w:rPr>
        <w:t>运维服务周期</w:t>
      </w:r>
    </w:p>
    <w:p>
      <w:pPr>
        <w:spacing w:line="360" w:lineRule="auto"/>
        <w:ind w:right="-29" w:rightChars="-14" w:firstLine="480"/>
        <w:rPr>
          <w:sz w:val="24"/>
        </w:rPr>
      </w:pPr>
      <w:r>
        <w:rPr>
          <w:rFonts w:hint="eastAsia"/>
          <w:sz w:val="24"/>
        </w:rPr>
        <w:t>本项目运维服务周期为合同签订之日起1年。</w:t>
      </w:r>
    </w:p>
    <w:p>
      <w:pPr>
        <w:pStyle w:val="2"/>
      </w:pPr>
      <w:r>
        <w:rPr>
          <w:rFonts w:hint="eastAsia"/>
        </w:rPr>
        <w:t>项目运维要求</w:t>
      </w:r>
    </w:p>
    <w:p>
      <w:pPr>
        <w:spacing w:line="360" w:lineRule="auto"/>
        <w:ind w:right="-29" w:rightChars="-14" w:firstLine="480"/>
        <w:rPr>
          <w:sz w:val="24"/>
        </w:rPr>
      </w:pPr>
      <w:r>
        <w:rPr>
          <w:rFonts w:hint="eastAsia"/>
          <w:sz w:val="24"/>
        </w:rPr>
        <w:t>本项目运维期间，应定期召开由业主主管领导及维护成员参加的关于服务工作的汇报会议，重点对上阶段维护工作进行总结考评，听取业主方意见，并对维护中现存问题提出并确认整改方案。例会由维护方整理会议纪要，并下发双方相关人员进行确认，作为下次例会对这一阶段工作完成情况的考评依据，保证日常巡检、维修维护、提供适当的备品备件确保监控完好率。</w:t>
      </w:r>
    </w:p>
    <w:p>
      <w:pPr>
        <w:spacing w:line="360" w:lineRule="auto"/>
        <w:ind w:right="-29" w:rightChars="-14" w:firstLine="480"/>
        <w:rPr>
          <w:sz w:val="24"/>
        </w:rPr>
      </w:pPr>
      <w:r>
        <w:rPr>
          <w:rFonts w:hint="eastAsia"/>
          <w:sz w:val="24"/>
        </w:rPr>
        <w:t>会议主要包括以下内容：</w:t>
      </w:r>
    </w:p>
    <w:p>
      <w:pPr>
        <w:spacing w:line="360" w:lineRule="auto"/>
        <w:ind w:right="-29" w:rightChars="-14"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1.服务范围内各系统的维护实绩情况汇报；</w:t>
      </w:r>
    </w:p>
    <w:p>
      <w:pPr>
        <w:spacing w:line="360" w:lineRule="auto"/>
        <w:ind w:right="-29" w:rightChars="-14"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2.故障分析汇报；</w:t>
      </w:r>
    </w:p>
    <w:p>
      <w:pPr>
        <w:spacing w:line="360" w:lineRule="auto"/>
        <w:ind w:right="-29" w:rightChars="-14"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3.服务工作汇报总结；</w:t>
      </w:r>
    </w:p>
    <w:p>
      <w:pPr>
        <w:spacing w:line="360" w:lineRule="auto"/>
        <w:ind w:right="-29" w:rightChars="-14"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4.服务工作改善建议；</w:t>
      </w:r>
    </w:p>
    <w:p>
      <w:pPr>
        <w:spacing w:line="360" w:lineRule="auto"/>
        <w:ind w:right="-29" w:rightChars="-14"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5.汇报会议的周期（如月度、季度、年度）和具体会议时间由双方具体协商确认。</w:t>
      </w:r>
    </w:p>
    <w:p>
      <w:pPr>
        <w:pStyle w:val="3"/>
      </w:pPr>
      <w:bookmarkStart w:id="2" w:name="_Toc471998076"/>
      <w:bookmarkStart w:id="3" w:name="_Toc512619590"/>
      <w:r>
        <w:t>维修类型</w:t>
      </w:r>
      <w:bookmarkEnd w:id="2"/>
      <w:bookmarkEnd w:id="3"/>
    </w:p>
    <w:p>
      <w:pPr>
        <w:pStyle w:val="20"/>
        <w:numPr>
          <w:ilvl w:val="0"/>
          <w:numId w:val="4"/>
        </w:numPr>
        <w:ind w:left="0" w:firstLine="20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运维服务周期内确保</w:t>
      </w:r>
      <w:r>
        <w:rPr>
          <w:rFonts w:hint="eastAsia"/>
          <w:sz w:val="24"/>
        </w:rPr>
        <w:t>所有系统及设备</w:t>
      </w:r>
      <w:r>
        <w:rPr>
          <w:rFonts w:hint="eastAsia" w:ascii="宋体" w:hAnsi="宋体"/>
          <w:color w:val="000000" w:themeColor="text1"/>
          <w:sz w:val="24"/>
          <w14:textFill>
            <w14:solidFill>
              <w14:schemeClr w14:val="tx1"/>
            </w14:solidFill>
          </w14:textFill>
        </w:rPr>
        <w:t>正常运行。</w:t>
      </w:r>
    </w:p>
    <w:p>
      <w:pPr>
        <w:pStyle w:val="20"/>
        <w:numPr>
          <w:ilvl w:val="255"/>
          <w:numId w:val="0"/>
        </w:numPr>
        <w:ind w:left="200"/>
        <w:rPr>
          <w:rFonts w:hint="eastAsia" w:ascii="宋体" w:hAnsi="宋体"/>
          <w:color w:val="000000" w:themeColor="text1"/>
          <w:sz w:val="24"/>
          <w14:textFill>
            <w14:solidFill>
              <w14:schemeClr w14:val="tx1"/>
            </w14:solidFill>
          </w14:textFill>
        </w:rPr>
      </w:pPr>
    </w:p>
    <w:p>
      <w:pPr>
        <w:pStyle w:val="3"/>
        <w:rPr>
          <w:color w:val="000000" w:themeColor="text1"/>
          <w14:textFill>
            <w14:solidFill>
              <w14:schemeClr w14:val="tx1"/>
            </w14:solidFill>
          </w14:textFill>
        </w:rPr>
      </w:pPr>
      <w:r>
        <w:t>维修要求</w:t>
      </w:r>
    </w:p>
    <w:p>
      <w:pPr>
        <w:pStyle w:val="4"/>
        <w:ind w:left="567"/>
      </w:pPr>
      <w:bookmarkStart w:id="4" w:name="_Toc512619591"/>
      <w:bookmarkStart w:id="5" w:name="_Toc471998077"/>
      <w:r>
        <w:t>维修工程师能力要求</w:t>
      </w:r>
      <w:bookmarkEnd w:id="4"/>
      <w:bookmarkEnd w:id="5"/>
    </w:p>
    <w:p>
      <w:pPr>
        <w:numPr>
          <w:ilvl w:val="0"/>
          <w:numId w:val="5"/>
        </w:numPr>
        <w:spacing w:line="360" w:lineRule="auto"/>
        <w:ind w:right="-29" w:rightChars="-14"/>
        <w:rPr>
          <w:sz w:val="24"/>
        </w:rPr>
      </w:pPr>
      <w:r>
        <w:rPr>
          <w:rFonts w:hint="eastAsia"/>
          <w:sz w:val="24"/>
        </w:rPr>
        <w:t>应了解需维修系统的基本工作原理并熟悉需维修系统的基本操作规程；</w:t>
      </w:r>
    </w:p>
    <w:p>
      <w:pPr>
        <w:numPr>
          <w:ilvl w:val="0"/>
          <w:numId w:val="5"/>
        </w:numPr>
        <w:spacing w:line="360" w:lineRule="auto"/>
        <w:ind w:right="-29" w:rightChars="-14"/>
        <w:rPr>
          <w:sz w:val="24"/>
        </w:rPr>
      </w:pPr>
      <w:r>
        <w:rPr>
          <w:rFonts w:hint="eastAsia"/>
          <w:sz w:val="24"/>
        </w:rPr>
        <w:t>应具有一定的处理特殊情况的能力；</w:t>
      </w:r>
    </w:p>
    <w:p>
      <w:pPr>
        <w:numPr>
          <w:ilvl w:val="0"/>
          <w:numId w:val="5"/>
        </w:numPr>
        <w:spacing w:line="360" w:lineRule="auto"/>
        <w:ind w:right="-29" w:rightChars="-14"/>
        <w:rPr>
          <w:sz w:val="24"/>
        </w:rPr>
      </w:pPr>
      <w:r>
        <w:rPr>
          <w:rFonts w:hint="eastAsia"/>
          <w:sz w:val="24"/>
        </w:rPr>
        <w:t>能够通过自己探索或经过相应的培训不断提高自己的业务水平，或具有相应的工作经验；</w:t>
      </w:r>
    </w:p>
    <w:p>
      <w:pPr>
        <w:numPr>
          <w:ilvl w:val="0"/>
          <w:numId w:val="5"/>
        </w:numPr>
        <w:spacing w:line="360" w:lineRule="auto"/>
        <w:ind w:right="-29" w:rightChars="-14"/>
        <w:rPr>
          <w:sz w:val="24"/>
        </w:rPr>
      </w:pPr>
      <w:r>
        <w:rPr>
          <w:rFonts w:hint="eastAsia"/>
          <w:sz w:val="24"/>
        </w:rPr>
        <w:t>熟悉项目相关指导作业书（着重于检测、调试、软件等内容的掌握）。</w:t>
      </w:r>
    </w:p>
    <w:p>
      <w:pPr>
        <w:numPr>
          <w:ilvl w:val="0"/>
          <w:numId w:val="5"/>
        </w:numPr>
        <w:spacing w:line="360" w:lineRule="auto"/>
        <w:ind w:right="-29" w:rightChars="-14"/>
        <w:rPr>
          <w:sz w:val="24"/>
        </w:rPr>
      </w:pPr>
      <w:r>
        <w:rPr>
          <w:rFonts w:hint="eastAsia"/>
          <w:sz w:val="24"/>
        </w:rPr>
        <w:t>全面了解系统设备的质保期、使用状况及服务约定和维修备件的性能、工作基本原理及在不同系统中的不同作用。</w:t>
      </w:r>
    </w:p>
    <w:p>
      <w:pPr>
        <w:pStyle w:val="4"/>
        <w:ind w:left="567"/>
      </w:pPr>
      <w:bookmarkStart w:id="6" w:name="_Toc512619592"/>
      <w:bookmarkStart w:id="7" w:name="_Toc471998078"/>
      <w:r>
        <w:t>维修工作要求</w:t>
      </w:r>
      <w:bookmarkEnd w:id="6"/>
      <w:bookmarkEnd w:id="7"/>
    </w:p>
    <w:p>
      <w:pPr>
        <w:numPr>
          <w:ilvl w:val="0"/>
          <w:numId w:val="5"/>
        </w:numPr>
        <w:spacing w:line="360" w:lineRule="auto"/>
        <w:ind w:right="-29" w:rightChars="-14"/>
        <w:rPr>
          <w:sz w:val="24"/>
        </w:rPr>
      </w:pPr>
      <w:r>
        <w:rPr>
          <w:rFonts w:hint="eastAsia"/>
          <w:sz w:val="24"/>
        </w:rPr>
        <w:t>充分了解系统故障，及时分析故障原因，快速解决故障，不断增强顾客满意。</w:t>
      </w:r>
    </w:p>
    <w:p>
      <w:pPr>
        <w:numPr>
          <w:ilvl w:val="0"/>
          <w:numId w:val="5"/>
        </w:numPr>
        <w:spacing w:line="360" w:lineRule="auto"/>
        <w:ind w:right="-29" w:rightChars="-14"/>
        <w:rPr>
          <w:sz w:val="24"/>
        </w:rPr>
      </w:pPr>
      <w:r>
        <w:rPr>
          <w:rFonts w:hint="eastAsia"/>
          <w:sz w:val="24"/>
        </w:rPr>
        <w:t>积极参与项目建设了解系统的更新或升级并及时了解新产品、系统及相关设备的性能、作用，不断提高个人业务水平；</w:t>
      </w:r>
    </w:p>
    <w:p>
      <w:pPr>
        <w:numPr>
          <w:ilvl w:val="0"/>
          <w:numId w:val="5"/>
        </w:numPr>
        <w:spacing w:line="360" w:lineRule="auto"/>
        <w:ind w:right="-29" w:rightChars="-14"/>
        <w:rPr>
          <w:sz w:val="24"/>
        </w:rPr>
      </w:pPr>
      <w:r>
        <w:rPr>
          <w:rFonts w:hint="eastAsia"/>
          <w:sz w:val="24"/>
        </w:rPr>
        <w:t>对待顾客讯问应礼貌待人、合理解释；</w:t>
      </w:r>
    </w:p>
    <w:p>
      <w:pPr>
        <w:numPr>
          <w:ilvl w:val="0"/>
          <w:numId w:val="5"/>
        </w:numPr>
        <w:spacing w:line="360" w:lineRule="auto"/>
        <w:ind w:right="-29" w:rightChars="-14"/>
        <w:rPr>
          <w:sz w:val="24"/>
        </w:rPr>
      </w:pPr>
      <w:r>
        <w:rPr>
          <w:rFonts w:hint="eastAsia"/>
          <w:sz w:val="24"/>
        </w:rPr>
        <w:t>对采购方各种技术（软件、硬件）应注意保密、不得泄露，也不得利用公司技术为个人谋取私利。</w:t>
      </w:r>
    </w:p>
    <w:p>
      <w:pPr>
        <w:pStyle w:val="3"/>
      </w:pPr>
      <w:bookmarkStart w:id="8" w:name="_Toc512619595"/>
      <w:bookmarkStart w:id="9" w:name="_Toc471998074"/>
      <w:r>
        <w:rPr>
          <w:rFonts w:hint="eastAsia"/>
        </w:rPr>
        <w:t>培训要求</w:t>
      </w:r>
      <w:bookmarkEnd w:id="8"/>
      <w:bookmarkEnd w:id="9"/>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投标人应提供细致、完善的培训方案，确保培训后参训人员能够达到独立处理软硬件故障的能力。</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1.投标人应在投标方案中明确培训人员、方式和计划等；</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2.投标人应提供详细的培训教材，并指派具有实践和教学经验的培训讲师对招标 人的技术管理、操作和维护人员进行培训工作。</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3.投标人所提供的培训课程应包括产品/设备的原理及操作、维护、使用方法、配置等，针对技术管理人员、操作人员和维护人员的培训内容应各有侧重。</w:t>
      </w:r>
    </w:p>
    <w:p/>
    <w:p>
      <w:pPr>
        <w:pStyle w:val="3"/>
      </w:pPr>
      <w:r>
        <w:rPr>
          <w:rFonts w:hint="eastAsia"/>
        </w:rPr>
        <w:t>服务内容要求</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运维期间，具体运维服务内容包含但不限于：</w:t>
      </w:r>
    </w:p>
    <w:p>
      <w:pPr>
        <w:spacing w:line="360" w:lineRule="auto"/>
        <w:ind w:firstLine="480" w:firstLineChars="200"/>
        <w:rPr>
          <w:rFonts w:hint="eastAsia" w:ascii="宋体" w:hAnsi="宋体" w:eastAsia="宋体" w:cs="宋体"/>
          <w:color w:val="000000"/>
          <w:kern w:val="0"/>
          <w:sz w:val="24"/>
        </w:rPr>
      </w:pPr>
      <w:r>
        <w:rPr>
          <w:rFonts w:ascii="宋体" w:hAnsi="宋体" w:eastAsia="宋体" w:cs="宋体"/>
          <w:color w:val="000000"/>
          <w:kern w:val="0"/>
          <w:sz w:val="24"/>
        </w:rPr>
        <w:t>1</w:t>
      </w:r>
      <w:r>
        <w:rPr>
          <w:rFonts w:hint="eastAsia" w:ascii="宋体" w:hAnsi="宋体" w:eastAsia="宋体" w:cs="宋体"/>
          <w:color w:val="000000"/>
          <w:kern w:val="0"/>
          <w:sz w:val="24"/>
        </w:rPr>
        <w:t>、每月一次对普陀区社区智能安防项目运维的所有设备进行现场巡检，及时检查出有故障的设备，及时修复或更换。</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2、在运维服务周期内，运维单位做到设备的全年6次全面保养工作，并做好每次保养前后的设备运行状况记录。</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3、在运维服务周期内，完成每季度提供运维服务报告。服务周期结束，提供服务总结报告。</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4、运维单位需提供主要设备的备品备件，替换下故障设备，满足设备的正常运行需要。</w:t>
      </w:r>
    </w:p>
    <w:p>
      <w:pPr>
        <w:spacing w:line="360" w:lineRule="auto"/>
        <w:ind w:firstLine="480" w:firstLineChars="200"/>
        <w:rPr>
          <w:rFonts w:hint="eastAsia"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、运维单位需对整个系统进行定期巡检服务，及时发现设备的损坏或系统的功能异常。</w:t>
      </w:r>
    </w:p>
    <w:p>
      <w:pPr>
        <w:spacing w:line="360" w:lineRule="auto"/>
        <w:ind w:firstLine="480" w:firstLineChars="200"/>
        <w:rPr>
          <w:rFonts w:hint="eastAsia"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、运维单位需对整个系统所有设备进行必要的定期保养服务。</w:t>
      </w:r>
    </w:p>
    <w:p>
      <w:pPr>
        <w:spacing w:line="360" w:lineRule="auto"/>
        <w:ind w:firstLine="480" w:firstLineChars="200"/>
        <w:rPr>
          <w:rFonts w:hint="eastAsia" w:ascii="宋体" w:hAnsi="宋体" w:eastAsia="宋体" w:cs="宋体"/>
          <w:color w:val="000000"/>
          <w:kern w:val="0"/>
          <w:sz w:val="24"/>
        </w:rPr>
      </w:pPr>
      <w:r>
        <w:rPr>
          <w:rFonts w:ascii="宋体" w:hAnsi="宋体" w:eastAsia="宋体" w:cs="宋体"/>
          <w:color w:val="000000"/>
          <w:kern w:val="0"/>
          <w:sz w:val="24"/>
        </w:rPr>
        <w:t>7</w:t>
      </w:r>
      <w:r>
        <w:rPr>
          <w:rFonts w:hint="eastAsia" w:ascii="宋体" w:hAnsi="宋体" w:eastAsia="宋体" w:cs="宋体"/>
          <w:color w:val="000000"/>
          <w:kern w:val="0"/>
          <w:sz w:val="24"/>
        </w:rPr>
        <w:t>、运维单位需负责视频监控综合应用平台软件的功能运维及软件版本升级。</w:t>
      </w:r>
    </w:p>
    <w:p>
      <w:pPr>
        <w:spacing w:line="360" w:lineRule="auto"/>
        <w:ind w:firstLine="480" w:firstLineChars="200"/>
        <w:rPr>
          <w:rFonts w:hint="eastAsia" w:ascii="宋体" w:hAnsi="宋体" w:eastAsia="宋体" w:cs="宋体"/>
          <w:color w:val="000000"/>
          <w:kern w:val="0"/>
          <w:sz w:val="24"/>
        </w:rPr>
      </w:pPr>
      <w:r>
        <w:rPr>
          <w:rFonts w:ascii="宋体" w:hAnsi="宋体" w:eastAsia="宋体" w:cs="宋体"/>
          <w:color w:val="000000"/>
          <w:kern w:val="0"/>
          <w:sz w:val="24"/>
        </w:rPr>
        <w:t>8</w:t>
      </w:r>
      <w:r>
        <w:rPr>
          <w:rFonts w:hint="eastAsia" w:ascii="宋体" w:hAnsi="宋体" w:eastAsia="宋体" w:cs="宋体"/>
          <w:color w:val="000000"/>
          <w:kern w:val="0"/>
          <w:sz w:val="24"/>
        </w:rPr>
        <w:t>、运维单位需对重大事件和重大活动进行技术支持和现场保障服务。</w:t>
      </w:r>
    </w:p>
    <w:p>
      <w:pPr>
        <w:widowControl/>
        <w:spacing w:line="560" w:lineRule="atLeast"/>
        <w:ind w:firstLine="422"/>
        <w:jc w:val="left"/>
        <w:rPr>
          <w:rFonts w:hint="eastAsia" w:ascii="宋体" w:hAnsi="宋体" w:eastAsia="宋体" w:cs="宋体"/>
          <w:color w:val="000000"/>
          <w:kern w:val="0"/>
          <w:sz w:val="24"/>
        </w:rPr>
      </w:pPr>
      <w:r>
        <w:rPr>
          <w:rFonts w:ascii="宋体" w:hAnsi="宋体" w:eastAsia="宋体" w:cs="宋体"/>
          <w:color w:val="000000"/>
          <w:kern w:val="0"/>
          <w:sz w:val="24"/>
        </w:rPr>
        <w:t>9、</w:t>
      </w:r>
      <w:r>
        <w:rPr>
          <w:rFonts w:hint="eastAsia" w:ascii="宋体" w:hAnsi="宋体" w:eastAsia="宋体" w:cs="宋体"/>
          <w:color w:val="000000"/>
          <w:kern w:val="0"/>
          <w:sz w:val="24"/>
        </w:rPr>
        <w:t>要求每季度提供运维服务报告，对巡检和维修工作进行一次季度汇总统计，分析本季巡检和维修过程中碰到的问题、故障发生的原因及处理方法，如何预防和降低类似故障的发生次数，做到全年平均无故障率不低于95%。服务周期结束，必须提供年度服务总结报告。</w:t>
      </w:r>
    </w:p>
    <w:p>
      <w:pPr>
        <w:pStyle w:val="3"/>
      </w:pPr>
      <w:r>
        <w:rPr>
          <w:rFonts w:hint="eastAsia"/>
        </w:rPr>
        <w:t>验收要求</w:t>
      </w:r>
    </w:p>
    <w:p>
      <w:pPr>
        <w:widowControl/>
        <w:spacing w:line="560" w:lineRule="atLeast"/>
        <w:ind w:firstLine="422"/>
        <w:jc w:val="left"/>
        <w:rPr>
          <w:rFonts w:hint="eastAsia" w:ascii="宋体" w:hAnsi="宋体" w:eastAsia="宋体" w:cs="宋体"/>
          <w:color w:val="000000"/>
          <w:kern w:val="0"/>
          <w:sz w:val="24"/>
        </w:rPr>
      </w:pPr>
      <w:r>
        <w:rPr>
          <w:rFonts w:hint="eastAsia" w:ascii="宋体" w:hAnsi="宋体" w:eastAsia="宋体" w:cs="宋体"/>
          <w:color w:val="000000"/>
          <w:kern w:val="0"/>
          <w:sz w:val="24"/>
        </w:rPr>
        <w:t>运行维护工作期限届满时，服务提供方应当以书面形式向用户方提交运行维护服务总结报告（包含社区智能安防运维保障满意度统计表）。采购人在收到服务提供方提交的运行维护材料后 10 个工作日内，对服务提供方的工作进行验收，并出具验收确认单。如属于服务提供方原因致使维护服务未能通过验收的，服务提供方应当在 15 个工作日内进行整改，并自行承担相关整改费用，再次接受采购人的验收，直至符合约定要求。</w:t>
      </w:r>
    </w:p>
    <w:p>
      <w:pPr>
        <w:ind w:firstLine="480"/>
        <w:rPr>
          <w:rFonts w:hint="eastAsia" w:ascii="宋体" w:hAnsi="宋体" w:eastAsia="宋体" w:cs="宋体"/>
          <w:color w:val="000000" w:themeColor="text1"/>
          <w:sz w:val="24"/>
          <w14:textFill>
            <w14:solidFill>
              <w14:schemeClr w14:val="tx1"/>
            </w14:solidFill>
          </w14:textFill>
        </w:rPr>
      </w:pPr>
    </w:p>
    <w:p>
      <w:pPr>
        <w:pStyle w:val="2"/>
      </w:pPr>
      <w:r>
        <w:rPr>
          <w:rFonts w:hint="eastAsia"/>
        </w:rPr>
        <w:t>运维保障要求</w:t>
      </w:r>
    </w:p>
    <w:p>
      <w:pPr>
        <w:pStyle w:val="3"/>
      </w:pPr>
      <w:r>
        <w:rPr>
          <w:rFonts w:hint="eastAsia"/>
        </w:rPr>
        <w:t>运维服务及响应</w:t>
      </w:r>
    </w:p>
    <w:p>
      <w:pPr>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承诺提供7×24故障维护服务和技术业务咨询服务。在常规工作时间内对系统进行检查和运维，若有特殊任务应听从普陀区城市运行管理中心的安排，并有专业的技术人员负责及时解决系统出现的任何故障。在接到故障报修后，中标供应商须在30分钟内响应，技术工程师2小时到达现场。到达现场后6小时内排除设备故障（遇到自然灾害等不可抗拒事故除外）。对于一时无法按时排除故障，12小时内提供备件更换解决（对于特殊情况经双方协商决定排除故障时间，如基础设备损坏等，出具书面情况报告），由此产生的费用由中标供应商承担。48小时内完成故障修复。</w:t>
      </w:r>
    </w:p>
    <w:p>
      <w:pPr>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如有重大活动，中标供应商提前对重点设备进行检修，排除故障隐患，随时准备启动备品备件库，并在活动期间免费提供24小时现场技术保障。确保系统正常运行，协助完成活动任务。</w:t>
      </w:r>
    </w:p>
    <w:p>
      <w:pPr>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巡检维护确保24小时内发现视频丢失、录像丢失、图像模糊等故障，接到内场人员现场报障后2日内做好维修、调焦、擦灰、剪树枝、角度调整等运维工作，提供备品备件在12小时内确保修复保障系统运行。</w:t>
      </w:r>
    </w:p>
    <w:p>
      <w:pPr>
        <w:spacing w:line="360" w:lineRule="auto"/>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运维服务内容清单：</w:t>
      </w:r>
    </w:p>
    <w:tbl>
      <w:tblPr>
        <w:tblStyle w:val="18"/>
        <w:tblW w:w="7899" w:type="dxa"/>
        <w:jc w:val="center"/>
        <w:tblLayout w:type="fixed"/>
        <w:tblCellMar>
          <w:top w:w="0" w:type="dxa"/>
          <w:left w:w="108" w:type="dxa"/>
          <w:bottom w:w="0" w:type="dxa"/>
          <w:right w:w="108" w:type="dxa"/>
        </w:tblCellMar>
      </w:tblPr>
      <w:tblGrid>
        <w:gridCol w:w="1283"/>
        <w:gridCol w:w="4774"/>
        <w:gridCol w:w="1842"/>
      </w:tblGrid>
      <w:tr>
        <w:tblPrEx>
          <w:tblCellMar>
            <w:top w:w="0" w:type="dxa"/>
            <w:left w:w="108" w:type="dxa"/>
            <w:bottom w:w="0" w:type="dxa"/>
            <w:right w:w="108" w:type="dxa"/>
          </w:tblCellMar>
        </w:tblPrEx>
        <w:trPr>
          <w:trHeight w:val="765" w:hRule="atLeast"/>
          <w:jc w:val="center"/>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分类</w:t>
            </w:r>
          </w:p>
        </w:tc>
        <w:tc>
          <w:tcPr>
            <w:tcW w:w="4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时间要求</w:t>
            </w:r>
          </w:p>
        </w:tc>
      </w:tr>
      <w:tr>
        <w:tblPrEx>
          <w:tblCellMar>
            <w:top w:w="0" w:type="dxa"/>
            <w:left w:w="108" w:type="dxa"/>
            <w:bottom w:w="0" w:type="dxa"/>
            <w:right w:w="108" w:type="dxa"/>
          </w:tblCellMar>
        </w:tblPrEx>
        <w:trPr>
          <w:trHeight w:val="778" w:hRule="atLeast"/>
          <w:jc w:val="center"/>
        </w:trPr>
        <w:tc>
          <w:tcPr>
            <w:tcW w:w="128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内场设备</w:t>
            </w:r>
          </w:p>
        </w:tc>
        <w:tc>
          <w:tcPr>
            <w:tcW w:w="4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软件系统维护：</w:t>
            </w:r>
          </w:p>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系统更新维护、漏洞筛查</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1个月</w:t>
            </w:r>
          </w:p>
        </w:tc>
      </w:tr>
      <w:tr>
        <w:tblPrEx>
          <w:tblCellMar>
            <w:top w:w="0" w:type="dxa"/>
            <w:left w:w="108" w:type="dxa"/>
            <w:bottom w:w="0" w:type="dxa"/>
            <w:right w:w="108" w:type="dxa"/>
          </w:tblCellMar>
        </w:tblPrEx>
        <w:trPr>
          <w:trHeight w:val="778" w:hRule="atLeast"/>
          <w:jc w:val="center"/>
        </w:trPr>
        <w:tc>
          <w:tcPr>
            <w:tcW w:w="1283"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p>
        </w:tc>
        <w:tc>
          <w:tcPr>
            <w:tcW w:w="4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机房设备维护：</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机柜、设备维护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1个月</w:t>
            </w:r>
          </w:p>
        </w:tc>
      </w:tr>
      <w:tr>
        <w:tblPrEx>
          <w:tblCellMar>
            <w:top w:w="0" w:type="dxa"/>
            <w:left w:w="108" w:type="dxa"/>
            <w:bottom w:w="0" w:type="dxa"/>
            <w:right w:w="108" w:type="dxa"/>
          </w:tblCellMar>
        </w:tblPrEx>
        <w:trPr>
          <w:trHeight w:val="778" w:hRule="atLeast"/>
          <w:jc w:val="center"/>
        </w:trPr>
        <w:tc>
          <w:tcPr>
            <w:tcW w:w="128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外场设备</w:t>
            </w:r>
          </w:p>
        </w:tc>
        <w:tc>
          <w:tcPr>
            <w:tcW w:w="4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视频监控设备现场完好性检查（抽查）、调焦、擦灰、剪树枝、角度调整、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现场报障</w:t>
            </w:r>
          </w:p>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（后2日内）</w:t>
            </w:r>
          </w:p>
        </w:tc>
      </w:tr>
      <w:tr>
        <w:tblPrEx>
          <w:tblCellMar>
            <w:top w:w="0" w:type="dxa"/>
            <w:left w:w="108" w:type="dxa"/>
            <w:bottom w:w="0" w:type="dxa"/>
            <w:right w:w="108" w:type="dxa"/>
          </w:tblCellMar>
        </w:tblPrEx>
        <w:trPr>
          <w:trHeight w:val="778" w:hRule="atLeast"/>
          <w:jc w:val="center"/>
        </w:trPr>
        <w:tc>
          <w:tcPr>
            <w:tcW w:w="1283"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p>
        </w:tc>
        <w:tc>
          <w:tcPr>
            <w:tcW w:w="4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门禁设备维护、道闸系统设备维护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1个月</w:t>
            </w:r>
          </w:p>
        </w:tc>
      </w:tr>
    </w:tbl>
    <w:p>
      <w:pPr>
        <w:widowControl/>
        <w:spacing w:line="560" w:lineRule="atLeast"/>
        <w:ind w:firstLine="420"/>
        <w:jc w:val="left"/>
        <w:rPr>
          <w:rFonts w:ascii="宋体" w:hAnsi="宋体" w:eastAsia="宋体" w:cs="宋体"/>
          <w:color w:val="000000"/>
          <w:kern w:val="0"/>
          <w:sz w:val="24"/>
        </w:rPr>
      </w:pPr>
    </w:p>
    <w:p>
      <w:pPr>
        <w:pStyle w:val="3"/>
      </w:pPr>
      <w:r>
        <w:rPr>
          <w:rFonts w:hint="eastAsia"/>
        </w:rPr>
        <w:t>备品备件</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运维单位应自行提供备品备件，备品备件数量按照1.5%配备。如果故障设备需由第三方修理，导致不能及时排除故障时，则运维商必须先用公司备件设备替换下故障设备，满足普陀区社区智能安防项目正常运行。供应商需</w:t>
      </w:r>
      <w:r>
        <w:rPr>
          <w:rFonts w:hint="eastAsia" w:ascii="宋体" w:hAnsi="宋体" w:eastAsia="宋体" w:cs="宋体"/>
          <w:b/>
          <w:bCs/>
          <w:color w:val="000000"/>
          <w:kern w:val="0"/>
          <w:sz w:val="24"/>
        </w:rPr>
        <w:t>承诺</w:t>
      </w:r>
      <w:r>
        <w:rPr>
          <w:rFonts w:hint="eastAsia" w:ascii="宋体" w:hAnsi="宋体" w:eastAsia="宋体" w:cs="宋体"/>
          <w:color w:val="000000"/>
          <w:kern w:val="0"/>
          <w:sz w:val="24"/>
        </w:rPr>
        <w:t>提供的备品备件的技术参数不低于原设备要求。核心备品备件设备类型如下：</w:t>
      </w:r>
    </w:p>
    <w:tbl>
      <w:tblPr>
        <w:tblStyle w:val="18"/>
        <w:tblW w:w="2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人脸抓拍智能摄像机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车角抓拍智能摄像机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高清摄像机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NVR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24口接入交换机(含光模块)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shd w:val="clear" w:color="auto" w:fill="auto"/>
            <w:vAlign w:val="center"/>
          </w:tcPr>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48口接入光交换机(含光模块)</w:t>
            </w:r>
          </w:p>
        </w:tc>
      </w:tr>
    </w:tbl>
    <w:p>
      <w:pPr>
        <w:widowControl/>
        <w:spacing w:line="560" w:lineRule="atLeast"/>
        <w:ind w:firstLine="420"/>
        <w:jc w:val="left"/>
        <w:rPr>
          <w:rFonts w:hint="eastAsia" w:ascii="宋体" w:hAnsi="宋体" w:eastAsia="宋体" w:cs="宋体"/>
          <w:color w:val="000000"/>
          <w:kern w:val="0"/>
          <w:sz w:val="24"/>
        </w:rPr>
      </w:pPr>
    </w:p>
    <w:p>
      <w:pPr>
        <w:ind w:firstLine="480"/>
        <w:rPr>
          <w:rFonts w:hint="eastAsia" w:ascii="宋体" w:hAnsi="宋体" w:eastAsia="宋体" w:cs="宋体"/>
          <w:color w:val="000000" w:themeColor="text1"/>
          <w:sz w:val="24"/>
          <w14:textFill>
            <w14:solidFill>
              <w14:schemeClr w14:val="tx1"/>
            </w14:solidFill>
          </w14:textFill>
        </w:rPr>
      </w:pPr>
    </w:p>
    <w:p>
      <w:pPr>
        <w:pStyle w:val="2"/>
      </w:pPr>
      <w:r>
        <w:t>人员配备要求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项目团队人员负责日常运维及巡检，配置科学合理、分工明确，需至少包括项目经理、运维工程师、系统软硬件工程师。</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项目组团队需保持稳定，未经采购人许可不得更换。投标人需提出具体管理措施，以确保该承诺得到落实。在项目实施过程中，投标人需按照采购人的要求更换采购人认为不合适的人员。</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运维期间，投标人应承诺为本项目</w:t>
      </w:r>
      <w:r>
        <w:rPr>
          <w:rFonts w:hint="eastAsia" w:ascii="宋体" w:hAnsi="宋体" w:eastAsia="宋体" w:cs="宋体"/>
          <w:b/>
          <w:bCs/>
          <w:sz w:val="24"/>
        </w:rPr>
        <w:t>运维投入不少于32名</w:t>
      </w:r>
      <w:r>
        <w:rPr>
          <w:rFonts w:hint="eastAsia" w:ascii="宋体" w:hAnsi="宋体" w:eastAsia="宋体" w:cs="宋体"/>
          <w:sz w:val="24"/>
        </w:rPr>
        <w:t>运维人员开展运维工作，提供本项目所涉及的</w:t>
      </w:r>
      <w:r>
        <w:rPr>
          <w:rFonts w:hint="eastAsia"/>
          <w:sz w:val="24"/>
        </w:rPr>
        <w:t>日常运作、服务咨询、巡检保养、主动监测、故障修复、特殊保障和升级优化</w:t>
      </w:r>
      <w:r>
        <w:rPr>
          <w:rFonts w:hint="eastAsia" w:ascii="宋体" w:hAnsi="宋体" w:eastAsia="宋体" w:cs="宋体"/>
          <w:sz w:val="24"/>
        </w:rPr>
        <w:t>等。</w:t>
      </w:r>
    </w:p>
    <w:tbl>
      <w:tblPr>
        <w:tblStyle w:val="18"/>
        <w:tblW w:w="8478" w:type="dxa"/>
        <w:tblInd w:w="98" w:type="dxa"/>
        <w:tblLayout w:type="autofit"/>
        <w:tblCellMar>
          <w:top w:w="0" w:type="dxa"/>
          <w:left w:w="108" w:type="dxa"/>
          <w:bottom w:w="0" w:type="dxa"/>
          <w:right w:w="108" w:type="dxa"/>
        </w:tblCellMar>
      </w:tblPr>
      <w:tblGrid>
        <w:gridCol w:w="722"/>
        <w:gridCol w:w="1911"/>
        <w:gridCol w:w="1006"/>
        <w:gridCol w:w="4839"/>
      </w:tblGrid>
      <w:tr>
        <w:tblPrEx>
          <w:tblCellMar>
            <w:top w:w="0" w:type="dxa"/>
            <w:left w:w="108" w:type="dxa"/>
            <w:bottom w:w="0" w:type="dxa"/>
            <w:right w:w="108" w:type="dxa"/>
          </w:tblCellMar>
        </w:tblPrEx>
        <w:trPr>
          <w:trHeight w:val="290" w:hRule="atLeast"/>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9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人员类型</w:t>
            </w:r>
          </w:p>
        </w:tc>
        <w:tc>
          <w:tcPr>
            <w:tcW w:w="10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人数</w:t>
            </w:r>
          </w:p>
        </w:tc>
        <w:tc>
          <w:tcPr>
            <w:tcW w:w="483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工作职责或要求</w:t>
            </w:r>
          </w:p>
        </w:tc>
      </w:tr>
      <w:tr>
        <w:tblPrEx>
          <w:tblCellMar>
            <w:top w:w="0" w:type="dxa"/>
            <w:left w:w="108" w:type="dxa"/>
            <w:bottom w:w="0" w:type="dxa"/>
            <w:right w:w="108" w:type="dxa"/>
          </w:tblCellMar>
        </w:tblPrEx>
        <w:trPr>
          <w:trHeight w:val="290" w:hRule="atLeast"/>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19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项目经理</w:t>
            </w:r>
          </w:p>
        </w:tc>
        <w:tc>
          <w:tcPr>
            <w:tcW w:w="10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483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负责整体运维项目的协调工作（需驻场）</w:t>
            </w:r>
          </w:p>
        </w:tc>
      </w:tr>
      <w:tr>
        <w:tblPrEx>
          <w:tblCellMar>
            <w:top w:w="0" w:type="dxa"/>
            <w:left w:w="108" w:type="dxa"/>
            <w:bottom w:w="0" w:type="dxa"/>
            <w:right w:w="108" w:type="dxa"/>
          </w:tblCellMar>
        </w:tblPrEx>
        <w:trPr>
          <w:trHeight w:val="290" w:hRule="atLeast"/>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19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技术经理</w:t>
            </w:r>
          </w:p>
        </w:tc>
        <w:tc>
          <w:tcPr>
            <w:tcW w:w="10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483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负责整体运维项目技术难题解决（需驻场）</w:t>
            </w:r>
          </w:p>
        </w:tc>
      </w:tr>
      <w:tr>
        <w:tblPrEx>
          <w:tblCellMar>
            <w:top w:w="0" w:type="dxa"/>
            <w:left w:w="108" w:type="dxa"/>
            <w:bottom w:w="0" w:type="dxa"/>
            <w:right w:w="108" w:type="dxa"/>
          </w:tblCellMar>
        </w:tblPrEx>
        <w:trPr>
          <w:trHeight w:val="1080" w:hRule="atLeast"/>
        </w:trPr>
        <w:tc>
          <w:tcPr>
            <w:tcW w:w="7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运维工程师</w:t>
            </w:r>
          </w:p>
        </w:tc>
        <w:tc>
          <w:tcPr>
            <w:tcW w:w="10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483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负责各系统及设备的日常维护、维修等工作</w:t>
            </w:r>
          </w:p>
        </w:tc>
      </w:tr>
      <w:tr>
        <w:tblPrEx>
          <w:tblCellMar>
            <w:top w:w="0" w:type="dxa"/>
            <w:left w:w="108" w:type="dxa"/>
            <w:bottom w:w="0" w:type="dxa"/>
            <w:right w:w="108" w:type="dxa"/>
          </w:tblCellMar>
        </w:tblPrEx>
        <w:trPr>
          <w:trHeight w:val="574" w:hRule="atLeast"/>
        </w:trPr>
        <w:tc>
          <w:tcPr>
            <w:tcW w:w="7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系统软硬件工程师</w:t>
            </w:r>
          </w:p>
        </w:tc>
        <w:tc>
          <w:tcPr>
            <w:tcW w:w="10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4839"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负责发现并解决硬件故障、软件异常或网络问题</w:t>
            </w:r>
          </w:p>
        </w:tc>
      </w:tr>
    </w:tbl>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投标人项目团队中，</w:t>
      </w:r>
      <w:r>
        <w:rPr>
          <w:rFonts w:hint="eastAsia" w:ascii="宋体" w:hAnsi="宋体" w:eastAsia="宋体" w:cs="宋体"/>
          <w:color w:val="000000"/>
          <w:kern w:val="0"/>
          <w:sz w:val="24"/>
          <w:lang w:eastAsia="zh-CN" w:bidi="ar"/>
        </w:rPr>
        <w:t>项目经理</w:t>
      </w:r>
      <w:r>
        <w:rPr>
          <w:rFonts w:hint="eastAsia" w:ascii="宋体" w:hAnsi="宋体" w:eastAsia="宋体" w:cs="宋体"/>
          <w:color w:val="000000"/>
          <w:kern w:val="0"/>
          <w:sz w:val="24"/>
          <w:lang w:bidi="ar"/>
        </w:rPr>
        <w:t>、技术经理应具有高级系统集成项目管理工程师资质，</w:t>
      </w:r>
      <w:r>
        <w:rPr>
          <w:rFonts w:hint="eastAsia" w:ascii="宋体" w:hAnsi="宋体" w:eastAsia="宋体" w:cs="宋体"/>
          <w:sz w:val="24"/>
        </w:rPr>
        <w:t>（要求详见评分细则），需提供相应资质证明文件</w:t>
      </w:r>
      <w:r>
        <w:rPr>
          <w:rFonts w:hint="eastAsia" w:ascii="宋体" w:hAnsi="宋体" w:eastAsia="宋体" w:cs="宋体"/>
          <w:color w:val="000000"/>
          <w:kern w:val="0"/>
          <w:sz w:val="24"/>
          <w:lang w:bidi="ar"/>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投标人项目团队中</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除</w:t>
      </w:r>
      <w:r>
        <w:rPr>
          <w:rFonts w:hint="eastAsia" w:ascii="宋体" w:hAnsi="宋体" w:cs="宋体"/>
          <w:color w:val="000000"/>
          <w:kern w:val="0"/>
          <w:sz w:val="24"/>
          <w:szCs w:val="24"/>
          <w:lang w:bidi="ar"/>
        </w:rPr>
        <w:t>项目经理</w:t>
      </w:r>
      <w:r>
        <w:rPr>
          <w:rFonts w:hint="eastAsia" w:ascii="宋体" w:hAnsi="宋体" w:cs="宋体"/>
          <w:color w:val="000000"/>
          <w:kern w:val="0"/>
          <w:sz w:val="24"/>
          <w:szCs w:val="24"/>
          <w:highlight w:val="none"/>
          <w:lang w:val="en-US" w:eastAsia="zh-CN" w:bidi="ar"/>
        </w:rPr>
        <w:t>和技术经理外）</w:t>
      </w:r>
      <w:r>
        <w:rPr>
          <w:rFonts w:hint="eastAsia" w:ascii="宋体" w:hAnsi="宋体" w:eastAsia="宋体" w:cs="宋体"/>
          <w:sz w:val="24"/>
        </w:rPr>
        <w:t>，具备中级工程师（计算机与信息技术或系统集成方向）的不少于10人（要求详见评分细则），需提供相应资质证明文件。</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投标人项目团队中</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除</w:t>
      </w:r>
      <w:r>
        <w:rPr>
          <w:rFonts w:hint="eastAsia" w:ascii="宋体" w:hAnsi="宋体" w:cs="宋体"/>
          <w:color w:val="000000"/>
          <w:kern w:val="0"/>
          <w:sz w:val="24"/>
          <w:szCs w:val="24"/>
          <w:lang w:bidi="ar"/>
        </w:rPr>
        <w:t>项目经理</w:t>
      </w:r>
      <w:r>
        <w:rPr>
          <w:rFonts w:hint="eastAsia" w:ascii="宋体" w:hAnsi="宋体" w:cs="宋体"/>
          <w:color w:val="000000"/>
          <w:kern w:val="0"/>
          <w:sz w:val="24"/>
          <w:szCs w:val="24"/>
          <w:highlight w:val="none"/>
          <w:lang w:val="en-US" w:eastAsia="zh-CN" w:bidi="ar"/>
        </w:rPr>
        <w:t>和技术经理外）</w:t>
      </w:r>
      <w:r>
        <w:rPr>
          <w:rFonts w:hint="eastAsia" w:ascii="宋体" w:hAnsi="宋体" w:eastAsia="宋体" w:cs="宋体"/>
          <w:sz w:val="24"/>
        </w:rPr>
        <w:t>，大学本科学历以上的技术人员应不低于</w:t>
      </w:r>
      <w:bookmarkStart w:id="12" w:name="_GoBack"/>
      <w:bookmarkEnd w:id="12"/>
      <w:r>
        <w:rPr>
          <w:rFonts w:hint="eastAsia" w:ascii="宋体" w:hAnsi="宋体" w:eastAsia="宋体" w:cs="宋体"/>
          <w:sz w:val="24"/>
        </w:rPr>
        <w:t>20人，需提供相应资质证明文件。</w:t>
      </w:r>
    </w:p>
    <w:p>
      <w:pPr>
        <w:pStyle w:val="2"/>
      </w:pPr>
      <w:r>
        <w:t>运维质量和考核管理要求</w:t>
      </w:r>
    </w:p>
    <w:p>
      <w:pPr>
        <w:pStyle w:val="3"/>
      </w:pPr>
      <w:r>
        <w:t>运维质量要求</w:t>
      </w:r>
    </w:p>
    <w:p>
      <w:pPr>
        <w:pStyle w:val="13"/>
        <w:spacing w:before="103" w:line="219" w:lineRule="auto"/>
        <w:ind w:left="518"/>
        <w:rPr>
          <w:rFonts w:hint="eastAsia"/>
          <w:sz w:val="24"/>
          <w:szCs w:val="24"/>
          <w:lang w:eastAsia="zh-CN"/>
        </w:rPr>
      </w:pPr>
      <w:r>
        <w:rPr>
          <w:spacing w:val="-3"/>
          <w:sz w:val="24"/>
          <w:szCs w:val="24"/>
          <w:lang w:eastAsia="zh-CN"/>
        </w:rPr>
        <w:t>1、对发生的任何故障都统一受理、统一负责协调组织解决，直至故障修复。</w:t>
      </w:r>
    </w:p>
    <w:p>
      <w:pPr>
        <w:pStyle w:val="13"/>
        <w:spacing w:before="183" w:line="219" w:lineRule="auto"/>
        <w:ind w:left="503"/>
        <w:rPr>
          <w:rFonts w:hint="eastAsia"/>
          <w:sz w:val="24"/>
          <w:szCs w:val="24"/>
          <w:lang w:eastAsia="zh-CN"/>
        </w:rPr>
      </w:pPr>
      <w:r>
        <w:rPr>
          <w:spacing w:val="-1"/>
          <w:sz w:val="24"/>
          <w:szCs w:val="24"/>
          <w:lang w:eastAsia="zh-CN"/>
        </w:rPr>
        <w:t>2、对突发事件能够及时地响应，有效的处理和解决。</w:t>
      </w:r>
    </w:p>
    <w:p>
      <w:pPr>
        <w:pStyle w:val="13"/>
        <w:spacing w:before="181" w:line="219" w:lineRule="auto"/>
        <w:ind w:left="505"/>
        <w:rPr>
          <w:rFonts w:hint="eastAsia"/>
          <w:sz w:val="24"/>
          <w:szCs w:val="24"/>
          <w:lang w:eastAsia="zh-CN"/>
        </w:rPr>
      </w:pPr>
      <w:r>
        <w:rPr>
          <w:spacing w:val="-3"/>
          <w:sz w:val="24"/>
          <w:szCs w:val="24"/>
          <w:lang w:eastAsia="zh-CN"/>
        </w:rPr>
        <w:t>3、全年报障的解决率达到</w:t>
      </w:r>
      <w:r>
        <w:rPr>
          <w:spacing w:val="-25"/>
          <w:sz w:val="24"/>
          <w:szCs w:val="24"/>
          <w:lang w:eastAsia="zh-CN"/>
        </w:rPr>
        <w:t xml:space="preserve"> </w:t>
      </w:r>
      <w:r>
        <w:rPr>
          <w:spacing w:val="-3"/>
          <w:sz w:val="24"/>
          <w:szCs w:val="24"/>
          <w:lang w:eastAsia="zh-CN"/>
        </w:rPr>
        <w:t>100%。</w:t>
      </w:r>
    </w:p>
    <w:p>
      <w:pPr>
        <w:pStyle w:val="13"/>
        <w:spacing w:before="183" w:line="219" w:lineRule="auto"/>
        <w:ind w:left="500"/>
        <w:rPr>
          <w:rFonts w:hint="eastAsia"/>
          <w:sz w:val="24"/>
          <w:szCs w:val="24"/>
          <w:lang w:eastAsia="zh-CN"/>
        </w:rPr>
      </w:pPr>
      <w:r>
        <w:rPr>
          <w:spacing w:val="-1"/>
          <w:sz w:val="24"/>
          <w:szCs w:val="24"/>
          <w:lang w:eastAsia="zh-CN"/>
        </w:rPr>
        <w:t>4、信息安全风险辨识充分，信息系统重大隐患辨识无疏漏。</w:t>
      </w:r>
    </w:p>
    <w:p>
      <w:pPr>
        <w:pStyle w:val="13"/>
        <w:spacing w:before="180" w:line="219" w:lineRule="auto"/>
        <w:ind w:left="505"/>
        <w:rPr>
          <w:rFonts w:hint="eastAsia"/>
          <w:sz w:val="24"/>
          <w:szCs w:val="24"/>
          <w:lang w:eastAsia="zh-CN"/>
        </w:rPr>
      </w:pPr>
      <w:r>
        <w:rPr>
          <w:spacing w:val="-1"/>
          <w:sz w:val="24"/>
          <w:szCs w:val="24"/>
          <w:lang w:eastAsia="zh-CN"/>
        </w:rPr>
        <w:t>5、全年不发生因违反相关规章制度而造成重大故障或造成重大事件。</w:t>
      </w:r>
    </w:p>
    <w:p>
      <w:pPr>
        <w:pStyle w:val="13"/>
        <w:spacing w:before="184" w:line="219" w:lineRule="auto"/>
        <w:ind w:left="502"/>
        <w:rPr>
          <w:rFonts w:hint="eastAsia"/>
          <w:sz w:val="24"/>
          <w:szCs w:val="24"/>
          <w:lang w:eastAsia="zh-CN"/>
        </w:rPr>
      </w:pPr>
      <w:r>
        <w:rPr>
          <w:spacing w:val="-1"/>
          <w:sz w:val="24"/>
          <w:szCs w:val="24"/>
          <w:lang w:eastAsia="zh-CN"/>
        </w:rPr>
        <w:t>6、确保各系统的稳定、可靠性。</w:t>
      </w:r>
    </w:p>
    <w:p>
      <w:pPr>
        <w:pStyle w:val="13"/>
        <w:spacing w:before="184" w:line="219" w:lineRule="auto"/>
        <w:ind w:left="506"/>
        <w:rPr>
          <w:rFonts w:hint="eastAsia"/>
          <w:sz w:val="24"/>
          <w:szCs w:val="24"/>
          <w:lang w:eastAsia="zh-CN"/>
        </w:rPr>
      </w:pPr>
      <w:r>
        <w:rPr>
          <w:spacing w:val="-1"/>
          <w:sz w:val="24"/>
          <w:szCs w:val="24"/>
          <w:lang w:eastAsia="zh-CN"/>
        </w:rPr>
        <w:t>7、做到主动发现故障，尽快排除故障的目标。</w:t>
      </w:r>
    </w:p>
    <w:p>
      <w:pPr>
        <w:pStyle w:val="13"/>
        <w:spacing w:before="180" w:line="219" w:lineRule="auto"/>
        <w:ind w:left="502"/>
        <w:rPr>
          <w:rFonts w:hint="eastAsia"/>
          <w:spacing w:val="-2"/>
          <w:sz w:val="24"/>
          <w:szCs w:val="24"/>
          <w:lang w:eastAsia="zh-CN"/>
        </w:rPr>
      </w:pPr>
      <w:r>
        <w:rPr>
          <w:spacing w:val="-2"/>
          <w:sz w:val="24"/>
          <w:szCs w:val="24"/>
          <w:lang w:eastAsia="zh-CN"/>
        </w:rPr>
        <w:t>8、对系统设备的运行维护提供</w:t>
      </w:r>
      <w:r>
        <w:rPr>
          <w:spacing w:val="-39"/>
          <w:sz w:val="24"/>
          <w:szCs w:val="24"/>
          <w:lang w:eastAsia="zh-CN"/>
        </w:rPr>
        <w:t xml:space="preserve"> </w:t>
      </w:r>
      <w:r>
        <w:rPr>
          <w:spacing w:val="-2"/>
          <w:sz w:val="24"/>
          <w:szCs w:val="24"/>
          <w:lang w:eastAsia="zh-CN"/>
        </w:rPr>
        <w:t>7×24×365</w:t>
      </w:r>
      <w:r>
        <w:rPr>
          <w:spacing w:val="-31"/>
          <w:sz w:val="24"/>
          <w:szCs w:val="24"/>
          <w:lang w:eastAsia="zh-CN"/>
        </w:rPr>
        <w:t xml:space="preserve"> </w:t>
      </w:r>
      <w:r>
        <w:rPr>
          <w:spacing w:val="-2"/>
          <w:sz w:val="24"/>
          <w:szCs w:val="24"/>
          <w:lang w:eastAsia="zh-CN"/>
        </w:rPr>
        <w:t>的全时段技术支持。</w:t>
      </w:r>
    </w:p>
    <w:p>
      <w:pPr>
        <w:pStyle w:val="3"/>
      </w:pPr>
      <w:r>
        <w:t>运营考核要求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对具体运营服务内容进行考核，包含：</w:t>
      </w:r>
    </w:p>
    <w:p>
      <w:pPr>
        <w:numPr>
          <w:ilvl w:val="0"/>
          <w:numId w:val="6"/>
        </w:numPr>
        <w:spacing w:line="360" w:lineRule="auto"/>
        <w:rPr>
          <w:rFonts w:hint="eastAsia" w:ascii="宋体" w:hAnsi="宋体" w:eastAsia="宋体" w:cs="宋体"/>
          <w:b/>
          <w:bCs/>
          <w:sz w:val="24"/>
        </w:rPr>
      </w:pPr>
      <w:r>
        <w:rPr>
          <w:rFonts w:hint="eastAsia" w:ascii="宋体" w:hAnsi="宋体" w:eastAsia="宋体" w:cs="宋体"/>
          <w:b/>
          <w:bCs/>
          <w:sz w:val="24"/>
        </w:rPr>
        <w:t>小区出入口智能视频监控系统、小区公共区域视频监控系统运营考核</w:t>
      </w:r>
    </w:p>
    <w:p>
      <w:pPr>
        <w:pStyle w:val="20"/>
        <w:widowControl/>
        <w:spacing w:before="100" w:beforeAutospacing="1" w:after="100" w:afterAutospacing="1"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视频监控系统，采购方以城运中心的智能安防平台中提取的工单情况作为考评运维单位响应时间的依据，误期赔偿。</w:t>
      </w:r>
    </w:p>
    <w:p>
      <w:pPr>
        <w:numPr>
          <w:ilvl w:val="0"/>
          <w:numId w:val="6"/>
        </w:numPr>
        <w:spacing w:line="360" w:lineRule="auto"/>
        <w:rPr>
          <w:rFonts w:hint="eastAsia" w:ascii="宋体" w:hAnsi="宋体" w:eastAsia="宋体" w:cs="宋体"/>
          <w:b/>
          <w:bCs/>
          <w:sz w:val="24"/>
        </w:rPr>
      </w:pPr>
      <w:bookmarkStart w:id="10" w:name="_Hlk37328076"/>
      <w:r>
        <w:rPr>
          <w:rFonts w:hint="eastAsia" w:ascii="宋体" w:hAnsi="宋体" w:eastAsia="宋体" w:cs="宋体"/>
          <w:b/>
          <w:bCs/>
          <w:sz w:val="24"/>
        </w:rPr>
        <w:t>小区楼栋智能门禁</w:t>
      </w:r>
      <w:bookmarkEnd w:id="10"/>
      <w:r>
        <w:rPr>
          <w:rFonts w:hint="eastAsia" w:ascii="宋体" w:hAnsi="宋体" w:eastAsia="宋体" w:cs="宋体"/>
          <w:b/>
          <w:bCs/>
          <w:sz w:val="24"/>
        </w:rPr>
        <w:t>系统考核</w:t>
      </w:r>
    </w:p>
    <w:p>
      <w:pPr>
        <w:pStyle w:val="20"/>
        <w:widowControl/>
        <w:spacing w:before="100" w:beforeAutospacing="1" w:after="100" w:afterAutospacing="1"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小区楼栋智能门禁系列考核，采购方以智联普陀平台上设备在线率（90%），作为考核标准。运维单位确保在线率不低于90%（遇到自然灾害等不可抗拒事故或获得采购方豁免的事件除外）。在线率每下降5%以内，采购方按当期</w:t>
      </w:r>
      <w:r>
        <w:rPr>
          <w:rFonts w:hint="eastAsia" w:ascii="宋体" w:hAnsi="宋体" w:eastAsia="宋体" w:cs="宋体"/>
          <w:sz w:val="24"/>
        </w:rPr>
        <w:t>租赁服务费的百分之五（5%）计收误期赔偿金（可叠加），</w:t>
      </w:r>
      <w:r>
        <w:rPr>
          <w:rFonts w:hint="eastAsia" w:ascii="宋体" w:hAnsi="宋体" w:eastAsia="宋体" w:cs="宋体"/>
          <w:color w:val="000000"/>
          <w:kern w:val="0"/>
          <w:sz w:val="24"/>
        </w:rPr>
        <w:t>当在线率低于70%，</w:t>
      </w:r>
      <w:r>
        <w:rPr>
          <w:rFonts w:hint="eastAsia" w:ascii="宋体" w:hAnsi="宋体" w:eastAsia="宋体" w:cs="宋体"/>
          <w:sz w:val="24"/>
        </w:rPr>
        <w:t>经运维单位</w:t>
      </w:r>
      <w:r>
        <w:rPr>
          <w:rFonts w:hint="eastAsia" w:ascii="宋体" w:hAnsi="宋体" w:eastAsia="宋体" w:cs="宋体"/>
          <w:color w:val="000000"/>
          <w:kern w:val="0"/>
          <w:sz w:val="24"/>
        </w:rPr>
        <w:t>30天内</w:t>
      </w:r>
      <w:r>
        <w:rPr>
          <w:rFonts w:hint="eastAsia" w:ascii="宋体" w:hAnsi="宋体" w:eastAsia="宋体" w:cs="宋体"/>
          <w:sz w:val="24"/>
        </w:rPr>
        <w:t>维修维护仍不能达</w:t>
      </w:r>
      <w:r>
        <w:rPr>
          <w:rFonts w:hint="eastAsia" w:ascii="宋体" w:hAnsi="宋体" w:eastAsia="宋体" w:cs="宋体"/>
          <w:color w:val="000000"/>
          <w:kern w:val="0"/>
          <w:sz w:val="24"/>
        </w:rPr>
        <w:t>标，</w:t>
      </w:r>
      <w:r>
        <w:rPr>
          <w:rFonts w:hint="eastAsia" w:ascii="宋体" w:hAnsi="宋体" w:eastAsia="宋体" w:cs="宋体"/>
          <w:sz w:val="24"/>
        </w:rPr>
        <w:t>采购方有权解除本合同</w:t>
      </w:r>
      <w:r>
        <w:rPr>
          <w:rFonts w:hint="eastAsia" w:ascii="宋体" w:hAnsi="宋体" w:eastAsia="宋体" w:cs="宋体"/>
          <w:color w:val="000000"/>
          <w:kern w:val="0"/>
          <w:sz w:val="24"/>
        </w:rPr>
        <w:t>。</w:t>
      </w:r>
    </w:p>
    <w:p>
      <w:pPr>
        <w:numPr>
          <w:ilvl w:val="0"/>
          <w:numId w:val="6"/>
        </w:numPr>
        <w:spacing w:line="360" w:lineRule="auto"/>
        <w:rPr>
          <w:rFonts w:hint="eastAsia" w:ascii="宋体" w:hAnsi="宋体" w:eastAsia="宋体" w:cs="宋体"/>
          <w:b/>
          <w:bCs/>
          <w:sz w:val="24"/>
        </w:rPr>
      </w:pPr>
      <w:bookmarkStart w:id="11" w:name="_Hlk37332575"/>
      <w:r>
        <w:rPr>
          <w:rFonts w:hint="eastAsia" w:ascii="宋体" w:hAnsi="宋体" w:eastAsia="宋体" w:cs="宋体"/>
          <w:b/>
          <w:bCs/>
          <w:sz w:val="24"/>
        </w:rPr>
        <w:t>小区出入口车辆道闸管理系统考核</w:t>
      </w:r>
      <w:bookmarkEnd w:id="11"/>
    </w:p>
    <w:p>
      <w:pPr>
        <w:pStyle w:val="20"/>
        <w:widowControl/>
        <w:spacing w:before="100" w:beforeAutospacing="1" w:after="100" w:afterAutospacing="1"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小区出入口车辆道闸管理系统考核，采购方根据从道闸厂家提取设备运行情况以及发出维修工单情况，作为考核运维单位响应时间的依据，误期赔偿。</w:t>
      </w:r>
    </w:p>
    <w:p>
      <w:pPr>
        <w:numPr>
          <w:ilvl w:val="0"/>
          <w:numId w:val="6"/>
        </w:numPr>
        <w:spacing w:line="360" w:lineRule="auto"/>
        <w:rPr>
          <w:rFonts w:hint="eastAsia" w:ascii="宋体" w:hAnsi="宋体" w:eastAsia="宋体" w:cs="宋体"/>
          <w:b/>
          <w:bCs/>
          <w:sz w:val="24"/>
        </w:rPr>
      </w:pPr>
      <w:r>
        <w:rPr>
          <w:rFonts w:hint="eastAsia" w:ascii="宋体" w:hAnsi="宋体" w:eastAsia="宋体" w:cs="宋体"/>
          <w:b/>
          <w:bCs/>
          <w:sz w:val="24"/>
        </w:rPr>
        <w:t>补充考核细则</w:t>
      </w: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考核周期：每季度一次，总运维周期内共四次。</w:t>
      </w: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考核主体：采购方</w:t>
      </w: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考核指标：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93"/>
        <w:gridCol w:w="1067"/>
        <w:gridCol w:w="719"/>
        <w:gridCol w:w="3157"/>
        <w:gridCol w:w="138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318" w:type="pct"/>
            <w:vAlign w:val="center"/>
          </w:tcPr>
          <w:p>
            <w:pPr>
              <w:widowControl/>
              <w:jc w:val="center"/>
              <w:rPr>
                <w:b/>
                <w:bCs/>
                <w:color w:val="000000"/>
                <w:szCs w:val="21"/>
              </w:rPr>
            </w:pPr>
            <w:r>
              <w:rPr>
                <w:rFonts w:hint="eastAsia"/>
                <w:b/>
                <w:bCs/>
                <w:color w:val="000000"/>
                <w:szCs w:val="21"/>
              </w:rPr>
              <w:t>序号</w:t>
            </w:r>
          </w:p>
        </w:tc>
        <w:tc>
          <w:tcPr>
            <w:tcW w:w="465" w:type="pct"/>
            <w:vAlign w:val="center"/>
          </w:tcPr>
          <w:p>
            <w:pPr>
              <w:widowControl/>
              <w:jc w:val="center"/>
              <w:rPr>
                <w:b/>
                <w:bCs/>
                <w:color w:val="000000"/>
                <w:szCs w:val="21"/>
              </w:rPr>
            </w:pPr>
            <w:r>
              <w:rPr>
                <w:rFonts w:hint="eastAsia"/>
                <w:b/>
                <w:bCs/>
                <w:color w:val="000000"/>
                <w:szCs w:val="21"/>
              </w:rPr>
              <w:t>类别</w:t>
            </w:r>
          </w:p>
        </w:tc>
        <w:tc>
          <w:tcPr>
            <w:tcW w:w="626" w:type="pct"/>
            <w:vAlign w:val="center"/>
          </w:tcPr>
          <w:p>
            <w:pPr>
              <w:widowControl/>
              <w:jc w:val="center"/>
              <w:rPr>
                <w:b/>
                <w:bCs/>
                <w:color w:val="000000"/>
                <w:szCs w:val="21"/>
              </w:rPr>
            </w:pPr>
            <w:r>
              <w:rPr>
                <w:rFonts w:hint="eastAsia"/>
                <w:b/>
                <w:bCs/>
                <w:color w:val="000000"/>
                <w:szCs w:val="21"/>
              </w:rPr>
              <w:t>考核项</w:t>
            </w:r>
          </w:p>
        </w:tc>
        <w:tc>
          <w:tcPr>
            <w:tcW w:w="422" w:type="pct"/>
            <w:vAlign w:val="center"/>
          </w:tcPr>
          <w:p>
            <w:pPr>
              <w:widowControl/>
              <w:jc w:val="center"/>
              <w:rPr>
                <w:b/>
                <w:bCs/>
                <w:color w:val="000000"/>
                <w:szCs w:val="21"/>
              </w:rPr>
            </w:pPr>
            <w:r>
              <w:rPr>
                <w:rFonts w:hint="eastAsia"/>
                <w:b/>
                <w:bCs/>
                <w:color w:val="000000"/>
                <w:szCs w:val="21"/>
              </w:rPr>
              <w:t>权重分数</w:t>
            </w:r>
          </w:p>
        </w:tc>
        <w:tc>
          <w:tcPr>
            <w:tcW w:w="1852" w:type="pct"/>
            <w:vAlign w:val="center"/>
          </w:tcPr>
          <w:p>
            <w:pPr>
              <w:widowControl/>
              <w:jc w:val="center"/>
              <w:rPr>
                <w:b/>
                <w:bCs/>
                <w:color w:val="000000"/>
                <w:szCs w:val="21"/>
              </w:rPr>
            </w:pPr>
            <w:r>
              <w:rPr>
                <w:rFonts w:hint="eastAsia"/>
                <w:b/>
                <w:bCs/>
                <w:color w:val="000000"/>
                <w:szCs w:val="21"/>
              </w:rPr>
              <w:t>指标公式/来源</w:t>
            </w:r>
          </w:p>
        </w:tc>
        <w:tc>
          <w:tcPr>
            <w:tcW w:w="813" w:type="pct"/>
            <w:vAlign w:val="center"/>
          </w:tcPr>
          <w:p>
            <w:pPr>
              <w:widowControl/>
              <w:jc w:val="center"/>
              <w:rPr>
                <w:b/>
                <w:bCs/>
                <w:color w:val="000000"/>
                <w:szCs w:val="21"/>
              </w:rPr>
            </w:pPr>
            <w:r>
              <w:rPr>
                <w:rFonts w:hint="eastAsia"/>
                <w:b/>
                <w:bCs/>
                <w:color w:val="000000"/>
                <w:szCs w:val="21"/>
              </w:rPr>
              <w:t>内容</w:t>
            </w:r>
          </w:p>
        </w:tc>
        <w:tc>
          <w:tcPr>
            <w:tcW w:w="501" w:type="pct"/>
            <w:vAlign w:val="center"/>
          </w:tcPr>
          <w:p>
            <w:pPr>
              <w:widowControl/>
              <w:jc w:val="center"/>
              <w:rPr>
                <w:b/>
                <w:bCs/>
                <w:color w:val="000000"/>
                <w:szCs w:val="21"/>
              </w:rPr>
            </w:pPr>
            <w:r>
              <w:rPr>
                <w:rFonts w:hint="eastAsia"/>
                <w:b/>
                <w:bCs/>
                <w:color w:val="000000"/>
                <w:szCs w:val="21"/>
              </w:rPr>
              <w:t>整体目标值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8" w:type="pct"/>
            <w:vAlign w:val="center"/>
          </w:tcPr>
          <w:p>
            <w:pPr>
              <w:widowControl/>
              <w:jc w:val="center"/>
              <w:rPr>
                <w:color w:val="000000"/>
                <w:szCs w:val="21"/>
              </w:rPr>
            </w:pPr>
            <w:r>
              <w:rPr>
                <w:rFonts w:hint="eastAsia"/>
                <w:color w:val="000000"/>
                <w:szCs w:val="21"/>
              </w:rPr>
              <w:t>1</w:t>
            </w:r>
          </w:p>
        </w:tc>
        <w:tc>
          <w:tcPr>
            <w:tcW w:w="465" w:type="pct"/>
            <w:vMerge w:val="restart"/>
            <w:vAlign w:val="center"/>
          </w:tcPr>
          <w:p>
            <w:pPr>
              <w:jc w:val="center"/>
              <w:rPr>
                <w:color w:val="000000"/>
                <w:szCs w:val="21"/>
              </w:rPr>
            </w:pPr>
            <w:r>
              <w:rPr>
                <w:rFonts w:hint="eastAsia"/>
                <w:color w:val="000000"/>
                <w:szCs w:val="21"/>
              </w:rPr>
              <w:t>维护质量</w:t>
            </w:r>
          </w:p>
        </w:tc>
        <w:tc>
          <w:tcPr>
            <w:tcW w:w="626" w:type="pct"/>
            <w:vAlign w:val="center"/>
          </w:tcPr>
          <w:p>
            <w:pPr>
              <w:widowControl/>
              <w:jc w:val="left"/>
              <w:rPr>
                <w:color w:val="000000"/>
                <w:szCs w:val="21"/>
              </w:rPr>
            </w:pPr>
            <w:r>
              <w:rPr>
                <w:rFonts w:hint="eastAsia"/>
                <w:color w:val="000000"/>
                <w:szCs w:val="21"/>
              </w:rPr>
              <w:t>视频监控设备在线率</w:t>
            </w:r>
          </w:p>
        </w:tc>
        <w:tc>
          <w:tcPr>
            <w:tcW w:w="422" w:type="pct"/>
            <w:vAlign w:val="center"/>
          </w:tcPr>
          <w:p>
            <w:pPr>
              <w:widowControl/>
              <w:jc w:val="left"/>
              <w:rPr>
                <w:color w:val="000000"/>
                <w:szCs w:val="21"/>
              </w:rPr>
            </w:pPr>
            <w:r>
              <w:rPr>
                <w:rFonts w:hint="eastAsia"/>
                <w:color w:val="000000"/>
                <w:szCs w:val="21"/>
              </w:rPr>
              <w:t>30</w:t>
            </w:r>
          </w:p>
        </w:tc>
        <w:tc>
          <w:tcPr>
            <w:tcW w:w="1852" w:type="pct"/>
            <w:vAlign w:val="center"/>
          </w:tcPr>
          <w:p>
            <w:pPr>
              <w:widowControl/>
              <w:rPr>
                <w:color w:val="000000"/>
                <w:szCs w:val="21"/>
              </w:rPr>
            </w:pPr>
            <w:r>
              <w:rPr>
                <w:rFonts w:hint="eastAsia"/>
                <w:color w:val="000000"/>
                <w:szCs w:val="21"/>
              </w:rPr>
              <w:t>收到有效上报信息的终端总数/平台侧已录入的终端总数*100%=在线率。如不达标，实际得分=在线率/达标值*权重分</w:t>
            </w:r>
          </w:p>
        </w:tc>
        <w:tc>
          <w:tcPr>
            <w:tcW w:w="813" w:type="pct"/>
            <w:vAlign w:val="center"/>
          </w:tcPr>
          <w:p>
            <w:pPr>
              <w:widowControl/>
              <w:jc w:val="left"/>
              <w:rPr>
                <w:color w:val="000000"/>
                <w:szCs w:val="21"/>
              </w:rPr>
            </w:pPr>
          </w:p>
        </w:tc>
        <w:tc>
          <w:tcPr>
            <w:tcW w:w="501" w:type="pct"/>
            <w:vAlign w:val="center"/>
          </w:tcPr>
          <w:p>
            <w:pPr>
              <w:widowControl/>
              <w:jc w:val="left"/>
              <w:rPr>
                <w:color w:val="000000"/>
                <w:szCs w:val="21"/>
              </w:rPr>
            </w:pPr>
            <w:r>
              <w:rPr>
                <w:rFonts w:hint="eastAsia"/>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8" w:type="pct"/>
            <w:vAlign w:val="center"/>
          </w:tcPr>
          <w:p>
            <w:pPr>
              <w:widowControl/>
              <w:jc w:val="center"/>
              <w:rPr>
                <w:color w:val="000000"/>
                <w:szCs w:val="21"/>
              </w:rPr>
            </w:pPr>
            <w:r>
              <w:rPr>
                <w:rFonts w:hint="eastAsia"/>
                <w:color w:val="000000"/>
                <w:szCs w:val="21"/>
              </w:rPr>
              <w:t>2</w:t>
            </w:r>
          </w:p>
        </w:tc>
        <w:tc>
          <w:tcPr>
            <w:tcW w:w="465" w:type="pct"/>
            <w:vMerge w:val="continue"/>
            <w:vAlign w:val="center"/>
          </w:tcPr>
          <w:p>
            <w:pPr>
              <w:widowControl/>
              <w:jc w:val="center"/>
              <w:rPr>
                <w:color w:val="000000"/>
                <w:szCs w:val="21"/>
              </w:rPr>
            </w:pPr>
          </w:p>
        </w:tc>
        <w:tc>
          <w:tcPr>
            <w:tcW w:w="626" w:type="pct"/>
            <w:vAlign w:val="center"/>
          </w:tcPr>
          <w:p>
            <w:pPr>
              <w:widowControl/>
              <w:jc w:val="center"/>
              <w:rPr>
                <w:color w:val="000000"/>
                <w:szCs w:val="21"/>
              </w:rPr>
            </w:pPr>
            <w:r>
              <w:rPr>
                <w:rFonts w:hint="eastAsia"/>
                <w:color w:val="000000"/>
                <w:szCs w:val="21"/>
              </w:rPr>
              <w:t>巡检完成率</w:t>
            </w:r>
          </w:p>
        </w:tc>
        <w:tc>
          <w:tcPr>
            <w:tcW w:w="422" w:type="pct"/>
            <w:vAlign w:val="center"/>
          </w:tcPr>
          <w:p>
            <w:pPr>
              <w:widowControl/>
              <w:jc w:val="center"/>
              <w:rPr>
                <w:color w:val="000000"/>
                <w:szCs w:val="21"/>
              </w:rPr>
            </w:pPr>
            <w:r>
              <w:rPr>
                <w:rFonts w:hint="eastAsia"/>
                <w:color w:val="000000"/>
                <w:szCs w:val="21"/>
              </w:rPr>
              <w:t>20</w:t>
            </w:r>
          </w:p>
        </w:tc>
        <w:tc>
          <w:tcPr>
            <w:tcW w:w="1852" w:type="pct"/>
            <w:vAlign w:val="center"/>
          </w:tcPr>
          <w:p>
            <w:pPr>
              <w:widowControl/>
              <w:rPr>
                <w:color w:val="000000"/>
                <w:szCs w:val="21"/>
              </w:rPr>
            </w:pPr>
            <w:r>
              <w:rPr>
                <w:rFonts w:hint="eastAsia"/>
                <w:color w:val="000000"/>
                <w:szCs w:val="21"/>
              </w:rPr>
              <w:t>1、巡检完成率=实际完成巡检次数/当月按要求完成巡检总次数；</w:t>
            </w:r>
            <w:r>
              <w:rPr>
                <w:rFonts w:hint="eastAsia"/>
                <w:color w:val="000000"/>
                <w:szCs w:val="21"/>
              </w:rPr>
              <w:br w:type="textWrapping"/>
            </w:r>
            <w:r>
              <w:rPr>
                <w:rFonts w:hint="eastAsia"/>
                <w:color w:val="000000"/>
                <w:szCs w:val="21"/>
              </w:rPr>
              <w:t>2、巡检完成率达标的情况下得满分。如不达标，实际得分=巡检完成率/达标值*权重分</w:t>
            </w:r>
          </w:p>
        </w:tc>
        <w:tc>
          <w:tcPr>
            <w:tcW w:w="813" w:type="pct"/>
            <w:vAlign w:val="center"/>
          </w:tcPr>
          <w:p>
            <w:pPr>
              <w:widowControl/>
              <w:jc w:val="center"/>
              <w:rPr>
                <w:color w:val="000000"/>
                <w:szCs w:val="21"/>
              </w:rPr>
            </w:pPr>
            <w:r>
              <w:rPr>
                <w:rFonts w:hint="eastAsia"/>
                <w:color w:val="000000"/>
                <w:szCs w:val="21"/>
              </w:rPr>
              <w:t>平台日常巡检工作，包含每日巡检、每周巡检巡检工作内容。</w:t>
            </w:r>
          </w:p>
        </w:tc>
        <w:tc>
          <w:tcPr>
            <w:tcW w:w="501" w:type="pct"/>
            <w:vAlign w:val="center"/>
          </w:tcPr>
          <w:p>
            <w:pPr>
              <w:widowControl/>
              <w:jc w:val="center"/>
              <w:rPr>
                <w:color w:val="000000"/>
                <w:szCs w:val="21"/>
              </w:rPr>
            </w:pPr>
            <w:r>
              <w:rPr>
                <w:rFonts w:hint="eastAsia"/>
                <w:color w:val="00000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18" w:type="pct"/>
            <w:vAlign w:val="center"/>
          </w:tcPr>
          <w:p>
            <w:pPr>
              <w:widowControl/>
              <w:jc w:val="center"/>
              <w:rPr>
                <w:color w:val="000000"/>
                <w:szCs w:val="21"/>
              </w:rPr>
            </w:pPr>
            <w:r>
              <w:rPr>
                <w:rFonts w:hint="eastAsia"/>
                <w:color w:val="000000"/>
                <w:szCs w:val="21"/>
              </w:rPr>
              <w:t>3</w:t>
            </w:r>
          </w:p>
        </w:tc>
        <w:tc>
          <w:tcPr>
            <w:tcW w:w="465" w:type="pct"/>
            <w:vMerge w:val="continue"/>
            <w:vAlign w:val="center"/>
          </w:tcPr>
          <w:p>
            <w:pPr>
              <w:widowControl/>
              <w:jc w:val="center"/>
              <w:rPr>
                <w:color w:val="000000"/>
                <w:szCs w:val="21"/>
              </w:rPr>
            </w:pPr>
          </w:p>
        </w:tc>
        <w:tc>
          <w:tcPr>
            <w:tcW w:w="626" w:type="pct"/>
            <w:vAlign w:val="center"/>
          </w:tcPr>
          <w:p>
            <w:pPr>
              <w:widowControl/>
              <w:jc w:val="center"/>
              <w:rPr>
                <w:color w:val="000000"/>
                <w:szCs w:val="21"/>
              </w:rPr>
            </w:pPr>
            <w:r>
              <w:rPr>
                <w:rFonts w:hint="eastAsia"/>
                <w:color w:val="000000"/>
                <w:szCs w:val="21"/>
              </w:rPr>
              <w:t>故障处理及时率</w:t>
            </w:r>
          </w:p>
        </w:tc>
        <w:tc>
          <w:tcPr>
            <w:tcW w:w="422" w:type="pct"/>
            <w:vAlign w:val="center"/>
          </w:tcPr>
          <w:p>
            <w:pPr>
              <w:widowControl/>
              <w:jc w:val="center"/>
              <w:rPr>
                <w:color w:val="000000"/>
                <w:szCs w:val="21"/>
              </w:rPr>
            </w:pPr>
            <w:r>
              <w:rPr>
                <w:rFonts w:hint="eastAsia"/>
                <w:color w:val="000000"/>
                <w:szCs w:val="21"/>
              </w:rPr>
              <w:t>20</w:t>
            </w:r>
          </w:p>
        </w:tc>
        <w:tc>
          <w:tcPr>
            <w:tcW w:w="1852" w:type="pct"/>
            <w:vAlign w:val="center"/>
          </w:tcPr>
          <w:p>
            <w:pPr>
              <w:widowControl/>
              <w:rPr>
                <w:color w:val="000000"/>
                <w:szCs w:val="21"/>
              </w:rPr>
            </w:pPr>
            <w:r>
              <w:rPr>
                <w:rFonts w:hint="eastAsia"/>
                <w:color w:val="000000"/>
                <w:szCs w:val="21"/>
              </w:rPr>
              <w:t>1、工单处理及时率=考核周期内按时处理完成工单数/总工单次数；2、总得分=故障处理及时率/达标值*权重分</w:t>
            </w:r>
          </w:p>
        </w:tc>
        <w:tc>
          <w:tcPr>
            <w:tcW w:w="813" w:type="pct"/>
            <w:vAlign w:val="center"/>
          </w:tcPr>
          <w:p>
            <w:pPr>
              <w:jc w:val="center"/>
              <w:rPr>
                <w:color w:val="000000"/>
                <w:szCs w:val="21"/>
              </w:rPr>
            </w:pPr>
            <w:r>
              <w:rPr>
                <w:rFonts w:hint="eastAsia"/>
                <w:color w:val="000000"/>
                <w:szCs w:val="21"/>
              </w:rPr>
              <w:t>问题发现和处理工作内容</w:t>
            </w:r>
          </w:p>
        </w:tc>
        <w:tc>
          <w:tcPr>
            <w:tcW w:w="501" w:type="pct"/>
            <w:vAlign w:val="center"/>
          </w:tcPr>
          <w:p>
            <w:pPr>
              <w:widowControl/>
              <w:jc w:val="center"/>
              <w:rPr>
                <w:color w:val="000000"/>
                <w:szCs w:val="21"/>
              </w:rPr>
            </w:pPr>
            <w:r>
              <w:rPr>
                <w:rFonts w:hint="eastAsia"/>
                <w:color w:val="00000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8" w:type="pct"/>
            <w:vAlign w:val="center"/>
          </w:tcPr>
          <w:p>
            <w:pPr>
              <w:widowControl/>
              <w:jc w:val="center"/>
              <w:rPr>
                <w:color w:val="000000"/>
                <w:szCs w:val="21"/>
              </w:rPr>
            </w:pPr>
            <w:r>
              <w:rPr>
                <w:rFonts w:hint="eastAsia"/>
                <w:color w:val="000000"/>
                <w:szCs w:val="21"/>
              </w:rPr>
              <w:t>4</w:t>
            </w:r>
          </w:p>
        </w:tc>
        <w:tc>
          <w:tcPr>
            <w:tcW w:w="465" w:type="pct"/>
            <w:vMerge w:val="continue"/>
            <w:vAlign w:val="center"/>
          </w:tcPr>
          <w:p>
            <w:pPr>
              <w:widowControl/>
              <w:jc w:val="center"/>
              <w:rPr>
                <w:color w:val="000000"/>
                <w:szCs w:val="21"/>
              </w:rPr>
            </w:pPr>
          </w:p>
        </w:tc>
        <w:tc>
          <w:tcPr>
            <w:tcW w:w="626" w:type="pct"/>
            <w:vAlign w:val="center"/>
          </w:tcPr>
          <w:p>
            <w:pPr>
              <w:widowControl/>
              <w:jc w:val="center"/>
              <w:rPr>
                <w:color w:val="000000"/>
                <w:szCs w:val="21"/>
              </w:rPr>
            </w:pPr>
            <w:r>
              <w:rPr>
                <w:rFonts w:hint="eastAsia"/>
                <w:color w:val="000000"/>
                <w:szCs w:val="21"/>
              </w:rPr>
              <w:t>客户满意度评分</w:t>
            </w:r>
          </w:p>
        </w:tc>
        <w:tc>
          <w:tcPr>
            <w:tcW w:w="422" w:type="pct"/>
            <w:vAlign w:val="center"/>
          </w:tcPr>
          <w:p>
            <w:pPr>
              <w:widowControl/>
              <w:jc w:val="center"/>
              <w:rPr>
                <w:color w:val="000000"/>
                <w:szCs w:val="21"/>
              </w:rPr>
            </w:pPr>
            <w:r>
              <w:rPr>
                <w:rFonts w:hint="eastAsia"/>
                <w:color w:val="000000"/>
                <w:szCs w:val="21"/>
              </w:rPr>
              <w:t>5</w:t>
            </w:r>
          </w:p>
        </w:tc>
        <w:tc>
          <w:tcPr>
            <w:tcW w:w="1852" w:type="pct"/>
            <w:vAlign w:val="center"/>
          </w:tcPr>
          <w:p>
            <w:pPr>
              <w:widowControl/>
              <w:rPr>
                <w:color w:val="000000"/>
                <w:szCs w:val="21"/>
              </w:rPr>
            </w:pPr>
            <w:r>
              <w:rPr>
                <w:rFonts w:hint="eastAsia"/>
                <w:color w:val="000000"/>
                <w:szCs w:val="21"/>
              </w:rPr>
              <w:t>客户满意度评分达标情况下得满分，如未达标，考核项得分=客户满意度评分/达标值*权重分</w:t>
            </w:r>
          </w:p>
        </w:tc>
        <w:tc>
          <w:tcPr>
            <w:tcW w:w="813" w:type="pct"/>
            <w:vAlign w:val="center"/>
          </w:tcPr>
          <w:p>
            <w:pPr>
              <w:widowControl/>
              <w:jc w:val="center"/>
              <w:rPr>
                <w:color w:val="000000"/>
                <w:szCs w:val="21"/>
              </w:rPr>
            </w:pPr>
            <w:r>
              <w:rPr>
                <w:rFonts w:hint="eastAsia"/>
                <w:color w:val="000000"/>
                <w:szCs w:val="21"/>
              </w:rPr>
              <w:t>客户满意度回访调查</w:t>
            </w:r>
          </w:p>
        </w:tc>
        <w:tc>
          <w:tcPr>
            <w:tcW w:w="501" w:type="pct"/>
            <w:vAlign w:val="center"/>
          </w:tcPr>
          <w:p>
            <w:pPr>
              <w:widowControl/>
              <w:jc w:val="center"/>
              <w:rPr>
                <w:color w:val="000000"/>
                <w:szCs w:val="21"/>
              </w:rPr>
            </w:pPr>
            <w:r>
              <w:rPr>
                <w:rFonts w:hint="eastAsia"/>
                <w:color w:val="00000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8" w:type="pct"/>
            <w:vAlign w:val="center"/>
          </w:tcPr>
          <w:p>
            <w:pPr>
              <w:widowControl/>
              <w:jc w:val="center"/>
              <w:rPr>
                <w:color w:val="000000"/>
                <w:szCs w:val="21"/>
              </w:rPr>
            </w:pPr>
            <w:r>
              <w:rPr>
                <w:rFonts w:hint="eastAsia"/>
                <w:color w:val="000000"/>
                <w:szCs w:val="21"/>
              </w:rPr>
              <w:t>5</w:t>
            </w:r>
          </w:p>
        </w:tc>
        <w:tc>
          <w:tcPr>
            <w:tcW w:w="465" w:type="pct"/>
            <w:vAlign w:val="center"/>
          </w:tcPr>
          <w:p>
            <w:pPr>
              <w:widowControl/>
              <w:jc w:val="center"/>
              <w:rPr>
                <w:color w:val="000000"/>
                <w:szCs w:val="21"/>
              </w:rPr>
            </w:pPr>
          </w:p>
        </w:tc>
        <w:tc>
          <w:tcPr>
            <w:tcW w:w="626" w:type="pct"/>
            <w:vAlign w:val="center"/>
          </w:tcPr>
          <w:p>
            <w:pPr>
              <w:widowControl/>
              <w:jc w:val="center"/>
              <w:rPr>
                <w:color w:val="000000"/>
                <w:szCs w:val="21"/>
              </w:rPr>
            </w:pPr>
            <w:r>
              <w:rPr>
                <w:rFonts w:hint="eastAsia"/>
                <w:color w:val="000000"/>
                <w:szCs w:val="21"/>
              </w:rPr>
              <w:t>备品备件率</w:t>
            </w:r>
          </w:p>
        </w:tc>
        <w:tc>
          <w:tcPr>
            <w:tcW w:w="422" w:type="pct"/>
            <w:vAlign w:val="center"/>
          </w:tcPr>
          <w:p>
            <w:pPr>
              <w:widowControl/>
              <w:jc w:val="center"/>
              <w:rPr>
                <w:color w:val="000000"/>
                <w:szCs w:val="21"/>
              </w:rPr>
            </w:pPr>
            <w:r>
              <w:rPr>
                <w:rFonts w:hint="eastAsia"/>
                <w:color w:val="000000"/>
                <w:szCs w:val="21"/>
              </w:rPr>
              <w:t>5</w:t>
            </w:r>
          </w:p>
        </w:tc>
        <w:tc>
          <w:tcPr>
            <w:tcW w:w="1852" w:type="pct"/>
            <w:vAlign w:val="center"/>
          </w:tcPr>
          <w:p>
            <w:pPr>
              <w:widowControl/>
              <w:rPr>
                <w:color w:val="000000"/>
                <w:szCs w:val="21"/>
              </w:rPr>
            </w:pPr>
            <w:r>
              <w:rPr>
                <w:rFonts w:hint="eastAsia"/>
                <w:color w:val="000000"/>
                <w:szCs w:val="21"/>
              </w:rPr>
              <w:t>备品备件率=备品备件数/该设备总数</w:t>
            </w:r>
          </w:p>
        </w:tc>
        <w:tc>
          <w:tcPr>
            <w:tcW w:w="813" w:type="pct"/>
            <w:vAlign w:val="center"/>
          </w:tcPr>
          <w:p>
            <w:pPr>
              <w:widowControl/>
              <w:jc w:val="center"/>
              <w:rPr>
                <w:color w:val="000000"/>
                <w:szCs w:val="21"/>
              </w:rPr>
            </w:pPr>
            <w:r>
              <w:rPr>
                <w:rFonts w:hint="eastAsia"/>
                <w:color w:val="000000"/>
                <w:szCs w:val="21"/>
              </w:rPr>
              <w:t>备品备件率</w:t>
            </w:r>
          </w:p>
        </w:tc>
        <w:tc>
          <w:tcPr>
            <w:tcW w:w="501" w:type="pct"/>
            <w:vAlign w:val="center"/>
          </w:tcPr>
          <w:p>
            <w:pPr>
              <w:widowControl/>
              <w:jc w:val="center"/>
              <w:rPr>
                <w:color w:val="000000"/>
                <w:szCs w:val="21"/>
              </w:rPr>
            </w:pPr>
            <w:r>
              <w:rPr>
                <w:rFonts w:hint="eastAsia"/>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18" w:type="pct"/>
            <w:vAlign w:val="center"/>
          </w:tcPr>
          <w:p>
            <w:pPr>
              <w:widowControl/>
              <w:jc w:val="center"/>
              <w:rPr>
                <w:color w:val="000000"/>
                <w:szCs w:val="21"/>
              </w:rPr>
            </w:pPr>
            <w:r>
              <w:rPr>
                <w:rFonts w:hint="eastAsia"/>
                <w:color w:val="000000"/>
                <w:szCs w:val="21"/>
              </w:rPr>
              <w:t>6</w:t>
            </w:r>
          </w:p>
        </w:tc>
        <w:tc>
          <w:tcPr>
            <w:tcW w:w="465" w:type="pct"/>
            <w:vMerge w:val="restart"/>
            <w:vAlign w:val="center"/>
          </w:tcPr>
          <w:p>
            <w:pPr>
              <w:widowControl/>
              <w:jc w:val="center"/>
              <w:rPr>
                <w:color w:val="000000"/>
                <w:szCs w:val="21"/>
              </w:rPr>
            </w:pPr>
            <w:r>
              <w:rPr>
                <w:rFonts w:hint="eastAsia"/>
                <w:color w:val="000000"/>
                <w:szCs w:val="21"/>
              </w:rPr>
              <w:t>基础管理</w:t>
            </w:r>
          </w:p>
        </w:tc>
        <w:tc>
          <w:tcPr>
            <w:tcW w:w="626" w:type="pct"/>
            <w:vAlign w:val="center"/>
          </w:tcPr>
          <w:p>
            <w:pPr>
              <w:widowControl/>
              <w:jc w:val="center"/>
              <w:rPr>
                <w:color w:val="000000"/>
                <w:szCs w:val="21"/>
              </w:rPr>
            </w:pPr>
            <w:r>
              <w:rPr>
                <w:rFonts w:hint="eastAsia"/>
                <w:color w:val="000000"/>
                <w:szCs w:val="21"/>
              </w:rPr>
              <w:t>维护资料提交完整率</w:t>
            </w:r>
          </w:p>
        </w:tc>
        <w:tc>
          <w:tcPr>
            <w:tcW w:w="422" w:type="pct"/>
            <w:vAlign w:val="center"/>
          </w:tcPr>
          <w:p>
            <w:pPr>
              <w:widowControl/>
              <w:jc w:val="center"/>
              <w:rPr>
                <w:color w:val="000000"/>
                <w:szCs w:val="21"/>
              </w:rPr>
            </w:pPr>
            <w:r>
              <w:rPr>
                <w:rFonts w:hint="eastAsia"/>
                <w:color w:val="000000"/>
                <w:szCs w:val="21"/>
              </w:rPr>
              <w:t>15</w:t>
            </w:r>
          </w:p>
        </w:tc>
        <w:tc>
          <w:tcPr>
            <w:tcW w:w="1852" w:type="pct"/>
            <w:vAlign w:val="center"/>
          </w:tcPr>
          <w:p>
            <w:pPr>
              <w:widowControl/>
              <w:rPr>
                <w:color w:val="000000"/>
                <w:szCs w:val="21"/>
              </w:rPr>
            </w:pPr>
            <w:r>
              <w:rPr>
                <w:rFonts w:hint="eastAsia"/>
                <w:color w:val="000000"/>
                <w:szCs w:val="21"/>
              </w:rPr>
              <w:t>1. 每季度向采购方提交:</w:t>
            </w:r>
            <w:r>
              <w:rPr>
                <w:rFonts w:hint="eastAsia"/>
                <w:color w:val="000000"/>
                <w:szCs w:val="21"/>
              </w:rPr>
              <w:br w:type="textWrapping"/>
            </w:r>
            <w:r>
              <w:rPr>
                <w:rFonts w:hint="eastAsia"/>
                <w:color w:val="000000"/>
                <w:szCs w:val="21"/>
              </w:rPr>
              <w:t>“月巡检报告”“季度运维服务报告”共2份报告；</w:t>
            </w:r>
            <w:r>
              <w:rPr>
                <w:rFonts w:hint="eastAsia"/>
                <w:color w:val="000000"/>
                <w:szCs w:val="21"/>
              </w:rPr>
              <w:br w:type="textWrapping"/>
            </w:r>
            <w:r>
              <w:rPr>
                <w:rFonts w:hint="eastAsia"/>
                <w:color w:val="000000"/>
                <w:szCs w:val="21"/>
              </w:rPr>
              <w:t>2.“维护资料提交完整率”达标的情况下得满分，如未达标则按以下公式计算：得分=实际提交资料数量/应提交资料数量*权重分</w:t>
            </w:r>
          </w:p>
        </w:tc>
        <w:tc>
          <w:tcPr>
            <w:tcW w:w="813" w:type="pct"/>
            <w:vAlign w:val="center"/>
          </w:tcPr>
          <w:p>
            <w:pPr>
              <w:widowControl/>
              <w:jc w:val="center"/>
              <w:rPr>
                <w:color w:val="000000"/>
                <w:szCs w:val="21"/>
              </w:rPr>
            </w:pPr>
            <w:r>
              <w:rPr>
                <w:rFonts w:hint="eastAsia"/>
                <w:color w:val="000000"/>
                <w:szCs w:val="21"/>
              </w:rPr>
              <w:t>故障处理及时率及巡检完成率报表</w:t>
            </w:r>
          </w:p>
        </w:tc>
        <w:tc>
          <w:tcPr>
            <w:tcW w:w="501" w:type="pct"/>
            <w:vAlign w:val="center"/>
          </w:tcPr>
          <w:p>
            <w:pPr>
              <w:widowControl/>
              <w:jc w:val="center"/>
              <w:rPr>
                <w:color w:val="000000"/>
                <w:szCs w:val="21"/>
              </w:rPr>
            </w:pPr>
            <w:r>
              <w:rPr>
                <w:rFonts w:hint="eastAsia"/>
                <w:color w:val="00000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8" w:type="pct"/>
            <w:vAlign w:val="center"/>
          </w:tcPr>
          <w:p>
            <w:pPr>
              <w:widowControl/>
              <w:jc w:val="center"/>
              <w:rPr>
                <w:color w:val="000000"/>
                <w:szCs w:val="21"/>
              </w:rPr>
            </w:pPr>
            <w:r>
              <w:rPr>
                <w:rFonts w:hint="eastAsia"/>
                <w:color w:val="000000"/>
                <w:szCs w:val="21"/>
              </w:rPr>
              <w:t>7</w:t>
            </w:r>
          </w:p>
        </w:tc>
        <w:tc>
          <w:tcPr>
            <w:tcW w:w="465" w:type="pct"/>
            <w:vMerge w:val="continue"/>
            <w:vAlign w:val="center"/>
          </w:tcPr>
          <w:p>
            <w:pPr>
              <w:widowControl/>
              <w:jc w:val="center"/>
              <w:rPr>
                <w:color w:val="000000"/>
                <w:szCs w:val="21"/>
              </w:rPr>
            </w:pPr>
          </w:p>
        </w:tc>
        <w:tc>
          <w:tcPr>
            <w:tcW w:w="626" w:type="pct"/>
            <w:vAlign w:val="center"/>
          </w:tcPr>
          <w:p>
            <w:pPr>
              <w:widowControl/>
              <w:jc w:val="center"/>
              <w:rPr>
                <w:color w:val="000000"/>
                <w:szCs w:val="21"/>
              </w:rPr>
            </w:pPr>
            <w:r>
              <w:rPr>
                <w:rFonts w:hint="eastAsia"/>
                <w:color w:val="000000"/>
                <w:szCs w:val="21"/>
              </w:rPr>
              <w:t>创新与优化</w:t>
            </w:r>
          </w:p>
        </w:tc>
        <w:tc>
          <w:tcPr>
            <w:tcW w:w="422" w:type="pct"/>
            <w:vAlign w:val="center"/>
          </w:tcPr>
          <w:p>
            <w:pPr>
              <w:widowControl/>
              <w:jc w:val="center"/>
              <w:rPr>
                <w:color w:val="000000"/>
                <w:szCs w:val="21"/>
              </w:rPr>
            </w:pPr>
            <w:r>
              <w:rPr>
                <w:rFonts w:hint="eastAsia"/>
                <w:color w:val="000000"/>
                <w:szCs w:val="21"/>
              </w:rPr>
              <w:t>5</w:t>
            </w:r>
          </w:p>
        </w:tc>
        <w:tc>
          <w:tcPr>
            <w:tcW w:w="1852" w:type="pct"/>
            <w:vAlign w:val="center"/>
          </w:tcPr>
          <w:p>
            <w:pPr>
              <w:widowControl/>
              <w:rPr>
                <w:color w:val="000000"/>
                <w:szCs w:val="21"/>
              </w:rPr>
            </w:pPr>
            <w:r>
              <w:rPr>
                <w:rFonts w:hint="eastAsia"/>
                <w:color w:val="000000"/>
                <w:szCs w:val="21"/>
              </w:rPr>
              <w:t>采购方根据服务提供方提供的季度优化建议以及是否主动发现并解决潜在风险做出综合性评分。</w:t>
            </w:r>
          </w:p>
        </w:tc>
        <w:tc>
          <w:tcPr>
            <w:tcW w:w="813" w:type="pct"/>
            <w:vAlign w:val="center"/>
          </w:tcPr>
          <w:p>
            <w:pPr>
              <w:widowControl/>
              <w:jc w:val="center"/>
              <w:rPr>
                <w:color w:val="000000"/>
                <w:szCs w:val="21"/>
              </w:rPr>
            </w:pPr>
          </w:p>
        </w:tc>
        <w:tc>
          <w:tcPr>
            <w:tcW w:w="501" w:type="pct"/>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09" w:type="pct"/>
            <w:gridSpan w:val="3"/>
            <w:vAlign w:val="center"/>
          </w:tcPr>
          <w:p>
            <w:pPr>
              <w:widowControl/>
              <w:jc w:val="center"/>
              <w:rPr>
                <w:b/>
                <w:bCs/>
                <w:color w:val="000000"/>
                <w:szCs w:val="21"/>
              </w:rPr>
            </w:pPr>
            <w:r>
              <w:rPr>
                <w:rFonts w:hint="eastAsia"/>
                <w:b/>
                <w:bCs/>
                <w:color w:val="000000"/>
                <w:szCs w:val="21"/>
              </w:rPr>
              <w:t>总分</w:t>
            </w:r>
          </w:p>
        </w:tc>
        <w:tc>
          <w:tcPr>
            <w:tcW w:w="3590" w:type="pct"/>
            <w:gridSpan w:val="4"/>
            <w:vAlign w:val="center"/>
          </w:tcPr>
          <w:p>
            <w:pPr>
              <w:widowControl/>
              <w:jc w:val="center"/>
              <w:rPr>
                <w:color w:val="000000"/>
                <w:szCs w:val="21"/>
              </w:rPr>
            </w:pPr>
            <w:r>
              <w:rPr>
                <w:rFonts w:hint="eastAsia"/>
                <w:b/>
                <w:bCs/>
                <w:color w:val="000000"/>
                <w:szCs w:val="21"/>
              </w:rPr>
              <w:t>100分</w:t>
            </w:r>
          </w:p>
        </w:tc>
      </w:tr>
    </w:tbl>
    <w:p>
      <w:pPr>
        <w:pStyle w:val="20"/>
        <w:widowControl/>
        <w:numPr>
          <w:ilvl w:val="255"/>
          <w:numId w:val="0"/>
        </w:numPr>
        <w:adjustRightInd w:val="0"/>
        <w:spacing w:before="100" w:beforeAutospacing="1" w:after="100" w:afterAutospacing="1" w:line="360" w:lineRule="auto"/>
        <w:rPr>
          <w:rFonts w:hint="eastAsia" w:ascii="宋体" w:hAnsi="宋体" w:eastAsia="宋体" w:cs="宋体"/>
          <w:color w:val="000000"/>
          <w:kern w:val="0"/>
          <w:sz w:val="24"/>
        </w:rPr>
      </w:pP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考核方式：</w:t>
      </w:r>
      <w:r>
        <w:rPr>
          <w:rFonts w:hint="eastAsia" w:ascii="Times New Roman" w:hAnsi="Times New Roman" w:eastAsia="宋体" w:cs="Times New Roman"/>
          <w:sz w:val="24"/>
        </w:rPr>
        <w:t>每季度由采购方进行服务绩效考核，大于等于90分视为考核合格，绩效考核评分结果与运维服务费用进行挂钩。</w:t>
      </w:r>
      <w:r>
        <w:rPr>
          <w:rFonts w:hint="eastAsia" w:ascii="宋体" w:hAnsi="宋体" w:eastAsia="宋体" w:cs="宋体"/>
          <w:color w:val="000000"/>
          <w:kern w:val="0"/>
          <w:sz w:val="24"/>
        </w:rPr>
        <w:t>事件处置时长要求：事件指具体的维护/维修/排障等工作。计时以采购方发起工单流程为起点，48小时内处置完毕。</w:t>
      </w: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豁免条件：指得到采购方确认、认可的超时/超范围处置工作，可不计入当期维护服务考核数据。但在豁免的期限内，运维单位仍未完成维护服务考核内容的，该项目计入当期维护服务考核数据。</w:t>
      </w: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在线数量：前端感知终端总量统计，单轮考评期内的任意一周，平台至少收到1次某终端上报的有效信息，该终端为1个计数单位，同一终端不重复计数。</w:t>
      </w:r>
    </w:p>
    <w:p>
      <w:pPr>
        <w:pStyle w:val="20"/>
        <w:widowControl/>
        <w:numPr>
          <w:ilvl w:val="0"/>
          <w:numId w:val="7"/>
        </w:numPr>
        <w:adjustRightInd w:val="0"/>
        <w:spacing w:before="100" w:beforeAutospacing="1" w:after="100" w:afterAutospacing="1" w:line="360" w:lineRule="auto"/>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在线率：采取随机“飞行检查”方式，单轮考评期内的任意两周，统计前端感知终端的累计在线数比率。</w:t>
      </w:r>
    </w:p>
    <w:p>
      <w:pPr>
        <w:pStyle w:val="2"/>
      </w:pPr>
      <w:r>
        <w:rPr>
          <w:rFonts w:hint="eastAsia"/>
        </w:rPr>
        <w:t>运维服务罚则</w:t>
      </w:r>
    </w:p>
    <w:p>
      <w:pPr>
        <w:pStyle w:val="20"/>
        <w:widowControl/>
        <w:numPr>
          <w:ilvl w:val="0"/>
          <w:numId w:val="8"/>
        </w:numPr>
        <w:spacing w:before="100" w:beforeAutospacing="1" w:after="100" w:afterAutospacing="1" w:line="360" w:lineRule="auto"/>
        <w:ind w:firstLine="480"/>
        <w:rPr>
          <w:rFonts w:ascii="宋体" w:hAnsi="宋体" w:eastAsia="宋体" w:cs="宋体"/>
          <w:kern w:val="0"/>
          <w:sz w:val="24"/>
        </w:rPr>
      </w:pPr>
      <w:r>
        <w:rPr>
          <w:rFonts w:hint="eastAsia" w:ascii="宋体" w:hAnsi="宋体" w:eastAsia="宋体" w:cs="宋体"/>
          <w:kern w:val="0"/>
          <w:sz w:val="24"/>
        </w:rPr>
        <w:t>根据绩效考核评分，处罚比率如下：</w:t>
      </w:r>
    </w:p>
    <w:tbl>
      <w:tblPr>
        <w:tblStyle w:val="18"/>
        <w:tblW w:w="7866" w:type="dxa"/>
        <w:jc w:val="center"/>
        <w:tblLayout w:type="autofit"/>
        <w:tblCellMar>
          <w:top w:w="0" w:type="dxa"/>
          <w:left w:w="108" w:type="dxa"/>
          <w:bottom w:w="0" w:type="dxa"/>
          <w:right w:w="108" w:type="dxa"/>
        </w:tblCellMar>
      </w:tblPr>
      <w:tblGrid>
        <w:gridCol w:w="2989"/>
        <w:gridCol w:w="4877"/>
      </w:tblGrid>
      <w:tr>
        <w:tblPrEx>
          <w:tblCellMar>
            <w:top w:w="0" w:type="dxa"/>
            <w:left w:w="108" w:type="dxa"/>
            <w:bottom w:w="0" w:type="dxa"/>
            <w:right w:w="108" w:type="dxa"/>
          </w:tblCellMar>
        </w:tblPrEx>
        <w:trPr>
          <w:trHeight w:val="358" w:hRule="atLeast"/>
          <w:jc w:val="center"/>
        </w:trPr>
        <w:tc>
          <w:tcPr>
            <w:tcW w:w="2989" w:type="dxa"/>
            <w:tcBorders>
              <w:top w:val="single" w:color="000000" w:sz="4" w:space="0"/>
              <w:left w:val="single" w:color="000000" w:sz="4" w:space="0"/>
              <w:bottom w:val="single" w:color="000000" w:sz="4" w:space="0"/>
              <w:right w:val="single" w:color="000000" w:sz="4" w:space="0"/>
            </w:tcBorders>
            <w:shd w:val="clear" w:color="auto" w:fill="A5A5A5"/>
            <w:vAlign w:val="center"/>
          </w:tcPr>
          <w:p>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 xml:space="preserve">常规运营得分 </w:t>
            </w:r>
          </w:p>
        </w:tc>
        <w:tc>
          <w:tcPr>
            <w:tcW w:w="4877" w:type="dxa"/>
            <w:tcBorders>
              <w:top w:val="single" w:color="000000" w:sz="4" w:space="0"/>
              <w:left w:val="single" w:color="000000" w:sz="4" w:space="0"/>
              <w:bottom w:val="single" w:color="000000" w:sz="4" w:space="0"/>
              <w:right w:val="single" w:color="000000" w:sz="4" w:space="0"/>
            </w:tcBorders>
            <w:shd w:val="clear" w:color="auto" w:fill="A5A5A5"/>
            <w:vAlign w:val="center"/>
          </w:tcPr>
          <w:p>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 xml:space="preserve">处罚比例说明 </w:t>
            </w:r>
          </w:p>
        </w:tc>
      </w:tr>
      <w:tr>
        <w:tblPrEx>
          <w:tblCellMar>
            <w:top w:w="0" w:type="dxa"/>
            <w:left w:w="108" w:type="dxa"/>
            <w:bottom w:w="0" w:type="dxa"/>
            <w:right w:w="108" w:type="dxa"/>
          </w:tblCellMar>
        </w:tblPrEx>
        <w:trPr>
          <w:trHeight w:val="358" w:hRule="atLeast"/>
          <w:jc w:val="center"/>
        </w:trPr>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 xml:space="preserve">N ＜60分 </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 xml:space="preserve">向乙方扣除考核期内有效的所有服务费总额的 5% </w:t>
            </w:r>
          </w:p>
        </w:tc>
      </w:tr>
      <w:tr>
        <w:tblPrEx>
          <w:tblCellMar>
            <w:top w:w="0" w:type="dxa"/>
            <w:left w:w="108" w:type="dxa"/>
            <w:bottom w:w="0" w:type="dxa"/>
            <w:right w:w="108" w:type="dxa"/>
          </w:tblCellMar>
        </w:tblPrEx>
        <w:trPr>
          <w:trHeight w:val="358" w:hRule="atLeast"/>
          <w:jc w:val="center"/>
        </w:trPr>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60分≤ N ＜80分</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 xml:space="preserve">向乙方扣除考核期内有效的所有服务费总额的 3% </w:t>
            </w:r>
          </w:p>
        </w:tc>
      </w:tr>
      <w:tr>
        <w:tblPrEx>
          <w:tblCellMar>
            <w:top w:w="0" w:type="dxa"/>
            <w:left w:w="108" w:type="dxa"/>
            <w:bottom w:w="0" w:type="dxa"/>
            <w:right w:w="108" w:type="dxa"/>
          </w:tblCellMar>
        </w:tblPrEx>
        <w:trPr>
          <w:trHeight w:val="358" w:hRule="atLeast"/>
          <w:jc w:val="center"/>
        </w:trPr>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 xml:space="preserve">80分≤ N ＜90分 </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向乙方扣除考核期内有效的所有服务费总额的 1%</w:t>
            </w:r>
          </w:p>
        </w:tc>
      </w:tr>
      <w:tr>
        <w:tblPrEx>
          <w:tblCellMar>
            <w:top w:w="0" w:type="dxa"/>
            <w:left w:w="108" w:type="dxa"/>
            <w:bottom w:w="0" w:type="dxa"/>
            <w:right w:w="108" w:type="dxa"/>
          </w:tblCellMar>
        </w:tblPrEx>
        <w:trPr>
          <w:trHeight w:val="369" w:hRule="atLeast"/>
          <w:jc w:val="center"/>
        </w:trPr>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 xml:space="preserve">N ≥90分 </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向乙方扣除考核期内有效的所有服务费总额的 0%</w:t>
            </w:r>
          </w:p>
        </w:tc>
      </w:tr>
    </w:tbl>
    <w:p>
      <w:pPr>
        <w:pStyle w:val="20"/>
        <w:widowControl/>
        <w:numPr>
          <w:ilvl w:val="0"/>
          <w:numId w:val="8"/>
        </w:numPr>
        <w:spacing w:before="100" w:beforeAutospacing="1" w:after="100" w:afterAutospacing="1"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若乙方在运维过程中出现重大事故时，根据严重程度，处以罚款。依据如下：</w:t>
      </w:r>
    </w:p>
    <w:tbl>
      <w:tblPr>
        <w:tblStyle w:val="18"/>
        <w:tblpPr w:leftFromText="180" w:rightFromText="180" w:vertAnchor="text" w:horzAnchor="page" w:tblpX="1865" w:tblpY="563"/>
        <w:tblOverlap w:val="never"/>
        <w:tblW w:w="8428" w:type="dxa"/>
        <w:tblInd w:w="0" w:type="dxa"/>
        <w:tblLayout w:type="autofit"/>
        <w:tblCellMar>
          <w:top w:w="0" w:type="dxa"/>
          <w:left w:w="108" w:type="dxa"/>
          <w:bottom w:w="0" w:type="dxa"/>
          <w:right w:w="108" w:type="dxa"/>
        </w:tblCellMar>
      </w:tblPr>
      <w:tblGrid>
        <w:gridCol w:w="3819"/>
        <w:gridCol w:w="4609"/>
      </w:tblGrid>
      <w:tr>
        <w:tblPrEx>
          <w:tblCellMar>
            <w:top w:w="0" w:type="dxa"/>
            <w:left w:w="108" w:type="dxa"/>
            <w:bottom w:w="0" w:type="dxa"/>
            <w:right w:w="108" w:type="dxa"/>
          </w:tblCellMar>
        </w:tblPrEx>
        <w:trPr>
          <w:trHeight w:val="376"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5A5A5"/>
            <w:vAlign w:val="center"/>
          </w:tcPr>
          <w:p>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事故性处罚</w:t>
            </w:r>
          </w:p>
        </w:tc>
        <w:tc>
          <w:tcPr>
            <w:tcW w:w="4609" w:type="dxa"/>
            <w:tcBorders>
              <w:top w:val="single" w:color="000000" w:sz="4" w:space="0"/>
              <w:left w:val="single" w:color="000000" w:sz="4" w:space="0"/>
              <w:bottom w:val="single" w:color="000000" w:sz="4" w:space="0"/>
              <w:right w:val="single" w:color="000000" w:sz="4" w:space="0"/>
            </w:tcBorders>
            <w:shd w:val="clear" w:color="auto" w:fill="A5A5A5"/>
            <w:vAlign w:val="center"/>
          </w:tcPr>
          <w:p>
            <w:pPr>
              <w:widowControl/>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罚款金额</w:t>
            </w:r>
          </w:p>
        </w:tc>
      </w:tr>
      <w:tr>
        <w:tblPrEx>
          <w:tblCellMar>
            <w:top w:w="0" w:type="dxa"/>
            <w:left w:w="108" w:type="dxa"/>
            <w:bottom w:w="0" w:type="dxa"/>
            <w:right w:w="108" w:type="dxa"/>
          </w:tblCellMar>
        </w:tblPrEx>
        <w:trPr>
          <w:trHeight w:val="1117"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如运维单位在运维过程中出现重大失误，造成普陀区社区智能安防项目系统无法正常使用的，</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kern w:val="0"/>
                <w:sz w:val="20"/>
                <w:szCs w:val="20"/>
                <w:lang w:bidi="ar"/>
              </w:rPr>
              <w:t>采购人有权按合同总额的3 %收取违约金。如对采购人造成损失的，运维单位还应就采购人实际损失进行赔偿。</w:t>
            </w:r>
          </w:p>
        </w:tc>
      </w:tr>
    </w:tbl>
    <w:p>
      <w:pPr>
        <w:widowControl/>
        <w:spacing w:line="560" w:lineRule="atLeast"/>
        <w:jc w:val="left"/>
        <w:rPr>
          <w:rFonts w:hint="eastAsia" w:ascii="宋体" w:hAnsi="宋体" w:eastAsia="宋体" w:cs="宋体"/>
          <w:kern w:val="0"/>
          <w:sz w:val="24"/>
        </w:rPr>
      </w:pPr>
    </w:p>
    <w:p>
      <w:pPr>
        <w:pStyle w:val="20"/>
        <w:numPr>
          <w:ilvl w:val="0"/>
          <w:numId w:val="8"/>
        </w:numPr>
        <w:spacing w:before="100" w:beforeAutospacing="1" w:after="100" w:afterAutospacing="1" w:line="360" w:lineRule="auto"/>
        <w:ind w:firstLine="480"/>
        <w:rPr>
          <w:rFonts w:ascii="宋体" w:hAnsi="宋体" w:eastAsia="宋体" w:cs="宋体"/>
          <w:kern w:val="0"/>
          <w:sz w:val="24"/>
        </w:rPr>
      </w:pPr>
      <w:r>
        <w:rPr>
          <w:rFonts w:hint="eastAsia" w:ascii="宋体" w:hAnsi="宋体" w:eastAsia="宋体" w:cs="宋体"/>
          <w:kern w:val="0"/>
          <w:sz w:val="24"/>
        </w:rPr>
        <w:t>如运维单位未能按合同约定的服务内容及标准、响应时间、48小时内故障修复时间修复故障提供相应运维服务的，每违约一次，采购人有权按合同总额的1 %收取违约金。</w:t>
      </w:r>
    </w:p>
    <w:p>
      <w:pPr>
        <w:pStyle w:val="2"/>
      </w:pPr>
      <w:r>
        <w:rPr>
          <w:rFonts w:hint="eastAsia"/>
        </w:rPr>
        <w:t>保密和运维维修安全</w:t>
      </w:r>
    </w:p>
    <w:p>
      <w:pPr>
        <w:widowControl/>
        <w:spacing w:line="560" w:lineRule="atLeast"/>
        <w:ind w:firstLine="480" w:firstLineChars="200"/>
        <w:jc w:val="left"/>
        <w:rPr>
          <w:rFonts w:hint="eastAsia" w:ascii="宋体" w:hAnsi="宋体" w:eastAsia="宋体" w:cs="宋体"/>
          <w:color w:val="000000"/>
          <w:kern w:val="0"/>
          <w:sz w:val="24"/>
        </w:rPr>
      </w:pPr>
      <w:r>
        <w:rPr>
          <w:rFonts w:ascii="宋体" w:hAnsi="宋体" w:eastAsia="宋体" w:cs="宋体"/>
          <w:color w:val="000000"/>
          <w:kern w:val="0"/>
          <w:sz w:val="24"/>
        </w:rPr>
        <w:t>1、</w:t>
      </w:r>
      <w:r>
        <w:rPr>
          <w:rFonts w:hint="eastAsia" w:ascii="宋体" w:hAnsi="宋体" w:eastAsia="宋体" w:cs="宋体"/>
          <w:color w:val="000000"/>
          <w:kern w:val="0"/>
          <w:sz w:val="24"/>
        </w:rPr>
        <w:t>如果运维维修内容属于保密的，运维单位具有保密义务。</w:t>
      </w:r>
    </w:p>
    <w:p>
      <w:pPr>
        <w:widowControl/>
        <w:spacing w:line="560" w:lineRule="atLeast"/>
        <w:ind w:firstLine="420"/>
        <w:jc w:val="left"/>
        <w:rPr>
          <w:rFonts w:hint="eastAsia" w:ascii="宋体" w:hAnsi="宋体" w:eastAsia="宋体" w:cs="宋体"/>
          <w:color w:val="000000"/>
          <w:kern w:val="0"/>
          <w:sz w:val="24"/>
        </w:rPr>
      </w:pPr>
      <w:r>
        <w:rPr>
          <w:rFonts w:ascii="宋体" w:hAnsi="宋体" w:eastAsia="宋体" w:cs="宋体"/>
          <w:color w:val="000000"/>
          <w:kern w:val="0"/>
          <w:sz w:val="24"/>
        </w:rPr>
        <w:t>2、</w:t>
      </w:r>
      <w:r>
        <w:rPr>
          <w:rFonts w:hint="eastAsia" w:ascii="宋体" w:hAnsi="宋体" w:eastAsia="宋体" w:cs="宋体"/>
          <w:color w:val="000000"/>
          <w:kern w:val="0"/>
          <w:sz w:val="24"/>
        </w:rPr>
        <w:t>运维单位应对所有参与本运维项目的人员进行保密教育，并要求有关人员依法履行保守国家秘密的义务。</w:t>
      </w:r>
    </w:p>
    <w:p>
      <w:pPr>
        <w:widowControl/>
        <w:spacing w:line="560" w:lineRule="atLeast"/>
        <w:ind w:firstLine="420"/>
        <w:jc w:val="left"/>
        <w:rPr>
          <w:rFonts w:hint="eastAsia" w:ascii="宋体" w:hAnsi="宋体" w:eastAsia="宋体" w:cs="宋体"/>
          <w:color w:val="000000"/>
          <w:kern w:val="0"/>
          <w:sz w:val="24"/>
        </w:rPr>
      </w:pPr>
      <w:r>
        <w:rPr>
          <w:rFonts w:ascii="宋体" w:hAnsi="宋体" w:eastAsia="宋体" w:cs="宋体"/>
          <w:color w:val="000000"/>
          <w:kern w:val="0"/>
          <w:sz w:val="24"/>
        </w:rPr>
        <w:t>3</w:t>
      </w:r>
      <w:r>
        <w:rPr>
          <w:rFonts w:hint="eastAsia" w:ascii="宋体" w:hAnsi="宋体" w:eastAsia="宋体" w:cs="宋体"/>
          <w:color w:val="000000"/>
          <w:kern w:val="0"/>
          <w:sz w:val="24"/>
        </w:rPr>
        <w:t>运维单位工作人员应严格遵守《中华人民共和国保守国家秘密法》和招标方有关规定，未经许可不得擅自进入普陀区社区智能安防项目。</w:t>
      </w:r>
    </w:p>
    <w:p>
      <w:pPr>
        <w:widowControl/>
        <w:spacing w:line="560" w:lineRule="atLeast"/>
        <w:ind w:firstLine="480" w:firstLineChars="200"/>
        <w:jc w:val="left"/>
        <w:rPr>
          <w:rFonts w:hint="eastAsia"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运维单位工作人员不得向外界泄露项目的活动、人员情况等信息。未获得招标方的书面同意，不得将工程图纸、影像、文件等项目资料透露给任何第三方。</w:t>
      </w:r>
    </w:p>
    <w:p>
      <w:pPr>
        <w:widowControl/>
        <w:spacing w:line="560" w:lineRule="atLeast"/>
        <w:ind w:firstLine="420"/>
        <w:jc w:val="left"/>
        <w:rPr>
          <w:rFonts w:hint="eastAsia"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运维单位具有对工作人员安全生产及管理等职责，所有施工、维保人员进入施工现场前集中进行安全教育，施工过程中应统一佩戴工作证，进出施工现场清点工具，清理现场违禁品及垃圾，严格遵守国家规定的消防及用电安全，使用明火、电焊等器材应双人值岗，配备必要的消防设施，并提前向用户单位报备，用户单位派人员到场监督，并服从招标方的管理。</w:t>
      </w:r>
    </w:p>
    <w:p>
      <w:pPr>
        <w:widowControl/>
        <w:spacing w:line="560" w:lineRule="atLeast"/>
        <w:ind w:firstLine="420"/>
        <w:jc w:val="left"/>
        <w:rPr>
          <w:rFonts w:hint="eastAsia"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运维单位应切实加强现场管理，确保安全生产，在维修过程中发生人身、设备及第三者事故，应由中标方承担一切责任和经济赔偿，招标方不承担任何责任。</w:t>
      </w:r>
    </w:p>
    <w:p>
      <w:pPr>
        <w:pStyle w:val="2"/>
      </w:pPr>
      <w:r>
        <w:rPr>
          <w:rFonts w:hint="eastAsia"/>
        </w:rPr>
        <w:t>其他要求</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投标报价应包括保证系统及设备正常运行履行招标文件要求的服务所发生的人工、备品备件、全部维保服务等的所有费用，招标方不再另行支付其他费用。</w:t>
      </w:r>
    </w:p>
    <w:p>
      <w:pPr>
        <w:pStyle w:val="2"/>
      </w:pPr>
      <w:r>
        <w:rPr>
          <w:rFonts w:hint="eastAsia"/>
        </w:rPr>
        <w:t>费用支付</w:t>
      </w:r>
    </w:p>
    <w:p>
      <w:pPr>
        <w:pStyle w:val="3"/>
        <w:keepNext w:val="0"/>
        <w:keepLines w:val="0"/>
        <w:widowControl/>
        <w:jc w:val="left"/>
      </w:pPr>
      <w:r>
        <w:rPr>
          <w:color w:val="000000"/>
          <w:lang w:bidi="ar"/>
        </w:rPr>
        <w:t xml:space="preserve">合同金额 </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本合同以人民币付款（单位：元）</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lang w:bidi="ar"/>
        </w:rPr>
        <w:t xml:space="preserve">本合同项目服务费用金额见本合同主要要素，乙方完成及达到本合同文件规定的要求与标准的与本服务项目有关的所有费用（包括应承担的各项税费）均包含在合同金额中，甲方不再另行支付任何费用。 </w:t>
      </w:r>
    </w:p>
    <w:p>
      <w:pPr>
        <w:pStyle w:val="3"/>
        <w:keepNext w:val="0"/>
        <w:keepLines w:val="0"/>
        <w:widowControl/>
        <w:jc w:val="left"/>
        <w:rPr>
          <w:lang w:bidi="ar"/>
        </w:rPr>
      </w:pPr>
      <w:r>
        <w:rPr>
          <w:color w:val="000000"/>
          <w:lang w:bidi="ar"/>
        </w:rPr>
        <w:t xml:space="preserve">付款方式 </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rPr>
        <w:t>中标人中标本项目后，签订服务合同。服务费用按以下方式支付：</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lang w:bidi="ar"/>
        </w:rPr>
        <w:t>第一笔-付款（50%）：</w:t>
      </w:r>
      <w:r>
        <w:rPr>
          <w:rFonts w:hint="eastAsia" w:ascii="宋体" w:hAnsi="宋体" w:eastAsia="宋体" w:cs="宋体"/>
          <w:color w:val="000000"/>
          <w:kern w:val="0"/>
          <w:sz w:val="24"/>
        </w:rPr>
        <w:t>合同签订生效后15日内且招标人收到中标人开具的等额发票后，支付第一笔合同款；</w:t>
      </w:r>
    </w:p>
    <w:p>
      <w:pPr>
        <w:widowControl/>
        <w:spacing w:line="560" w:lineRule="atLeast"/>
        <w:ind w:firstLine="420"/>
        <w:jc w:val="left"/>
        <w:rPr>
          <w:rFonts w:hint="eastAsia" w:ascii="宋体" w:hAnsi="宋体" w:eastAsia="宋体" w:cs="宋体"/>
          <w:color w:val="000000"/>
          <w:kern w:val="0"/>
          <w:sz w:val="24"/>
        </w:rPr>
      </w:pPr>
      <w:r>
        <w:rPr>
          <w:rFonts w:hint="eastAsia" w:ascii="宋体" w:hAnsi="宋体" w:eastAsia="宋体" w:cs="宋体"/>
          <w:color w:val="000000"/>
          <w:kern w:val="0"/>
          <w:sz w:val="24"/>
          <w:lang w:bidi="ar"/>
        </w:rPr>
        <w:t>第二笔-尾款：</w:t>
      </w:r>
      <w:r>
        <w:rPr>
          <w:rFonts w:hint="eastAsia" w:ascii="宋体" w:hAnsi="宋体" w:eastAsia="宋体" w:cs="宋体"/>
          <w:color w:val="000000"/>
          <w:kern w:val="0"/>
          <w:sz w:val="24"/>
        </w:rPr>
        <w:t>完成全部运维周期，项目通过验收、扣除误期赔偿金（如有）及违约金（如有）且招标人收到中标人开具的等额发票后，支付第二笔尾款。</w:t>
      </w:r>
    </w:p>
    <w:p>
      <w:pPr>
        <w:widowControl/>
        <w:spacing w:line="560" w:lineRule="atLeast"/>
        <w:ind w:firstLine="420"/>
        <w:jc w:val="left"/>
        <w:rPr>
          <w:rFonts w:hint="eastAsia" w:ascii="宋体" w:hAnsi="宋体" w:eastAsia="宋体" w:cs="宋体"/>
          <w:color w:val="000000"/>
          <w:kern w:val="0"/>
          <w:sz w:val="24"/>
          <w:lang w:bidi="ar"/>
        </w:rPr>
      </w:pPr>
    </w:p>
    <w:p>
      <w:pPr>
        <w:rPr>
          <w:b/>
          <w:bCs/>
          <w:spacing w:val="-8"/>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33" w:lineRule="auto"/>
      <w:ind w:left="7210"/>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8B016"/>
    <w:multiLevelType w:val="singleLevel"/>
    <w:tmpl w:val="88A8B016"/>
    <w:lvl w:ilvl="0" w:tentative="0">
      <w:start w:val="1"/>
      <w:numFmt w:val="decimal"/>
      <w:suff w:val="space"/>
      <w:lvlText w:val="%1."/>
      <w:lvlJc w:val="left"/>
    </w:lvl>
  </w:abstractNum>
  <w:abstractNum w:abstractNumId="1">
    <w:nsid w:val="F5EF280B"/>
    <w:multiLevelType w:val="multilevel"/>
    <w:tmpl w:val="F5EF280B"/>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6"/>
      <w:lvlText w:val="%1.%2.%3.%4."/>
      <w:lvlJc w:val="left"/>
      <w:pPr>
        <w:ind w:left="850" w:hanging="850"/>
      </w:pPr>
      <w:rPr>
        <w:rFonts w:hint="default"/>
      </w:rPr>
    </w:lvl>
    <w:lvl w:ilvl="4" w:tentative="0">
      <w:start w:val="1"/>
      <w:numFmt w:val="decimal"/>
      <w:pStyle w:val="7"/>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81C9592"/>
    <w:multiLevelType w:val="singleLevel"/>
    <w:tmpl w:val="F81C9592"/>
    <w:lvl w:ilvl="0" w:tentative="0">
      <w:start w:val="1"/>
      <w:numFmt w:val="bullet"/>
      <w:lvlText w:val=""/>
      <w:lvlJc w:val="left"/>
      <w:pPr>
        <w:ind w:left="420" w:hanging="420"/>
      </w:pPr>
      <w:rPr>
        <w:rFonts w:hint="default" w:ascii="Wingdings" w:hAnsi="Wingdings"/>
      </w:rPr>
    </w:lvl>
  </w:abstractNum>
  <w:abstractNum w:abstractNumId="3">
    <w:nsid w:val="F8BC317D"/>
    <w:multiLevelType w:val="singleLevel"/>
    <w:tmpl w:val="F8BC317D"/>
    <w:lvl w:ilvl="0" w:tentative="0">
      <w:start w:val="1"/>
      <w:numFmt w:val="decimal"/>
      <w:lvlText w:val="(%1)"/>
      <w:lvlJc w:val="left"/>
      <w:pPr>
        <w:ind w:left="425" w:hanging="425"/>
      </w:pPr>
      <w:rPr>
        <w:rFonts w:hint="default"/>
      </w:rPr>
    </w:lvl>
  </w:abstractNum>
  <w:abstractNum w:abstractNumId="4">
    <w:nsid w:val="3097AC5F"/>
    <w:multiLevelType w:val="multilevel"/>
    <w:tmpl w:val="3097AC5F"/>
    <w:lvl w:ilvl="0" w:tentative="0">
      <w:start w:val="1"/>
      <w:numFmt w:val="decimal"/>
      <w:suff w:val="space"/>
      <w:lvlText w:val="第%1章"/>
      <w:lvlJc w:val="left"/>
      <w:pPr>
        <w:tabs>
          <w:tab w:val="left" w:pos="0"/>
        </w:tabs>
        <w:ind w:left="425" w:hanging="425"/>
      </w:pPr>
      <w:rPr>
        <w:rFonts w:hint="default"/>
      </w:rPr>
    </w:lvl>
    <w:lvl w:ilvl="1" w:tentative="0">
      <w:start w:val="1"/>
      <w:numFmt w:val="none"/>
      <w:suff w:val="space"/>
      <w:lvlText w:val="%1"/>
      <w:lvlJc w:val="left"/>
      <w:pPr>
        <w:tabs>
          <w:tab w:val="left" w:pos="0"/>
        </w:tabs>
        <w:ind w:left="1021" w:hanging="567"/>
      </w:pPr>
      <w:rPr>
        <w:rFonts w:hint="default" w:ascii="Arial" w:hAnsi="Arial" w:cs="Wingdings"/>
      </w:rPr>
    </w:lvl>
    <w:lvl w:ilvl="2" w:tentative="0">
      <w:start w:val="1"/>
      <w:numFmt w:val="decimal"/>
      <w:suff w:val="space"/>
      <w:lvlText w:val="%1%2.%3"/>
      <w:lvlJc w:val="left"/>
      <w:pPr>
        <w:tabs>
          <w:tab w:val="left" w:pos="0"/>
        </w:tabs>
        <w:ind w:left="1021" w:hanging="567"/>
      </w:pPr>
      <w:rPr>
        <w:rFonts w:hint="default" w:ascii="Arial" w:hAnsi="Arial" w:cs="Wingdings"/>
      </w:rPr>
    </w:lvl>
    <w:lvl w:ilvl="3" w:tentative="0">
      <w:start w:val="1"/>
      <w:numFmt w:val="decimal"/>
      <w:suff w:val="space"/>
      <w:lvlText w:val="%1%2.%3.%4"/>
      <w:lvlJc w:val="left"/>
      <w:pPr>
        <w:ind w:left="1021" w:hanging="567"/>
      </w:pPr>
      <w:rPr>
        <w:rFonts w:hint="default" w:ascii="Arial" w:hAnsi="Arial" w:cs="Wingdings"/>
      </w:rPr>
    </w:lvl>
    <w:lvl w:ilvl="4" w:tentative="0">
      <w:start w:val="1"/>
      <w:numFmt w:val="decimal"/>
      <w:suff w:val="space"/>
      <w:lvlText w:val="%1%2.%3.%4.%5"/>
      <w:lvlJc w:val="left"/>
      <w:pPr>
        <w:tabs>
          <w:tab w:val="left" w:pos="0"/>
        </w:tabs>
        <w:ind w:left="1021" w:hanging="567"/>
      </w:pPr>
      <w:rPr>
        <w:rFonts w:hint="default" w:ascii="Arial" w:hAnsi="Arial" w:cs="Wingdings"/>
      </w:rPr>
    </w:lvl>
    <w:lvl w:ilvl="5" w:tentative="0">
      <w:start w:val="1"/>
      <w:numFmt w:val="decimal"/>
      <w:pStyle w:val="8"/>
      <w:suff w:val="space"/>
      <w:lvlText w:val="%1.%2.%3.%4.%5%6"/>
      <w:lvlJc w:val="left"/>
      <w:pPr>
        <w:ind w:left="1021" w:hanging="567"/>
      </w:pPr>
      <w:rPr>
        <w:rFonts w:hint="default" w:ascii="Arial" w:hAnsi="Arial" w:cs="Arial"/>
      </w:rPr>
    </w:lvl>
    <w:lvl w:ilvl="6" w:tentative="0">
      <w:start w:val="1"/>
      <w:numFmt w:val="none"/>
      <w:pStyle w:val="9"/>
      <w:suff w:val="space"/>
      <w:lvlText w:val="%1.%2.%3.%4.%5.%6"/>
      <w:lvlJc w:val="left"/>
      <w:pPr>
        <w:ind w:left="1021" w:hanging="567"/>
      </w:pPr>
      <w:rPr>
        <w:rFonts w:hint="default" w:ascii="Arial" w:hAnsi="Arial" w:cs="Wingdings"/>
      </w:rPr>
    </w:lvl>
    <w:lvl w:ilvl="7" w:tentative="0">
      <w:start w:val="1"/>
      <w:numFmt w:val="decimal"/>
      <w:pStyle w:val="10"/>
      <w:isLgl/>
      <w:suff w:val="space"/>
      <w:lvlText w:val="%1.%2.%3.%4.%5.%6.%7.%8"/>
      <w:lvlJc w:val="left"/>
      <w:pPr>
        <w:ind w:left="1021" w:hanging="567"/>
      </w:pPr>
    </w:lvl>
    <w:lvl w:ilvl="8" w:tentative="0">
      <w:start w:val="1"/>
      <w:numFmt w:val="decimal"/>
      <w:pStyle w:val="11"/>
      <w:isLgl/>
      <w:suff w:val="space"/>
      <w:lvlText w:val="%1.%2.%3.%4.%5.%6.%7.%8.%9"/>
      <w:lvlJc w:val="left"/>
      <w:pPr>
        <w:ind w:left="1021" w:hanging="567"/>
      </w:pPr>
    </w:lvl>
  </w:abstractNum>
  <w:abstractNum w:abstractNumId="5">
    <w:nsid w:val="4B780607"/>
    <w:multiLevelType w:val="multilevel"/>
    <w:tmpl w:val="4B780607"/>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5387338C"/>
    <w:multiLevelType w:val="multilevel"/>
    <w:tmpl w:val="538733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5DBDFD"/>
    <w:multiLevelType w:val="singleLevel"/>
    <w:tmpl w:val="7E5DBDFD"/>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3"/>
  </w:num>
  <w:num w:numId="4">
    <w:abstractNumId w:val="5"/>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B452F"/>
    <w:rsid w:val="001457FB"/>
    <w:rsid w:val="005C6733"/>
    <w:rsid w:val="006B4F71"/>
    <w:rsid w:val="00971D6F"/>
    <w:rsid w:val="00D865BD"/>
    <w:rsid w:val="00DE5743"/>
    <w:rsid w:val="029E162E"/>
    <w:rsid w:val="02E64D83"/>
    <w:rsid w:val="0332621A"/>
    <w:rsid w:val="03822CFE"/>
    <w:rsid w:val="041B14CC"/>
    <w:rsid w:val="05463FB5"/>
    <w:rsid w:val="0590322C"/>
    <w:rsid w:val="05C70726"/>
    <w:rsid w:val="06213875"/>
    <w:rsid w:val="07465DF0"/>
    <w:rsid w:val="07D94EB6"/>
    <w:rsid w:val="07F65A68"/>
    <w:rsid w:val="08202AE5"/>
    <w:rsid w:val="08C711B3"/>
    <w:rsid w:val="0A690774"/>
    <w:rsid w:val="0A761258"/>
    <w:rsid w:val="0A814349"/>
    <w:rsid w:val="0BD0037E"/>
    <w:rsid w:val="0C871385"/>
    <w:rsid w:val="0CAD06C0"/>
    <w:rsid w:val="0D0B3D64"/>
    <w:rsid w:val="0D5813E3"/>
    <w:rsid w:val="0DC12675"/>
    <w:rsid w:val="0DEB64F7"/>
    <w:rsid w:val="0DFA5B87"/>
    <w:rsid w:val="0E1C78AB"/>
    <w:rsid w:val="0E8758B3"/>
    <w:rsid w:val="0ED83EC2"/>
    <w:rsid w:val="0F142537"/>
    <w:rsid w:val="0FBD6E6C"/>
    <w:rsid w:val="0FEB3600"/>
    <w:rsid w:val="10345380"/>
    <w:rsid w:val="104D6442"/>
    <w:rsid w:val="10845BA2"/>
    <w:rsid w:val="11D02E86"/>
    <w:rsid w:val="12641821"/>
    <w:rsid w:val="12642063"/>
    <w:rsid w:val="12686335"/>
    <w:rsid w:val="127B5307"/>
    <w:rsid w:val="12DD2B8D"/>
    <w:rsid w:val="13983772"/>
    <w:rsid w:val="13A97E33"/>
    <w:rsid w:val="13E14D32"/>
    <w:rsid w:val="14A11A0C"/>
    <w:rsid w:val="155D7127"/>
    <w:rsid w:val="15995C85"/>
    <w:rsid w:val="16C254E6"/>
    <w:rsid w:val="173B6CC9"/>
    <w:rsid w:val="179FACDE"/>
    <w:rsid w:val="17A94665"/>
    <w:rsid w:val="17DCB90B"/>
    <w:rsid w:val="18025D64"/>
    <w:rsid w:val="187B075B"/>
    <w:rsid w:val="18BE0581"/>
    <w:rsid w:val="1A1E6D5D"/>
    <w:rsid w:val="1A4C4E6A"/>
    <w:rsid w:val="1A5F2CF0"/>
    <w:rsid w:val="1A676CC8"/>
    <w:rsid w:val="1B542D7A"/>
    <w:rsid w:val="1C6F14EE"/>
    <w:rsid w:val="1C7134B8"/>
    <w:rsid w:val="1D224AA0"/>
    <w:rsid w:val="1D3E783E"/>
    <w:rsid w:val="1D5A3F4C"/>
    <w:rsid w:val="1DC55394"/>
    <w:rsid w:val="1EFD22DB"/>
    <w:rsid w:val="1F813A12"/>
    <w:rsid w:val="20027121"/>
    <w:rsid w:val="208A0FEC"/>
    <w:rsid w:val="211865F8"/>
    <w:rsid w:val="21957C48"/>
    <w:rsid w:val="22456F79"/>
    <w:rsid w:val="225A086B"/>
    <w:rsid w:val="2474721A"/>
    <w:rsid w:val="24BC0052"/>
    <w:rsid w:val="26591245"/>
    <w:rsid w:val="26E36D60"/>
    <w:rsid w:val="27D6C82B"/>
    <w:rsid w:val="28100029"/>
    <w:rsid w:val="28370634"/>
    <w:rsid w:val="28AD5878"/>
    <w:rsid w:val="28ED0E2F"/>
    <w:rsid w:val="28F96D0F"/>
    <w:rsid w:val="2A667FDD"/>
    <w:rsid w:val="2BBF3172"/>
    <w:rsid w:val="2CF15A03"/>
    <w:rsid w:val="2E203475"/>
    <w:rsid w:val="2FD64187"/>
    <w:rsid w:val="30F85AFE"/>
    <w:rsid w:val="319E48F7"/>
    <w:rsid w:val="323B2146"/>
    <w:rsid w:val="32470115"/>
    <w:rsid w:val="32491A0D"/>
    <w:rsid w:val="325154C6"/>
    <w:rsid w:val="329730A8"/>
    <w:rsid w:val="32D83E39"/>
    <w:rsid w:val="32E0684A"/>
    <w:rsid w:val="32F3657D"/>
    <w:rsid w:val="3333106F"/>
    <w:rsid w:val="33582884"/>
    <w:rsid w:val="33770F5C"/>
    <w:rsid w:val="33AD7074"/>
    <w:rsid w:val="33AF4B9A"/>
    <w:rsid w:val="34525525"/>
    <w:rsid w:val="34A17634"/>
    <w:rsid w:val="34E42656"/>
    <w:rsid w:val="35250261"/>
    <w:rsid w:val="35C661CB"/>
    <w:rsid w:val="367E6AA5"/>
    <w:rsid w:val="37556D81"/>
    <w:rsid w:val="37887BDC"/>
    <w:rsid w:val="38E52E0C"/>
    <w:rsid w:val="39F06DAC"/>
    <w:rsid w:val="39F905D9"/>
    <w:rsid w:val="3A3B17B2"/>
    <w:rsid w:val="3A8F74D3"/>
    <w:rsid w:val="3BC96A15"/>
    <w:rsid w:val="3C1A7270"/>
    <w:rsid w:val="3CAC0CAD"/>
    <w:rsid w:val="3CDE4C08"/>
    <w:rsid w:val="3D2363DB"/>
    <w:rsid w:val="3D3D1A63"/>
    <w:rsid w:val="3EBBED1A"/>
    <w:rsid w:val="3ED96F6F"/>
    <w:rsid w:val="40BA3FD7"/>
    <w:rsid w:val="40DA0D7C"/>
    <w:rsid w:val="41493873"/>
    <w:rsid w:val="41BD4926"/>
    <w:rsid w:val="41CF4659"/>
    <w:rsid w:val="422B52D1"/>
    <w:rsid w:val="42304D3A"/>
    <w:rsid w:val="42693382"/>
    <w:rsid w:val="4483245C"/>
    <w:rsid w:val="44F1224D"/>
    <w:rsid w:val="45294080"/>
    <w:rsid w:val="46367C53"/>
    <w:rsid w:val="4654512D"/>
    <w:rsid w:val="467708D8"/>
    <w:rsid w:val="46F15820"/>
    <w:rsid w:val="47F15329"/>
    <w:rsid w:val="48563B24"/>
    <w:rsid w:val="48AE6D76"/>
    <w:rsid w:val="48FF030E"/>
    <w:rsid w:val="4972286D"/>
    <w:rsid w:val="4ABF170F"/>
    <w:rsid w:val="4B781897"/>
    <w:rsid w:val="4BEF1B80"/>
    <w:rsid w:val="4CC802C8"/>
    <w:rsid w:val="4CE4545C"/>
    <w:rsid w:val="4CF3569F"/>
    <w:rsid w:val="4D6F6618"/>
    <w:rsid w:val="4DC1731C"/>
    <w:rsid w:val="4E1C0C26"/>
    <w:rsid w:val="4E920EE8"/>
    <w:rsid w:val="4F1FFA4C"/>
    <w:rsid w:val="4F8E4787"/>
    <w:rsid w:val="505A5490"/>
    <w:rsid w:val="505B3C87"/>
    <w:rsid w:val="508F56DF"/>
    <w:rsid w:val="51D535C6"/>
    <w:rsid w:val="527C1311"/>
    <w:rsid w:val="552A3C28"/>
    <w:rsid w:val="552E2FF3"/>
    <w:rsid w:val="55BF1D36"/>
    <w:rsid w:val="55E0078B"/>
    <w:rsid w:val="561072C2"/>
    <w:rsid w:val="563948EA"/>
    <w:rsid w:val="56867584"/>
    <w:rsid w:val="569A73DE"/>
    <w:rsid w:val="56D53BA7"/>
    <w:rsid w:val="57203535"/>
    <w:rsid w:val="5765719A"/>
    <w:rsid w:val="579D6934"/>
    <w:rsid w:val="57FC127A"/>
    <w:rsid w:val="58025823"/>
    <w:rsid w:val="58633CA2"/>
    <w:rsid w:val="58B42629"/>
    <w:rsid w:val="5B35F9DA"/>
    <w:rsid w:val="5B57329D"/>
    <w:rsid w:val="5C0276AD"/>
    <w:rsid w:val="5C95407D"/>
    <w:rsid w:val="5D107A3F"/>
    <w:rsid w:val="5D987E6D"/>
    <w:rsid w:val="5DB04EE7"/>
    <w:rsid w:val="5DC913D5"/>
    <w:rsid w:val="5E1B2CA8"/>
    <w:rsid w:val="5E6006BB"/>
    <w:rsid w:val="5E7F55E4"/>
    <w:rsid w:val="5F416AD5"/>
    <w:rsid w:val="5F555D46"/>
    <w:rsid w:val="5F630463"/>
    <w:rsid w:val="5FC66C44"/>
    <w:rsid w:val="5FCFBCE6"/>
    <w:rsid w:val="602B0BD5"/>
    <w:rsid w:val="60455DBA"/>
    <w:rsid w:val="60634492"/>
    <w:rsid w:val="60844B35"/>
    <w:rsid w:val="60C211B9"/>
    <w:rsid w:val="61BF1B9C"/>
    <w:rsid w:val="61F71336"/>
    <w:rsid w:val="621C6FEF"/>
    <w:rsid w:val="630B452F"/>
    <w:rsid w:val="63690012"/>
    <w:rsid w:val="63911317"/>
    <w:rsid w:val="64E060B2"/>
    <w:rsid w:val="679E3E90"/>
    <w:rsid w:val="67D0065F"/>
    <w:rsid w:val="684A2231"/>
    <w:rsid w:val="68CA01FA"/>
    <w:rsid w:val="69293B0C"/>
    <w:rsid w:val="69A753F6"/>
    <w:rsid w:val="6AFA2132"/>
    <w:rsid w:val="6B3B69CC"/>
    <w:rsid w:val="6B7D0AFE"/>
    <w:rsid w:val="6C7041BF"/>
    <w:rsid w:val="6CC12C6C"/>
    <w:rsid w:val="6CC138FF"/>
    <w:rsid w:val="6D9B3910"/>
    <w:rsid w:val="6DB8406F"/>
    <w:rsid w:val="6DC72505"/>
    <w:rsid w:val="6DD95D94"/>
    <w:rsid w:val="6E644C28"/>
    <w:rsid w:val="6EBF01DC"/>
    <w:rsid w:val="6F8F2BAE"/>
    <w:rsid w:val="6FFFC298"/>
    <w:rsid w:val="70473218"/>
    <w:rsid w:val="71193077"/>
    <w:rsid w:val="715C2F64"/>
    <w:rsid w:val="72084E9A"/>
    <w:rsid w:val="7237262D"/>
    <w:rsid w:val="732301DD"/>
    <w:rsid w:val="736425A4"/>
    <w:rsid w:val="737E5413"/>
    <w:rsid w:val="74C80236"/>
    <w:rsid w:val="74D84FF7"/>
    <w:rsid w:val="7510653F"/>
    <w:rsid w:val="75157FF9"/>
    <w:rsid w:val="756D3991"/>
    <w:rsid w:val="75FF06CD"/>
    <w:rsid w:val="76B31A23"/>
    <w:rsid w:val="77387FCF"/>
    <w:rsid w:val="776946E0"/>
    <w:rsid w:val="77FF1200"/>
    <w:rsid w:val="78056103"/>
    <w:rsid w:val="79B06543"/>
    <w:rsid w:val="79D833A4"/>
    <w:rsid w:val="79FF3AFE"/>
    <w:rsid w:val="7B324B2E"/>
    <w:rsid w:val="7B42141C"/>
    <w:rsid w:val="7B4231CA"/>
    <w:rsid w:val="7B810197"/>
    <w:rsid w:val="7BE7C51D"/>
    <w:rsid w:val="7BEEF861"/>
    <w:rsid w:val="7BFF10BB"/>
    <w:rsid w:val="7BFFC071"/>
    <w:rsid w:val="7CC0084B"/>
    <w:rsid w:val="7CE34539"/>
    <w:rsid w:val="7DC07E42"/>
    <w:rsid w:val="7E5F22E5"/>
    <w:rsid w:val="7E7A465F"/>
    <w:rsid w:val="7EBD2EC4"/>
    <w:rsid w:val="7EFB2280"/>
    <w:rsid w:val="7F644046"/>
    <w:rsid w:val="7FAF1E7D"/>
    <w:rsid w:val="7FB798DA"/>
    <w:rsid w:val="7FEB9564"/>
    <w:rsid w:val="87F80DDF"/>
    <w:rsid w:val="9F9FE347"/>
    <w:rsid w:val="B8EF2E8C"/>
    <w:rsid w:val="BAD5BA2E"/>
    <w:rsid w:val="BBF77C74"/>
    <w:rsid w:val="BCEEF986"/>
    <w:rsid w:val="BD7F8314"/>
    <w:rsid w:val="BFDDB7AF"/>
    <w:rsid w:val="CBBA4354"/>
    <w:rsid w:val="DF2E2A05"/>
    <w:rsid w:val="DFD7A921"/>
    <w:rsid w:val="DFFC5ABF"/>
    <w:rsid w:val="E7FDBB2C"/>
    <w:rsid w:val="E9FE168A"/>
    <w:rsid w:val="EE5EB8F6"/>
    <w:rsid w:val="EEEEBF9C"/>
    <w:rsid w:val="EF3F57C3"/>
    <w:rsid w:val="F58B677B"/>
    <w:rsid w:val="F6BF6855"/>
    <w:rsid w:val="F8EBCEFE"/>
    <w:rsid w:val="FBC9915E"/>
    <w:rsid w:val="FDB7A771"/>
    <w:rsid w:val="FDBF68F6"/>
    <w:rsid w:val="FDBFE9CC"/>
    <w:rsid w:val="FDEF36F3"/>
    <w:rsid w:val="FE7396BB"/>
    <w:rsid w:val="FEDD3A7F"/>
    <w:rsid w:val="FFAF0751"/>
    <w:rsid w:val="FFCF2905"/>
    <w:rsid w:val="FFFD24D8"/>
    <w:rsid w:val="FFFF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80" w:after="80" w:line="360"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5"/>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2"/>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5">
    <w:name w:val="可研正文"/>
    <w:basedOn w:val="1"/>
    <w:qFormat/>
    <w:uiPriority w:val="0"/>
    <w:pPr>
      <w:ind w:firstLine="200"/>
    </w:pPr>
    <w:rPr>
      <w:rFonts w:ascii="仿宋" w:hAnsi="仿宋"/>
      <w:szCs w:val="28"/>
    </w:rPr>
  </w:style>
  <w:style w:type="paragraph" w:styleId="12">
    <w:name w:val="annotation text"/>
    <w:basedOn w:val="1"/>
    <w:qFormat/>
    <w:uiPriority w:val="0"/>
    <w:pPr>
      <w:jc w:val="left"/>
    </w:pPr>
  </w:style>
  <w:style w:type="paragraph" w:styleId="13">
    <w:name w:val="Body Text"/>
    <w:basedOn w:val="1"/>
    <w:semiHidden/>
    <w:qFormat/>
    <w:uiPriority w:val="0"/>
    <w:rPr>
      <w:rFonts w:ascii="宋体" w:hAnsi="宋体" w:eastAsia="宋体" w:cs="宋体"/>
      <w:sz w:val="35"/>
      <w:szCs w:val="35"/>
      <w:lang w:eastAsia="en-US"/>
    </w:rPr>
  </w:style>
  <w:style w:type="paragraph" w:styleId="14">
    <w:name w:val="Body Text Indent"/>
    <w:basedOn w:val="1"/>
    <w:qFormat/>
    <w:uiPriority w:val="0"/>
    <w:pPr>
      <w:spacing w:after="120"/>
      <w:ind w:firstLine="420"/>
    </w:pPr>
    <w:rPr>
      <w:rFonts w:ascii="Times New Roman" w:hAnsi="Times New Roman"/>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28"/>
    <w:qFormat/>
    <w:uiPriority w:val="0"/>
    <w:pPr>
      <w:tabs>
        <w:tab w:val="center" w:pos="4153"/>
        <w:tab w:val="right" w:pos="8306"/>
      </w:tabs>
      <w:snapToGrid w:val="0"/>
      <w:jc w:val="center"/>
    </w:pPr>
    <w:rPr>
      <w:sz w:val="18"/>
      <w:szCs w:val="18"/>
    </w:rPr>
  </w:style>
  <w:style w:type="paragraph" w:styleId="17">
    <w:name w:val="Body Text First Indent"/>
    <w:basedOn w:val="1"/>
    <w:next w:val="1"/>
    <w:qFormat/>
    <w:uiPriority w:val="0"/>
    <w:pPr>
      <w:adjustRightInd w:val="0"/>
      <w:spacing w:line="360" w:lineRule="auto"/>
      <w:ind w:firstLine="420"/>
      <w:textAlignment w:val="baseline"/>
    </w:pPr>
    <w:rPr>
      <w:rFonts w:eastAsia="楷体_GB2312"/>
      <w:sz w:val="24"/>
    </w:rPr>
  </w:style>
  <w:style w:type="paragraph" w:styleId="20">
    <w:name w:val="List Paragraph"/>
    <w:basedOn w:val="1"/>
    <w:qFormat/>
    <w:uiPriority w:val="34"/>
    <w:pPr>
      <w:ind w:firstLine="420" w:firstLineChars="200"/>
    </w:pPr>
  </w:style>
  <w:style w:type="paragraph" w:customStyle="1" w:styleId="21">
    <w:name w:val="default"/>
    <w:basedOn w:val="1"/>
    <w:qFormat/>
    <w:uiPriority w:val="0"/>
    <w:pPr>
      <w:widowControl/>
      <w:jc w:val="left"/>
    </w:pPr>
    <w:rPr>
      <w:rFonts w:ascii="黑体" w:hAnsi="黑体" w:eastAsia="黑体" w:cs="宋体"/>
      <w:color w:val="000000"/>
      <w:kern w:val="0"/>
      <w:sz w:val="24"/>
    </w:rPr>
  </w:style>
  <w:style w:type="paragraph" w:customStyle="1" w:styleId="22">
    <w:name w:val="Table Text"/>
    <w:basedOn w:val="1"/>
    <w:semiHidden/>
    <w:qFormat/>
    <w:uiPriority w:val="0"/>
    <w:rPr>
      <w:rFonts w:ascii="宋体" w:hAnsi="宋体" w:eastAsia="宋体" w:cs="宋体"/>
      <w:sz w:val="24"/>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41"/>
    <w:basedOn w:val="19"/>
    <w:qFormat/>
    <w:uiPriority w:val="0"/>
    <w:rPr>
      <w:rFonts w:hint="eastAsia" w:ascii="宋体" w:hAnsi="宋体" w:eastAsia="宋体" w:cs="宋体"/>
      <w:color w:val="000000"/>
      <w:sz w:val="21"/>
      <w:szCs w:val="21"/>
      <w:u w:val="none"/>
    </w:rPr>
  </w:style>
  <w:style w:type="character" w:customStyle="1" w:styleId="25">
    <w:name w:val="font21"/>
    <w:basedOn w:val="19"/>
    <w:qFormat/>
    <w:uiPriority w:val="0"/>
    <w:rPr>
      <w:rFonts w:hint="eastAsia" w:ascii="宋体" w:hAnsi="宋体" w:eastAsia="宋体" w:cs="宋体"/>
      <w:color w:val="000000"/>
      <w:sz w:val="24"/>
      <w:szCs w:val="24"/>
      <w:u w:val="none"/>
    </w:rPr>
  </w:style>
  <w:style w:type="paragraph" w:customStyle="1" w:styleId="26">
    <w:name w:val="B-表正文"/>
    <w:qFormat/>
    <w:uiPriority w:val="0"/>
    <w:rPr>
      <w:rFonts w:ascii="Times New Roman" w:hAnsi="Times New Roman" w:eastAsia="仿宋" w:cstheme="minorBidi"/>
      <w:kern w:val="2"/>
      <w:sz w:val="21"/>
      <w:szCs w:val="24"/>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8">
    <w:name w:val="页眉 字符"/>
    <w:basedOn w:val="19"/>
    <w:link w:val="1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5511</Words>
  <Characters>6005</Characters>
  <DocSecurity>0</DocSecurity>
  <Lines>569</Lines>
  <Paragraphs>675</Paragraphs>
  <ScaleCrop>false</ScaleCrop>
  <LinksUpToDate>false</LinksUpToDate>
  <CharactersWithSpaces>6017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2025-06-25T14:12:00Z</cp:lastPrinted>
  <dcterms:created xsi:type="dcterms:W3CDTF">2025-07-18T02:20:00Z</dcterms:created>
  <dcterms:modified xsi:type="dcterms:W3CDTF">2025-07-29T07:06:13Z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079C30AB3E5D42278C14F6A809D1494F_13</vt:lpwstr>
  </property>
  <property fmtid="{D5CDD505-2E9C-101B-9397-08002B2CF9AE}" pid="4" name="KSOTemplateDocerSaveRecord">
    <vt:lpwstr>eyJoZGlkIjoiZDIxZDQ4YTY2NTE1MTVlMGVjMmVhMGFmYmQyNzFkOTUiLCJ1c2VySWQiOiI0MzQ4ODIyMTAifQ==</vt:lpwstr>
  </property>
</Properties>
</file>