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wordWrap/>
        <w:overflowPunct/>
        <w:topLinePunct w:val="0"/>
        <w:autoSpaceDE/>
        <w:autoSpaceDN/>
        <w:bidi w:val="0"/>
        <w:adjustRightInd/>
        <w:snapToGrid w:val="0"/>
        <w:spacing w:before="0" w:after="0" w:line="240" w:lineRule="auto"/>
        <w:ind w:left="0" w:leftChars="0" w:firstLine="0" w:firstLineChars="0"/>
        <w:jc w:val="center"/>
        <w:textAlignment w:val="auto"/>
        <w:outlineLvl w:val="9"/>
        <w:rPr>
          <w:rFonts w:hint="eastAsia" w:ascii="华文中宋" w:hAnsi="华文中宋" w:eastAsia="华文中宋" w:cs="华文中宋"/>
          <w:sz w:val="36"/>
          <w:szCs w:val="36"/>
          <w:highlight w:val="none"/>
        </w:rPr>
      </w:pPr>
      <w:r>
        <w:rPr>
          <w:rFonts w:hint="eastAsia" w:ascii="华文中宋" w:hAnsi="华文中宋" w:eastAsia="华文中宋" w:cs="华文中宋"/>
          <w:sz w:val="36"/>
          <w:szCs w:val="36"/>
          <w:highlight w:val="none"/>
        </w:rPr>
        <w:t>世博村路300号8号楼二层办公用房及相关区域专项维（装）修竞争性磋商项目</w:t>
      </w:r>
    </w:p>
    <w:p>
      <w:pPr>
        <w:keepNext/>
        <w:keepLines/>
        <w:pageBreakBefore w:val="0"/>
        <w:widowControl w:val="0"/>
        <w:kinsoku/>
        <w:wordWrap/>
        <w:overflowPunct/>
        <w:topLinePunct w:val="0"/>
        <w:autoSpaceDE/>
        <w:autoSpaceDN/>
        <w:bidi w:val="0"/>
        <w:adjustRightInd/>
        <w:snapToGrid w:val="0"/>
        <w:spacing w:before="0" w:after="0" w:line="240" w:lineRule="auto"/>
        <w:ind w:left="0" w:leftChars="0" w:firstLine="0" w:firstLineChars="0"/>
        <w:jc w:val="center"/>
        <w:textAlignment w:val="auto"/>
        <w:outlineLvl w:val="9"/>
        <w:rPr>
          <w:rFonts w:hint="eastAsia" w:ascii="华文中宋" w:hAnsi="华文中宋" w:eastAsia="华文中宋" w:cs="华文中宋"/>
          <w:sz w:val="36"/>
          <w:szCs w:val="36"/>
          <w:highlight w:val="none"/>
        </w:rPr>
      </w:pPr>
      <w:r>
        <w:rPr>
          <w:rFonts w:hint="eastAsia" w:ascii="华文中宋" w:hAnsi="华文中宋" w:eastAsia="华文中宋" w:cs="华文中宋"/>
          <w:sz w:val="36"/>
          <w:szCs w:val="36"/>
          <w:highlight w:val="none"/>
        </w:rPr>
        <w:t>需求文件</w:t>
      </w: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ascii="宋体" w:hAnsi="宋体" w:eastAsia="宋体" w:cs="宋体"/>
          <w:b/>
          <w:bCs/>
          <w:sz w:val="24"/>
          <w:highlight w:val="none"/>
        </w:rPr>
      </w:pPr>
      <w:bookmarkStart w:id="0" w:name="_Toc151025854"/>
      <w:r>
        <w:rPr>
          <w:rFonts w:hint="eastAsia" w:ascii="宋体" w:hAnsi="宋体" w:eastAsia="宋体" w:cs="宋体"/>
          <w:b/>
          <w:bCs/>
          <w:sz w:val="24"/>
          <w:highlight w:val="none"/>
        </w:rPr>
        <w:t>建设</w:t>
      </w:r>
      <w:bookmarkEnd w:id="0"/>
      <w:r>
        <w:rPr>
          <w:rFonts w:hint="eastAsia" w:ascii="宋体" w:hAnsi="宋体" w:eastAsia="宋体" w:cs="宋体"/>
          <w:b/>
          <w:bCs/>
          <w:sz w:val="24"/>
          <w:highlight w:val="none"/>
        </w:rPr>
        <w:t>背景</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浦东新区世博村路</w:t>
      </w:r>
      <w:r>
        <w:rPr>
          <w:rFonts w:hint="eastAsia" w:ascii="宋体" w:hAnsi="宋体" w:eastAsia="宋体" w:cs="宋体"/>
          <w:sz w:val="24"/>
          <w:szCs w:val="24"/>
          <w:highlight w:val="none"/>
          <w:lang w:val="en-US" w:eastAsia="zh-CN"/>
        </w:rPr>
        <w:t>300号8号楼的建筑用途为办公用房，因相关工作需要，二层现划归市商务委使用。因前次装修竣工至今时间较长，建筑内部存在：平面布局不合理，无法满足处室办公用房使用需求；会议室数量不足、缺少临时办公用房，无法满足当前工作要求；部分功能室设置不合理，资源利用效率较低；原有装修已出现老化损坏等现象，如墙面涂层脱落、顶面吊顶开裂，地面地胶磨损，五金件生锈等，存在安全隐患；电气系统线路老化、用电点位布局不合理；照明系统老化、光照度不足，影响正常办公；排水系统下水反味、污水排放不畅，需要通过全面装修改造加以解决。</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建设目标</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以“功能优化、安全提升、绿色节能”为核心理念，对世博村路</w:t>
      </w:r>
      <w:r>
        <w:rPr>
          <w:rFonts w:hint="eastAsia" w:ascii="宋体" w:hAnsi="宋体" w:eastAsia="宋体" w:cs="宋体"/>
          <w:sz w:val="24"/>
          <w:szCs w:val="24"/>
          <w:highlight w:val="none"/>
          <w:lang w:val="en-US" w:eastAsia="zh-CN"/>
        </w:rPr>
        <w:t>300号8号楼相关</w:t>
      </w:r>
      <w:r>
        <w:rPr>
          <w:rFonts w:hint="eastAsia" w:ascii="宋体" w:hAnsi="宋体" w:eastAsia="宋体" w:cs="宋体"/>
          <w:sz w:val="24"/>
          <w:szCs w:val="24"/>
          <w:highlight w:val="none"/>
          <w:lang w:eastAsia="zh-CN"/>
        </w:rPr>
        <w:t>区域进行全面装修改造。</w:t>
      </w:r>
      <w:r>
        <w:rPr>
          <w:rFonts w:hint="eastAsia" w:ascii="宋体" w:hAnsi="宋体" w:eastAsia="宋体" w:cs="宋体"/>
          <w:sz w:val="24"/>
          <w:szCs w:val="24"/>
          <w:highlight w:val="none"/>
          <w:lang w:val="en-US" w:eastAsia="zh-CN"/>
        </w:rPr>
        <w:t>根据党政机关办公用房建设标准和施工图纸完成</w:t>
      </w:r>
      <w:r>
        <w:rPr>
          <w:rFonts w:hint="eastAsia" w:ascii="宋体" w:hAnsi="宋体" w:eastAsia="宋体" w:cs="宋体"/>
          <w:sz w:val="24"/>
          <w:szCs w:val="24"/>
          <w:highlight w:val="none"/>
          <w:lang w:eastAsia="zh-CN"/>
        </w:rPr>
        <w:t>室内空间重新规划，包括调整隔墙位置、优化房间布局，以满足不同办公及会议需求；对屋面、墙面、地面进行翻新处理；升级电气系统、改造给排水系统等，提升空间整体品质。同时，注重绿色节能设计，采用节能灯具、节水器具等措施，降低能源消耗。</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default" w:ascii="宋体" w:hAnsi="宋体" w:eastAsia="宋体" w:cs="宋体"/>
          <w:sz w:val="24"/>
          <w:szCs w:val="24"/>
          <w:highlight w:val="none"/>
          <w:lang w:val="en-US" w:eastAsia="zh-CN"/>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建设内容</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具体内容如下：室内装修采用环保材料，墙面选用环保无机涂料，地面根据不同区域选择放缓地砖或卷材，营造舒适、安全的办公环境。优化照明系统，采用LED灯具，提高光照度的同时实现节能目标。优化功能布局，合理规划会议室、办公区、打印室等空间，提升空间利用率。对电气系统进行全面升级，重新铺设线路，增加配电箱及插座数量，满足办公设备的用电需求，保障用电安全。给排水系统采用新型管道材料，优化管道布局，解决反味排水不畅等问题。此次专项维（装）修建筑面积不超过1200平方米。</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供应商需严格按照施工图施工，如遇到现场实际情况与施工图有不一致的情况需及时与业主、设计单位及其他相关单位沟通。</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default" w:ascii="宋体" w:hAnsi="宋体" w:eastAsia="宋体" w:cs="宋体"/>
          <w:sz w:val="24"/>
          <w:szCs w:val="24"/>
          <w:highlight w:val="none"/>
          <w:lang w:val="en-US" w:eastAsia="zh-CN"/>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建设周期</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90天（计划开工日期：合同签订日后，实际开工日期以采购人的开工通知为准。计划竣工日期：2025年11月30日，实际竣工日期以工程竣工验收相关证书或验收报告中写明的日期为准）。</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进度计划</w:t>
      </w:r>
    </w:p>
    <w:p>
      <w:pPr>
        <w:keepNext w:val="0"/>
        <w:keepLines w:val="0"/>
        <w:pageBreakBefore w:val="0"/>
        <w:widowControl w:val="0"/>
        <w:numPr>
          <w:ilvl w:val="0"/>
          <w:numId w:val="2"/>
        </w:numPr>
        <w:tabs>
          <w:tab w:val="clear" w:pos="420"/>
        </w:tabs>
        <w:kinsoku/>
        <w:wordWrap/>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合同签订后在7天内完成场地拆旧；</w:t>
      </w:r>
    </w:p>
    <w:p>
      <w:pPr>
        <w:keepNext w:val="0"/>
        <w:keepLines w:val="0"/>
        <w:pageBreakBefore w:val="0"/>
        <w:widowControl w:val="0"/>
        <w:numPr>
          <w:ilvl w:val="0"/>
          <w:numId w:val="2"/>
        </w:numPr>
        <w:tabs>
          <w:tab w:val="clear" w:pos="420"/>
        </w:tabs>
        <w:kinsoku/>
        <w:wordWrap/>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拆旧后10天内完成修补内容；</w:t>
      </w:r>
    </w:p>
    <w:p>
      <w:pPr>
        <w:keepNext w:val="0"/>
        <w:keepLines w:val="0"/>
        <w:pageBreakBefore w:val="0"/>
        <w:widowControl w:val="0"/>
        <w:numPr>
          <w:ilvl w:val="0"/>
          <w:numId w:val="2"/>
        </w:numPr>
        <w:tabs>
          <w:tab w:val="clear" w:pos="420"/>
        </w:tabs>
        <w:kinsoku/>
        <w:wordWrap/>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完成修补后20天内完成隐蔽工程内容；</w:t>
      </w:r>
    </w:p>
    <w:p>
      <w:pPr>
        <w:keepNext w:val="0"/>
        <w:keepLines w:val="0"/>
        <w:pageBreakBefore w:val="0"/>
        <w:widowControl w:val="0"/>
        <w:numPr>
          <w:ilvl w:val="0"/>
          <w:numId w:val="2"/>
        </w:numPr>
        <w:tabs>
          <w:tab w:val="clear" w:pos="420"/>
        </w:tabs>
        <w:kinsoku/>
        <w:wordWrap/>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完成隐蔽工程内容后43天内完成剩余维（装）修内容；</w:t>
      </w:r>
    </w:p>
    <w:p>
      <w:pPr>
        <w:keepNext w:val="0"/>
        <w:keepLines w:val="0"/>
        <w:pageBreakBefore w:val="0"/>
        <w:widowControl w:val="0"/>
        <w:numPr>
          <w:ilvl w:val="0"/>
          <w:numId w:val="2"/>
        </w:numPr>
        <w:tabs>
          <w:tab w:val="clear" w:pos="420"/>
        </w:tabs>
        <w:kinsoku/>
        <w:wordWrap/>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完成维（装）修任务后10天内报业主单位进行验收工作，并对不完善处进行调整。</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bookmarkStart w:id="1" w:name="_Toc151025855"/>
      <w:r>
        <w:rPr>
          <w:rFonts w:hint="eastAsia" w:ascii="宋体" w:hAnsi="宋体" w:eastAsia="宋体" w:cs="宋体"/>
          <w:b/>
          <w:bCs/>
          <w:sz w:val="24"/>
          <w:highlight w:val="none"/>
        </w:rPr>
        <w:t>技术标准、规范依据</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施工要求</w:t>
      </w:r>
      <w:bookmarkEnd w:id="1"/>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eastAsiaTheme="minorEastAsia"/>
          <w:b/>
          <w:bCs/>
          <w:highlight w:val="none"/>
          <w:lang w:eastAsia="zh-CN"/>
        </w:rPr>
      </w:pPr>
      <w:r>
        <w:rPr>
          <w:rFonts w:hint="eastAsia"/>
          <w:b/>
          <w:bCs/>
          <w:highlight w:val="none"/>
        </w:rPr>
        <w:t>技术标准、规范依据</w:t>
      </w:r>
      <w:r>
        <w:rPr>
          <w:rFonts w:hint="eastAsia"/>
          <w:b/>
          <w:bCs/>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《中华人民共和国建筑法》</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《中华人民共和国反恐怖主义法》</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《企业事业单位内部治安保卫条例》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《上海市安全生产条例》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《上海市消防条例》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《上海市建设工程文明施工管理规定》</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《建筑安全生产监督管理规定》</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《建设工程安全生产管理条例》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《建设工程质量管理条例》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《党政机关办公用房建设标准》</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《消防监督管理规定》</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《施工现场防火规定》</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《社会治安防范责任条例》</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《建筑施工企业安全生产管理机构设置及专职安全生产管理人员配备办法》</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《市级机关集中办公点工程建设项目施工安全管理办法》</w:t>
      </w:r>
    </w:p>
    <w:p>
      <w:pPr>
        <w:keepNext w:val="0"/>
        <w:keepLines w:val="0"/>
        <w:pageBreakBefore w:val="0"/>
        <w:widowControl w:val="0"/>
        <w:kinsoku/>
        <w:wordWrap/>
        <w:overflowPunct/>
        <w:topLinePunct w:val="0"/>
        <w:autoSpaceDE/>
        <w:autoSpaceDN/>
        <w:bidi w:val="0"/>
        <w:adjustRightInd/>
        <w:snapToGrid w:val="0"/>
        <w:spacing w:line="240" w:lineRule="auto"/>
        <w:ind w:left="0" w:firstLine="480" w:firstLineChars="200"/>
        <w:jc w:val="both"/>
        <w:textAlignment w:val="auto"/>
        <w:outlineLvl w:val="9"/>
        <w:rPr>
          <w:rFonts w:hint="eastAsia" w:ascii="宋体" w:hAnsi="宋体"/>
          <w:b/>
          <w:bCs/>
          <w:sz w:val="24"/>
          <w:szCs w:val="24"/>
          <w:highlight w:val="none"/>
        </w:rPr>
      </w:pPr>
      <w:r>
        <w:rPr>
          <w:rFonts w:hint="eastAsia" w:ascii="宋体" w:hAnsi="宋体" w:eastAsia="宋体" w:cs="宋体"/>
          <w:sz w:val="24"/>
          <w:szCs w:val="24"/>
          <w:highlight w:val="none"/>
          <w:lang w:val="en-US" w:eastAsia="zh-CN"/>
        </w:rPr>
        <w:t>其他国家和行业规定</w:t>
      </w:r>
    </w:p>
    <w:p>
      <w:pPr>
        <w:pStyle w:val="10"/>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b/>
          <w:bCs/>
          <w:sz w:val="24"/>
          <w:szCs w:val="24"/>
          <w:highlight w:val="none"/>
        </w:rPr>
      </w:pPr>
      <w:r>
        <w:rPr>
          <w:rFonts w:hint="eastAsia" w:ascii="宋体" w:hAnsi="宋体"/>
          <w:b w:val="0"/>
          <w:bCs w:val="0"/>
          <w:sz w:val="24"/>
          <w:szCs w:val="24"/>
          <w:highlight w:val="none"/>
        </w:rPr>
        <w:t>如上述标准版本更新的，以最新版本的规定为准。</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b/>
          <w:bCs/>
          <w:highlight w:val="none"/>
        </w:rPr>
      </w:pPr>
      <w:r>
        <w:rPr>
          <w:rFonts w:hint="eastAsia"/>
          <w:b/>
          <w:bCs/>
          <w:highlight w:val="none"/>
          <w:lang w:val="en-US" w:eastAsia="zh-CN"/>
        </w:rPr>
        <w:t>施工</w:t>
      </w:r>
      <w:r>
        <w:rPr>
          <w:rFonts w:hint="eastAsia"/>
          <w:b/>
          <w:bCs/>
          <w:highlight w:val="none"/>
        </w:rPr>
        <w:t>要求</w:t>
      </w:r>
    </w:p>
    <w:p>
      <w:pPr>
        <w:keepNext w:val="0"/>
        <w:keepLines w:val="0"/>
        <w:pageBreakBefore w:val="0"/>
        <w:numPr>
          <w:ilvl w:val="0"/>
          <w:numId w:val="3"/>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临时设施和办公场所、材料及机械设施</w:t>
      </w:r>
    </w:p>
    <w:p>
      <w:pPr>
        <w:keepNext w:val="0"/>
        <w:keepLines w:val="0"/>
        <w:pageBreakBefore w:val="0"/>
        <w:numPr>
          <w:ilvl w:val="0"/>
          <w:numId w:val="4"/>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临时设施和办公场所配备要求</w:t>
      </w:r>
    </w:p>
    <w:p>
      <w:pPr>
        <w:keepNext w:val="0"/>
        <w:keepLines w:val="0"/>
        <w:pageBreakBefore w:val="0"/>
        <w:numPr>
          <w:ilvl w:val="0"/>
          <w:numId w:val="5"/>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采购人不提供临时设施的场地，供应商自行考虑临时设施的场地，费用包括在措施费中，闭口包干。</w:t>
      </w:r>
    </w:p>
    <w:p>
      <w:pPr>
        <w:keepNext w:val="0"/>
        <w:keepLines w:val="0"/>
        <w:pageBreakBefore w:val="0"/>
        <w:numPr>
          <w:ilvl w:val="0"/>
          <w:numId w:val="5"/>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供应商应具备固定且独用的办公管理用房，租赁的办公场所须附相关证明材料。</w:t>
      </w:r>
    </w:p>
    <w:p>
      <w:pPr>
        <w:keepNext w:val="0"/>
        <w:keepLines w:val="0"/>
        <w:pageBreakBefore w:val="0"/>
        <w:numPr>
          <w:ilvl w:val="0"/>
          <w:numId w:val="5"/>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人员办公、住宿用房及就医、用餐、交通、工程保险等问题均由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自行解决</w:t>
      </w:r>
      <w:r>
        <w:rPr>
          <w:rFonts w:hint="eastAsia" w:ascii="宋体" w:hAnsi="宋体" w:eastAsia="宋体" w:cs="宋体"/>
          <w:sz w:val="24"/>
          <w:szCs w:val="24"/>
          <w:highlight w:val="none"/>
          <w:lang w:eastAsia="zh-CN"/>
        </w:rPr>
        <w:t>。</w:t>
      </w:r>
    </w:p>
    <w:p>
      <w:pPr>
        <w:keepNext w:val="0"/>
        <w:keepLines w:val="0"/>
        <w:pageBreakBefore w:val="0"/>
        <w:numPr>
          <w:ilvl w:val="0"/>
          <w:numId w:val="5"/>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供应商需根据施工现场踏勘情况，报出对施工场地进行清理的费用并纳入投标总价中，并包干使用</w:t>
      </w:r>
      <w:r>
        <w:rPr>
          <w:rFonts w:hint="eastAsia" w:ascii="宋体" w:hAnsi="宋体" w:eastAsia="宋体" w:cs="宋体"/>
          <w:sz w:val="24"/>
          <w:szCs w:val="24"/>
          <w:highlight w:val="none"/>
          <w:lang w:eastAsia="zh-CN"/>
        </w:rPr>
        <w:t>。</w:t>
      </w:r>
    </w:p>
    <w:p>
      <w:pPr>
        <w:keepNext w:val="0"/>
        <w:keepLines w:val="0"/>
        <w:pageBreakBefore w:val="0"/>
        <w:numPr>
          <w:ilvl w:val="0"/>
          <w:numId w:val="5"/>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进场后，应加强施工管理，做好安全生产、文明施工，施工材料、机械器具不得占用基地外道路，凡因施工原因引起的市政市容等部门处罚，均由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自行负责。同时施工时不得影响大楼内其他相关部门的正常工作。</w:t>
      </w:r>
    </w:p>
    <w:p>
      <w:pPr>
        <w:keepNext w:val="0"/>
        <w:keepLines w:val="0"/>
        <w:pageBreakBefore w:val="0"/>
        <w:numPr>
          <w:ilvl w:val="0"/>
          <w:numId w:val="4"/>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材料及机械设施要求</w:t>
      </w:r>
    </w:p>
    <w:p>
      <w:pPr>
        <w:keepNext w:val="0"/>
        <w:keepLines w:val="0"/>
        <w:pageBreakBefore w:val="0"/>
        <w:numPr>
          <w:ilvl w:val="0"/>
          <w:numId w:val="6"/>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本项目所有材料由供应商自行解决，但本项目所用材料、制品、设备均需符合相关的施工技术规程、规范要求。</w:t>
      </w:r>
    </w:p>
    <w:p>
      <w:pPr>
        <w:keepNext w:val="0"/>
        <w:keepLines w:val="0"/>
        <w:pageBreakBefore w:val="0"/>
        <w:numPr>
          <w:ilvl w:val="0"/>
          <w:numId w:val="6"/>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本项目所用的材料、制品、设备等，供货单位送达施工现场后，由供应商负责办理验收交割手续，并负责日常保管工作。</w:t>
      </w:r>
    </w:p>
    <w:p>
      <w:pPr>
        <w:keepNext w:val="0"/>
        <w:keepLines w:val="0"/>
        <w:pageBreakBefore w:val="0"/>
        <w:numPr>
          <w:ilvl w:val="0"/>
          <w:numId w:val="6"/>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供应商在磋商时应同时提供涉及本项目施工的主要设备与材料的规格、型号、品种及价格情况等一览表。</w:t>
      </w:r>
    </w:p>
    <w:p>
      <w:pPr>
        <w:keepNext w:val="0"/>
        <w:keepLines w:val="0"/>
        <w:pageBreakBefore w:val="0"/>
        <w:numPr>
          <w:ilvl w:val="0"/>
          <w:numId w:val="3"/>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安全生产、文明施工与环境保护要求</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为在施工期间确保作业区域周围环境的整洁和交通正常进行。供应商必须按照上海市人民政府和上海市城乡建设和交通委员会有关规定结合本项目的特点，在响应文件中明确安全生产具体措施。供应商在施工过程中必须严格执行国家与地方政府的环境保护政策、法规和法律，严格遵守上海市有关建设工程文明施工管理的规定，积极主动落实安全文明及环境保护施工的管理和考核等有关工作，严格履行采购人关于现场临时设施及施工区域企业标识要求，承担文明施工措施的费用。</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供应商应遵循交通部及建设部和上海市人民政府有关安全生产和安全文明施工的要求，加强和做好安全文明养护、维修施工管理工作，并按规定承担相应的费用。</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根据有关规范标准，严密组织，精心施工，做到：一、满足自身和周边交通组织的需要；二、无管线事故、无重大伤亡事故，施工现场道路平整无积水；三、环境影响要最小化；四、现场材料堆放整齐，生活设施清洁，周边环境文明；五、清洁运输；六、减少对建设单位、市民的工作、生活和出行的影响。同时满足市政文明工地要求，服从采购人的统一协调，做到文明施工、安全管理。</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消防与治安</w:t>
      </w:r>
    </w:p>
    <w:p>
      <w:pPr>
        <w:keepNext w:val="0"/>
        <w:keepLines w:val="0"/>
        <w:pageBreakBefore w:val="0"/>
        <w:numPr>
          <w:ilvl w:val="0"/>
          <w:numId w:val="8"/>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供应商必须严格遵守上海市《消防监督管理规定》和《施工现场防火规定》，对项目施工现场范围内的消防安全工作负全责，接受公安消防部门的监督管理。</w:t>
      </w:r>
    </w:p>
    <w:p>
      <w:pPr>
        <w:keepNext w:val="0"/>
        <w:keepLines w:val="0"/>
        <w:pageBreakBefore w:val="0"/>
        <w:numPr>
          <w:ilvl w:val="0"/>
          <w:numId w:val="8"/>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施工现场严禁使用电炉、电杯。供应商应定期检查，测量点的负荷量，不得超过电表额定负荷</w:t>
      </w:r>
    </w:p>
    <w:p>
      <w:pPr>
        <w:keepNext w:val="0"/>
        <w:keepLines w:val="0"/>
        <w:pageBreakBefore w:val="0"/>
        <w:numPr>
          <w:ilvl w:val="0"/>
          <w:numId w:val="8"/>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供应商应根据上海市《社会治安防范责任条例》谁主管谁负责的原则，积极开展社会治安综合治理，明确治安负责人，并接受公安部门的监督管理</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供应商在项目实施期间，必须配备必要的安全设施和消防器材，经单位安全部门批准后，送采购人备案。</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供应商在项目实施期间，必须建立安全用电制度，确保施工用电设备的完好，并设置好漏电保护装置等，杜绝施工用电事故的发生。</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供应商在项目实施期间必须保护好施工区域内的绿化，保证绿化完好。</w:t>
      </w:r>
    </w:p>
    <w:p>
      <w:pPr>
        <w:keepNext w:val="0"/>
        <w:keepLines w:val="0"/>
        <w:pageBreakBefore w:val="0"/>
        <w:numPr>
          <w:ilvl w:val="0"/>
          <w:numId w:val="7"/>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供应商应对安全措施不到位或作业不规范而发生的安全责任事故承担全部责任（包括相应赔偿责任）。</w:t>
      </w:r>
    </w:p>
    <w:p>
      <w:pPr>
        <w:keepNext w:val="0"/>
        <w:keepLines w:val="0"/>
        <w:pageBreakBefore w:val="0"/>
        <w:numPr>
          <w:ilvl w:val="0"/>
          <w:numId w:val="3"/>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应急处置要求</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按照其性质、严重程度、可控性等因素，灾害性天气、突发事件的等级划分为Ⅰ级（特别重大）、Ⅱ级（重大）、Ⅲ级（较大）、Ⅳ级（一般）四级。</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供应商须针对各级各类可能发生的灾害天气和突发事件，建立应急处置预案，应急预案应包括组织领导体系、预警和预防机制、应急响应工程措施、保障措施（包括应急人员、物资、机械设备）等内容。</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建立应急指挥领导小组，负责应急救援总体指挥，并落实各部门职责和相关措施。</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组建一支具有综合救援能力的应急救援队伍，一旦紧急情况发生，能在最短时间内到达现场进行应急处置。</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定期检查应急救援物资与机具，确保物资储备数量充足、机具设备完好可用。</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与气象部门建立热线联络制度，及时掌握灾害性天气的预警信息，特别在灾害性天气易发季节，需密切关注气象变化情况，针对其可能带来公路通行障碍做好相关防御措施。</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与交警、消防、医疗等部门建立联动机制，一旦发生紧急情况，能与交警及其它相关部门协调配合，维持道路的正常运行和良好秩序，并将实施情况及时上报采购人。</w:t>
      </w:r>
    </w:p>
    <w:p>
      <w:pPr>
        <w:keepNext w:val="0"/>
        <w:keepLines w:val="0"/>
        <w:pageBreakBefore w:val="0"/>
        <w:numPr>
          <w:ilvl w:val="0"/>
          <w:numId w:val="9"/>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立应急值守制度，安排专职人员，监测、收集各类信息；一旦发现突发性的紧急事件，在启动应急响应的同时，必须及时将情况上报采购人，上报的应急信息必须实事求是，不得瞒报、谎报和拖延不报，上报形式可用电话口头初报，随后再书面报告。</w:t>
      </w:r>
    </w:p>
    <w:p>
      <w:pPr>
        <w:keepNext w:val="0"/>
        <w:keepLines w:val="0"/>
        <w:pageBreakBefore w:val="0"/>
        <w:numPr>
          <w:ilvl w:val="0"/>
          <w:numId w:val="3"/>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其他施工要求</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由于其他楼层均为正常办公，工作日工作时段需控制噪音、粉尘；临时特殊要求以物业通知为准。</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因本项目仅为大楼二层，新安装或改造后的空调设备、消防设施须接入并符合大楼现用系统的标准要求，相关系统如需做相应调试或改造，费用由供应商承担。</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工期违约处罚：每逾期一天处以人民币1000元/天罚款。</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质量标准：一次性验收合格。</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质量违约处罚：合同价的3%赔付违约金</w:t>
      </w:r>
      <w:r>
        <w:rPr>
          <w:rFonts w:hint="eastAsia" w:ascii="宋体" w:hAnsi="宋体" w:eastAsia="宋体" w:cs="宋体"/>
          <w:sz w:val="24"/>
          <w:szCs w:val="24"/>
          <w:highlight w:val="none"/>
          <w:lang w:eastAsia="zh-CN"/>
        </w:rPr>
        <w:t>。</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免费</w:t>
      </w:r>
      <w:r>
        <w:rPr>
          <w:rFonts w:hint="eastAsia" w:ascii="宋体" w:hAnsi="宋体" w:eastAsia="宋体" w:cs="宋体"/>
          <w:sz w:val="24"/>
          <w:szCs w:val="24"/>
          <w:highlight w:val="none"/>
        </w:rPr>
        <w:t>保修期为</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年。有国家和行业</w:t>
      </w:r>
      <w:bookmarkStart w:id="2" w:name="_GoBack"/>
      <w:bookmarkEnd w:id="2"/>
      <w:r>
        <w:rPr>
          <w:rFonts w:hint="eastAsia" w:ascii="宋体" w:hAnsi="宋体" w:eastAsia="宋体" w:cs="宋体"/>
          <w:sz w:val="24"/>
          <w:szCs w:val="24"/>
          <w:highlight w:val="none"/>
        </w:rPr>
        <w:t>规定的按国家和行业规定执行。</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供应商应严格按国家、上海市有关规定进行施工管理，并无条件地接受采购人、项目监理单位、审计单位等对项目质量、进度、造价、安全、现场文明施工等方面的考核与监督管理。</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装修选材需要严格按照规定</w:t>
      </w:r>
      <w:r>
        <w:rPr>
          <w:rFonts w:hint="eastAsia" w:ascii="宋体" w:hAnsi="宋体" w:eastAsia="宋体" w:cs="宋体"/>
          <w:sz w:val="24"/>
          <w:szCs w:val="24"/>
          <w:highlight w:val="none"/>
          <w:lang w:eastAsia="zh-CN"/>
        </w:rPr>
        <w:t>。</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门锁统一使用密码锁</w:t>
      </w:r>
      <w:r>
        <w:rPr>
          <w:rFonts w:hint="eastAsia" w:ascii="宋体" w:hAnsi="宋体" w:eastAsia="宋体" w:cs="宋体"/>
          <w:sz w:val="24"/>
          <w:szCs w:val="24"/>
          <w:highlight w:val="none"/>
          <w:lang w:eastAsia="zh-CN"/>
        </w:rPr>
        <w:t>。</w:t>
      </w:r>
    </w:p>
    <w:p>
      <w:pPr>
        <w:keepNext w:val="0"/>
        <w:keepLines w:val="0"/>
        <w:pageBreakBefore w:val="0"/>
        <w:numPr>
          <w:ilvl w:val="0"/>
          <w:numId w:val="10"/>
        </w:numPr>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网络要求：严格</w:t>
      </w:r>
      <w:r>
        <w:rPr>
          <w:rFonts w:hint="eastAsia" w:ascii="宋体" w:hAnsi="宋体" w:eastAsia="宋体" w:cs="宋体"/>
          <w:sz w:val="24"/>
          <w:szCs w:val="24"/>
          <w:highlight w:val="none"/>
          <w:lang w:val="en-US" w:eastAsia="zh-CN"/>
        </w:rPr>
        <w:t>按图施工。</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报价要求</w:t>
      </w:r>
    </w:p>
    <w:p>
      <w:pPr>
        <w:keepNext w:val="0"/>
        <w:keepLines w:val="0"/>
        <w:pageBreakBefore w:val="0"/>
        <w:numPr>
          <w:ilvl w:val="0"/>
          <w:numId w:val="11"/>
        </w:numPr>
        <w:kinsoku/>
        <w:overflowPunct/>
        <w:topLinePunct w:val="0"/>
        <w:autoSpaceDE/>
        <w:autoSpaceDN/>
        <w:bidi w:val="0"/>
        <w:adjustRightInd/>
        <w:snapToGrid w:val="0"/>
        <w:spacing w:line="240" w:lineRule="auto"/>
        <w:ind w:left="425" w:leftChars="0" w:hanging="42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报价计算依据</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采购人提供的工程量清单、竞争性磋商文件及其补充文件、答疑会纪要、施工现场条件及其它有关资料等。各供应商应自行认真踏勘现场，并据此报价。采购人将不会因为竞争性磋商文件提供的工程量清单与目前实际数据存在小的出入而调整供应商所报的日常施工费用。</w:t>
      </w:r>
      <w:r>
        <w:rPr>
          <w:rFonts w:hint="eastAsia" w:ascii="宋体" w:hAnsi="宋体" w:eastAsia="宋体" w:cs="宋体"/>
          <w:sz w:val="24"/>
          <w:szCs w:val="24"/>
          <w:highlight w:val="none"/>
          <w:lang w:val="en-US" w:eastAsia="zh-CN"/>
        </w:rPr>
        <w:t>供应商需考虑所有风险因素，采购人不会增加额外费用。</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2）国家、上海建设主管部门颁发的现行相应工程的施工、技术、质量的规程、规范、标准以及安全文明施工等规定。</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3）社会保险费按“沪建标定联[2023]120号文”计取。</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4）增值税税金按“沪建市管[2019]19号文”计取。</w:t>
      </w:r>
    </w:p>
    <w:p>
      <w:pPr>
        <w:keepNext w:val="0"/>
        <w:keepLines w:val="0"/>
        <w:pageBreakBefore w:val="0"/>
        <w:numPr>
          <w:ilvl w:val="0"/>
          <w:numId w:val="11"/>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应按照采购人提供的竞争性磋商文件、工程量清单、材料要求和设备设施配备要求，编制出符合竞争性磋商文件规定的响应文件。对上述某些项目不填入单价和总价，则认为此项费用已包括在工程量清单中有关规定项目内，实施时，采购人对该项目不予额外支付。</w:t>
      </w:r>
    </w:p>
    <w:p>
      <w:pPr>
        <w:keepNext w:val="0"/>
        <w:keepLines w:val="0"/>
        <w:pageBreakBefore w:val="0"/>
        <w:numPr>
          <w:ilvl w:val="0"/>
          <w:numId w:val="11"/>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供应商根据项目情况，可自报需要计取的有关费用及理由说明。成交后不得以不完全了解项目情况为借口，向采购人提出额外取费或延长工期期限等补偿要求，对此采购人不作任何考虑。</w:t>
      </w:r>
    </w:p>
    <w:p>
      <w:pPr>
        <w:keepNext w:val="0"/>
        <w:keepLines w:val="0"/>
        <w:pageBreakBefore w:val="0"/>
        <w:numPr>
          <w:ilvl w:val="0"/>
          <w:numId w:val="11"/>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供应商在进场后应自己落实项目实施所需的供水、供电、供气管线及计量表具安装，项目实施及运行管理承包工作中发生的水、电、煤等费用，应按每月的抄表数，自行向有关单位支付。</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报价其他要求：</w:t>
      </w:r>
    </w:p>
    <w:p>
      <w:pPr>
        <w:keepNext w:val="0"/>
        <w:keepLines w:val="0"/>
        <w:pageBreakBefore w:val="0"/>
        <w:numPr>
          <w:ilvl w:val="0"/>
          <w:numId w:val="12"/>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工程量清单应与供应商须知，合同条件、项目实施的质量标准和要求等文件结合起来理解或解释。</w:t>
      </w:r>
    </w:p>
    <w:p>
      <w:pPr>
        <w:keepNext w:val="0"/>
        <w:keepLines w:val="0"/>
        <w:pageBreakBefore w:val="0"/>
        <w:numPr>
          <w:ilvl w:val="0"/>
          <w:numId w:val="12"/>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本次磋商工程量清单中所列工程量是只作为磋商的共同基础，不能作为最终结算与支付的依据。结算与支付应以投资监理最终核定的、按项目的质量标准和要求完成的实际工程量。</w:t>
      </w:r>
    </w:p>
    <w:p>
      <w:pPr>
        <w:keepNext w:val="0"/>
        <w:keepLines w:val="0"/>
        <w:pageBreakBefore w:val="0"/>
        <w:numPr>
          <w:ilvl w:val="0"/>
          <w:numId w:val="12"/>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除非合同另有规定，工程量清单所报的单价和总价均已包括了实施和完成合同所需的劳务、材料、机械、质检(自检)、缺陷修复、管理、利润等费用，以及合同明示或暗示的所有责任、义务和一般风险。</w:t>
      </w:r>
    </w:p>
    <w:p>
      <w:pPr>
        <w:keepNext w:val="0"/>
        <w:keepLines w:val="0"/>
        <w:pageBreakBefore w:val="0"/>
        <w:widowControl w:val="0"/>
        <w:numPr>
          <w:ilvl w:val="0"/>
          <w:numId w:val="0"/>
        </w:numPr>
        <w:kinsoku/>
        <w:overflowPunct/>
        <w:topLinePunct w:val="0"/>
        <w:autoSpaceDE/>
        <w:autoSpaceDN/>
        <w:bidi w:val="0"/>
        <w:adjustRightInd/>
        <w:snapToGrid w:val="0"/>
        <w:spacing w:line="240" w:lineRule="auto"/>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人员要求</w:t>
      </w:r>
    </w:p>
    <w:p>
      <w:pPr>
        <w:keepNext w:val="0"/>
        <w:keepLines w:val="0"/>
        <w:pageBreakBefore w:val="0"/>
        <w:numPr>
          <w:ilvl w:val="0"/>
          <w:numId w:val="13"/>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供应商人员配置不低于上海市工程建设规范《建筑工程、公路与市政工程施工现场专业人员配备标准》的最低要求配置，尤其需明确项目负责人、技术负责人、安全员、质量员，确保管理体系完整，质量安全进度可控。 </w:t>
      </w:r>
    </w:p>
    <w:p>
      <w:pPr>
        <w:keepNext w:val="0"/>
        <w:keepLines w:val="0"/>
        <w:pageBreakBefore w:val="0"/>
        <w:numPr>
          <w:ilvl w:val="0"/>
          <w:numId w:val="13"/>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项目负责人具有房屋建筑工程二级及以上执业资格，且必须无在建项目（提供上海市住房和城乡建设管理委员会网站上查询页面）；不符合要求的，做不实质性响应处理。</w:t>
      </w:r>
    </w:p>
    <w:p>
      <w:pPr>
        <w:keepNext w:val="0"/>
        <w:keepLines w:val="0"/>
        <w:pageBreakBefore w:val="0"/>
        <w:numPr>
          <w:ilvl w:val="0"/>
          <w:numId w:val="13"/>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项目负责人在本工地上工作时间不得少于每周5个工作日。供应商成交后，原则上不允许更换项目负责人，遇特殊情况的，供应商要选出符合规定的项目负责人人选，经建设单位同意后，方可进行更换。</w:t>
      </w:r>
    </w:p>
    <w:p>
      <w:pPr>
        <w:keepNext w:val="0"/>
        <w:keepLines w:val="0"/>
        <w:pageBreakBefore w:val="0"/>
        <w:numPr>
          <w:ilvl w:val="0"/>
          <w:numId w:val="13"/>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项目负责人及相关的主要工程技术管理人员（技术负责人、质量员与安全员并持有相应资质证书“执业资格”）应按约进场组织施工，不得以挂名或兼职的形式出现。上述主要施工人员，未经同意不得任意调换和撤离，否则采购人有权对其进行罚款直至终止合同；终止合同的，供应商应无条件退场，并承担所引起的一切后果和损失。工程施工过程中，如项目班子中有不能胜任本职工作的工作人员，采购人有权要求限期改正，直至撤换相关人员。 </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付款方式</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采购人根据</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的工作进度，分期向成交供应商支付价款。</w:t>
      </w:r>
    </w:p>
    <w:p>
      <w:pPr>
        <w:keepNext w:val="0"/>
        <w:keepLines w:val="0"/>
        <w:pageBreakBefore w:val="0"/>
        <w:numPr>
          <w:ilvl w:val="0"/>
          <w:numId w:val="14"/>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合同签订14天内，成交供应商开具合同金额的10%发票给到采购人，采购人向成交供应商支付相应金额；</w:t>
      </w:r>
    </w:p>
    <w:p>
      <w:pPr>
        <w:keepNext w:val="0"/>
        <w:keepLines w:val="0"/>
        <w:pageBreakBefore w:val="0"/>
        <w:numPr>
          <w:ilvl w:val="0"/>
          <w:numId w:val="14"/>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项目竣工验收合格后，成交供应商开具合同金额的70%发票给到采购人，采购人向成交供应商支付相应金额；</w:t>
      </w:r>
    </w:p>
    <w:p>
      <w:pPr>
        <w:keepNext w:val="0"/>
        <w:keepLines w:val="0"/>
        <w:pageBreakBefore w:val="0"/>
        <w:numPr>
          <w:ilvl w:val="0"/>
          <w:numId w:val="14"/>
        </w:numPr>
        <w:tabs>
          <w:tab w:val="clear" w:pos="420"/>
        </w:tabs>
        <w:kinsoku/>
        <w:overflowPunct/>
        <w:topLinePunct w:val="0"/>
        <w:autoSpaceDE/>
        <w:autoSpaceDN/>
        <w:bidi w:val="0"/>
        <w:adjustRightInd/>
        <w:snapToGrid w:val="0"/>
        <w:spacing w:line="240" w:lineRule="auto"/>
        <w:ind w:left="5" w:leftChars="0" w:hanging="5" w:firstLineChars="0"/>
        <w:jc w:val="both"/>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剩余款项待审价结束后按审定金额一次性付清。</w:t>
      </w:r>
    </w:p>
    <w:p>
      <w:pPr>
        <w:keepNext w:val="0"/>
        <w:keepLines w:val="0"/>
        <w:pageBreakBefore w:val="0"/>
        <w:widowControl w:val="0"/>
        <w:numPr>
          <w:ilvl w:val="0"/>
          <w:numId w:val="0"/>
        </w:numPr>
        <w:kinsoku/>
        <w:overflowPunct/>
        <w:topLinePunct w:val="0"/>
        <w:autoSpaceDE/>
        <w:autoSpaceDN/>
        <w:bidi w:val="0"/>
        <w:adjustRightInd/>
        <w:snapToGrid w:val="0"/>
        <w:spacing w:line="240" w:lineRule="auto"/>
        <w:jc w:val="both"/>
        <w:textAlignment w:val="auto"/>
        <w:outlineLvl w:val="9"/>
        <w:rPr>
          <w:rFonts w:hint="eastAsia" w:ascii="宋体" w:hAnsi="宋体" w:eastAsia="宋体" w:cs="宋体"/>
          <w:sz w:val="24"/>
          <w:szCs w:val="24"/>
          <w:highlight w:val="none"/>
          <w:lang w:val="en-US" w:eastAsia="zh-CN"/>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rPr>
        <w:t>工程量清单</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default" w:eastAsiaTheme="minorEastAsia"/>
          <w:sz w:val="24"/>
          <w:szCs w:val="24"/>
          <w:highlight w:val="none"/>
          <w:lang w:val="en-US" w:eastAsia="zh-CN"/>
        </w:rPr>
      </w:pPr>
      <w:r>
        <w:rPr>
          <w:rFonts w:hint="eastAsia"/>
          <w:sz w:val="24"/>
          <w:szCs w:val="24"/>
          <w:highlight w:val="none"/>
          <w:lang w:val="en-US" w:eastAsia="zh-CN"/>
        </w:rPr>
        <w:t>详见附件</w:t>
      </w: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numPr>
          <w:ilvl w:val="0"/>
          <w:numId w:val="1"/>
        </w:numPr>
        <w:kinsoku/>
        <w:overflowPunct/>
        <w:topLinePunct w:val="0"/>
        <w:autoSpaceDE/>
        <w:autoSpaceDN/>
        <w:bidi w:val="0"/>
        <w:adjustRightInd/>
        <w:snapToGrid w:val="0"/>
        <w:spacing w:before="0" w:after="0" w:line="240" w:lineRule="auto"/>
        <w:ind w:left="0" w:firstLine="0" w:firstLineChars="0"/>
        <w:jc w:val="both"/>
        <w:textAlignment w:val="auto"/>
        <w:outlineLvl w:val="9"/>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图纸</w:t>
      </w:r>
    </w:p>
    <w:p>
      <w:pPr>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p>
      <w:pPr>
        <w:keepNext w:val="0"/>
        <w:keepLines w:val="0"/>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default"/>
          <w:sz w:val="24"/>
          <w:szCs w:val="24"/>
          <w:highlight w:val="none"/>
          <w:lang w:val="en-US" w:eastAsia="zh-CN"/>
        </w:rPr>
      </w:pPr>
      <w:r>
        <w:rPr>
          <w:rFonts w:hint="eastAsia"/>
          <w:sz w:val="24"/>
          <w:szCs w:val="24"/>
          <w:highlight w:val="none"/>
          <w:lang w:val="en-US" w:eastAsia="zh-CN"/>
        </w:rPr>
        <w:t>详见附件</w:t>
      </w:r>
    </w:p>
    <w:p>
      <w:pPr>
        <w:pageBreakBefore w:val="0"/>
        <w:kinsoku/>
        <w:overflowPunct/>
        <w:topLinePunct w:val="0"/>
        <w:autoSpaceDE/>
        <w:autoSpaceDN/>
        <w:bidi w:val="0"/>
        <w:adjustRightInd/>
        <w:snapToGrid w:val="0"/>
        <w:spacing w:line="240" w:lineRule="auto"/>
        <w:ind w:left="0" w:firstLine="0" w:firstLineChars="0"/>
        <w:jc w:val="both"/>
        <w:textAlignment w:val="auto"/>
        <w:outlineLvl w:val="9"/>
        <w:rPr>
          <w:rFonts w:hint="eastAsia"/>
          <w:highlight w:val="none"/>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8306"/>
      </w:tabs>
      <w:ind w:right="-932" w:rightChars="-444"/>
    </w:pPr>
    <w:r>
      <w:rPr>
        <w:rFonts w:hint="eastAsia"/>
        <w:u w:val="single"/>
      </w:rPr>
      <w:t>需求文件</w:t>
    </w:r>
    <w:r>
      <w:rPr>
        <w:rFonts w:hint="eastAsia"/>
        <w:u w:val="single"/>
        <w:lang w:val="en-US" w:eastAsia="zh-CN"/>
      </w:rPr>
      <w:t xml:space="preserve">                       </w:t>
    </w:r>
    <w:r>
      <w:rPr>
        <w:rFonts w:hint="eastAsia"/>
        <w:u w:val="single"/>
      </w:rPr>
      <w:t>世博村路300号8号楼二层办公用房及相关区域专项维（装）修竞争性磋商项目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5F29"/>
    <w:multiLevelType w:val="singleLevel"/>
    <w:tmpl w:val="862E5F29"/>
    <w:lvl w:ilvl="0" w:tentative="0">
      <w:start w:val="1"/>
      <w:numFmt w:val="decimal"/>
      <w:lvlText w:val="(%1)"/>
      <w:lvlJc w:val="left"/>
      <w:pPr>
        <w:ind w:left="425" w:hanging="425"/>
      </w:pPr>
      <w:rPr>
        <w:rFonts w:hint="default"/>
      </w:rPr>
    </w:lvl>
  </w:abstractNum>
  <w:abstractNum w:abstractNumId="1">
    <w:nsid w:val="C7733C27"/>
    <w:multiLevelType w:val="singleLevel"/>
    <w:tmpl w:val="C7733C27"/>
    <w:lvl w:ilvl="0" w:tentative="0">
      <w:start w:val="1"/>
      <w:numFmt w:val="decimal"/>
      <w:lvlText w:val="%1、"/>
      <w:lvlJc w:val="left"/>
      <w:pPr>
        <w:tabs>
          <w:tab w:val="left" w:pos="420"/>
        </w:tabs>
        <w:ind w:left="425" w:leftChars="0" w:hanging="425" w:firstLineChars="0"/>
      </w:pPr>
      <w:rPr>
        <w:rFonts w:hint="default"/>
      </w:rPr>
    </w:lvl>
  </w:abstractNum>
  <w:abstractNum w:abstractNumId="2">
    <w:nsid w:val="EE1ABBBF"/>
    <w:multiLevelType w:val="singleLevel"/>
    <w:tmpl w:val="EE1ABBBF"/>
    <w:lvl w:ilvl="0" w:tentative="0">
      <w:start w:val="1"/>
      <w:numFmt w:val="decimal"/>
      <w:lvlText w:val="%1、"/>
      <w:lvlJc w:val="left"/>
      <w:pPr>
        <w:tabs>
          <w:tab w:val="left" w:pos="420"/>
        </w:tabs>
        <w:ind w:left="425" w:leftChars="0" w:hanging="425" w:firstLineChars="0"/>
      </w:pPr>
      <w:rPr>
        <w:rFonts w:hint="default"/>
      </w:rPr>
    </w:lvl>
  </w:abstractNum>
  <w:abstractNum w:abstractNumId="3">
    <w:nsid w:val="0960BACF"/>
    <w:multiLevelType w:val="singleLevel"/>
    <w:tmpl w:val="0960BACF"/>
    <w:lvl w:ilvl="0" w:tentative="0">
      <w:start w:val="1"/>
      <w:numFmt w:val="decimal"/>
      <w:lvlText w:val="%1、"/>
      <w:lvlJc w:val="left"/>
      <w:pPr>
        <w:tabs>
          <w:tab w:val="left" w:pos="420"/>
        </w:tabs>
        <w:ind w:left="425" w:leftChars="0" w:hanging="425" w:firstLineChars="0"/>
      </w:pPr>
      <w:rPr>
        <w:rFonts w:hint="default"/>
      </w:rPr>
    </w:lvl>
  </w:abstractNum>
  <w:abstractNum w:abstractNumId="4">
    <w:nsid w:val="0DDBA57E"/>
    <w:multiLevelType w:val="singleLevel"/>
    <w:tmpl w:val="0DDBA57E"/>
    <w:lvl w:ilvl="0" w:tentative="0">
      <w:start w:val="1"/>
      <w:numFmt w:val="decimal"/>
      <w:lvlText w:val="%1)"/>
      <w:lvlJc w:val="left"/>
      <w:pPr>
        <w:ind w:left="425" w:hanging="425"/>
      </w:pPr>
      <w:rPr>
        <w:rFonts w:hint="default"/>
      </w:rPr>
    </w:lvl>
  </w:abstractNum>
  <w:abstractNum w:abstractNumId="5">
    <w:nsid w:val="14CA4AA5"/>
    <w:multiLevelType w:val="singleLevel"/>
    <w:tmpl w:val="14CA4AA5"/>
    <w:lvl w:ilvl="0" w:tentative="0">
      <w:start w:val="1"/>
      <w:numFmt w:val="decimal"/>
      <w:lvlText w:val="(%1)"/>
      <w:lvlJc w:val="left"/>
      <w:pPr>
        <w:ind w:left="425" w:hanging="425"/>
      </w:pPr>
      <w:rPr>
        <w:rFonts w:hint="default"/>
      </w:rPr>
    </w:lvl>
  </w:abstractNum>
  <w:abstractNum w:abstractNumId="6">
    <w:nsid w:val="3A34694A"/>
    <w:multiLevelType w:val="singleLevel"/>
    <w:tmpl w:val="3A34694A"/>
    <w:lvl w:ilvl="0" w:tentative="0">
      <w:start w:val="1"/>
      <w:numFmt w:val="decimal"/>
      <w:lvlText w:val="%1、"/>
      <w:lvlJc w:val="left"/>
      <w:pPr>
        <w:tabs>
          <w:tab w:val="left" w:pos="420"/>
        </w:tabs>
        <w:ind w:left="425" w:leftChars="0" w:hanging="425" w:firstLineChars="0"/>
      </w:pPr>
      <w:rPr>
        <w:rFonts w:hint="default"/>
      </w:rPr>
    </w:lvl>
  </w:abstractNum>
  <w:abstractNum w:abstractNumId="7">
    <w:nsid w:val="3B891823"/>
    <w:multiLevelType w:val="singleLevel"/>
    <w:tmpl w:val="3B891823"/>
    <w:lvl w:ilvl="0" w:tentative="0">
      <w:start w:val="1"/>
      <w:numFmt w:val="decimal"/>
      <w:lvlText w:val="%1、"/>
      <w:lvlJc w:val="left"/>
      <w:pPr>
        <w:tabs>
          <w:tab w:val="left" w:pos="420"/>
        </w:tabs>
        <w:ind w:left="425" w:leftChars="0" w:hanging="425" w:firstLineChars="0"/>
      </w:pPr>
      <w:rPr>
        <w:rFonts w:hint="default"/>
      </w:rPr>
    </w:lvl>
  </w:abstractNum>
  <w:abstractNum w:abstractNumId="8">
    <w:nsid w:val="3CC32D28"/>
    <w:multiLevelType w:val="singleLevel"/>
    <w:tmpl w:val="3CC32D28"/>
    <w:lvl w:ilvl="0" w:tentative="0">
      <w:start w:val="1"/>
      <w:numFmt w:val="decimal"/>
      <w:lvlText w:val="%1)"/>
      <w:lvlJc w:val="left"/>
      <w:pPr>
        <w:ind w:left="425" w:hanging="425"/>
      </w:pPr>
      <w:rPr>
        <w:rFonts w:hint="default"/>
      </w:rPr>
    </w:lvl>
  </w:abstractNum>
  <w:abstractNum w:abstractNumId="9">
    <w:nsid w:val="498BD983"/>
    <w:multiLevelType w:val="singleLevel"/>
    <w:tmpl w:val="498BD983"/>
    <w:lvl w:ilvl="0" w:tentative="0">
      <w:start w:val="1"/>
      <w:numFmt w:val="chineseCounting"/>
      <w:suff w:val="nothing"/>
      <w:lvlText w:val="%1、"/>
      <w:lvlJc w:val="left"/>
      <w:pPr>
        <w:ind w:left="0" w:firstLine="420"/>
      </w:pPr>
      <w:rPr>
        <w:rFonts w:hint="eastAsia"/>
      </w:rPr>
    </w:lvl>
  </w:abstractNum>
  <w:abstractNum w:abstractNumId="10">
    <w:nsid w:val="4C4F851E"/>
    <w:multiLevelType w:val="singleLevel"/>
    <w:tmpl w:val="4C4F851E"/>
    <w:lvl w:ilvl="0" w:tentative="0">
      <w:start w:val="1"/>
      <w:numFmt w:val="decimal"/>
      <w:lvlText w:val="%1)"/>
      <w:lvlJc w:val="left"/>
      <w:pPr>
        <w:ind w:left="425" w:hanging="425"/>
      </w:pPr>
      <w:rPr>
        <w:rFonts w:hint="default"/>
      </w:rPr>
    </w:lvl>
  </w:abstractNum>
  <w:abstractNum w:abstractNumId="11">
    <w:nsid w:val="5ED4C066"/>
    <w:multiLevelType w:val="singleLevel"/>
    <w:tmpl w:val="5ED4C066"/>
    <w:lvl w:ilvl="0" w:tentative="0">
      <w:start w:val="1"/>
      <w:numFmt w:val="decimal"/>
      <w:lvlText w:val="%1、"/>
      <w:lvlJc w:val="left"/>
      <w:pPr>
        <w:tabs>
          <w:tab w:val="left" w:pos="420"/>
        </w:tabs>
        <w:ind w:left="425" w:leftChars="0" w:hanging="425" w:firstLineChars="0"/>
      </w:pPr>
      <w:rPr>
        <w:rFonts w:hint="default"/>
      </w:rPr>
    </w:lvl>
  </w:abstractNum>
  <w:abstractNum w:abstractNumId="12">
    <w:nsid w:val="6AEFC541"/>
    <w:multiLevelType w:val="singleLevel"/>
    <w:tmpl w:val="6AEFC541"/>
    <w:lvl w:ilvl="0" w:tentative="0">
      <w:start w:val="1"/>
      <w:numFmt w:val="decimal"/>
      <w:lvlText w:val="(%1)"/>
      <w:lvlJc w:val="left"/>
      <w:pPr>
        <w:ind w:left="425" w:hanging="425"/>
      </w:pPr>
      <w:rPr>
        <w:rFonts w:hint="default"/>
      </w:rPr>
    </w:lvl>
  </w:abstractNum>
  <w:abstractNum w:abstractNumId="13">
    <w:nsid w:val="7F8C9562"/>
    <w:multiLevelType w:val="singleLevel"/>
    <w:tmpl w:val="7F8C9562"/>
    <w:lvl w:ilvl="0" w:tentative="0">
      <w:start w:val="1"/>
      <w:numFmt w:val="decimal"/>
      <w:lvlText w:val="(%1)"/>
      <w:lvlJc w:val="left"/>
      <w:pPr>
        <w:ind w:left="425" w:hanging="425"/>
      </w:pPr>
      <w:rPr>
        <w:rFonts w:hint="default"/>
      </w:rPr>
    </w:lvl>
  </w:abstractNum>
  <w:num w:numId="1">
    <w:abstractNumId w:val="9"/>
  </w:num>
  <w:num w:numId="2">
    <w:abstractNumId w:val="2"/>
  </w:num>
  <w:num w:numId="3">
    <w:abstractNumId w:val="7"/>
  </w:num>
  <w:num w:numId="4">
    <w:abstractNumId w:val="13"/>
  </w:num>
  <w:num w:numId="5">
    <w:abstractNumId w:val="4"/>
  </w:num>
  <w:num w:numId="6">
    <w:abstractNumId w:val="8"/>
  </w:num>
  <w:num w:numId="7">
    <w:abstractNumId w:val="0"/>
  </w:num>
  <w:num w:numId="8">
    <w:abstractNumId w:val="10"/>
  </w:num>
  <w:num w:numId="9">
    <w:abstractNumId w:val="12"/>
  </w:num>
  <w:num w:numId="10">
    <w:abstractNumId w:val="5"/>
  </w:num>
  <w:num w:numId="11">
    <w:abstractNumId w:val="3"/>
  </w:num>
  <w:num w:numId="12">
    <w:abstractNumId w:val="6"/>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726BC"/>
    <w:rsid w:val="0B2C6927"/>
    <w:rsid w:val="0EF97A50"/>
    <w:rsid w:val="106E6603"/>
    <w:rsid w:val="111926BF"/>
    <w:rsid w:val="115A14FD"/>
    <w:rsid w:val="1279351E"/>
    <w:rsid w:val="13B2400A"/>
    <w:rsid w:val="13BD407B"/>
    <w:rsid w:val="17371C86"/>
    <w:rsid w:val="19321877"/>
    <w:rsid w:val="1B217891"/>
    <w:rsid w:val="1BAA1D73"/>
    <w:rsid w:val="20364066"/>
    <w:rsid w:val="22D97EBC"/>
    <w:rsid w:val="26F14ABC"/>
    <w:rsid w:val="29C0782D"/>
    <w:rsid w:val="2FD2725E"/>
    <w:rsid w:val="31085226"/>
    <w:rsid w:val="34196405"/>
    <w:rsid w:val="38192198"/>
    <w:rsid w:val="39CC0793"/>
    <w:rsid w:val="3ABD5B58"/>
    <w:rsid w:val="3EF25354"/>
    <w:rsid w:val="4433058F"/>
    <w:rsid w:val="46AD2ABC"/>
    <w:rsid w:val="48C82477"/>
    <w:rsid w:val="4AC81BBD"/>
    <w:rsid w:val="51DC526A"/>
    <w:rsid w:val="52855B2A"/>
    <w:rsid w:val="534479A8"/>
    <w:rsid w:val="55D41E21"/>
    <w:rsid w:val="5C0D14AF"/>
    <w:rsid w:val="5DE3215F"/>
    <w:rsid w:val="627921C2"/>
    <w:rsid w:val="698B0ECE"/>
    <w:rsid w:val="6B025340"/>
    <w:rsid w:val="6F052E4D"/>
    <w:rsid w:val="70B32456"/>
    <w:rsid w:val="72063EBA"/>
    <w:rsid w:val="72CF006A"/>
    <w:rsid w:val="75970771"/>
    <w:rsid w:val="78C52747"/>
    <w:rsid w:val="7D170515"/>
    <w:rsid w:val="7D1763C6"/>
    <w:rsid w:val="7D6049C1"/>
    <w:rsid w:val="7DF30332"/>
    <w:rsid w:val="EEEFDDA1"/>
    <w:rsid w:val="FFF5E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unhideWhenUsed/>
    <w:qFormat/>
    <w:uiPriority w:val="99"/>
    <w:pPr>
      <w:widowControl/>
      <w:snapToGrid w:val="0"/>
      <w:spacing w:before="50" w:afterLines="50" w:line="400" w:lineRule="exact"/>
      <w:jc w:val="left"/>
    </w:pPr>
    <w:rPr>
      <w:rFonts w:ascii="宋体" w:hAnsi="宋体"/>
      <w:color w:val="000000"/>
      <w:sz w:val="24"/>
    </w:rPr>
  </w:style>
  <w:style w:type="paragraph" w:customStyle="1" w:styleId="10">
    <w:name w:val="00.建设方案正文字体"/>
    <w:basedOn w:val="1"/>
    <w:qFormat/>
    <w:uiPriority w:val="0"/>
    <w:pPr>
      <w:spacing w:line="360" w:lineRule="auto"/>
      <w:ind w:firstLine="480"/>
    </w:pPr>
    <w:rPr>
      <w:rFonts w:ascii="仿宋" w:hAnsi="仿宋" w:cs="宋体"/>
      <w:szCs w:val="28"/>
    </w:rPr>
  </w:style>
  <w:style w:type="paragraph" w:styleId="11">
    <w:name w:val="List Paragraph"/>
    <w:basedOn w:val="1"/>
    <w:qFormat/>
    <w:uiPriority w:val="34"/>
    <w:pPr>
      <w:ind w:firstLine="20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2025-07-20T17:59:00Z</dcterms:created>
  <dcterms:modified xsi:type="dcterms:W3CDTF">2025-08-06T06:57:21Z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08F1136F04E6608CFDDF8168B321598B_43</vt:lpwstr>
  </property>
</Properties>
</file>