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76F4D">
      <w:pPr>
        <w:pStyle w:val="17"/>
        <w:spacing w:before="312" w:beforeLines="100" w:after="312" w:afterLines="100"/>
        <w:rPr>
          <w:rFonts w:hint="eastAsia" w:ascii="宋体" w:hAnsi="宋体" w:eastAsia="宋体" w:cs="宋体"/>
          <w:color w:val="auto"/>
          <w:sz w:val="24"/>
          <w:szCs w:val="24"/>
        </w:rPr>
      </w:pPr>
      <w:r>
        <w:rPr>
          <w:rFonts w:hint="eastAsia" w:ascii="宋体" w:hAnsi="宋体" w:eastAsia="宋体" w:cs="宋体"/>
          <w:color w:val="auto"/>
          <w:sz w:val="24"/>
          <w:szCs w:val="24"/>
        </w:rPr>
        <w:t>道路工程施工图设计说明</w:t>
      </w:r>
    </w:p>
    <w:p w14:paraId="52E1A6E6">
      <w:pPr>
        <w:keepNext w:val="0"/>
        <w:keepLines w:val="0"/>
        <w:pageBreakBefore w:val="0"/>
        <w:widowControl w:val="0"/>
        <w:kinsoku/>
        <w:wordWrap w:val="0"/>
        <w:overflowPunct/>
        <w:topLinePunct w:val="0"/>
        <w:autoSpaceDE/>
        <w:autoSpaceDN/>
        <w:bidi w:val="0"/>
        <w:adjustRightInd/>
        <w:snapToGrid/>
        <w:ind w:firstLine="480"/>
        <w:textAlignment w:val="auto"/>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1 概述</w:t>
      </w:r>
    </w:p>
    <w:p w14:paraId="4C909E62">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上虞路是新浜镇工业区内主要的进出道路，现状道路为沥青路面，于 2020 年完成提档升级。本工程上虞路（红牡丹路－戚家圩河桥）路段车行道反射裂缝严重，其余路段病害较轻，可正常使用。主要原因是提档升级采用的白改黑加罩工艺简单，未完全消除白色路面板块脱空松动对现有路面的影响，加上在叶新－大叶公路（新工路－老黄桥港）道路改建工程中道路封闭，车辆由胡甪路-上虞路绕行，车流量增加明显，荷载等级提高导致该路段病害突出反映。为提高道路路面强度，完善道路附属设施，确保车辆出行安全，拟对上虞路（红牡丹路－戚家圩河桥）进行中修。</w:t>
      </w:r>
    </w:p>
    <w:p w14:paraId="768C889D">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本次中修设计范围东起红牡丹路交叉口，桩号 K0+000，西至戚家圩河桥，桩号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K0+308.03，路线全长 308.03m，车行道宽 9m。道路沿线横向的相交道路为红牡丹路，为平面交叉口，该交叉口均计入本工程范围。本工程沿线遇现状河道 1 条，为戚家圩河，建有桥梁（涵）一座，非设备量内桥涵，因实测跨径仅为 5m，类似盖板涵结构。主体结构予以保留。</w:t>
      </w:r>
    </w:p>
    <w:p w14:paraId="2F1A4793">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本工程为道路中修工程，横断面规模维持不变。原车行道路面结构通过翻建并补强加固、人行道按日常养护，原侧平石更换，重新划设道路标线，完善标志和交通管理设施。</w:t>
      </w:r>
    </w:p>
    <w:p w14:paraId="5506722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道路现状雨水主管维持不动，本工程雨水连管进行翻建，雨水口更换为新型标准。</w:t>
      </w:r>
    </w:p>
    <w:p w14:paraId="79B59E12">
      <w:pPr>
        <w:keepNext w:val="0"/>
        <w:keepLines w:val="0"/>
        <w:pageBreakBefore w:val="0"/>
        <w:widowControl w:val="0"/>
        <w:kinsoku/>
        <w:wordWrap w:val="0"/>
        <w:overflowPunct/>
        <w:topLinePunct w:val="0"/>
        <w:autoSpaceDE/>
        <w:autoSpaceDN/>
        <w:bidi w:val="0"/>
        <w:adjustRightInd/>
        <w:snapToGrid/>
        <w:ind w:firstLine="480"/>
        <w:textAlignment w:val="auto"/>
        <w:outlineLvl w:val="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2 设计依据、基础资料和设计标准</w:t>
      </w:r>
    </w:p>
    <w:p w14:paraId="09117402">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rPr>
        <w:t>2.1 设计依据、基础资料</w:t>
      </w:r>
    </w:p>
    <w:p w14:paraId="557497CC">
      <w:pPr>
        <w:numPr>
          <w:ilvl w:val="0"/>
          <w:numId w:val="6"/>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新浜镇上虞路（红牡丹路-戚家圩河桥）中修工程设计任务委托书（上海市松江区新浜镇人民政府，2024 年 12 月）</w:t>
      </w:r>
    </w:p>
    <w:p w14:paraId="5FA5A0FC">
      <w:pPr>
        <w:numPr>
          <w:ilvl w:val="0"/>
          <w:numId w:val="6"/>
        </w:numPr>
        <w:ind w:firstLine="48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上海市松江区交通委员会：《区交通委关于新浜镇上虞路（红牡丹路-戚家圩河桥）中修工程可行性研究报告（初步设计深度）的批复（沪松交[2025]32号）》2025.4.2；</w:t>
      </w:r>
    </w:p>
    <w:p w14:paraId="1955BBC5">
      <w:pPr>
        <w:numPr>
          <w:ilvl w:val="0"/>
          <w:numId w:val="6"/>
        </w:numPr>
        <w:ind w:firstLine="48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上海箴欣道路工程设计咨询有限公司：《新浜镇上虞路（红牡丹路-戚家圩河桥）中修工程可行性研究报告（初步设计深度）》,2025.01；</w:t>
      </w:r>
    </w:p>
    <w:p w14:paraId="5171B6C9">
      <w:pPr>
        <w:numPr>
          <w:ilvl w:val="0"/>
          <w:numId w:val="6"/>
        </w:numPr>
        <w:ind w:firstLine="480"/>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上海</w:t>
      </w:r>
      <w:r>
        <w:rPr>
          <w:rFonts w:hint="eastAsia" w:ascii="宋体" w:hAnsi="宋体" w:eastAsia="宋体" w:cs="宋体"/>
          <w:color w:val="auto"/>
          <w:sz w:val="24"/>
          <w:szCs w:val="24"/>
          <w:lang w:val="en-US" w:eastAsia="zh-CN"/>
        </w:rPr>
        <w:t>市交通发展研究中心、上海市交通委员会科学技术委员会： 《新浜镇上虞路（红牡丹路-戚家圩河桥）中修工程可行性研究报告（初步设计深度）评审报告》，      2025.3.31；</w:t>
      </w:r>
    </w:p>
    <w:p w14:paraId="480F6023">
      <w:pPr>
        <w:numPr>
          <w:ilvl w:val="0"/>
          <w:numId w:val="6"/>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上虞路带红线地形图（电子版）；</w:t>
      </w:r>
    </w:p>
    <w:p w14:paraId="464E5496">
      <w:pPr>
        <w:numPr>
          <w:ilvl w:val="0"/>
          <w:numId w:val="6"/>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《道路工程测量资料》（上海昌发岩土工程勘察技术有限公司，2024.10）</w:t>
      </w:r>
    </w:p>
    <w:p w14:paraId="53F78AE6">
      <w:pPr>
        <w:numPr>
          <w:ilvl w:val="0"/>
          <w:numId w:val="6"/>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《道路检测报告（病害调查、钻芯、弯沉）》（上海昌发岩土工程勘察技术有限公司，2024.10）</w:t>
      </w:r>
    </w:p>
    <w:p w14:paraId="0DF6987B">
      <w:pPr>
        <w:numPr>
          <w:ilvl w:val="0"/>
          <w:numId w:val="6"/>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国家发布的公路及城市道路工程设计建设的有关规范、规定。</w:t>
      </w:r>
    </w:p>
    <w:p w14:paraId="5567C0A6">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rPr>
        <w:t>2.2 设计规范</w:t>
      </w:r>
    </w:p>
    <w:p w14:paraId="6785F0AA">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《公路工程技术标准》（JTG B01-2014）</w:t>
      </w:r>
    </w:p>
    <w:p w14:paraId="128FF7CD">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《公路路线设计规范》（JTG D20-2017）</w:t>
      </w:r>
    </w:p>
    <w:p w14:paraId="710998D5">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《公路路基设计规范》（JTG D30-2015）</w:t>
      </w:r>
    </w:p>
    <w:p w14:paraId="59A741E7">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《公路水泥混凝土路面设计规范》（JTG D40-2011）</w:t>
      </w:r>
    </w:p>
    <w:p w14:paraId="32246425">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《公路沥青路面设计规范》（JTG D50-2017）</w:t>
      </w:r>
    </w:p>
    <w:p w14:paraId="150045C3">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《公路养护技术标准》（JTG5110-2023)</w:t>
      </w:r>
    </w:p>
    <w:p w14:paraId="267BEDA4">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《公路水泥混凝土路面再生利用技术细则》（JTG／T F31-2014）</w:t>
      </w:r>
    </w:p>
    <w:p w14:paraId="62760949">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《公路沥青路面养护技术规范》（JTG 5142-2019）</w:t>
      </w:r>
    </w:p>
    <w:p w14:paraId="0CA4000F">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《公路技术状况评定标准》（JTG 5210-2018）</w:t>
      </w:r>
    </w:p>
    <w:p w14:paraId="1B5F7E5B">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《公路沥青路面养护设计规范》（JTG 5421-2018）</w:t>
      </w:r>
    </w:p>
    <w:p w14:paraId="264E143A">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《公路大中修工程设计规范》（DG/TJ 08-2191-2015）</w:t>
      </w:r>
    </w:p>
    <w:p w14:paraId="3F025EA6">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《公路技术状况评定标准》（DG/TJ 08-2095-2024）</w:t>
      </w:r>
    </w:p>
    <w:p w14:paraId="44AAB6B0">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《道路路基设计规范》（DG/TJ 08-2237-2017）</w:t>
      </w:r>
    </w:p>
    <w:p w14:paraId="24325FA2">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《路面设计标准》（DG/TJ 08-2131-2022）</w:t>
      </w:r>
    </w:p>
    <w:p w14:paraId="2C23EB9A">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《公路路面养护技术规范》（DB31/T 489-2010）</w:t>
      </w:r>
    </w:p>
    <w:p w14:paraId="6790959E">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《城镇化地区公路工程技术标准》（DG/TJ 08-2274-2018）</w:t>
      </w:r>
    </w:p>
    <w:p w14:paraId="130566E4">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《农村公路养护技术规范》（JTG/T 5190-2019）</w:t>
      </w:r>
    </w:p>
    <w:p w14:paraId="198C9558">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《农村公路建设与养护技术标准》（DG/TJ 08-2067-2022）</w:t>
      </w:r>
    </w:p>
    <w:p w14:paraId="6B107190">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《公路路基施工技术规范》（JTG/T 3610-2019）</w:t>
      </w:r>
    </w:p>
    <w:p w14:paraId="0683E0FB">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《公路路面基层施工技术细则》（JTG F20-2015）</w:t>
      </w:r>
    </w:p>
    <w:p w14:paraId="18296D4F">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《公路水泥混凝土路面施工技术细则》（JTG/T F30-2014）</w:t>
      </w:r>
    </w:p>
    <w:p w14:paraId="49320B06">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《公路沥青路面施工技术规范》（JTG F40-2004）</w:t>
      </w:r>
    </w:p>
    <w:p w14:paraId="67C3D146">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《上海市城市道路与公路设计指导意见》（沪建交[2009]1048号）</w:t>
      </w:r>
    </w:p>
    <w:p w14:paraId="224976B9">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《道路、排水管道成品与半成品施工及验收规程》 DG/TJ08-87-2016</w:t>
      </w:r>
    </w:p>
    <w:p w14:paraId="47586EB7">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《公路工程施工质量验收标准》（DG/TJ 08-119-2018）</w:t>
      </w:r>
    </w:p>
    <w:p w14:paraId="604A8DFB">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《公路养护工程质量检验评定标准》（DG/TJ 08-2144-2014）</w:t>
      </w:r>
    </w:p>
    <w:p w14:paraId="5DB4F235">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《公路养护工程质量检验评定标准(第一册 土建工程)》（JTG 5220-2020）</w:t>
      </w:r>
    </w:p>
    <w:p w14:paraId="4C64E5B7">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《雨水口标准图》 DBJT08-120-2015（2015沪S203）</w:t>
      </w:r>
    </w:p>
    <w:p w14:paraId="23153CC3">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中华人民共和国工程建设标准强制性条文(城市建设部分)（建标[2000]202号）</w:t>
      </w:r>
    </w:p>
    <w:p w14:paraId="0389BA37">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《市政公用工程设计文件编制深度规定（2013年版）》（建质【2013】57号）</w:t>
      </w:r>
    </w:p>
    <w:p w14:paraId="5D0D9495">
      <w:pPr>
        <w:numPr>
          <w:ilvl w:val="0"/>
          <w:numId w:val="7"/>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其他相关设计规范、标准及强制性条文</w:t>
      </w:r>
    </w:p>
    <w:p w14:paraId="500BCE7D">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rPr>
        <w:t>2.3 设计标准</w:t>
      </w:r>
    </w:p>
    <w:p w14:paraId="181CFC15">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（1）道路等级：</w:t>
      </w:r>
      <w:r>
        <w:rPr>
          <w:rFonts w:hint="eastAsia" w:ascii="宋体" w:hAnsi="宋体" w:eastAsia="宋体" w:cs="宋体"/>
          <w:color w:val="auto"/>
          <w:sz w:val="24"/>
          <w:szCs w:val="24"/>
          <w:lang w:eastAsia="zh-CN"/>
        </w:rPr>
        <w:t>二级公路</w:t>
      </w:r>
    </w:p>
    <w:p w14:paraId="01C5399F">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（2）设计速度：</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km/h</w:t>
      </w:r>
      <w:r>
        <w:rPr>
          <w:rFonts w:hint="eastAsia" w:ascii="宋体" w:hAnsi="宋体" w:eastAsia="宋体" w:cs="宋体"/>
          <w:color w:val="auto"/>
          <w:sz w:val="24"/>
          <w:szCs w:val="24"/>
          <w:lang w:eastAsia="zh-CN"/>
        </w:rPr>
        <w:t>（同现状运营管理速度）</w:t>
      </w:r>
    </w:p>
    <w:p w14:paraId="7AB96660">
      <w:pPr>
        <w:ind w:firstLine="48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（3）红线宽度：</w:t>
      </w:r>
      <w:r>
        <w:rPr>
          <w:rFonts w:hint="eastAsia" w:ascii="宋体" w:hAnsi="宋体" w:eastAsia="宋体" w:cs="宋体"/>
          <w:color w:val="auto"/>
          <w:sz w:val="24"/>
          <w:szCs w:val="24"/>
          <w:lang w:val="en-US" w:eastAsia="zh-CN"/>
        </w:rPr>
        <w:t>20m</w:t>
      </w:r>
    </w:p>
    <w:p w14:paraId="3F3C125B">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（4）荷载标准：路面设计以双轮组单轴载100kN为标准荷载，以BZZ-100表示</w:t>
      </w:r>
    </w:p>
    <w:p w14:paraId="1A48D39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（5）设计年限：结构性维修设计年限为12年</w:t>
      </w:r>
    </w:p>
    <w:p w14:paraId="47E9D311">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（6）交通等级：</w:t>
      </w:r>
      <w:r>
        <w:rPr>
          <w:rFonts w:hint="eastAsia" w:ascii="宋体" w:hAnsi="宋体" w:eastAsia="宋体" w:cs="宋体"/>
          <w:color w:val="auto"/>
          <w:sz w:val="24"/>
          <w:szCs w:val="24"/>
          <w:lang w:eastAsia="zh-CN"/>
        </w:rPr>
        <w:t>中等</w:t>
      </w:r>
      <w:r>
        <w:rPr>
          <w:rFonts w:hint="eastAsia" w:ascii="宋体" w:hAnsi="宋体" w:eastAsia="宋体" w:cs="宋体"/>
          <w:color w:val="auto"/>
          <w:sz w:val="24"/>
          <w:szCs w:val="24"/>
        </w:rPr>
        <w:t>交通</w:t>
      </w:r>
    </w:p>
    <w:p w14:paraId="4721F938">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（7）抗震设防标准：地震动峰值加速度0.1g（相当于地震基本烈7°）</w:t>
      </w:r>
    </w:p>
    <w:p w14:paraId="6C93E9F2">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（8）道路最小净高：机动车道最小净高：</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m</w:t>
      </w:r>
    </w:p>
    <w:p w14:paraId="3104FB59">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（9）车道宽度：机动车道3.5m/车道</w:t>
      </w:r>
    </w:p>
    <w:p w14:paraId="3A86686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（10）停车视距：</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0m</w:t>
      </w:r>
    </w:p>
    <w:p w14:paraId="3D7A8DFE">
      <w:pP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其余技术标准应满足《公路工程技术标准》（JTG B01-2014）及《公路路线设计规范》（JTG D20-2017）的有关规定。</w:t>
      </w:r>
    </w:p>
    <w:p w14:paraId="07F76CB7">
      <w:pPr>
        <w:keepNext w:val="0"/>
        <w:keepLines w:val="0"/>
        <w:pageBreakBefore w:val="0"/>
        <w:widowControl w:val="0"/>
        <w:kinsoku/>
        <w:wordWrap w:val="0"/>
        <w:overflowPunct/>
        <w:topLinePunct w:val="0"/>
        <w:autoSpaceDE/>
        <w:autoSpaceDN/>
        <w:bidi w:val="0"/>
        <w:adjustRightInd/>
        <w:snapToGrid/>
        <w:ind w:firstLine="480"/>
        <w:textAlignment w:val="auto"/>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3 道路平面设计</w:t>
      </w:r>
    </w:p>
    <w:p w14:paraId="64A69D07">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3.1 本工程平面坐标采用上海市</w:t>
      </w:r>
      <w:r>
        <w:rPr>
          <w:rFonts w:hint="eastAsia" w:ascii="宋体" w:hAnsi="宋体" w:eastAsia="宋体" w:cs="宋体"/>
          <w:color w:val="auto"/>
          <w:sz w:val="24"/>
          <w:szCs w:val="24"/>
          <w:lang w:val="en-US" w:eastAsia="zh-CN"/>
        </w:rPr>
        <w:t>2000</w:t>
      </w:r>
      <w:r>
        <w:rPr>
          <w:rFonts w:hint="eastAsia" w:ascii="宋体" w:hAnsi="宋体" w:eastAsia="宋体" w:cs="宋体"/>
          <w:color w:val="auto"/>
          <w:sz w:val="24"/>
          <w:szCs w:val="24"/>
        </w:rPr>
        <w:t>坐标系统。</w:t>
      </w:r>
    </w:p>
    <w:p w14:paraId="2C64B38B">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3.2 道路线形走向：</w:t>
      </w:r>
    </w:p>
    <w:p w14:paraId="4F5ABCE2">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本工程为路面中修工程，平面线形根据老路的走向进行拟合。设计路中心线同现状道路中心线。全线为一直线</w:t>
      </w:r>
      <w:r>
        <w:rPr>
          <w:rFonts w:hint="eastAsia" w:ascii="宋体" w:hAnsi="宋体" w:eastAsia="宋体" w:cs="宋体"/>
          <w:color w:val="auto"/>
          <w:sz w:val="24"/>
          <w:szCs w:val="24"/>
          <w:lang w:eastAsia="zh-CN"/>
        </w:rPr>
        <w:t>。</w:t>
      </w:r>
    </w:p>
    <w:p w14:paraId="1765D3D0">
      <w:pPr>
        <w:ind w:firstLine="480"/>
        <w:rPr>
          <w:rFonts w:hint="eastAsia" w:ascii="宋体" w:hAnsi="宋体" w:eastAsia="宋体" w:cs="宋体"/>
          <w:color w:val="auto"/>
          <w:sz w:val="24"/>
          <w:szCs w:val="24"/>
          <w:lang w:eastAsia="zh-CN"/>
        </w:rPr>
      </w:pPr>
    </w:p>
    <w:p w14:paraId="6919A3B6">
      <w:pPr>
        <w:ind w:firstLine="480"/>
        <w:rPr>
          <w:rFonts w:hint="eastAsia" w:ascii="宋体" w:hAnsi="宋体" w:eastAsia="宋体" w:cs="宋体"/>
          <w:color w:val="auto"/>
          <w:sz w:val="24"/>
          <w:szCs w:val="24"/>
          <w:lang w:eastAsia="zh-CN"/>
        </w:rPr>
      </w:pPr>
    </w:p>
    <w:p w14:paraId="14DB0338">
      <w:pPr>
        <w:ind w:firstLine="480"/>
        <w:rPr>
          <w:rFonts w:hint="eastAsia" w:ascii="宋体" w:hAnsi="宋体" w:eastAsia="宋体" w:cs="宋体"/>
          <w:color w:val="auto"/>
          <w:sz w:val="24"/>
          <w:szCs w:val="24"/>
          <w:lang w:eastAsia="zh-CN"/>
        </w:rPr>
      </w:pPr>
    </w:p>
    <w:p w14:paraId="532D973F">
      <w:pPr>
        <w:keepNext w:val="0"/>
        <w:keepLines w:val="0"/>
        <w:pageBreakBefore w:val="0"/>
        <w:widowControl w:val="0"/>
        <w:kinsoku/>
        <w:wordWrap w:val="0"/>
        <w:overflowPunct/>
        <w:topLinePunct w:val="0"/>
        <w:autoSpaceDE/>
        <w:autoSpaceDN/>
        <w:bidi w:val="0"/>
        <w:adjustRightInd/>
        <w:snapToGrid/>
        <w:ind w:firstLine="480"/>
        <w:textAlignment w:val="auto"/>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4 纵断面设计</w:t>
      </w:r>
    </w:p>
    <w:p w14:paraId="23B00FFB">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4.1 设计原则及拉坡控制因素</w:t>
      </w:r>
    </w:p>
    <w:p w14:paraId="2F4C810C">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符合《公路路线设计规范》（JTG D20-2017）中规定的对道路线形技术指标，确保行车安全；</w:t>
      </w:r>
    </w:p>
    <w:p w14:paraId="49A7A238">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高程系统采用吴淞高程系统；</w:t>
      </w:r>
    </w:p>
    <w:p w14:paraId="708D1F6F">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合理处理交叉口标高；</w:t>
      </w:r>
    </w:p>
    <w:p w14:paraId="0759E2BF">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满足与现状及规划道路顺畅衔接的要求；</w:t>
      </w:r>
    </w:p>
    <w:p w14:paraId="645A19DC">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纵断面拉坡控制线以设计道路中心线控制；</w:t>
      </w:r>
    </w:p>
    <w:p w14:paraId="091C715F">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本工程纵断面以现状路面标高进行控制；</w:t>
      </w:r>
    </w:p>
    <w:p w14:paraId="213BCEF9">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纵断面最小坡长根据中修项目的性质，在桥涵一侧接顺段、交叉口接顺段等条件受限处，维持原有道路坡长，适当降低标准。</w:t>
      </w:r>
    </w:p>
    <w:p w14:paraId="21B73EF0">
      <w:pPr>
        <w:numPr>
          <w:ilvl w:val="0"/>
          <w:numId w:val="8"/>
        </w:num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道路纵坡小于0.3%路段，设置锯齿形街沟排除路面水。</w:t>
      </w:r>
    </w:p>
    <w:p w14:paraId="558771A7">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4.2 纵断面设计成果：</w:t>
      </w:r>
    </w:p>
    <w:p w14:paraId="123B1FC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综合考虑上述原则和设计控制因素，本次纵断面最大纵坡为0.51%，最小纵坡为0.00%，道路最小凹形竖曲线半径为8000m，无凸形竖曲线，纵坡长度尽量贴近原路起伏，受限路段最小坡长70m，一般路段最小坡长140.69m。</w:t>
      </w:r>
    </w:p>
    <w:p w14:paraId="5B6BACE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（注：纵断面遵循以路修路原则，基本按现状路面起伏进行拉坡，最小坡长不满足规范值路段不进行大的调整，同时以竖曲线长度满足极限值为主）。</w:t>
      </w:r>
    </w:p>
    <w:p w14:paraId="2067BE84">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纵坡、竖曲线</w:t>
      </w:r>
      <w:r>
        <w:rPr>
          <w:rFonts w:hint="eastAsia" w:ascii="宋体" w:hAnsi="宋体" w:eastAsia="宋体" w:cs="宋体"/>
          <w:color w:val="auto"/>
          <w:sz w:val="24"/>
          <w:szCs w:val="24"/>
        </w:rPr>
        <w:t>表</w:t>
      </w:r>
    </w:p>
    <w:p w14:paraId="02E4D224">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1F4C85C9">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2CC30FA4">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4EBD0D18">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3283D1BB">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0C08CD30">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1A35E1F0">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7CB56D9F">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49975A7E">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6C89263E">
      <w:pPr>
        <w:pStyle w:val="75"/>
        <w:keepNext w:val="0"/>
        <w:keepLines w:val="0"/>
        <w:pageBreakBefore w:val="0"/>
        <w:widowControl w:val="0"/>
        <w:kinsoku/>
        <w:wordWrap w:val="0"/>
        <w:overflowPunct/>
        <w:topLinePunct w:val="0"/>
        <w:autoSpaceDE/>
        <w:autoSpaceDN/>
        <w:bidi w:val="0"/>
        <w:adjustRightInd/>
        <w:snapToGrid/>
        <w:ind w:firstLine="0" w:firstLineChars="0"/>
        <w:textAlignment w:val="auto"/>
        <w:rPr>
          <w:rFonts w:hint="eastAsia" w:ascii="宋体" w:hAnsi="宋体" w:eastAsia="宋体" w:cs="宋体"/>
          <w:color w:val="auto"/>
          <w:sz w:val="24"/>
          <w:szCs w:val="24"/>
        </w:rPr>
      </w:pPr>
    </w:p>
    <w:p w14:paraId="5C16ABBC">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5 横断面设计</w:t>
      </w:r>
    </w:p>
    <w:p w14:paraId="5031A8F5">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上虞路规划红线宽 20m，现状横断面为双向 2 车道的单幅路形式。本次中修维持现状横断面规模。</w:t>
      </w:r>
    </w:p>
    <w:p w14:paraId="0FFD068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横断面具体布置为（由南向北）：5.5m（绿化带，含人行步道）+9.0m（车行道）+5.5m（绿化带，含人行步道）=20.0m（道路红线宽度）。如下图所示：</w:t>
      </w:r>
    </w:p>
    <w:p w14:paraId="73277659">
      <w:pPr>
        <w:ind w:firstLine="480"/>
        <w:rPr>
          <w:rFonts w:hint="eastAsia" w:ascii="宋体" w:hAnsi="宋体" w:eastAsia="宋体" w:cs="宋体"/>
          <w:color w:val="auto"/>
          <w:sz w:val="24"/>
          <w:szCs w:val="24"/>
        </w:rPr>
      </w:pPr>
    </w:p>
    <w:p w14:paraId="34ED759A">
      <w:pPr>
        <w:ind w:firstLine="480"/>
        <w:rPr>
          <w:rFonts w:hint="eastAsia" w:ascii="宋体" w:hAnsi="宋体" w:eastAsia="宋体" w:cs="宋体"/>
          <w:color w:val="auto"/>
          <w:sz w:val="24"/>
          <w:szCs w:val="24"/>
        </w:rPr>
      </w:pPr>
    </w:p>
    <w:p w14:paraId="70E71E9A">
      <w:pPr>
        <w:ind w:firstLine="480"/>
        <w:rPr>
          <w:rFonts w:hint="eastAsia" w:ascii="宋体" w:hAnsi="宋体" w:eastAsia="宋体" w:cs="宋体"/>
          <w:color w:val="auto"/>
          <w:sz w:val="24"/>
          <w:szCs w:val="24"/>
        </w:rPr>
      </w:pPr>
    </w:p>
    <w:p w14:paraId="5B0A5609">
      <w:pPr>
        <w:ind w:firstLine="480"/>
        <w:rPr>
          <w:rFonts w:hint="eastAsia" w:ascii="宋体" w:hAnsi="宋体" w:eastAsia="宋体" w:cs="宋体"/>
          <w:color w:val="auto"/>
          <w:sz w:val="24"/>
          <w:szCs w:val="24"/>
        </w:rPr>
      </w:pPr>
    </w:p>
    <w:p w14:paraId="237ABA7A">
      <w:pPr>
        <w:ind w:firstLine="480"/>
        <w:rPr>
          <w:rFonts w:hint="eastAsia" w:ascii="宋体" w:hAnsi="宋体" w:eastAsia="宋体" w:cs="宋体"/>
          <w:color w:val="auto"/>
          <w:sz w:val="24"/>
          <w:szCs w:val="24"/>
        </w:rPr>
      </w:pPr>
    </w:p>
    <w:p w14:paraId="6A10FECE">
      <w:pPr>
        <w:ind w:firstLine="480"/>
        <w:rPr>
          <w:rFonts w:hint="eastAsia" w:ascii="宋体" w:hAnsi="宋体" w:eastAsia="宋体" w:cs="宋体"/>
          <w:color w:val="auto"/>
          <w:sz w:val="24"/>
          <w:szCs w:val="24"/>
        </w:rPr>
      </w:pPr>
    </w:p>
    <w:p w14:paraId="4883EBCA">
      <w:pPr>
        <w:keepNext w:val="0"/>
        <w:keepLines w:val="0"/>
        <w:pageBreakBefore w:val="0"/>
        <w:widowControl w:val="0"/>
        <w:kinsoku/>
        <w:wordWrap w:val="0"/>
        <w:overflowPunct/>
        <w:topLinePunct w:val="0"/>
        <w:autoSpaceDE/>
        <w:autoSpaceDN/>
        <w:bidi w:val="0"/>
        <w:adjustRightInd/>
        <w:snapToGrid/>
        <w:ind w:firstLine="0" w:firstLineChars="0"/>
        <w:jc w:val="center"/>
        <w:textAlignment w:val="auto"/>
        <w:outlineLvl w:val="9"/>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图</w:t>
      </w:r>
      <w:r>
        <w:rPr>
          <w:rFonts w:hint="eastAsia" w:ascii="宋体" w:hAnsi="宋体" w:eastAsia="宋体" w:cs="宋体"/>
          <w:b/>
          <w:bCs/>
          <w:color w:val="auto"/>
          <w:sz w:val="24"/>
          <w:szCs w:val="24"/>
          <w:lang w:val="en-US" w:eastAsia="zh-CN"/>
        </w:rPr>
        <w:t>1  上虞路（红牡丹路-戚家圩河桥）标准横断面图</w:t>
      </w:r>
    </w:p>
    <w:p w14:paraId="75D433A1">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6 交叉口设计</w:t>
      </w:r>
    </w:p>
    <w:p w14:paraId="635DA1B9">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与本工程横向相交的道路共有1条，为红牡丹路。交叉口范围计入本工程范围。另外，本工程与一条乡村道路相接，按出入口接顺考虑。</w:t>
      </w:r>
    </w:p>
    <w:p w14:paraId="729BA27C">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现状红牡丹路交叉口已设置有信号灯控制，交叉口交通组织维持现状。</w:t>
      </w:r>
    </w:p>
    <w:p w14:paraId="4A8DE34C">
      <w:pPr>
        <w:pStyle w:val="75"/>
        <w:ind w:firstLine="504"/>
        <w:rPr>
          <w:rFonts w:hint="eastAsia" w:ascii="宋体" w:hAnsi="宋体" w:eastAsia="宋体" w:cs="宋体"/>
          <w:color w:val="auto"/>
          <w:kern w:val="0"/>
          <w:sz w:val="24"/>
          <w:szCs w:val="24"/>
        </w:rPr>
      </w:pPr>
      <w:r>
        <w:rPr>
          <w:rFonts w:hint="eastAsia" w:ascii="宋体" w:hAnsi="宋体" w:eastAsia="宋体" w:cs="宋体"/>
          <w:color w:val="auto"/>
          <w:sz w:val="24"/>
          <w:szCs w:val="24"/>
        </w:rPr>
        <w:t>表</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 xml:space="preserve"> 横向道路交叉一览表</w:t>
      </w:r>
    </w:p>
    <w:tbl>
      <w:tblPr>
        <w:tblStyle w:val="18"/>
        <w:tblW w:w="95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287"/>
        <w:gridCol w:w="833"/>
        <w:gridCol w:w="1185"/>
        <w:gridCol w:w="3243"/>
        <w:gridCol w:w="1219"/>
        <w:gridCol w:w="1219"/>
      </w:tblGrid>
      <w:tr w14:paraId="6070A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noWrap w:val="0"/>
            <w:vAlign w:val="center"/>
          </w:tcPr>
          <w:p w14:paraId="46F2B35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编号</w:t>
            </w:r>
          </w:p>
        </w:tc>
        <w:tc>
          <w:tcPr>
            <w:tcW w:w="1287" w:type="dxa"/>
            <w:noWrap w:val="0"/>
            <w:vAlign w:val="center"/>
          </w:tcPr>
          <w:p w14:paraId="1507660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相交道路</w:t>
            </w:r>
          </w:p>
          <w:p w14:paraId="2437AAA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833" w:type="dxa"/>
            <w:noWrap w:val="0"/>
            <w:vAlign w:val="center"/>
          </w:tcPr>
          <w:p w14:paraId="1178350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交叉方式</w:t>
            </w:r>
          </w:p>
        </w:tc>
        <w:tc>
          <w:tcPr>
            <w:tcW w:w="1185" w:type="dxa"/>
            <w:noWrap w:val="0"/>
            <w:vAlign w:val="center"/>
          </w:tcPr>
          <w:p w14:paraId="216CD2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断面型式</w:t>
            </w:r>
          </w:p>
        </w:tc>
        <w:tc>
          <w:tcPr>
            <w:tcW w:w="3243" w:type="dxa"/>
            <w:noWrap w:val="0"/>
            <w:vAlign w:val="center"/>
          </w:tcPr>
          <w:p w14:paraId="51154F0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断面布置</w:t>
            </w:r>
          </w:p>
        </w:tc>
        <w:tc>
          <w:tcPr>
            <w:tcW w:w="1219" w:type="dxa"/>
            <w:noWrap w:val="0"/>
            <w:vAlign w:val="center"/>
          </w:tcPr>
          <w:p w14:paraId="5B8DA2D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红线宽度</w:t>
            </w:r>
          </w:p>
        </w:tc>
        <w:tc>
          <w:tcPr>
            <w:tcW w:w="1219" w:type="dxa"/>
            <w:noWrap w:val="0"/>
            <w:vAlign w:val="center"/>
          </w:tcPr>
          <w:p w14:paraId="6C71318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现状路面结构</w:t>
            </w:r>
          </w:p>
        </w:tc>
      </w:tr>
      <w:tr w14:paraId="3B933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0" w:hRule="atLeast"/>
          <w:jc w:val="center"/>
        </w:trPr>
        <w:tc>
          <w:tcPr>
            <w:tcW w:w="580" w:type="dxa"/>
            <w:noWrap w:val="0"/>
            <w:vAlign w:val="center"/>
          </w:tcPr>
          <w:p w14:paraId="5ABC56C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287" w:type="dxa"/>
            <w:noWrap w:val="0"/>
            <w:vAlign w:val="center"/>
          </w:tcPr>
          <w:p w14:paraId="676E68A3">
            <w:pPr>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红牡丹路</w:t>
            </w:r>
          </w:p>
        </w:tc>
        <w:tc>
          <w:tcPr>
            <w:tcW w:w="833" w:type="dxa"/>
            <w:noWrap w:val="0"/>
            <w:vAlign w:val="center"/>
          </w:tcPr>
          <w:p w14:paraId="1E9FD97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十字</w:t>
            </w:r>
            <w:r>
              <w:rPr>
                <w:rFonts w:hint="eastAsia" w:ascii="宋体" w:hAnsi="宋体" w:eastAsia="宋体" w:cs="宋体"/>
                <w:color w:val="auto"/>
                <w:kern w:val="0"/>
                <w:sz w:val="24"/>
                <w:szCs w:val="24"/>
              </w:rPr>
              <w:t>交叉</w:t>
            </w:r>
          </w:p>
        </w:tc>
        <w:tc>
          <w:tcPr>
            <w:tcW w:w="1185" w:type="dxa"/>
            <w:noWrap w:val="0"/>
            <w:vAlign w:val="center"/>
          </w:tcPr>
          <w:p w14:paraId="156543A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单幅路</w:t>
            </w:r>
          </w:p>
        </w:tc>
        <w:tc>
          <w:tcPr>
            <w:tcW w:w="3243" w:type="dxa"/>
            <w:noWrap w:val="0"/>
            <w:vAlign w:val="center"/>
          </w:tcPr>
          <w:p w14:paraId="523CC05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8（绿）+14（车）+8（绿）</w:t>
            </w:r>
          </w:p>
        </w:tc>
        <w:tc>
          <w:tcPr>
            <w:tcW w:w="1219" w:type="dxa"/>
            <w:noWrap w:val="0"/>
            <w:vAlign w:val="center"/>
          </w:tcPr>
          <w:p w14:paraId="0871B4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30m</w:t>
            </w:r>
          </w:p>
        </w:tc>
        <w:tc>
          <w:tcPr>
            <w:tcW w:w="1219" w:type="dxa"/>
            <w:noWrap w:val="0"/>
            <w:vAlign w:val="center"/>
          </w:tcPr>
          <w:p w14:paraId="776EC3E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沥青</w:t>
            </w:r>
          </w:p>
        </w:tc>
      </w:tr>
    </w:tbl>
    <w:p w14:paraId="56C2B969">
      <w:pPr>
        <w:keepNext w:val="0"/>
        <w:keepLines w:val="0"/>
        <w:pageBreakBefore w:val="0"/>
        <w:widowControl w:val="0"/>
        <w:kinsoku/>
        <w:wordWrap w:val="0"/>
        <w:overflowPunct/>
        <w:topLinePunct w:val="0"/>
        <w:autoSpaceDE/>
        <w:autoSpaceDN/>
        <w:bidi w:val="0"/>
        <w:adjustRightInd/>
        <w:snapToGrid/>
        <w:spacing w:before="157" w:beforeLines="50"/>
        <w:ind w:firstLine="48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交叉口中修方案：</w:t>
      </w:r>
    </w:p>
    <w:p w14:paraId="1F6DE23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本工程交叉口范围采用铣刨加罩，根据交叉口路面设计标高，对老路沥青面层局部铣刨后，重新摊铺 8cm 粗粒式沥青砼（AC-25C）+4cm 细粒式沥青玛蹄脂碎石混合料（SMA-13），交叉口范围处满足最小 12cm 加罩厚度。具体为：</w:t>
      </w:r>
    </w:p>
    <w:p w14:paraId="19E005D3">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4cm 细粒式沥青玛蹄脂碎石混合料（SMA-13）(SBS 改性沥青)</w:t>
      </w:r>
    </w:p>
    <w:p w14:paraId="1154A659">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粘层油（PC-3, 0.6L/m2）</w:t>
      </w:r>
    </w:p>
    <w:p w14:paraId="6DF46D7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8cm 粗粒式沥青混凝土（AC-25C）</w:t>
      </w:r>
    </w:p>
    <w:p w14:paraId="6AB51479">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粘层油（PC-3, 0.6L/m2）</w:t>
      </w:r>
    </w:p>
    <w:p w14:paraId="7D64C3A9">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原沥青路面（原路铣刨）</w:t>
      </w:r>
    </w:p>
    <w:p w14:paraId="10DE3C7E">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其中，铣刨厚度控制：0.12-（设计标高-原路面标高），单位 m；</w:t>
      </w:r>
    </w:p>
    <w:p w14:paraId="6B6B80CC">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注：交叉口范围内如遇龟裂、基层松散类病害，需翻除修复。修复基层采用 25cmC30 水泥砼(</w:t>
      </w:r>
      <w:r>
        <w:rPr>
          <w:rFonts w:hint="eastAsia" w:ascii="SJQY" w:hAnsi="SJQY" w:eastAsia="SJQY" w:cs="SJQY"/>
          <w:color w:val="auto"/>
          <w:sz w:val="24"/>
          <w:szCs w:val="24"/>
          <w:lang w:eastAsia="zh-CN"/>
        </w:rPr>
        <w:t>C</w:t>
      </w:r>
      <w:r>
        <w:rPr>
          <w:rFonts w:hint="eastAsia" w:ascii="宋体" w:hAnsi="宋体" w:eastAsia="宋体" w:cs="宋体"/>
          <w:color w:val="auto"/>
          <w:sz w:val="24"/>
          <w:szCs w:val="24"/>
          <w:lang w:eastAsia="zh-CN"/>
        </w:rPr>
        <w:t>12@150mm 单层钢筋网片)。</w:t>
      </w:r>
    </w:p>
    <w:p w14:paraId="6B2C910F">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7</w:t>
      </w:r>
      <w:r>
        <w:rPr>
          <w:rFonts w:hint="eastAsia" w:ascii="宋体" w:hAnsi="宋体" w:eastAsia="宋体" w:cs="宋体"/>
          <w:b/>
          <w:color w:val="auto"/>
          <w:sz w:val="24"/>
          <w:szCs w:val="24"/>
        </w:rPr>
        <w:t xml:space="preserve"> 路面结构层设计</w:t>
      </w:r>
    </w:p>
    <w:p w14:paraId="65D89182">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lang w:eastAsia="zh-CN"/>
        </w:rPr>
        <w:t>.1 原路面结构总体评价</w:t>
      </w:r>
    </w:p>
    <w:p w14:paraId="55610E9B">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根据原有道路中修的竣工资料，上虞路车行道的结构为：4cm 细粒式沥青砼（AC-13C）+8cm 粗粒式沥青砼（AC-25C）+原水泥砼路面（板块修复、灌缝及防裂贴）。根据现场钻芯取样结果表明，结构层厚度约 23cm-29cm，其中沥青层厚度约 4cm-8.5cm，水泥砼厚度约16.5cm-22cm。</w:t>
      </w:r>
    </w:p>
    <w:p w14:paraId="12730392">
      <w:pPr>
        <w:ind w:firstLine="48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根据调查分析，本工程现状路面</w:t>
      </w:r>
      <w:r>
        <w:rPr>
          <w:rFonts w:hint="eastAsia" w:ascii="宋体" w:hAnsi="宋体" w:eastAsia="宋体" w:cs="宋体"/>
          <w:color w:val="auto"/>
          <w:sz w:val="24"/>
          <w:szCs w:val="24"/>
          <w:lang w:val="en-US" w:eastAsia="zh-CN"/>
        </w:rPr>
        <w:t>左侧车道路面破损率DR=19.71%，PCI=48.77；右侧车道路面破损率DR=19.30%，PCI=49.22，评价均为差。</w:t>
      </w:r>
    </w:p>
    <w:p w14:paraId="4802BB03">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现状路面病害以明显的纵横向反射裂缝、块裂及交叉口沥青松散为主。</w:t>
      </w:r>
    </w:p>
    <w:p w14:paraId="361E1CBB">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根据《公路沥青路面养护设计规范》（JTG 5421-2018）“路面修复养护类型划分及养护对策选择”，建议采用结构性修复：面层铣刨、基层补强。</w:t>
      </w:r>
    </w:p>
    <w:p w14:paraId="0BA0232E">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 xml:space="preserve"> </w:t>
      </w:r>
      <w:r>
        <w:rPr>
          <w:rFonts w:hint="eastAsia" w:ascii="宋体" w:hAnsi="宋体" w:eastAsia="宋体" w:cs="宋体"/>
          <w:b/>
          <w:bCs/>
          <w:color w:val="auto"/>
          <w:sz w:val="24"/>
          <w:szCs w:val="24"/>
          <w:lang w:eastAsia="zh-CN"/>
        </w:rPr>
        <w:t>车行道</w:t>
      </w:r>
      <w:r>
        <w:rPr>
          <w:rFonts w:hint="eastAsia" w:ascii="宋体" w:hAnsi="宋体" w:eastAsia="宋体" w:cs="宋体"/>
          <w:b/>
          <w:bCs/>
          <w:color w:val="auto"/>
          <w:sz w:val="24"/>
          <w:szCs w:val="24"/>
          <w:lang w:val="en-US" w:eastAsia="zh-CN"/>
        </w:rPr>
        <w:t>路面中修结构</w:t>
      </w:r>
      <w:r>
        <w:rPr>
          <w:rFonts w:hint="eastAsia" w:ascii="宋体" w:hAnsi="宋体" w:eastAsia="宋体" w:cs="宋体"/>
          <w:b/>
          <w:bCs/>
          <w:color w:val="auto"/>
          <w:sz w:val="24"/>
          <w:szCs w:val="24"/>
        </w:rPr>
        <w:t>：</w:t>
      </w:r>
    </w:p>
    <w:p w14:paraId="5F8A0694">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4cm 细粒式沥青玛蹄脂碎石混合料（SMA-13）(SBS 改性沥青)</w:t>
      </w:r>
    </w:p>
    <w:p w14:paraId="043ADDED">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粘层油(PC-3,0.6L/m2)</w:t>
      </w:r>
    </w:p>
    <w:p w14:paraId="4308911F">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8cm 粗粒式沥青混凝土（AC-25C）</w:t>
      </w:r>
    </w:p>
    <w:p w14:paraId="65AE107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1cm 橡胶沥青纤维碎石封层</w:t>
      </w:r>
    </w:p>
    <w:p w14:paraId="360C5A95">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透层油（PC-2，1.1L/m2）</w:t>
      </w:r>
    </w:p>
    <w:p w14:paraId="3761B470">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35cm 水泥稳定碎石基层</w:t>
      </w:r>
    </w:p>
    <w:p w14:paraId="2C3DE222">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15cm 级配碎石垫层</w:t>
      </w:r>
    </w:p>
    <w:p w14:paraId="1E7757D7">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8</w:t>
      </w: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eastAsia="zh-CN"/>
        </w:rPr>
        <w:t>路基设计</w:t>
      </w:r>
    </w:p>
    <w:p w14:paraId="78ADB7C5">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工程车行道翻挖涉及对原有路基的处理，根据新建结构层厚度（63cm）与实际老路厚度（平均36cm左右）比较，本工程车行道机动车道部位需要超挖原有路基。由于本工程路基标高较低，受地下水位影响，含水量偏高，不能直接作为二级公路路基使用。为满足二级公路路基30Mpa回弹模量的要求，本工程路基应进行进一步处理。本次设计路基处理可采用20cm砾石砂进行换填处理，加固后路基可采用压实度和弯沉双控标准进行验收。本次路基压实度按零填及挖方≥95%，弯沉≤ 310.5 (0.01mm)。</w:t>
      </w:r>
    </w:p>
    <w:p w14:paraId="6079986E">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9</w:t>
      </w: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eastAsia="zh-CN"/>
        </w:rPr>
        <w:t>路面搭接处理</w:t>
      </w:r>
    </w:p>
    <w:p w14:paraId="031563CE">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本工程与横向道路相接处存在新老沥青路面的搭接，搭接时老路沥青路面伸入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50cm范围内进行上下面层的铣刨，并对老路结构按新建结构层设置台阶进行搭接（台阶宽度25cm），并在新建的基层顶面铺设一层聚酯玻纤布（长1.5m，骑缝）。</w:t>
      </w:r>
    </w:p>
    <w:p w14:paraId="0E2AC474">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推荐采用半幅封闭施工方法，翻除新建结构施工过程中需考虑翻交施工，因此纵向道路新建结构层之间采用相错搭接法。先确保半幅路面完整形成，各结构层施工时应预留25cm搭接宽度，因此老路开挖面位于道路设计中心线外侧50cm处，届时半幅路面施工至粗沥青层后开放交通，封闭另一个半幅再行掘路施工，最后短时封闭全路段一次性摊铺细沥青。其中水泥稳定碎石基层顶面铺设一层聚酯玻纤布（宽2.0m，骑缝布置）。</w:t>
      </w:r>
    </w:p>
    <w:p w14:paraId="0CD045CB">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具体详见路面搭接设计图。</w:t>
      </w:r>
    </w:p>
    <w:p w14:paraId="3DC2D613">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10 附属工程</w:t>
      </w:r>
    </w:p>
    <w:p w14:paraId="43DA81B1">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10.1 </w:t>
      </w:r>
      <w:r>
        <w:rPr>
          <w:rFonts w:hint="eastAsia" w:ascii="宋体" w:hAnsi="宋体" w:eastAsia="宋体" w:cs="宋体"/>
          <w:b/>
          <w:bCs/>
          <w:color w:val="auto"/>
          <w:sz w:val="24"/>
          <w:szCs w:val="24"/>
        </w:rPr>
        <w:t>路拱</w:t>
      </w:r>
    </w:p>
    <w:p w14:paraId="5049E90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w:t>
      </w:r>
      <w:r>
        <w:rPr>
          <w:rFonts w:hint="eastAsia" w:ascii="宋体" w:hAnsi="宋体" w:eastAsia="宋体" w:cs="宋体"/>
          <w:color w:val="auto"/>
          <w:sz w:val="24"/>
          <w:szCs w:val="24"/>
          <w:lang w:eastAsia="zh-CN"/>
        </w:rPr>
        <w:t>车行道</w:t>
      </w:r>
      <w:r>
        <w:rPr>
          <w:rFonts w:hint="eastAsia" w:ascii="宋体" w:hAnsi="宋体" w:eastAsia="宋体" w:cs="宋体"/>
          <w:color w:val="auto"/>
          <w:sz w:val="24"/>
          <w:szCs w:val="24"/>
        </w:rPr>
        <w:t>采用修正三次抛物线型路拱，路拱横坡度为2.0%；</w:t>
      </w:r>
    </w:p>
    <w:p w14:paraId="015FB65E">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10.2 </w:t>
      </w:r>
      <w:r>
        <w:rPr>
          <w:rFonts w:hint="eastAsia" w:ascii="宋体" w:hAnsi="宋体" w:eastAsia="宋体" w:cs="宋体"/>
          <w:b/>
          <w:bCs/>
          <w:color w:val="auto"/>
          <w:sz w:val="24"/>
          <w:szCs w:val="24"/>
        </w:rPr>
        <w:t>侧平石</w:t>
      </w:r>
    </w:p>
    <w:p w14:paraId="4FB3C913">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本工程原侧平石翻除重建，采用 C30 水泥砼预制侧平石，侧石规格尺寸30×12×100cm；平石尺寸 10（13）×30×100cm</w:t>
      </w:r>
    </w:p>
    <w:p w14:paraId="3531F8E2">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 xml:space="preserve">10.3 </w:t>
      </w:r>
      <w:r>
        <w:rPr>
          <w:rFonts w:hint="eastAsia" w:ascii="宋体" w:hAnsi="宋体" w:eastAsia="宋体" w:cs="宋体"/>
          <w:b/>
          <w:bCs/>
          <w:color w:val="auto"/>
          <w:sz w:val="24"/>
          <w:szCs w:val="24"/>
        </w:rPr>
        <w:t>窨井</w:t>
      </w:r>
      <w:r>
        <w:rPr>
          <w:rFonts w:hint="eastAsia" w:ascii="宋体" w:hAnsi="宋体" w:eastAsia="宋体" w:cs="宋体"/>
          <w:b/>
          <w:bCs/>
          <w:color w:val="auto"/>
          <w:sz w:val="24"/>
          <w:szCs w:val="24"/>
          <w:lang w:eastAsia="zh-CN"/>
        </w:rPr>
        <w:t>抬升</w:t>
      </w:r>
    </w:p>
    <w:p w14:paraId="5F9CE0A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车行道及交叉口、出入口范围内的公用管线窨井应根据新路面标高进行升高，以保证窨井与路面的衔接平顺。对于位于车行道范围内保留的市政雨、污水窨井改建为自调式防沉降井盖座。现状雨、污水窨井同时增设塑料防坠格板。</w:t>
      </w:r>
    </w:p>
    <w:p w14:paraId="0A96AA14">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10.4 断口及出入口</w:t>
      </w:r>
    </w:p>
    <w:p w14:paraId="289D9956">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本工程出入口采用缘石半径方式接顺，在出入口3m范围内按铣刨加罩接顺，对于出入口范围内损坏或连管翻挖范围内，基层采用15cm碎石+20cmC30水泥砼恢复，上罩4cm细粒式沥青混凝土（AC-13C）。</w:t>
      </w:r>
    </w:p>
    <w:p w14:paraId="71516C34">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 xml:space="preserve">10.5 </w:t>
      </w:r>
      <w:r>
        <w:rPr>
          <w:rFonts w:hint="eastAsia" w:ascii="宋体" w:hAnsi="宋体" w:eastAsia="宋体" w:cs="宋体"/>
          <w:b/>
          <w:bCs/>
          <w:color w:val="auto"/>
          <w:sz w:val="24"/>
          <w:szCs w:val="24"/>
        </w:rPr>
        <w:t>排水</w:t>
      </w:r>
      <w:r>
        <w:rPr>
          <w:rFonts w:hint="eastAsia" w:ascii="宋体" w:hAnsi="宋体" w:eastAsia="宋体" w:cs="宋体"/>
          <w:b/>
          <w:bCs/>
          <w:color w:val="auto"/>
          <w:sz w:val="24"/>
          <w:szCs w:val="24"/>
          <w:lang w:eastAsia="zh-CN"/>
        </w:rPr>
        <w:t>设施</w:t>
      </w:r>
    </w:p>
    <w:p w14:paraId="736523C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本工程现状雨水主管予以保留，管道管理单位应定期对其进行清通和养护，保证雨水主管道的排水畅通和安全。</w:t>
      </w:r>
    </w:p>
    <w:p w14:paraId="627167D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本工程雨水连管进行翻建，雨水口更换为新型标准。雨水连管采用 DN300双壁缠绕管；一般路段雨水口采用立式单箅雨水进水口，成品立式箅子采用铸铁件。</w:t>
      </w:r>
    </w:p>
    <w:p w14:paraId="4FDFABF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雨水进水口尺寸规格参照《雨水口标准图》（DBJT08-120-2015）（2015沪 S203）。井身可采用砖砌建，雨水进水口连管管径均采用 DN300，连管坡度 i≥1.0%，坡向接入道路现状雨水检查井。</w:t>
      </w:r>
    </w:p>
    <w:p w14:paraId="2C73CFF3">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对新建及改建的雨水口均应设置截污挂篮。</w:t>
      </w:r>
    </w:p>
    <w:p w14:paraId="4A7C4A81">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雨水进水口连管管材、管道接口和管道基础</w:t>
      </w:r>
      <w:r>
        <w:rPr>
          <w:rFonts w:hint="eastAsia" w:ascii="宋体" w:hAnsi="宋体" w:eastAsia="宋体" w:cs="宋体"/>
          <w:color w:val="auto"/>
          <w:sz w:val="24"/>
          <w:szCs w:val="24"/>
          <w:lang w:eastAsia="zh-CN"/>
        </w:rPr>
        <w:t>：</w:t>
      </w:r>
    </w:p>
    <w:p w14:paraId="29570ECD">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（1）DN300雨水进水口连管采用承插式HDPE双壁缠绕管，管道环刚度≥10kN/m2，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HDPE双壁缠绕管环柔度要求：试样无分层、无破裂，管材壁结构的任何部分在任何方向不发生永久性的屈曲变形，包括凹陷和凸起。   </w:t>
      </w:r>
    </w:p>
    <w:p w14:paraId="43AD105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（2）承插式HDPE双壁缠绕管接口为双峰式弹性密封橡胶圈接口。</w:t>
      </w:r>
    </w:p>
    <w:p w14:paraId="3C7CDC5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（3）雨水连管采用厚度150mm中粗砂基础。</w:t>
      </w:r>
    </w:p>
    <w:p w14:paraId="3115DAF8">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塑料管道与新建雨水进水口（现状检查井）连接：管道与新建雨水进水口（现状检查井）连接采用短管过渡，过渡段由不少于2节短管柔性连接而成，第一节短管长600mm～</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800mm，第二节短管长1500mm～2000mm。柔性连接采用承插式橡胶密封圈接口，过渡段与窨井采用刚性连接，管道与窨井连接处管道外壁应进行粗化处理，粗化段长度与井壁厚度相同，详见2016沪S204（2-7）。</w:t>
      </w:r>
    </w:p>
    <w:p w14:paraId="34E2F112">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雨水进水口连管沟槽回填：雨水连管铺设在车行道中的，雨水连管管道基础至道路结构层基础底，沟槽部分均采用中粗砂回填，砂干重度≥16kN/m3；雨水连管铺设在车行道外的，雨水连管管道基础至管顶以上100mm沟槽部分采用中粗砂回填，砂干重度≥16kN/m3，沟槽填砂以上部分采用净素土分层回填。沟槽必须用人工回填，轻型压实设备夯实，不得采用机械推土回填。回填、夯实应分层对称进行，每层回填土高度不应大于</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200mm，不得单侧回填、夯实。沟槽不得带水回填，回填应密实。沟槽回填土密实度要求应满足管道各部位规范规定之密实度要求，根据《给水排水管道工程施工及验收规范》（GB50268-2008）相关标准进行检验。</w:t>
      </w:r>
    </w:p>
    <w:p w14:paraId="2FE54C05">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10.6 桥涵附属</w:t>
      </w:r>
    </w:p>
    <w:p w14:paraId="064738A7">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沿线遇现状河道1条，为戚家圩河，建有桥梁（涵）一座，非设备量内桥涵，因实测跨径仅为5m，类似盖板涵结构。现状桥涵主体结构梁体、浆砌桥台、护坡均完好，予以保留。本工程桥（涵）面为沥青铺装，同道路统一材质。伸缩缝砼与路面衔接部位有明显的破碎损坏，栏杆涂刷颜色陈旧。</w:t>
      </w:r>
    </w:p>
    <w:p w14:paraId="5C823E0C">
      <w:pPr>
        <w:ind w:firstLine="48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本工程桥（涵）面沥青铣刨 4cm，重新摊铺 4cm 细粒式沥青玛蹄脂碎石混合料（SMA-13）(SBS 改性沥青)。</w:t>
      </w:r>
    </w:p>
    <w:p w14:paraId="27943FBA">
      <w:pPr>
        <w:ind w:firstLine="48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本工程原伸缩缝及破损砼打除，更换为 TST 弹塑体伸缩缝。</w:t>
      </w:r>
    </w:p>
    <w:p w14:paraId="2B8F1AC5">
      <w:pPr>
        <w:ind w:firstLine="48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桥梁栏杆涂刷陈旧，一并更新，颜色为黄色。涂装工序为：缺陷修补→打磨→冲洗→满批腻子→结构涂装；涂料材料选拟用水性涂料，产品分为底漆、中间漆和面漆三类。底漆为水性丙烯酸封闭底漆或水性环氧封闭底漆；中间漆为水性丙烯酸中间漆；面漆为水性氟碳面漆，采用优等品。</w:t>
      </w:r>
    </w:p>
    <w:p w14:paraId="5BF485ED">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10.7 日常养护维修类</w:t>
      </w:r>
    </w:p>
    <w:p w14:paraId="2BDC2A3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本工程主要对车行道范围进行中修，原人行道保留现状。现状人行道根据日常养护进行维修。现状人行道病害较少，本次日常养护主要涉及对原路面的清扫、局部裂缝病害的灌缝。</w:t>
      </w:r>
    </w:p>
    <w:p w14:paraId="4A7662B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裂缝类修复：</w:t>
      </w:r>
    </w:p>
    <w:p w14:paraId="045D255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（1）对普通公路缝宽小于等于 5mm 的裂缝，宜采用直接灌缝法或贴缝法进行维修。</w:t>
      </w:r>
    </w:p>
    <w:p w14:paraId="1C36DD15">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 直接灌缝法一一将裂缝中的堵塞物和裂缝两侧路面清理干净后，沿裂缝设置适当的灌注孔，将灌缝材料灌满缝隙；裂缝表面匀洒干净石屑或粗砂，并将溢出缝外的沥青及石屑、砂清除掉。</w:t>
      </w:r>
    </w:p>
    <w:p w14:paraId="40CC14F7">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2) 贴缝法-一一将路面裂缝及裂缝两侧的路面同时清理干净，延裂缝的走向粘贴宽度不小于50mm、长度略长于裂缝的专用贴缝带，压实至同路面均匀结合为一体。</w:t>
      </w:r>
    </w:p>
    <w:p w14:paraId="75D5FED1">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（2）对普通公路缝宽大于5mm的严重裂缝，宜采用切缝灌缝法进行维修。</w:t>
      </w:r>
    </w:p>
    <w:p w14:paraId="0D60B72C">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切缝灌缝法一-采用切割机械延裂缝的走向将裂缝切割出宽度略大于裂缝宽度(且不小于10mm)、深度大于15mm的均匀凹槽；去除己松动的裂缝边缘，清除凹槽内和周边的松散颗粒、杂物和粉尘；采用灌缝机械将灌缝材料灌满缝隙，再匀洒干净石屑或粗砂，并随即将滥出缝外的灌缝材料和石屑、砂清除。</w:t>
      </w:r>
    </w:p>
    <w:p w14:paraId="2E0ED931">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灌缝材料应具有一定的强度，与沥青路面的粘结力强；粘度低，易于灌入裂缝；低温时不丧失其弹性和延性；固化快，灌入裂缝后即可开放交通。</w:t>
      </w:r>
    </w:p>
    <w:p w14:paraId="37514DA7">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rPr>
        <w:t>本工程雨水连管开挖需接入现状雨水管道内，横穿连管对现有人行道局部破坏，需要进行修复，修复结构按 10cm 碎石+10cmC30 砼+4cm 细粒式沥青砼（AC-13C）（彩色喷面）。</w:t>
      </w:r>
    </w:p>
    <w:p w14:paraId="3D05BB54">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11 其他工程</w:t>
      </w:r>
    </w:p>
    <w:p w14:paraId="49E238DD">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(1)绿化</w:t>
      </w:r>
    </w:p>
    <w:p w14:paraId="59FD90C1">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本工程道路绿化主要为车行道侧石与人行道间、人行道外侧至企业围墙间的绿化带。现状绿化中灌木、乔木类种植和长势均较好，局部路段草皮类绿化缺失。结合本次道路的侧平石翻建，对沿线侧石外侧 50cm 范围内绿化草皮（马尼拉草+小叶黄杨灌木的组合）予以修复补种完善</w:t>
      </w:r>
      <w:r>
        <w:rPr>
          <w:rFonts w:hint="eastAsia" w:ascii="宋体" w:hAnsi="宋体" w:eastAsia="宋体" w:cs="宋体"/>
          <w:color w:val="auto"/>
          <w:sz w:val="24"/>
          <w:szCs w:val="24"/>
          <w:lang w:eastAsia="zh-CN"/>
        </w:rPr>
        <w:t>。</w:t>
      </w:r>
    </w:p>
    <w:p w14:paraId="1148B9A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(2)路灯照明</w:t>
      </w:r>
    </w:p>
    <w:p w14:paraId="29D69A8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本工程路灯照明维持现状。</w:t>
      </w:r>
    </w:p>
    <w:p w14:paraId="54D6C598">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(3)交通</w:t>
      </w:r>
      <w:r>
        <w:rPr>
          <w:rFonts w:hint="eastAsia" w:ascii="宋体" w:hAnsi="宋体" w:eastAsia="宋体" w:cs="宋体"/>
          <w:color w:val="auto"/>
          <w:sz w:val="24"/>
          <w:szCs w:val="24"/>
          <w:lang w:eastAsia="zh-CN"/>
        </w:rPr>
        <w:t>设施</w:t>
      </w:r>
    </w:p>
    <w:p w14:paraId="10B97350">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本工程道路中修过程中应保护现场已有的交通标牌、信号灯等设施，对施工过程中损坏的予以修复。路面中修完毕后应重新划设交通标线和路面标记。</w:t>
      </w:r>
    </w:p>
    <w:p w14:paraId="57A639A9">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本工程道路标线主要包括：中心</w:t>
      </w:r>
      <w:r>
        <w:rPr>
          <w:rFonts w:hint="eastAsia" w:ascii="宋体" w:hAnsi="宋体" w:eastAsia="宋体" w:cs="宋体"/>
          <w:color w:val="auto"/>
          <w:sz w:val="24"/>
          <w:szCs w:val="24"/>
          <w:lang w:eastAsia="zh-CN"/>
        </w:rPr>
        <w:t>单</w:t>
      </w:r>
      <w:r>
        <w:rPr>
          <w:rFonts w:hint="eastAsia" w:ascii="宋体" w:hAnsi="宋体" w:eastAsia="宋体" w:cs="宋体"/>
          <w:color w:val="auto"/>
          <w:sz w:val="24"/>
          <w:szCs w:val="24"/>
        </w:rPr>
        <w:t>黄线、车道分界线、人行横道线、停车线及导向箭头等。本工程同步完善缺失标牌。交叉口信号灯控制维持现状。</w:t>
      </w:r>
      <w:r>
        <w:rPr>
          <w:rFonts w:hint="eastAsia" w:ascii="宋体" w:hAnsi="宋体" w:eastAsia="宋体" w:cs="宋体"/>
          <w:color w:val="auto"/>
          <w:sz w:val="24"/>
          <w:szCs w:val="24"/>
          <w:lang w:eastAsia="zh-CN"/>
        </w:rPr>
        <w:t>详见交通设施相关图纸。</w:t>
      </w:r>
    </w:p>
    <w:p w14:paraId="1415DB8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公路设施</w:t>
      </w:r>
    </w:p>
    <w:p w14:paraId="6B53D7E0">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本工程设备量属农村公路，道路全线应设置里程碑和百米桩。里程碑和百米桩应使用白底黑字。单向设置于公路上行方向的右侧，双面标识。公路里程碑数据应与设备量里程数据保持一致。</w:t>
      </w:r>
    </w:p>
    <w:p w14:paraId="098E65FD">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12 主要材料要求</w:t>
      </w:r>
    </w:p>
    <w:p w14:paraId="356B32C2">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12.1 </w:t>
      </w:r>
      <w:r>
        <w:rPr>
          <w:rFonts w:hint="eastAsia" w:ascii="宋体" w:hAnsi="宋体" w:eastAsia="宋体" w:cs="宋体"/>
          <w:b/>
          <w:bCs/>
          <w:color w:val="auto"/>
          <w:sz w:val="24"/>
          <w:szCs w:val="24"/>
        </w:rPr>
        <w:t>沥青混凝土面层</w:t>
      </w:r>
    </w:p>
    <w:p w14:paraId="7054C5D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车行道下面层采用优质道路石油沥青A级70#沥青，技术要求如下表：</w:t>
      </w:r>
    </w:p>
    <w:p w14:paraId="7560CF2E">
      <w:pPr>
        <w:pStyle w:val="72"/>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3  </w:t>
      </w:r>
      <w:r>
        <w:rPr>
          <w:rFonts w:hint="eastAsia" w:ascii="宋体" w:hAnsi="宋体" w:eastAsia="宋体" w:cs="宋体"/>
          <w:b/>
          <w:bCs/>
          <w:color w:val="auto"/>
          <w:sz w:val="24"/>
          <w:szCs w:val="24"/>
        </w:rPr>
        <w:t>70#沥青技术要求</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CCFFFF"/>
        <w:tblLayout w:type="autofit"/>
        <w:tblCellMar>
          <w:top w:w="0" w:type="dxa"/>
          <w:left w:w="108" w:type="dxa"/>
          <w:bottom w:w="0" w:type="dxa"/>
          <w:right w:w="108" w:type="dxa"/>
        </w:tblCellMar>
      </w:tblPr>
      <w:tblGrid>
        <w:gridCol w:w="2551"/>
        <w:gridCol w:w="3148"/>
        <w:gridCol w:w="2868"/>
      </w:tblGrid>
      <w:tr w14:paraId="0827F0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CCFFFF"/>
          <w:tblCellMar>
            <w:top w:w="0" w:type="dxa"/>
            <w:left w:w="108" w:type="dxa"/>
            <w:bottom w:w="0" w:type="dxa"/>
            <w:right w:w="108" w:type="dxa"/>
          </w:tblCellMar>
        </w:tblPrEx>
        <w:trPr>
          <w:trHeight w:val="478" w:hRule="atLeast"/>
          <w:tblHeader/>
          <w:jc w:val="center"/>
        </w:trPr>
        <w:tc>
          <w:tcPr>
            <w:tcW w:w="5699" w:type="dxa"/>
            <w:gridSpan w:val="2"/>
            <w:shd w:val="clear" w:color="auto" w:fill="auto"/>
            <w:noWrap w:val="0"/>
            <w:vAlign w:val="center"/>
          </w:tcPr>
          <w:p w14:paraId="21C74B1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试验项目</w:t>
            </w:r>
          </w:p>
        </w:tc>
        <w:tc>
          <w:tcPr>
            <w:tcW w:w="2868" w:type="dxa"/>
            <w:shd w:val="clear" w:color="auto" w:fill="auto"/>
            <w:noWrap w:val="0"/>
            <w:vAlign w:val="center"/>
          </w:tcPr>
          <w:p w14:paraId="15D0F29D">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70＃沥青指标要求</w:t>
            </w:r>
          </w:p>
        </w:tc>
      </w:tr>
      <w:tr w14:paraId="43208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699" w:type="dxa"/>
            <w:gridSpan w:val="2"/>
            <w:shd w:val="clear" w:color="auto" w:fill="auto"/>
            <w:noWrap w:val="0"/>
            <w:vAlign w:val="center"/>
          </w:tcPr>
          <w:p w14:paraId="21415967">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针入度（25℃，100g，5s）（0.1mm）</w:t>
            </w:r>
          </w:p>
        </w:tc>
        <w:tc>
          <w:tcPr>
            <w:tcW w:w="2868" w:type="dxa"/>
            <w:shd w:val="clear" w:color="auto" w:fill="auto"/>
            <w:noWrap w:val="0"/>
            <w:vAlign w:val="center"/>
          </w:tcPr>
          <w:p w14:paraId="12B8D76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60～80</w:t>
            </w:r>
          </w:p>
        </w:tc>
      </w:tr>
      <w:tr w14:paraId="5EC678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197CF0E9">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延度（5cm/min，15℃）（cm）</w:t>
            </w:r>
          </w:p>
        </w:tc>
        <w:tc>
          <w:tcPr>
            <w:tcW w:w="2868" w:type="dxa"/>
            <w:shd w:val="clear" w:color="auto" w:fill="auto"/>
            <w:noWrap w:val="0"/>
            <w:vAlign w:val="center"/>
          </w:tcPr>
          <w:p w14:paraId="25D64AE8">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不小于100</w:t>
            </w:r>
          </w:p>
        </w:tc>
      </w:tr>
      <w:tr w14:paraId="1489E5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360422D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延度（5cm/min，10℃）（cm）</w:t>
            </w:r>
          </w:p>
        </w:tc>
        <w:tc>
          <w:tcPr>
            <w:tcW w:w="2868" w:type="dxa"/>
            <w:shd w:val="clear" w:color="auto" w:fill="auto"/>
            <w:noWrap w:val="0"/>
            <w:vAlign w:val="center"/>
          </w:tcPr>
          <w:p w14:paraId="67CBD88C">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不小于20</w:t>
            </w:r>
          </w:p>
        </w:tc>
      </w:tr>
      <w:tr w14:paraId="5C353D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37B9C54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软化点（环球法）（℃）</w:t>
            </w:r>
          </w:p>
        </w:tc>
        <w:tc>
          <w:tcPr>
            <w:tcW w:w="2868" w:type="dxa"/>
            <w:shd w:val="clear" w:color="auto" w:fill="auto"/>
            <w:noWrap w:val="0"/>
            <w:vAlign w:val="center"/>
          </w:tcPr>
          <w:p w14:paraId="2D2F0A5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不小于46</w:t>
            </w:r>
          </w:p>
        </w:tc>
      </w:tr>
      <w:tr w14:paraId="33D44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4B9376E5">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溶解度（三氯乙烯）（％）</w:t>
            </w:r>
          </w:p>
        </w:tc>
        <w:tc>
          <w:tcPr>
            <w:tcW w:w="2868" w:type="dxa"/>
            <w:shd w:val="clear" w:color="auto" w:fill="auto"/>
            <w:noWrap w:val="0"/>
            <w:vAlign w:val="center"/>
          </w:tcPr>
          <w:p w14:paraId="1D3948B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不小于99.5</w:t>
            </w:r>
          </w:p>
        </w:tc>
      </w:tr>
      <w:tr w14:paraId="0B54B8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7C54F310">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针入度指数PI</w:t>
            </w:r>
          </w:p>
        </w:tc>
        <w:tc>
          <w:tcPr>
            <w:tcW w:w="2868" w:type="dxa"/>
            <w:shd w:val="clear" w:color="auto" w:fill="auto"/>
            <w:noWrap w:val="0"/>
            <w:vAlign w:val="center"/>
          </w:tcPr>
          <w:p w14:paraId="7FBE0AE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-1.5～+1.0</w:t>
            </w:r>
          </w:p>
        </w:tc>
      </w:tr>
      <w:tr w14:paraId="7F2277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551" w:type="dxa"/>
            <w:vMerge w:val="restart"/>
            <w:shd w:val="clear" w:color="auto" w:fill="auto"/>
            <w:noWrap w:val="0"/>
            <w:vAlign w:val="center"/>
          </w:tcPr>
          <w:p w14:paraId="6A7EF910">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薄膜加热试验</w:t>
            </w:r>
          </w:p>
          <w:p w14:paraId="24A0BE70">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163℃，5h</w:t>
            </w:r>
          </w:p>
        </w:tc>
        <w:tc>
          <w:tcPr>
            <w:tcW w:w="3148" w:type="dxa"/>
            <w:shd w:val="clear" w:color="auto" w:fill="auto"/>
            <w:noWrap w:val="0"/>
            <w:vAlign w:val="center"/>
          </w:tcPr>
          <w:p w14:paraId="01740D4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质量损失（％）</w:t>
            </w:r>
          </w:p>
        </w:tc>
        <w:tc>
          <w:tcPr>
            <w:tcW w:w="2868" w:type="dxa"/>
            <w:shd w:val="clear" w:color="auto" w:fill="auto"/>
            <w:noWrap w:val="0"/>
            <w:vAlign w:val="center"/>
          </w:tcPr>
          <w:p w14:paraId="200F1D48">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不大于±0.8</w:t>
            </w:r>
          </w:p>
        </w:tc>
      </w:tr>
      <w:tr w14:paraId="094C11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551" w:type="dxa"/>
            <w:vMerge w:val="continue"/>
            <w:shd w:val="clear" w:color="auto" w:fill="auto"/>
            <w:noWrap w:val="0"/>
            <w:vAlign w:val="center"/>
          </w:tcPr>
          <w:p w14:paraId="040198D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3148" w:type="dxa"/>
            <w:shd w:val="clear" w:color="auto" w:fill="auto"/>
            <w:noWrap w:val="0"/>
            <w:vAlign w:val="center"/>
          </w:tcPr>
          <w:p w14:paraId="15ACCB6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针入度比（％）</w:t>
            </w:r>
          </w:p>
        </w:tc>
        <w:tc>
          <w:tcPr>
            <w:tcW w:w="2868" w:type="dxa"/>
            <w:shd w:val="clear" w:color="auto" w:fill="auto"/>
            <w:noWrap w:val="0"/>
            <w:vAlign w:val="center"/>
          </w:tcPr>
          <w:p w14:paraId="6116807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不小于61</w:t>
            </w:r>
          </w:p>
        </w:tc>
      </w:tr>
      <w:tr w14:paraId="103C4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551" w:type="dxa"/>
            <w:vMerge w:val="continue"/>
            <w:shd w:val="clear" w:color="auto" w:fill="auto"/>
            <w:noWrap w:val="0"/>
            <w:vAlign w:val="center"/>
          </w:tcPr>
          <w:p w14:paraId="7D5EB4C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3148" w:type="dxa"/>
            <w:shd w:val="clear" w:color="auto" w:fill="auto"/>
            <w:noWrap w:val="0"/>
            <w:vAlign w:val="center"/>
          </w:tcPr>
          <w:p w14:paraId="2A666F45">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延度（10℃）（cm）</w:t>
            </w:r>
          </w:p>
        </w:tc>
        <w:tc>
          <w:tcPr>
            <w:tcW w:w="2868" w:type="dxa"/>
            <w:shd w:val="clear" w:color="auto" w:fill="auto"/>
            <w:noWrap w:val="0"/>
            <w:vAlign w:val="center"/>
          </w:tcPr>
          <w:p w14:paraId="161A136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不小于6</w:t>
            </w:r>
          </w:p>
        </w:tc>
      </w:tr>
      <w:tr w14:paraId="3E52E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2E735100">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闪点（COC）（℃）</w:t>
            </w:r>
          </w:p>
        </w:tc>
        <w:tc>
          <w:tcPr>
            <w:tcW w:w="2868" w:type="dxa"/>
            <w:shd w:val="clear" w:color="auto" w:fill="auto"/>
            <w:noWrap w:val="0"/>
            <w:vAlign w:val="center"/>
          </w:tcPr>
          <w:p w14:paraId="12FD857C">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不小于260</w:t>
            </w:r>
          </w:p>
        </w:tc>
      </w:tr>
      <w:tr w14:paraId="2973B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9" w:type="dxa"/>
            <w:gridSpan w:val="2"/>
            <w:shd w:val="clear" w:color="auto" w:fill="auto"/>
            <w:noWrap w:val="0"/>
            <w:vAlign w:val="center"/>
          </w:tcPr>
          <w:p w14:paraId="340CAF7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含蜡量（蒸馏法）（％）</w:t>
            </w:r>
          </w:p>
        </w:tc>
        <w:tc>
          <w:tcPr>
            <w:tcW w:w="2868" w:type="dxa"/>
            <w:shd w:val="clear" w:color="auto" w:fill="auto"/>
            <w:noWrap w:val="0"/>
            <w:vAlign w:val="center"/>
          </w:tcPr>
          <w:p w14:paraId="73DB8AB4">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不大于2.2</w:t>
            </w:r>
          </w:p>
        </w:tc>
      </w:tr>
      <w:tr w14:paraId="70C732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699" w:type="dxa"/>
            <w:gridSpan w:val="2"/>
            <w:shd w:val="clear" w:color="auto" w:fill="auto"/>
            <w:noWrap w:val="0"/>
            <w:vAlign w:val="center"/>
          </w:tcPr>
          <w:p w14:paraId="515B33B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动力粘度（绝对粘度，60℃）（pa.s）</w:t>
            </w:r>
          </w:p>
        </w:tc>
        <w:tc>
          <w:tcPr>
            <w:tcW w:w="2868" w:type="dxa"/>
            <w:shd w:val="clear" w:color="auto" w:fill="auto"/>
            <w:noWrap w:val="0"/>
            <w:vAlign w:val="center"/>
          </w:tcPr>
          <w:p w14:paraId="059FE20C">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不小于180</w:t>
            </w:r>
          </w:p>
        </w:tc>
      </w:tr>
    </w:tbl>
    <w:p w14:paraId="066C26B6">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车行道上面层采用SBS改性沥青（I-D），各项技术指标要求见下表：</w:t>
      </w:r>
    </w:p>
    <w:p w14:paraId="37AA61D2">
      <w:pPr>
        <w:pStyle w:val="72"/>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4  </w:t>
      </w:r>
      <w:r>
        <w:rPr>
          <w:rFonts w:hint="eastAsia" w:ascii="宋体" w:hAnsi="宋体" w:eastAsia="宋体" w:cs="宋体"/>
          <w:b/>
          <w:bCs/>
          <w:color w:val="auto"/>
          <w:sz w:val="24"/>
          <w:szCs w:val="24"/>
        </w:rPr>
        <w:t xml:space="preserve">聚合物改性沥青技术要求 </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251"/>
        <w:gridCol w:w="4013"/>
        <w:gridCol w:w="2357"/>
      </w:tblGrid>
      <w:tr w14:paraId="2491027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6264" w:type="dxa"/>
            <w:gridSpan w:val="2"/>
            <w:noWrap w:val="0"/>
            <w:vAlign w:val="center"/>
          </w:tcPr>
          <w:p w14:paraId="52E543C8">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试验项目</w:t>
            </w:r>
          </w:p>
        </w:tc>
        <w:tc>
          <w:tcPr>
            <w:tcW w:w="2357" w:type="dxa"/>
            <w:noWrap w:val="0"/>
            <w:vAlign w:val="center"/>
          </w:tcPr>
          <w:p w14:paraId="3721739C">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改性沥青指标要求</w:t>
            </w:r>
          </w:p>
        </w:tc>
      </w:tr>
      <w:tr w14:paraId="71540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6264" w:type="dxa"/>
            <w:gridSpan w:val="2"/>
            <w:noWrap w:val="0"/>
            <w:vAlign w:val="center"/>
          </w:tcPr>
          <w:p w14:paraId="3C4DF081">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针入度（25℃，100g，5s）（0.1mm）</w:t>
            </w:r>
          </w:p>
        </w:tc>
        <w:tc>
          <w:tcPr>
            <w:tcW w:w="2357" w:type="dxa"/>
            <w:noWrap w:val="0"/>
            <w:vAlign w:val="center"/>
          </w:tcPr>
          <w:p w14:paraId="297442E4">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30～60</w:t>
            </w:r>
          </w:p>
        </w:tc>
      </w:tr>
      <w:tr w14:paraId="376B8D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6264" w:type="dxa"/>
            <w:gridSpan w:val="2"/>
            <w:noWrap w:val="0"/>
            <w:vAlign w:val="center"/>
          </w:tcPr>
          <w:p w14:paraId="0FEDD7CA">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延度（5cm/min，5℃）（cm）</w:t>
            </w:r>
          </w:p>
        </w:tc>
        <w:tc>
          <w:tcPr>
            <w:tcW w:w="2357" w:type="dxa"/>
            <w:noWrap w:val="0"/>
            <w:vAlign w:val="center"/>
          </w:tcPr>
          <w:p w14:paraId="4D110106">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不小于20</w:t>
            </w:r>
          </w:p>
        </w:tc>
      </w:tr>
      <w:tr w14:paraId="6C85BC6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6264" w:type="dxa"/>
            <w:gridSpan w:val="2"/>
            <w:noWrap w:val="0"/>
            <w:vAlign w:val="center"/>
          </w:tcPr>
          <w:p w14:paraId="7D17BDDD">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软化点（环球法）（℃）</w:t>
            </w:r>
          </w:p>
        </w:tc>
        <w:tc>
          <w:tcPr>
            <w:tcW w:w="2357" w:type="dxa"/>
            <w:noWrap w:val="0"/>
            <w:vAlign w:val="center"/>
          </w:tcPr>
          <w:p w14:paraId="6C44452A">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不小于60</w:t>
            </w:r>
          </w:p>
        </w:tc>
      </w:tr>
      <w:tr w14:paraId="0AB180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3" w:hRule="exact"/>
          <w:jc w:val="center"/>
        </w:trPr>
        <w:tc>
          <w:tcPr>
            <w:tcW w:w="6264" w:type="dxa"/>
            <w:gridSpan w:val="2"/>
            <w:noWrap w:val="0"/>
            <w:vAlign w:val="center"/>
          </w:tcPr>
          <w:p w14:paraId="25F12F03">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溶解度（三氯乙烯）（％）</w:t>
            </w:r>
          </w:p>
        </w:tc>
        <w:tc>
          <w:tcPr>
            <w:tcW w:w="2357" w:type="dxa"/>
            <w:noWrap w:val="0"/>
            <w:vAlign w:val="center"/>
          </w:tcPr>
          <w:p w14:paraId="00E72569">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不小于99</w:t>
            </w:r>
          </w:p>
        </w:tc>
      </w:tr>
      <w:tr w14:paraId="22BA6C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6" w:hRule="exact"/>
          <w:jc w:val="center"/>
        </w:trPr>
        <w:tc>
          <w:tcPr>
            <w:tcW w:w="6264" w:type="dxa"/>
            <w:gridSpan w:val="2"/>
            <w:noWrap w:val="0"/>
            <w:vAlign w:val="center"/>
          </w:tcPr>
          <w:p w14:paraId="2B9297FE">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针入度指数PI</w:t>
            </w:r>
          </w:p>
        </w:tc>
        <w:tc>
          <w:tcPr>
            <w:tcW w:w="2357" w:type="dxa"/>
            <w:noWrap w:val="0"/>
            <w:vAlign w:val="center"/>
          </w:tcPr>
          <w:p w14:paraId="49BD0C31">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不小于0</w:t>
            </w:r>
          </w:p>
        </w:tc>
      </w:tr>
      <w:tr w14:paraId="53B7C06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8" w:hRule="exact"/>
          <w:jc w:val="center"/>
        </w:trPr>
        <w:tc>
          <w:tcPr>
            <w:tcW w:w="6264" w:type="dxa"/>
            <w:gridSpan w:val="2"/>
            <w:noWrap w:val="0"/>
            <w:vAlign w:val="center"/>
          </w:tcPr>
          <w:p w14:paraId="196BB86D">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闪点（℃）</w:t>
            </w:r>
          </w:p>
        </w:tc>
        <w:tc>
          <w:tcPr>
            <w:tcW w:w="2357" w:type="dxa"/>
            <w:noWrap w:val="0"/>
            <w:vAlign w:val="center"/>
          </w:tcPr>
          <w:p w14:paraId="52D1D697">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不小于230</w:t>
            </w:r>
          </w:p>
        </w:tc>
      </w:tr>
      <w:tr w14:paraId="315E1DF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6" w:hRule="exact"/>
          <w:jc w:val="center"/>
        </w:trPr>
        <w:tc>
          <w:tcPr>
            <w:tcW w:w="2251" w:type="dxa"/>
            <w:vMerge w:val="restart"/>
            <w:noWrap w:val="0"/>
            <w:vAlign w:val="center"/>
          </w:tcPr>
          <w:p w14:paraId="4174ED85">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RTFOT试验后</w:t>
            </w:r>
          </w:p>
        </w:tc>
        <w:tc>
          <w:tcPr>
            <w:tcW w:w="4013" w:type="dxa"/>
            <w:noWrap w:val="0"/>
            <w:vAlign w:val="center"/>
          </w:tcPr>
          <w:p w14:paraId="19EFBAA4">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质量损失（％）</w:t>
            </w:r>
          </w:p>
        </w:tc>
        <w:tc>
          <w:tcPr>
            <w:tcW w:w="2357" w:type="dxa"/>
            <w:noWrap w:val="0"/>
            <w:vAlign w:val="center"/>
          </w:tcPr>
          <w:p w14:paraId="459BC342">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不大于±1.0</w:t>
            </w:r>
          </w:p>
        </w:tc>
      </w:tr>
      <w:tr w14:paraId="046FD4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2251" w:type="dxa"/>
            <w:vMerge w:val="continue"/>
            <w:noWrap w:val="0"/>
            <w:vAlign w:val="center"/>
          </w:tcPr>
          <w:p w14:paraId="2EC87CF9">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4013" w:type="dxa"/>
            <w:noWrap w:val="0"/>
            <w:vAlign w:val="center"/>
          </w:tcPr>
          <w:p w14:paraId="60F496BA">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针入度比（25℃）（％）</w:t>
            </w:r>
          </w:p>
        </w:tc>
        <w:tc>
          <w:tcPr>
            <w:tcW w:w="2357" w:type="dxa"/>
            <w:noWrap w:val="0"/>
            <w:vAlign w:val="center"/>
          </w:tcPr>
          <w:p w14:paraId="52A169F3">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不小于65</w:t>
            </w:r>
          </w:p>
        </w:tc>
      </w:tr>
      <w:tr w14:paraId="2A3923A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0" w:hRule="exact"/>
          <w:jc w:val="center"/>
        </w:trPr>
        <w:tc>
          <w:tcPr>
            <w:tcW w:w="2251" w:type="dxa"/>
            <w:vMerge w:val="continue"/>
            <w:noWrap w:val="0"/>
            <w:vAlign w:val="center"/>
          </w:tcPr>
          <w:p w14:paraId="2467737F">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4013" w:type="dxa"/>
            <w:noWrap w:val="0"/>
            <w:vAlign w:val="center"/>
          </w:tcPr>
          <w:p w14:paraId="527B1BF2">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延度（5cm/min，5℃）（cm）</w:t>
            </w:r>
          </w:p>
        </w:tc>
        <w:tc>
          <w:tcPr>
            <w:tcW w:w="2357" w:type="dxa"/>
            <w:noWrap w:val="0"/>
            <w:vAlign w:val="center"/>
          </w:tcPr>
          <w:p w14:paraId="7208B487">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不小于15</w:t>
            </w:r>
          </w:p>
        </w:tc>
      </w:tr>
      <w:tr w14:paraId="0747C6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exact"/>
          <w:jc w:val="center"/>
        </w:trPr>
        <w:tc>
          <w:tcPr>
            <w:tcW w:w="6264" w:type="dxa"/>
            <w:gridSpan w:val="2"/>
            <w:noWrap w:val="0"/>
            <w:vAlign w:val="center"/>
          </w:tcPr>
          <w:p w14:paraId="2A89E2F9">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弹性恢复（25℃）（％）</w:t>
            </w:r>
          </w:p>
        </w:tc>
        <w:tc>
          <w:tcPr>
            <w:tcW w:w="2357" w:type="dxa"/>
            <w:noWrap w:val="0"/>
            <w:vAlign w:val="center"/>
          </w:tcPr>
          <w:p w14:paraId="4CB7A799">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不小于75</w:t>
            </w:r>
          </w:p>
        </w:tc>
      </w:tr>
      <w:tr w14:paraId="21D1E5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6" w:hRule="exact"/>
          <w:jc w:val="center"/>
        </w:trPr>
        <w:tc>
          <w:tcPr>
            <w:tcW w:w="6264" w:type="dxa"/>
            <w:gridSpan w:val="2"/>
            <w:noWrap w:val="0"/>
            <w:vAlign w:val="center"/>
          </w:tcPr>
          <w:p w14:paraId="779555ED">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离析，软化点差（℃）</w:t>
            </w:r>
          </w:p>
        </w:tc>
        <w:tc>
          <w:tcPr>
            <w:tcW w:w="2357" w:type="dxa"/>
            <w:noWrap w:val="0"/>
            <w:vAlign w:val="center"/>
          </w:tcPr>
          <w:p w14:paraId="69056B38">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不大于2.5</w:t>
            </w:r>
          </w:p>
        </w:tc>
      </w:tr>
      <w:tr w14:paraId="63FC22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6" w:hRule="exact"/>
          <w:jc w:val="center"/>
        </w:trPr>
        <w:tc>
          <w:tcPr>
            <w:tcW w:w="6264" w:type="dxa"/>
            <w:gridSpan w:val="2"/>
            <w:noWrap w:val="0"/>
            <w:vAlign w:val="center"/>
          </w:tcPr>
          <w:p w14:paraId="08C6CAD9">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运动粘度（135℃）（pa.s）</w:t>
            </w:r>
          </w:p>
        </w:tc>
        <w:tc>
          <w:tcPr>
            <w:tcW w:w="2357" w:type="dxa"/>
            <w:noWrap w:val="0"/>
            <w:vAlign w:val="center"/>
          </w:tcPr>
          <w:p w14:paraId="6DF48636">
            <w:pPr>
              <w:keepNext w:val="0"/>
              <w:keepLines w:val="0"/>
              <w:pageBreakBefore w:val="0"/>
              <w:widowControl w:val="0"/>
              <w:kinsoku/>
              <w:wordWrap w:val="0"/>
              <w:overflowPunct/>
              <w:topLinePunct/>
              <w:autoSpaceDE w:val="0"/>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不大于3</w:t>
            </w:r>
          </w:p>
        </w:tc>
      </w:tr>
    </w:tbl>
    <w:p w14:paraId="7DF9C8F0">
      <w:pPr>
        <w:keepNext w:val="0"/>
        <w:keepLines w:val="0"/>
        <w:pageBreakBefore w:val="0"/>
        <w:widowControl w:val="0"/>
        <w:kinsoku/>
        <w:wordWrap w:val="0"/>
        <w:overflowPunct/>
        <w:topLinePunct w:val="0"/>
        <w:autoSpaceDE/>
        <w:autoSpaceDN/>
        <w:bidi w:val="0"/>
        <w:adjustRightInd/>
        <w:snapToGrid/>
        <w:spacing w:before="157" w:beforeLines="50"/>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粘层、透层、稀浆封层均采用乳化沥青，各项技术指标要求见下表：</w:t>
      </w:r>
    </w:p>
    <w:p w14:paraId="21961180">
      <w:pPr>
        <w:pStyle w:val="72"/>
        <w:keepNext/>
        <w:keepLines/>
        <w:pageBreakBefore w:val="0"/>
        <w:widowControl w:val="0"/>
        <w:kinsoku/>
        <w:wordWrap/>
        <w:overflowPunct/>
        <w:topLinePunct w:val="0"/>
        <w:autoSpaceDE/>
        <w:autoSpaceDN/>
        <w:bidi w:val="0"/>
        <w:adjustRightInd/>
        <w:snapToGrid/>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5  </w:t>
      </w:r>
      <w:r>
        <w:rPr>
          <w:rFonts w:hint="eastAsia" w:ascii="宋体" w:hAnsi="宋体" w:eastAsia="宋体" w:cs="宋体"/>
          <w:b/>
          <w:bCs/>
          <w:color w:val="auto"/>
          <w:sz w:val="24"/>
          <w:szCs w:val="24"/>
        </w:rPr>
        <w:t>乳化沥青技术要求</w:t>
      </w:r>
    </w:p>
    <w:tbl>
      <w:tblPr>
        <w:tblStyle w:val="18"/>
        <w:tblW w:w="9578" w:type="dxa"/>
        <w:jc w:val="center"/>
        <w:tblLayout w:type="autofit"/>
        <w:tblCellMar>
          <w:top w:w="0" w:type="dxa"/>
          <w:left w:w="108" w:type="dxa"/>
          <w:bottom w:w="0" w:type="dxa"/>
          <w:right w:w="108" w:type="dxa"/>
        </w:tblCellMar>
      </w:tblPr>
      <w:tblGrid>
        <w:gridCol w:w="1192"/>
        <w:gridCol w:w="2925"/>
        <w:gridCol w:w="679"/>
        <w:gridCol w:w="2391"/>
        <w:gridCol w:w="2391"/>
      </w:tblGrid>
      <w:tr w14:paraId="42DB8FA3">
        <w:tblPrEx>
          <w:tblCellMar>
            <w:top w:w="0" w:type="dxa"/>
            <w:left w:w="108" w:type="dxa"/>
            <w:bottom w:w="0" w:type="dxa"/>
            <w:right w:w="108" w:type="dxa"/>
          </w:tblCellMar>
        </w:tblPrEx>
        <w:trPr>
          <w:trHeight w:val="454" w:hRule="atLeast"/>
          <w:tblHeader/>
          <w:jc w:val="center"/>
        </w:trPr>
        <w:tc>
          <w:tcPr>
            <w:tcW w:w="4117" w:type="dxa"/>
            <w:gridSpan w:val="2"/>
            <w:vMerge w:val="restart"/>
            <w:tcBorders>
              <w:top w:val="single" w:color="auto" w:sz="12" w:space="0"/>
              <w:left w:val="single" w:color="auto" w:sz="12" w:space="0"/>
              <w:bottom w:val="single" w:color="auto" w:sz="4" w:space="0"/>
              <w:right w:val="single" w:color="auto" w:sz="4" w:space="0"/>
            </w:tcBorders>
            <w:noWrap w:val="0"/>
            <w:vAlign w:val="center"/>
          </w:tcPr>
          <w:p w14:paraId="434D1A90">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试验项目</w:t>
            </w:r>
          </w:p>
        </w:tc>
        <w:tc>
          <w:tcPr>
            <w:tcW w:w="679" w:type="dxa"/>
            <w:vMerge w:val="restart"/>
            <w:tcBorders>
              <w:top w:val="single" w:color="auto" w:sz="12" w:space="0"/>
              <w:left w:val="single" w:color="auto" w:sz="4" w:space="0"/>
              <w:bottom w:val="single" w:color="auto" w:sz="4" w:space="0"/>
              <w:right w:val="single" w:color="auto" w:sz="4" w:space="0"/>
            </w:tcBorders>
            <w:noWrap w:val="0"/>
            <w:vAlign w:val="center"/>
          </w:tcPr>
          <w:p w14:paraId="53339F0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单位</w:t>
            </w:r>
          </w:p>
        </w:tc>
        <w:tc>
          <w:tcPr>
            <w:tcW w:w="4782" w:type="dxa"/>
            <w:gridSpan w:val="2"/>
            <w:tcBorders>
              <w:top w:val="single" w:color="auto" w:sz="12" w:space="0"/>
              <w:left w:val="nil"/>
              <w:bottom w:val="single" w:color="auto" w:sz="4" w:space="0"/>
              <w:right w:val="single" w:color="auto" w:sz="12" w:space="0"/>
            </w:tcBorders>
            <w:noWrap w:val="0"/>
            <w:vAlign w:val="center"/>
          </w:tcPr>
          <w:p w14:paraId="7A3282F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lang w:eastAsia="zh-CN"/>
              </w:rPr>
              <w:t>品种及代号</w:t>
            </w:r>
          </w:p>
        </w:tc>
      </w:tr>
      <w:tr w14:paraId="67A3F175">
        <w:tblPrEx>
          <w:tblCellMar>
            <w:top w:w="0" w:type="dxa"/>
            <w:left w:w="108" w:type="dxa"/>
            <w:bottom w:w="0" w:type="dxa"/>
            <w:right w:w="108" w:type="dxa"/>
          </w:tblCellMar>
        </w:tblPrEx>
        <w:trPr>
          <w:trHeight w:val="454" w:hRule="atLeast"/>
          <w:tblHeader/>
          <w:jc w:val="center"/>
        </w:trPr>
        <w:tc>
          <w:tcPr>
            <w:tcW w:w="4117" w:type="dxa"/>
            <w:gridSpan w:val="2"/>
            <w:vMerge w:val="continue"/>
            <w:tcBorders>
              <w:top w:val="single" w:color="auto" w:sz="4" w:space="0"/>
              <w:left w:val="single" w:color="auto" w:sz="12" w:space="0"/>
              <w:bottom w:val="single" w:color="auto" w:sz="4" w:space="0"/>
              <w:right w:val="single" w:color="auto" w:sz="4" w:space="0"/>
            </w:tcBorders>
            <w:noWrap w:val="0"/>
            <w:vAlign w:val="center"/>
          </w:tcPr>
          <w:p w14:paraId="2D358D5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679" w:type="dxa"/>
            <w:vMerge w:val="continue"/>
            <w:tcBorders>
              <w:top w:val="single" w:color="auto" w:sz="4" w:space="0"/>
              <w:left w:val="single" w:color="auto" w:sz="4" w:space="0"/>
              <w:bottom w:val="single" w:color="auto" w:sz="4" w:space="0"/>
              <w:right w:val="single" w:color="auto" w:sz="4" w:space="0"/>
            </w:tcBorders>
            <w:noWrap w:val="0"/>
            <w:vAlign w:val="center"/>
          </w:tcPr>
          <w:p w14:paraId="3B35D51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391" w:type="dxa"/>
            <w:tcBorders>
              <w:top w:val="single" w:color="auto" w:sz="4" w:space="0"/>
              <w:left w:val="nil"/>
              <w:bottom w:val="single" w:color="auto" w:sz="4" w:space="0"/>
              <w:right w:val="single" w:color="auto" w:sz="12" w:space="0"/>
            </w:tcBorders>
            <w:noWrap w:val="0"/>
            <w:vAlign w:val="center"/>
          </w:tcPr>
          <w:p w14:paraId="67E014B9">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rPr>
            </w:pPr>
            <w:r>
              <w:rPr>
                <w:rFonts w:hint="eastAsia" w:ascii="宋体" w:hAnsi="宋体" w:eastAsia="宋体" w:cs="宋体"/>
                <w:color w:val="auto"/>
                <w:sz w:val="24"/>
                <w:szCs w:val="28"/>
                <w:lang w:val="en-US" w:eastAsia="zh-CN"/>
              </w:rPr>
              <w:t>PC-2</w:t>
            </w:r>
          </w:p>
        </w:tc>
        <w:tc>
          <w:tcPr>
            <w:tcW w:w="2391" w:type="dxa"/>
            <w:tcBorders>
              <w:top w:val="single" w:color="auto" w:sz="4" w:space="0"/>
              <w:left w:val="nil"/>
              <w:bottom w:val="single" w:color="auto" w:sz="4" w:space="0"/>
              <w:right w:val="single" w:color="auto" w:sz="12" w:space="0"/>
            </w:tcBorders>
            <w:noWrap w:val="0"/>
            <w:vAlign w:val="center"/>
          </w:tcPr>
          <w:p w14:paraId="645C8B3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PC-3</w:t>
            </w:r>
          </w:p>
        </w:tc>
      </w:tr>
      <w:tr w14:paraId="3C0C482C">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4" w:space="0"/>
              <w:right w:val="single" w:color="auto" w:sz="4" w:space="0"/>
            </w:tcBorders>
            <w:noWrap w:val="0"/>
            <w:vAlign w:val="center"/>
          </w:tcPr>
          <w:p w14:paraId="3348991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破乳速度</w:t>
            </w:r>
          </w:p>
        </w:tc>
        <w:tc>
          <w:tcPr>
            <w:tcW w:w="679" w:type="dxa"/>
            <w:tcBorders>
              <w:top w:val="single" w:color="auto" w:sz="4" w:space="0"/>
              <w:left w:val="nil"/>
              <w:bottom w:val="single" w:color="auto" w:sz="4" w:space="0"/>
              <w:right w:val="single" w:color="auto" w:sz="4" w:space="0"/>
            </w:tcBorders>
            <w:noWrap w:val="0"/>
            <w:vAlign w:val="center"/>
          </w:tcPr>
          <w:p w14:paraId="6E49E4E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391" w:type="dxa"/>
            <w:tcBorders>
              <w:top w:val="single" w:color="auto" w:sz="4" w:space="0"/>
              <w:left w:val="nil"/>
              <w:bottom w:val="single" w:color="auto" w:sz="4" w:space="0"/>
              <w:right w:val="single" w:color="auto" w:sz="12" w:space="0"/>
            </w:tcBorders>
            <w:noWrap w:val="0"/>
            <w:vAlign w:val="center"/>
          </w:tcPr>
          <w:p w14:paraId="03E7FE97">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lang w:eastAsia="zh-CN"/>
              </w:rPr>
              <w:t>慢裂</w:t>
            </w:r>
          </w:p>
        </w:tc>
        <w:tc>
          <w:tcPr>
            <w:tcW w:w="2391" w:type="dxa"/>
            <w:tcBorders>
              <w:top w:val="single" w:color="auto" w:sz="4" w:space="0"/>
              <w:left w:val="nil"/>
              <w:bottom w:val="single" w:color="auto" w:sz="4" w:space="0"/>
              <w:right w:val="single" w:color="auto" w:sz="12" w:space="0"/>
            </w:tcBorders>
            <w:noWrap w:val="0"/>
            <w:vAlign w:val="center"/>
          </w:tcPr>
          <w:p w14:paraId="587F828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rPr>
              <w:t>快裂或中裂</w:t>
            </w:r>
          </w:p>
        </w:tc>
      </w:tr>
      <w:tr w14:paraId="4BBFB9B4">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4" w:space="0"/>
              <w:right w:val="single" w:color="auto" w:sz="4" w:space="0"/>
            </w:tcBorders>
            <w:noWrap w:val="0"/>
            <w:vAlign w:val="center"/>
          </w:tcPr>
          <w:p w14:paraId="67AF00F8">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粒子电荷</w:t>
            </w:r>
          </w:p>
        </w:tc>
        <w:tc>
          <w:tcPr>
            <w:tcW w:w="679" w:type="dxa"/>
            <w:tcBorders>
              <w:top w:val="nil"/>
              <w:left w:val="nil"/>
              <w:bottom w:val="single" w:color="auto" w:sz="4" w:space="0"/>
              <w:right w:val="single" w:color="auto" w:sz="4" w:space="0"/>
            </w:tcBorders>
            <w:noWrap w:val="0"/>
            <w:vAlign w:val="center"/>
          </w:tcPr>
          <w:p w14:paraId="150BA7B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391" w:type="dxa"/>
            <w:tcBorders>
              <w:top w:val="single" w:color="auto" w:sz="4" w:space="0"/>
              <w:left w:val="nil"/>
              <w:bottom w:val="single" w:color="auto" w:sz="4" w:space="0"/>
              <w:right w:val="single" w:color="auto" w:sz="12" w:space="0"/>
            </w:tcBorders>
            <w:noWrap w:val="0"/>
            <w:vAlign w:val="center"/>
          </w:tcPr>
          <w:p w14:paraId="3567B8F7">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阳离子(+)</w:t>
            </w:r>
          </w:p>
        </w:tc>
        <w:tc>
          <w:tcPr>
            <w:tcW w:w="2391" w:type="dxa"/>
            <w:tcBorders>
              <w:top w:val="single" w:color="auto" w:sz="4" w:space="0"/>
              <w:left w:val="nil"/>
              <w:bottom w:val="single" w:color="auto" w:sz="4" w:space="0"/>
              <w:right w:val="single" w:color="auto" w:sz="12" w:space="0"/>
            </w:tcBorders>
            <w:noWrap w:val="0"/>
            <w:vAlign w:val="center"/>
          </w:tcPr>
          <w:p w14:paraId="177907B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阳离子(+)</w:t>
            </w:r>
          </w:p>
        </w:tc>
      </w:tr>
      <w:tr w14:paraId="4574485E">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4" w:space="0"/>
              <w:right w:val="single" w:color="auto" w:sz="4" w:space="0"/>
            </w:tcBorders>
            <w:noWrap w:val="0"/>
            <w:vAlign w:val="center"/>
          </w:tcPr>
          <w:p w14:paraId="3CF9F04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筛上残留物(1.18mm筛)     不大于</w:t>
            </w:r>
          </w:p>
        </w:tc>
        <w:tc>
          <w:tcPr>
            <w:tcW w:w="679" w:type="dxa"/>
            <w:tcBorders>
              <w:top w:val="nil"/>
              <w:left w:val="nil"/>
              <w:bottom w:val="single" w:color="auto" w:sz="4" w:space="0"/>
              <w:right w:val="single" w:color="auto" w:sz="4" w:space="0"/>
            </w:tcBorders>
            <w:noWrap w:val="0"/>
            <w:vAlign w:val="center"/>
          </w:tcPr>
          <w:p w14:paraId="79EEB1B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w:t>
            </w:r>
          </w:p>
        </w:tc>
        <w:tc>
          <w:tcPr>
            <w:tcW w:w="2391" w:type="dxa"/>
            <w:tcBorders>
              <w:top w:val="single" w:color="auto" w:sz="4" w:space="0"/>
              <w:left w:val="nil"/>
              <w:bottom w:val="single" w:color="auto" w:sz="4" w:space="0"/>
              <w:right w:val="single" w:color="auto" w:sz="12" w:space="0"/>
            </w:tcBorders>
            <w:noWrap w:val="0"/>
            <w:vAlign w:val="center"/>
          </w:tcPr>
          <w:p w14:paraId="4651C61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0.1</w:t>
            </w:r>
          </w:p>
        </w:tc>
        <w:tc>
          <w:tcPr>
            <w:tcW w:w="2391" w:type="dxa"/>
            <w:tcBorders>
              <w:top w:val="single" w:color="auto" w:sz="4" w:space="0"/>
              <w:left w:val="nil"/>
              <w:bottom w:val="single" w:color="auto" w:sz="4" w:space="0"/>
              <w:right w:val="single" w:color="auto" w:sz="12" w:space="0"/>
            </w:tcBorders>
            <w:noWrap w:val="0"/>
            <w:vAlign w:val="center"/>
          </w:tcPr>
          <w:p w14:paraId="7CEBE3A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0.1</w:t>
            </w:r>
          </w:p>
        </w:tc>
      </w:tr>
      <w:tr w14:paraId="15CF4314">
        <w:tblPrEx>
          <w:tblCellMar>
            <w:top w:w="0" w:type="dxa"/>
            <w:left w:w="108" w:type="dxa"/>
            <w:bottom w:w="0" w:type="dxa"/>
            <w:right w:w="108" w:type="dxa"/>
          </w:tblCellMar>
        </w:tblPrEx>
        <w:trPr>
          <w:trHeight w:val="454" w:hRule="atLeast"/>
          <w:jc w:val="center"/>
        </w:trPr>
        <w:tc>
          <w:tcPr>
            <w:tcW w:w="1192" w:type="dxa"/>
            <w:vMerge w:val="restart"/>
            <w:tcBorders>
              <w:top w:val="nil"/>
              <w:left w:val="single" w:color="auto" w:sz="12" w:space="0"/>
              <w:bottom w:val="single" w:color="auto" w:sz="4" w:space="0"/>
              <w:right w:val="single" w:color="auto" w:sz="4" w:space="0"/>
            </w:tcBorders>
            <w:noWrap w:val="0"/>
            <w:vAlign w:val="center"/>
          </w:tcPr>
          <w:p w14:paraId="1E7B338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p w14:paraId="01743FE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粘度</w:t>
            </w:r>
          </w:p>
        </w:tc>
        <w:tc>
          <w:tcPr>
            <w:tcW w:w="2925" w:type="dxa"/>
            <w:tcBorders>
              <w:top w:val="nil"/>
              <w:left w:val="nil"/>
              <w:bottom w:val="single" w:color="auto" w:sz="4" w:space="0"/>
              <w:right w:val="single" w:color="auto" w:sz="4" w:space="0"/>
            </w:tcBorders>
            <w:noWrap w:val="0"/>
            <w:vAlign w:val="center"/>
          </w:tcPr>
          <w:p w14:paraId="198884C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恩格拉粘度计E25</w:t>
            </w:r>
          </w:p>
        </w:tc>
        <w:tc>
          <w:tcPr>
            <w:tcW w:w="679" w:type="dxa"/>
            <w:tcBorders>
              <w:top w:val="nil"/>
              <w:left w:val="nil"/>
              <w:bottom w:val="single" w:color="auto" w:sz="4" w:space="0"/>
              <w:right w:val="single" w:color="auto" w:sz="4" w:space="0"/>
            </w:tcBorders>
            <w:noWrap w:val="0"/>
            <w:vAlign w:val="center"/>
          </w:tcPr>
          <w:p w14:paraId="3991C1A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391" w:type="dxa"/>
            <w:tcBorders>
              <w:top w:val="nil"/>
              <w:left w:val="nil"/>
              <w:bottom w:val="single" w:color="auto" w:sz="4" w:space="0"/>
              <w:right w:val="single" w:color="auto" w:sz="12" w:space="0"/>
            </w:tcBorders>
            <w:noWrap w:val="0"/>
            <w:vAlign w:val="center"/>
          </w:tcPr>
          <w:p w14:paraId="22A64AA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rPr>
              <w:t>1～</w:t>
            </w:r>
            <w:r>
              <w:rPr>
                <w:rFonts w:hint="eastAsia" w:ascii="宋体" w:hAnsi="宋体" w:eastAsia="宋体" w:cs="宋体"/>
                <w:color w:val="auto"/>
                <w:sz w:val="24"/>
                <w:szCs w:val="28"/>
                <w:lang w:val="en-US" w:eastAsia="zh-CN"/>
              </w:rPr>
              <w:t>6</w:t>
            </w:r>
          </w:p>
        </w:tc>
        <w:tc>
          <w:tcPr>
            <w:tcW w:w="2391" w:type="dxa"/>
            <w:tcBorders>
              <w:top w:val="nil"/>
              <w:left w:val="nil"/>
              <w:bottom w:val="single" w:color="auto" w:sz="4" w:space="0"/>
              <w:right w:val="single" w:color="auto" w:sz="12" w:space="0"/>
            </w:tcBorders>
            <w:noWrap w:val="0"/>
            <w:vAlign w:val="center"/>
          </w:tcPr>
          <w:p w14:paraId="557EF19C">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1</w:t>
            </w:r>
            <w:r>
              <w:rPr>
                <w:rFonts w:hint="eastAsia" w:ascii="宋体" w:hAnsi="宋体" w:eastAsia="宋体" w:cs="宋体"/>
                <w:color w:val="auto"/>
                <w:sz w:val="24"/>
                <w:szCs w:val="28"/>
              </w:rPr>
              <w:t>～</w:t>
            </w:r>
            <w:r>
              <w:rPr>
                <w:rFonts w:hint="eastAsia" w:ascii="宋体" w:hAnsi="宋体" w:eastAsia="宋体" w:cs="宋体"/>
                <w:color w:val="auto"/>
                <w:sz w:val="24"/>
                <w:szCs w:val="28"/>
                <w:lang w:val="en-US" w:eastAsia="zh-CN"/>
              </w:rPr>
              <w:t>6</w:t>
            </w:r>
          </w:p>
        </w:tc>
      </w:tr>
      <w:tr w14:paraId="1E34E58A">
        <w:tblPrEx>
          <w:tblCellMar>
            <w:top w:w="0" w:type="dxa"/>
            <w:left w:w="108" w:type="dxa"/>
            <w:bottom w:w="0" w:type="dxa"/>
            <w:right w:w="108" w:type="dxa"/>
          </w:tblCellMar>
        </w:tblPrEx>
        <w:trPr>
          <w:trHeight w:val="454" w:hRule="atLeast"/>
          <w:jc w:val="center"/>
        </w:trPr>
        <w:tc>
          <w:tcPr>
            <w:tcW w:w="1192" w:type="dxa"/>
            <w:vMerge w:val="continue"/>
            <w:tcBorders>
              <w:top w:val="nil"/>
              <w:left w:val="single" w:color="auto" w:sz="12" w:space="0"/>
              <w:bottom w:val="single" w:color="auto" w:sz="4" w:space="0"/>
              <w:right w:val="single" w:color="auto" w:sz="4" w:space="0"/>
            </w:tcBorders>
            <w:noWrap w:val="0"/>
            <w:vAlign w:val="center"/>
          </w:tcPr>
          <w:p w14:paraId="634F950D">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925" w:type="dxa"/>
            <w:tcBorders>
              <w:top w:val="nil"/>
              <w:left w:val="nil"/>
              <w:bottom w:val="single" w:color="auto" w:sz="4" w:space="0"/>
              <w:right w:val="single" w:color="auto" w:sz="4" w:space="0"/>
            </w:tcBorders>
            <w:noWrap w:val="0"/>
            <w:vAlign w:val="center"/>
          </w:tcPr>
          <w:p w14:paraId="18BFE58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道路标准粘度计C25.3</w:t>
            </w:r>
          </w:p>
        </w:tc>
        <w:tc>
          <w:tcPr>
            <w:tcW w:w="679" w:type="dxa"/>
            <w:tcBorders>
              <w:top w:val="nil"/>
              <w:left w:val="nil"/>
              <w:bottom w:val="single" w:color="auto" w:sz="4" w:space="0"/>
              <w:right w:val="single" w:color="auto" w:sz="4" w:space="0"/>
            </w:tcBorders>
            <w:noWrap w:val="0"/>
            <w:vAlign w:val="center"/>
          </w:tcPr>
          <w:p w14:paraId="53F9858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s</w:t>
            </w:r>
          </w:p>
        </w:tc>
        <w:tc>
          <w:tcPr>
            <w:tcW w:w="2391" w:type="dxa"/>
            <w:tcBorders>
              <w:top w:val="nil"/>
              <w:left w:val="nil"/>
              <w:bottom w:val="single" w:color="auto" w:sz="4" w:space="0"/>
              <w:right w:val="single" w:color="auto" w:sz="12" w:space="0"/>
            </w:tcBorders>
            <w:noWrap w:val="0"/>
            <w:vAlign w:val="center"/>
          </w:tcPr>
          <w:p w14:paraId="1A68745D">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rPr>
              <w:t>8～2</w:t>
            </w:r>
            <w:r>
              <w:rPr>
                <w:rFonts w:hint="eastAsia" w:ascii="宋体" w:hAnsi="宋体" w:eastAsia="宋体" w:cs="宋体"/>
                <w:color w:val="auto"/>
                <w:sz w:val="24"/>
                <w:szCs w:val="28"/>
                <w:lang w:val="en-US" w:eastAsia="zh-CN"/>
              </w:rPr>
              <w:t>0</w:t>
            </w:r>
          </w:p>
        </w:tc>
        <w:tc>
          <w:tcPr>
            <w:tcW w:w="2391" w:type="dxa"/>
            <w:tcBorders>
              <w:top w:val="nil"/>
              <w:left w:val="nil"/>
              <w:bottom w:val="single" w:color="auto" w:sz="4" w:space="0"/>
              <w:right w:val="single" w:color="auto" w:sz="12" w:space="0"/>
            </w:tcBorders>
            <w:noWrap w:val="0"/>
            <w:vAlign w:val="center"/>
          </w:tcPr>
          <w:p w14:paraId="68856BB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8</w:t>
            </w:r>
            <w:r>
              <w:rPr>
                <w:rFonts w:hint="eastAsia" w:ascii="宋体" w:hAnsi="宋体" w:eastAsia="宋体" w:cs="宋体"/>
                <w:color w:val="auto"/>
                <w:sz w:val="24"/>
                <w:szCs w:val="28"/>
              </w:rPr>
              <w:t>～</w:t>
            </w:r>
            <w:r>
              <w:rPr>
                <w:rFonts w:hint="eastAsia" w:ascii="宋体" w:hAnsi="宋体" w:eastAsia="宋体" w:cs="宋体"/>
                <w:color w:val="auto"/>
                <w:sz w:val="24"/>
                <w:szCs w:val="28"/>
                <w:lang w:val="en-US" w:eastAsia="zh-CN"/>
              </w:rPr>
              <w:t>20</w:t>
            </w:r>
          </w:p>
        </w:tc>
      </w:tr>
      <w:tr w14:paraId="299B1461">
        <w:tblPrEx>
          <w:tblCellMar>
            <w:top w:w="0" w:type="dxa"/>
            <w:left w:w="108" w:type="dxa"/>
            <w:bottom w:w="0" w:type="dxa"/>
            <w:right w:w="108" w:type="dxa"/>
          </w:tblCellMar>
        </w:tblPrEx>
        <w:trPr>
          <w:trHeight w:val="454" w:hRule="atLeast"/>
          <w:jc w:val="center"/>
        </w:trPr>
        <w:tc>
          <w:tcPr>
            <w:tcW w:w="1192" w:type="dxa"/>
            <w:vMerge w:val="restart"/>
            <w:tcBorders>
              <w:top w:val="nil"/>
              <w:left w:val="single" w:color="auto" w:sz="12" w:space="0"/>
              <w:bottom w:val="single" w:color="auto" w:sz="4" w:space="0"/>
              <w:right w:val="single" w:color="auto" w:sz="4" w:space="0"/>
            </w:tcBorders>
            <w:noWrap w:val="0"/>
            <w:vAlign w:val="center"/>
          </w:tcPr>
          <w:p w14:paraId="214945D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蒸发残留物</w:t>
            </w:r>
          </w:p>
        </w:tc>
        <w:tc>
          <w:tcPr>
            <w:tcW w:w="2925" w:type="dxa"/>
            <w:tcBorders>
              <w:top w:val="nil"/>
              <w:left w:val="nil"/>
              <w:bottom w:val="single" w:color="auto" w:sz="4" w:space="0"/>
              <w:right w:val="single" w:color="auto" w:sz="4" w:space="0"/>
            </w:tcBorders>
            <w:noWrap w:val="0"/>
            <w:vAlign w:val="center"/>
          </w:tcPr>
          <w:p w14:paraId="3BECA59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残留分含量 不小于</w:t>
            </w:r>
          </w:p>
        </w:tc>
        <w:tc>
          <w:tcPr>
            <w:tcW w:w="679" w:type="dxa"/>
            <w:tcBorders>
              <w:top w:val="nil"/>
              <w:left w:val="nil"/>
              <w:bottom w:val="single" w:color="auto" w:sz="4" w:space="0"/>
              <w:right w:val="single" w:color="auto" w:sz="4" w:space="0"/>
            </w:tcBorders>
            <w:noWrap w:val="0"/>
            <w:vAlign w:val="center"/>
          </w:tcPr>
          <w:p w14:paraId="63FFE8E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w:t>
            </w:r>
          </w:p>
        </w:tc>
        <w:tc>
          <w:tcPr>
            <w:tcW w:w="2391" w:type="dxa"/>
            <w:tcBorders>
              <w:top w:val="nil"/>
              <w:left w:val="nil"/>
              <w:bottom w:val="single" w:color="auto" w:sz="4" w:space="0"/>
              <w:right w:val="single" w:color="auto" w:sz="12" w:space="0"/>
            </w:tcBorders>
            <w:noWrap w:val="0"/>
            <w:vAlign w:val="center"/>
          </w:tcPr>
          <w:p w14:paraId="233568A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50</w:t>
            </w:r>
          </w:p>
        </w:tc>
        <w:tc>
          <w:tcPr>
            <w:tcW w:w="2391" w:type="dxa"/>
            <w:tcBorders>
              <w:top w:val="nil"/>
              <w:left w:val="nil"/>
              <w:bottom w:val="single" w:color="auto" w:sz="4" w:space="0"/>
              <w:right w:val="single" w:color="auto" w:sz="12" w:space="0"/>
            </w:tcBorders>
            <w:noWrap w:val="0"/>
            <w:vAlign w:val="center"/>
          </w:tcPr>
          <w:p w14:paraId="630CF56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50</w:t>
            </w:r>
          </w:p>
        </w:tc>
      </w:tr>
      <w:tr w14:paraId="2DC6C973">
        <w:tblPrEx>
          <w:tblCellMar>
            <w:top w:w="0" w:type="dxa"/>
            <w:left w:w="108" w:type="dxa"/>
            <w:bottom w:w="0" w:type="dxa"/>
            <w:right w:w="108" w:type="dxa"/>
          </w:tblCellMar>
        </w:tblPrEx>
        <w:trPr>
          <w:trHeight w:val="454" w:hRule="atLeast"/>
          <w:jc w:val="center"/>
        </w:trPr>
        <w:tc>
          <w:tcPr>
            <w:tcW w:w="1192" w:type="dxa"/>
            <w:vMerge w:val="continue"/>
            <w:tcBorders>
              <w:top w:val="nil"/>
              <w:left w:val="single" w:color="auto" w:sz="12" w:space="0"/>
              <w:bottom w:val="single" w:color="auto" w:sz="4" w:space="0"/>
              <w:right w:val="single" w:color="auto" w:sz="4" w:space="0"/>
            </w:tcBorders>
            <w:noWrap w:val="0"/>
            <w:vAlign w:val="center"/>
          </w:tcPr>
          <w:p w14:paraId="056E117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925" w:type="dxa"/>
            <w:tcBorders>
              <w:top w:val="nil"/>
              <w:left w:val="nil"/>
              <w:bottom w:val="single" w:color="auto" w:sz="4" w:space="0"/>
              <w:right w:val="single" w:color="auto" w:sz="4" w:space="0"/>
            </w:tcBorders>
            <w:noWrap w:val="0"/>
            <w:vAlign w:val="center"/>
          </w:tcPr>
          <w:p w14:paraId="61F807A8">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溶解度，不小于</w:t>
            </w:r>
          </w:p>
        </w:tc>
        <w:tc>
          <w:tcPr>
            <w:tcW w:w="679" w:type="dxa"/>
            <w:tcBorders>
              <w:top w:val="nil"/>
              <w:left w:val="nil"/>
              <w:bottom w:val="single" w:color="auto" w:sz="4" w:space="0"/>
              <w:right w:val="single" w:color="auto" w:sz="4" w:space="0"/>
            </w:tcBorders>
            <w:noWrap w:val="0"/>
            <w:vAlign w:val="center"/>
          </w:tcPr>
          <w:p w14:paraId="762350D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w:t>
            </w:r>
          </w:p>
        </w:tc>
        <w:tc>
          <w:tcPr>
            <w:tcW w:w="2391" w:type="dxa"/>
            <w:tcBorders>
              <w:top w:val="single" w:color="auto" w:sz="4" w:space="0"/>
              <w:left w:val="nil"/>
              <w:bottom w:val="single" w:color="auto" w:sz="4" w:space="0"/>
              <w:right w:val="single" w:color="auto" w:sz="12" w:space="0"/>
            </w:tcBorders>
            <w:noWrap w:val="0"/>
            <w:vAlign w:val="center"/>
          </w:tcPr>
          <w:p w14:paraId="4C192B7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97.5</w:t>
            </w:r>
          </w:p>
        </w:tc>
        <w:tc>
          <w:tcPr>
            <w:tcW w:w="2391" w:type="dxa"/>
            <w:tcBorders>
              <w:top w:val="single" w:color="auto" w:sz="4" w:space="0"/>
              <w:left w:val="nil"/>
              <w:bottom w:val="single" w:color="auto" w:sz="4" w:space="0"/>
              <w:right w:val="single" w:color="auto" w:sz="12" w:space="0"/>
            </w:tcBorders>
            <w:noWrap w:val="0"/>
            <w:vAlign w:val="center"/>
          </w:tcPr>
          <w:p w14:paraId="4DE14514">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97.5</w:t>
            </w:r>
          </w:p>
        </w:tc>
      </w:tr>
      <w:tr w14:paraId="1367BED8">
        <w:tblPrEx>
          <w:tblCellMar>
            <w:top w:w="0" w:type="dxa"/>
            <w:left w:w="108" w:type="dxa"/>
            <w:bottom w:w="0" w:type="dxa"/>
            <w:right w:w="108" w:type="dxa"/>
          </w:tblCellMar>
        </w:tblPrEx>
        <w:trPr>
          <w:trHeight w:val="454" w:hRule="atLeast"/>
          <w:jc w:val="center"/>
        </w:trPr>
        <w:tc>
          <w:tcPr>
            <w:tcW w:w="1192" w:type="dxa"/>
            <w:vMerge w:val="continue"/>
            <w:tcBorders>
              <w:top w:val="nil"/>
              <w:left w:val="single" w:color="auto" w:sz="12" w:space="0"/>
              <w:bottom w:val="single" w:color="auto" w:sz="4" w:space="0"/>
              <w:right w:val="single" w:color="auto" w:sz="4" w:space="0"/>
            </w:tcBorders>
            <w:noWrap w:val="0"/>
            <w:vAlign w:val="center"/>
          </w:tcPr>
          <w:p w14:paraId="5CB4ECE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925" w:type="dxa"/>
            <w:tcBorders>
              <w:top w:val="nil"/>
              <w:left w:val="nil"/>
              <w:bottom w:val="single" w:color="auto" w:sz="4" w:space="0"/>
              <w:right w:val="single" w:color="auto" w:sz="4" w:space="0"/>
            </w:tcBorders>
            <w:noWrap w:val="0"/>
            <w:vAlign w:val="center"/>
          </w:tcPr>
          <w:p w14:paraId="0318F7C8">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针入度(25℃)</w:t>
            </w:r>
          </w:p>
        </w:tc>
        <w:tc>
          <w:tcPr>
            <w:tcW w:w="679" w:type="dxa"/>
            <w:tcBorders>
              <w:top w:val="nil"/>
              <w:left w:val="nil"/>
              <w:bottom w:val="single" w:color="auto" w:sz="4" w:space="0"/>
              <w:right w:val="single" w:color="auto" w:sz="4" w:space="0"/>
            </w:tcBorders>
            <w:noWrap w:val="0"/>
            <w:vAlign w:val="center"/>
          </w:tcPr>
          <w:p w14:paraId="1FFE523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dmm</w:t>
            </w:r>
          </w:p>
        </w:tc>
        <w:tc>
          <w:tcPr>
            <w:tcW w:w="2391" w:type="dxa"/>
            <w:tcBorders>
              <w:top w:val="nil"/>
              <w:left w:val="nil"/>
              <w:bottom w:val="single" w:color="auto" w:sz="4" w:space="0"/>
              <w:right w:val="single" w:color="auto" w:sz="12" w:space="0"/>
            </w:tcBorders>
            <w:noWrap w:val="0"/>
            <w:vAlign w:val="center"/>
          </w:tcPr>
          <w:p w14:paraId="486278C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50</w:t>
            </w:r>
            <w:r>
              <w:rPr>
                <w:rFonts w:hint="eastAsia" w:ascii="宋体" w:hAnsi="宋体" w:eastAsia="宋体" w:cs="宋体"/>
                <w:color w:val="auto"/>
                <w:sz w:val="24"/>
                <w:szCs w:val="28"/>
              </w:rPr>
              <w:t>-</w:t>
            </w:r>
            <w:r>
              <w:rPr>
                <w:rFonts w:hint="eastAsia" w:ascii="宋体" w:hAnsi="宋体" w:eastAsia="宋体" w:cs="宋体"/>
                <w:color w:val="auto"/>
                <w:sz w:val="24"/>
                <w:szCs w:val="28"/>
                <w:lang w:val="en-US" w:eastAsia="zh-CN"/>
              </w:rPr>
              <w:t>300</w:t>
            </w:r>
          </w:p>
        </w:tc>
        <w:tc>
          <w:tcPr>
            <w:tcW w:w="2391" w:type="dxa"/>
            <w:tcBorders>
              <w:top w:val="nil"/>
              <w:left w:val="nil"/>
              <w:bottom w:val="single" w:color="auto" w:sz="4" w:space="0"/>
              <w:right w:val="single" w:color="auto" w:sz="12" w:space="0"/>
            </w:tcBorders>
            <w:noWrap w:val="0"/>
            <w:vAlign w:val="center"/>
          </w:tcPr>
          <w:p w14:paraId="7376011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45-150</w:t>
            </w:r>
          </w:p>
        </w:tc>
      </w:tr>
      <w:tr w14:paraId="2FB4DF01">
        <w:tblPrEx>
          <w:tblCellMar>
            <w:top w:w="0" w:type="dxa"/>
            <w:left w:w="108" w:type="dxa"/>
            <w:bottom w:w="0" w:type="dxa"/>
            <w:right w:w="108" w:type="dxa"/>
          </w:tblCellMar>
        </w:tblPrEx>
        <w:trPr>
          <w:trHeight w:val="454" w:hRule="atLeast"/>
          <w:jc w:val="center"/>
        </w:trPr>
        <w:tc>
          <w:tcPr>
            <w:tcW w:w="1192" w:type="dxa"/>
            <w:vMerge w:val="continue"/>
            <w:tcBorders>
              <w:top w:val="nil"/>
              <w:left w:val="single" w:color="auto" w:sz="12" w:space="0"/>
              <w:bottom w:val="single" w:color="auto" w:sz="4" w:space="0"/>
              <w:right w:val="single" w:color="auto" w:sz="4" w:space="0"/>
            </w:tcBorders>
            <w:noWrap w:val="0"/>
            <w:vAlign w:val="center"/>
          </w:tcPr>
          <w:p w14:paraId="516C9C2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925" w:type="dxa"/>
            <w:tcBorders>
              <w:top w:val="nil"/>
              <w:left w:val="nil"/>
              <w:bottom w:val="single" w:color="auto" w:sz="4" w:space="0"/>
              <w:right w:val="single" w:color="auto" w:sz="4" w:space="0"/>
            </w:tcBorders>
            <w:noWrap w:val="0"/>
            <w:vAlign w:val="center"/>
          </w:tcPr>
          <w:p w14:paraId="2C035B5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延度(</w:t>
            </w:r>
            <w:r>
              <w:rPr>
                <w:rFonts w:hint="eastAsia" w:ascii="宋体" w:hAnsi="宋体" w:eastAsia="宋体" w:cs="宋体"/>
                <w:color w:val="auto"/>
                <w:sz w:val="24"/>
                <w:szCs w:val="28"/>
                <w:lang w:val="en-US" w:eastAsia="zh-CN"/>
              </w:rPr>
              <w:t>1</w:t>
            </w:r>
            <w:r>
              <w:rPr>
                <w:rFonts w:hint="eastAsia" w:ascii="宋体" w:hAnsi="宋体" w:eastAsia="宋体" w:cs="宋体"/>
                <w:color w:val="auto"/>
                <w:sz w:val="24"/>
                <w:szCs w:val="28"/>
              </w:rPr>
              <w:t>5℃),不小于</w:t>
            </w:r>
          </w:p>
        </w:tc>
        <w:tc>
          <w:tcPr>
            <w:tcW w:w="679" w:type="dxa"/>
            <w:tcBorders>
              <w:top w:val="nil"/>
              <w:left w:val="nil"/>
              <w:bottom w:val="single" w:color="auto" w:sz="4" w:space="0"/>
              <w:right w:val="single" w:color="auto" w:sz="4" w:space="0"/>
            </w:tcBorders>
            <w:noWrap w:val="0"/>
            <w:vAlign w:val="center"/>
          </w:tcPr>
          <w:p w14:paraId="18659B9C">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cm</w:t>
            </w:r>
          </w:p>
        </w:tc>
        <w:tc>
          <w:tcPr>
            <w:tcW w:w="2391" w:type="dxa"/>
            <w:tcBorders>
              <w:top w:val="single" w:color="auto" w:sz="4" w:space="0"/>
              <w:left w:val="nil"/>
              <w:bottom w:val="single" w:color="auto" w:sz="4" w:space="0"/>
              <w:right w:val="single" w:color="auto" w:sz="12" w:space="0"/>
            </w:tcBorders>
            <w:noWrap w:val="0"/>
            <w:vAlign w:val="center"/>
          </w:tcPr>
          <w:p w14:paraId="68AA1DA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40</w:t>
            </w:r>
          </w:p>
        </w:tc>
        <w:tc>
          <w:tcPr>
            <w:tcW w:w="2391" w:type="dxa"/>
            <w:tcBorders>
              <w:top w:val="single" w:color="auto" w:sz="4" w:space="0"/>
              <w:left w:val="nil"/>
              <w:bottom w:val="single" w:color="auto" w:sz="4" w:space="0"/>
              <w:right w:val="single" w:color="auto" w:sz="12" w:space="0"/>
            </w:tcBorders>
            <w:noWrap w:val="0"/>
            <w:vAlign w:val="center"/>
          </w:tcPr>
          <w:p w14:paraId="52560152">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40</w:t>
            </w:r>
          </w:p>
        </w:tc>
      </w:tr>
      <w:tr w14:paraId="5F43617B">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4" w:space="0"/>
              <w:right w:val="single" w:color="auto" w:sz="4" w:space="0"/>
            </w:tcBorders>
            <w:noWrap w:val="0"/>
            <w:vAlign w:val="center"/>
          </w:tcPr>
          <w:p w14:paraId="490F9C94">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与粗集料的粘附性，裹附面积 不小于</w:t>
            </w:r>
          </w:p>
        </w:tc>
        <w:tc>
          <w:tcPr>
            <w:tcW w:w="679" w:type="dxa"/>
            <w:tcBorders>
              <w:top w:val="nil"/>
              <w:left w:val="nil"/>
              <w:bottom w:val="single" w:color="auto" w:sz="4" w:space="0"/>
              <w:right w:val="single" w:color="auto" w:sz="4" w:space="0"/>
            </w:tcBorders>
            <w:noWrap w:val="0"/>
            <w:vAlign w:val="center"/>
          </w:tcPr>
          <w:p w14:paraId="497D531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tc>
        <w:tc>
          <w:tcPr>
            <w:tcW w:w="2391" w:type="dxa"/>
            <w:tcBorders>
              <w:top w:val="single" w:color="auto" w:sz="4" w:space="0"/>
              <w:left w:val="nil"/>
              <w:bottom w:val="single" w:color="auto" w:sz="4" w:space="0"/>
              <w:right w:val="single" w:color="auto" w:sz="12" w:space="0"/>
            </w:tcBorders>
            <w:noWrap w:val="0"/>
            <w:vAlign w:val="center"/>
          </w:tcPr>
          <w:p w14:paraId="044F109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2/3</w:t>
            </w:r>
          </w:p>
        </w:tc>
        <w:tc>
          <w:tcPr>
            <w:tcW w:w="2391" w:type="dxa"/>
            <w:tcBorders>
              <w:top w:val="single" w:color="auto" w:sz="4" w:space="0"/>
              <w:left w:val="nil"/>
              <w:bottom w:val="single" w:color="auto" w:sz="4" w:space="0"/>
              <w:right w:val="single" w:color="auto" w:sz="12" w:space="0"/>
            </w:tcBorders>
            <w:noWrap w:val="0"/>
            <w:vAlign w:val="center"/>
          </w:tcPr>
          <w:p w14:paraId="56F3AC0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2/3</w:t>
            </w:r>
          </w:p>
        </w:tc>
      </w:tr>
      <w:tr w14:paraId="6C936958">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4" w:space="0"/>
              <w:right w:val="single" w:color="auto" w:sz="4" w:space="0"/>
            </w:tcBorders>
            <w:noWrap w:val="0"/>
            <w:vAlign w:val="center"/>
          </w:tcPr>
          <w:p w14:paraId="29BF37A4">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常温贮存稳定性：</w:t>
            </w:r>
          </w:p>
          <w:p w14:paraId="39556B7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1d    不大于</w:t>
            </w:r>
          </w:p>
          <w:p w14:paraId="714D1F7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5d    不大于</w:t>
            </w:r>
          </w:p>
        </w:tc>
        <w:tc>
          <w:tcPr>
            <w:tcW w:w="679" w:type="dxa"/>
            <w:tcBorders>
              <w:top w:val="nil"/>
              <w:left w:val="nil"/>
              <w:bottom w:val="single" w:color="auto" w:sz="4" w:space="0"/>
              <w:right w:val="single" w:color="auto" w:sz="4" w:space="0"/>
            </w:tcBorders>
            <w:noWrap w:val="0"/>
            <w:vAlign w:val="center"/>
          </w:tcPr>
          <w:p w14:paraId="6ABF0161">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w:t>
            </w:r>
          </w:p>
        </w:tc>
        <w:tc>
          <w:tcPr>
            <w:tcW w:w="2391" w:type="dxa"/>
            <w:tcBorders>
              <w:top w:val="single" w:color="auto" w:sz="4" w:space="0"/>
              <w:left w:val="nil"/>
              <w:bottom w:val="single" w:color="auto" w:sz="4" w:space="0"/>
              <w:right w:val="single" w:color="auto" w:sz="12" w:space="0"/>
            </w:tcBorders>
            <w:noWrap w:val="0"/>
            <w:vAlign w:val="center"/>
          </w:tcPr>
          <w:p w14:paraId="4A14E2CE">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p>
          <w:p w14:paraId="00E2873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1</w:t>
            </w:r>
          </w:p>
          <w:p w14:paraId="6E66DEC3">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5</w:t>
            </w:r>
          </w:p>
        </w:tc>
        <w:tc>
          <w:tcPr>
            <w:tcW w:w="2391" w:type="dxa"/>
            <w:tcBorders>
              <w:top w:val="single" w:color="auto" w:sz="4" w:space="0"/>
              <w:left w:val="nil"/>
              <w:bottom w:val="single" w:color="auto" w:sz="4" w:space="0"/>
              <w:right w:val="single" w:color="auto" w:sz="12" w:space="0"/>
            </w:tcBorders>
            <w:noWrap w:val="0"/>
            <w:vAlign w:val="center"/>
          </w:tcPr>
          <w:p w14:paraId="3DB33546">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1</w:t>
            </w:r>
          </w:p>
          <w:p w14:paraId="4965ACAB">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8"/>
                <w:lang w:val="en-US" w:eastAsia="zh-CN"/>
              </w:rPr>
            </w:pPr>
            <w:r>
              <w:rPr>
                <w:rFonts w:hint="eastAsia" w:ascii="宋体" w:hAnsi="宋体" w:eastAsia="宋体" w:cs="宋体"/>
                <w:color w:val="auto"/>
                <w:sz w:val="24"/>
                <w:szCs w:val="28"/>
                <w:lang w:val="en-US" w:eastAsia="zh-CN"/>
              </w:rPr>
              <w:t>5</w:t>
            </w:r>
          </w:p>
        </w:tc>
      </w:tr>
      <w:tr w14:paraId="6E6C081A">
        <w:tblPrEx>
          <w:tblCellMar>
            <w:top w:w="0" w:type="dxa"/>
            <w:left w:w="108" w:type="dxa"/>
            <w:bottom w:w="0" w:type="dxa"/>
            <w:right w:w="108" w:type="dxa"/>
          </w:tblCellMar>
        </w:tblPrEx>
        <w:trPr>
          <w:trHeight w:val="454" w:hRule="atLeast"/>
          <w:jc w:val="center"/>
        </w:trPr>
        <w:tc>
          <w:tcPr>
            <w:tcW w:w="4117" w:type="dxa"/>
            <w:gridSpan w:val="2"/>
            <w:tcBorders>
              <w:top w:val="single" w:color="auto" w:sz="4" w:space="0"/>
              <w:left w:val="single" w:color="auto" w:sz="12" w:space="0"/>
              <w:bottom w:val="single" w:color="auto" w:sz="12" w:space="0"/>
              <w:right w:val="single" w:color="auto" w:sz="4" w:space="0"/>
            </w:tcBorders>
            <w:noWrap w:val="0"/>
            <w:vAlign w:val="center"/>
          </w:tcPr>
          <w:p w14:paraId="5CE236A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适用范围</w:t>
            </w:r>
          </w:p>
        </w:tc>
        <w:tc>
          <w:tcPr>
            <w:tcW w:w="3070" w:type="dxa"/>
            <w:gridSpan w:val="2"/>
            <w:tcBorders>
              <w:top w:val="single" w:color="auto" w:sz="4" w:space="0"/>
              <w:left w:val="nil"/>
              <w:bottom w:val="single" w:color="auto" w:sz="12" w:space="0"/>
              <w:right w:val="single" w:color="auto" w:sz="12" w:space="0"/>
            </w:tcBorders>
            <w:noWrap w:val="0"/>
            <w:vAlign w:val="center"/>
          </w:tcPr>
          <w:p w14:paraId="447C7D6A">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rPr>
            </w:pPr>
            <w:r>
              <w:rPr>
                <w:rFonts w:hint="eastAsia" w:ascii="宋体" w:hAnsi="宋体" w:eastAsia="宋体" w:cs="宋体"/>
                <w:color w:val="auto"/>
                <w:sz w:val="24"/>
                <w:szCs w:val="28"/>
                <w:lang w:eastAsia="zh-CN"/>
              </w:rPr>
              <w:t>透层</w:t>
            </w:r>
            <w:r>
              <w:rPr>
                <w:rFonts w:hint="eastAsia" w:ascii="宋体" w:hAnsi="宋体" w:eastAsia="宋体" w:cs="宋体"/>
                <w:color w:val="auto"/>
                <w:sz w:val="24"/>
                <w:szCs w:val="28"/>
              </w:rPr>
              <w:t>油</w:t>
            </w:r>
          </w:p>
        </w:tc>
        <w:tc>
          <w:tcPr>
            <w:tcW w:w="2391" w:type="dxa"/>
            <w:tcBorders>
              <w:top w:val="single" w:color="auto" w:sz="4" w:space="0"/>
              <w:left w:val="nil"/>
              <w:bottom w:val="single" w:color="auto" w:sz="12" w:space="0"/>
              <w:right w:val="single" w:color="auto" w:sz="12" w:space="0"/>
            </w:tcBorders>
            <w:noWrap w:val="0"/>
            <w:vAlign w:val="center"/>
          </w:tcPr>
          <w:p w14:paraId="7A6589AF">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8"/>
                <w:lang w:eastAsia="zh-CN"/>
              </w:rPr>
            </w:pPr>
            <w:r>
              <w:rPr>
                <w:rFonts w:hint="eastAsia" w:ascii="宋体" w:hAnsi="宋体" w:eastAsia="宋体" w:cs="宋体"/>
                <w:color w:val="auto"/>
                <w:sz w:val="24"/>
                <w:szCs w:val="28"/>
                <w:lang w:eastAsia="zh-CN"/>
              </w:rPr>
              <w:t>粘层油</w:t>
            </w:r>
          </w:p>
        </w:tc>
      </w:tr>
    </w:tbl>
    <w:p w14:paraId="1CE5081E">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沥青面层的粗集料应采用石质坚硬、清洁、不含风化颗粒、近立方体颗粒的碎石，粒径大于2.36mm。粗集料可采用石灰岩，上面层粗集料须采用辉绿岩、玄武岩等坚硬石料，其他面层粗集料采用石灰岩，要采用反击式破碎机轧制的碎石，严格控制针片状颗粒含量，要求如下表。</w:t>
      </w:r>
    </w:p>
    <w:p w14:paraId="5BF41D20">
      <w:pPr>
        <w:pStyle w:val="72"/>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6  </w:t>
      </w:r>
      <w:r>
        <w:rPr>
          <w:rFonts w:hint="eastAsia" w:ascii="宋体" w:hAnsi="宋体" w:eastAsia="宋体" w:cs="宋体"/>
          <w:b/>
          <w:bCs/>
          <w:color w:val="auto"/>
          <w:sz w:val="24"/>
          <w:szCs w:val="24"/>
        </w:rPr>
        <w:t>沥青面层粗集料质量技术要求</w:t>
      </w:r>
    </w:p>
    <w:tbl>
      <w:tblPr>
        <w:tblStyle w:val="18"/>
        <w:tblW w:w="80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04"/>
        <w:gridCol w:w="3226"/>
      </w:tblGrid>
      <w:tr w14:paraId="4C00A7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4804" w:type="dxa"/>
            <w:tcBorders>
              <w:tl2br w:val="nil"/>
              <w:tr2bl w:val="nil"/>
            </w:tcBorders>
            <w:shd w:val="clear" w:color="auto" w:fill="auto"/>
            <w:vAlign w:val="center"/>
          </w:tcPr>
          <w:p w14:paraId="4F70924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试验项目</w:t>
            </w:r>
          </w:p>
        </w:tc>
        <w:tc>
          <w:tcPr>
            <w:tcW w:w="3226" w:type="dxa"/>
            <w:tcBorders>
              <w:tl2br w:val="nil"/>
              <w:tr2bl w:val="nil"/>
            </w:tcBorders>
            <w:shd w:val="clear" w:color="auto" w:fill="auto"/>
            <w:vAlign w:val="center"/>
          </w:tcPr>
          <w:p w14:paraId="71ED34D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粗集料技术要求</w:t>
            </w:r>
          </w:p>
        </w:tc>
      </w:tr>
      <w:tr w14:paraId="0E35E1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59E494F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石料压碎值（％）不大于</w:t>
            </w:r>
          </w:p>
        </w:tc>
        <w:tc>
          <w:tcPr>
            <w:tcW w:w="3226" w:type="dxa"/>
            <w:tcBorders>
              <w:tl2br w:val="nil"/>
              <w:tr2bl w:val="nil"/>
            </w:tcBorders>
            <w:shd w:val="clear" w:color="auto" w:fill="auto"/>
            <w:vAlign w:val="center"/>
          </w:tcPr>
          <w:p w14:paraId="45EF3C8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30</w:t>
            </w:r>
          </w:p>
        </w:tc>
      </w:tr>
      <w:tr w14:paraId="15C7D9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28912C3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洛杉机磨耗值损失不大于</w:t>
            </w:r>
          </w:p>
        </w:tc>
        <w:tc>
          <w:tcPr>
            <w:tcW w:w="3226" w:type="dxa"/>
            <w:tcBorders>
              <w:tl2br w:val="nil"/>
              <w:tr2bl w:val="nil"/>
            </w:tcBorders>
            <w:shd w:val="clear" w:color="auto" w:fill="auto"/>
            <w:vAlign w:val="center"/>
          </w:tcPr>
          <w:p w14:paraId="3AB8B26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35</w:t>
            </w:r>
          </w:p>
        </w:tc>
      </w:tr>
      <w:tr w14:paraId="41E6F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729323A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表观相对密度不小于</w:t>
            </w:r>
          </w:p>
        </w:tc>
        <w:tc>
          <w:tcPr>
            <w:tcW w:w="3226" w:type="dxa"/>
            <w:tcBorders>
              <w:tl2br w:val="nil"/>
              <w:tr2bl w:val="nil"/>
            </w:tcBorders>
            <w:shd w:val="clear" w:color="auto" w:fill="auto"/>
            <w:vAlign w:val="center"/>
          </w:tcPr>
          <w:p w14:paraId="6410740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2.45</w:t>
            </w:r>
          </w:p>
        </w:tc>
      </w:tr>
      <w:tr w14:paraId="42957E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381103F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吸水率（％）不大于</w:t>
            </w:r>
          </w:p>
        </w:tc>
        <w:tc>
          <w:tcPr>
            <w:tcW w:w="3226" w:type="dxa"/>
            <w:tcBorders>
              <w:tl2br w:val="nil"/>
              <w:tr2bl w:val="nil"/>
            </w:tcBorders>
            <w:shd w:val="clear" w:color="auto" w:fill="auto"/>
            <w:vAlign w:val="center"/>
          </w:tcPr>
          <w:p w14:paraId="41798FB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3.0</w:t>
            </w:r>
          </w:p>
        </w:tc>
      </w:tr>
      <w:tr w14:paraId="491F8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04" w:type="dxa"/>
            <w:tcBorders>
              <w:tl2br w:val="nil"/>
              <w:tr2bl w:val="nil"/>
            </w:tcBorders>
            <w:shd w:val="clear" w:color="auto" w:fill="auto"/>
            <w:vAlign w:val="center"/>
          </w:tcPr>
          <w:p w14:paraId="73DA20C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针片状扁平颗粒含量（％）不大于</w:t>
            </w:r>
          </w:p>
        </w:tc>
        <w:tc>
          <w:tcPr>
            <w:tcW w:w="3226" w:type="dxa"/>
            <w:tcBorders>
              <w:tl2br w:val="nil"/>
              <w:tr2bl w:val="nil"/>
            </w:tcBorders>
            <w:shd w:val="clear" w:color="auto" w:fill="auto"/>
            <w:vAlign w:val="center"/>
          </w:tcPr>
          <w:p w14:paraId="0E17868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20</w:t>
            </w:r>
          </w:p>
        </w:tc>
      </w:tr>
      <w:tr w14:paraId="0F0917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4A7A8CE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水洗法&lt;0.075mm颗粒含量（％）不大于</w:t>
            </w:r>
          </w:p>
        </w:tc>
        <w:tc>
          <w:tcPr>
            <w:tcW w:w="3226" w:type="dxa"/>
            <w:tcBorders>
              <w:tl2br w:val="nil"/>
              <w:tr2bl w:val="nil"/>
            </w:tcBorders>
            <w:shd w:val="clear" w:color="auto" w:fill="auto"/>
            <w:vAlign w:val="center"/>
          </w:tcPr>
          <w:p w14:paraId="57A27F1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r>
      <w:tr w14:paraId="69E47E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63C30A9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软石含量（%）不大于</w:t>
            </w:r>
          </w:p>
        </w:tc>
        <w:tc>
          <w:tcPr>
            <w:tcW w:w="3226" w:type="dxa"/>
            <w:tcBorders>
              <w:tl2br w:val="nil"/>
              <w:tr2bl w:val="nil"/>
            </w:tcBorders>
            <w:shd w:val="clear" w:color="auto" w:fill="auto"/>
            <w:vAlign w:val="center"/>
          </w:tcPr>
          <w:p w14:paraId="358F843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r>
      <w:tr w14:paraId="7B6FC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6C1C088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粗集料磨光值（PSV）不小于</w:t>
            </w:r>
          </w:p>
        </w:tc>
        <w:tc>
          <w:tcPr>
            <w:tcW w:w="3226" w:type="dxa"/>
            <w:tcBorders>
              <w:tl2br w:val="nil"/>
              <w:tr2bl w:val="nil"/>
            </w:tcBorders>
            <w:shd w:val="clear" w:color="auto" w:fill="auto"/>
            <w:vAlign w:val="center"/>
          </w:tcPr>
          <w:p w14:paraId="5930F1B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42</w:t>
            </w:r>
          </w:p>
        </w:tc>
      </w:tr>
      <w:tr w14:paraId="3BEC84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tcBorders>
              <w:tl2br w:val="nil"/>
              <w:tr2bl w:val="nil"/>
            </w:tcBorders>
            <w:shd w:val="clear" w:color="auto" w:fill="auto"/>
            <w:vAlign w:val="center"/>
          </w:tcPr>
          <w:p w14:paraId="502BA83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粗集料与沥青的粘附性不小于</w:t>
            </w:r>
          </w:p>
        </w:tc>
        <w:tc>
          <w:tcPr>
            <w:tcW w:w="3226" w:type="dxa"/>
            <w:tcBorders>
              <w:tl2br w:val="nil"/>
              <w:tr2bl w:val="nil"/>
            </w:tcBorders>
            <w:shd w:val="clear" w:color="auto" w:fill="auto"/>
            <w:vAlign w:val="center"/>
          </w:tcPr>
          <w:p w14:paraId="5284CF4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p>
        </w:tc>
      </w:tr>
    </w:tbl>
    <w:p w14:paraId="7C8BD32A">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细集料应采用坚硬、洁净、干燥、无风化、无杂质并有适当的颗粒级配，石质采用石灰岩，不能采用山场的下脚料。表观相对密度应≥2.45，砂当量应≥50%，含泥量（小于</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0.075mm的含量）应≤5%。</w:t>
      </w:r>
    </w:p>
    <w:p w14:paraId="7D72B141">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填料必须采用石灰岩或岩浆岩中的强基性岩石等憎水性石料经磨细得到的矿粉，原石料中泥土杂质应除净，矿粉应干燥、松散，能自由地从矿粉仓留出。填料表观密度应</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≥2.45，小于0.075mm颗粒含量应为70%~100%，含水量应≤1.0%。</w:t>
      </w:r>
    </w:p>
    <w:p w14:paraId="69DF75E8">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沥青混合料宜由有资质的沥青混合料集中搅拌站提供，按照路面结构组合中的指定类型，在工厂完成统一拌和。厂家应负责提供有效的产品合格证、检验报告及配合比设计资料，沥青混合料的配合比设计，应遵循《公路沥青路面施工技术规范》（JTG F40-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2004）的规定，确定矿料级配和最佳沥青用量。</w:t>
      </w:r>
    </w:p>
    <w:p w14:paraId="1308F229">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沥青混合料的矿料级配范围应符合下表的要求：</w:t>
      </w:r>
    </w:p>
    <w:p w14:paraId="7815FD0D">
      <w:pPr>
        <w:pStyle w:val="72"/>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表 </w:t>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STYLEREF  \s 1级标题  \* MERGEFORMAT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7</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t xml:space="preserve"> 沥青混合料的矿料级配范围</w:t>
      </w:r>
    </w:p>
    <w:tbl>
      <w:tblPr>
        <w:tblStyle w:val="18"/>
        <w:tblW w:w="437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1799"/>
        <w:gridCol w:w="2633"/>
        <w:gridCol w:w="2529"/>
      </w:tblGrid>
      <w:tr w14:paraId="2FF588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929" w:type="pct"/>
            <w:gridSpan w:val="2"/>
            <w:vMerge w:val="restart"/>
            <w:noWrap w:val="0"/>
            <w:vAlign w:val="center"/>
          </w:tcPr>
          <w:p w14:paraId="4C66D8D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3070" w:type="pct"/>
            <w:gridSpan w:val="2"/>
            <w:noWrap w:val="0"/>
            <w:vAlign w:val="center"/>
          </w:tcPr>
          <w:p w14:paraId="10F6564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级配类型</w:t>
            </w:r>
          </w:p>
        </w:tc>
      </w:tr>
      <w:tr w14:paraId="4CFE4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929" w:type="pct"/>
            <w:gridSpan w:val="2"/>
            <w:vMerge w:val="continue"/>
            <w:noWrap w:val="0"/>
            <w:vAlign w:val="center"/>
          </w:tcPr>
          <w:p w14:paraId="180B3A0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566" w:type="pct"/>
            <w:noWrap w:val="0"/>
            <w:vAlign w:val="center"/>
          </w:tcPr>
          <w:p w14:paraId="1C22337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SMA-13</w:t>
            </w:r>
          </w:p>
        </w:tc>
        <w:tc>
          <w:tcPr>
            <w:tcW w:w="1504" w:type="pct"/>
            <w:noWrap w:val="0"/>
            <w:vAlign w:val="center"/>
          </w:tcPr>
          <w:p w14:paraId="685FF9B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AC-2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C</w:t>
            </w:r>
          </w:p>
        </w:tc>
      </w:tr>
      <w:tr w14:paraId="212CC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59" w:type="pct"/>
            <w:vMerge w:val="restart"/>
            <w:noWrap w:val="0"/>
            <w:vAlign w:val="center"/>
          </w:tcPr>
          <w:p w14:paraId="0818D2A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通过</w:t>
            </w:r>
          </w:p>
          <w:p w14:paraId="158290C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下列</w:t>
            </w:r>
          </w:p>
          <w:p w14:paraId="284F0FA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筛孔</w:t>
            </w:r>
          </w:p>
          <w:p w14:paraId="444136C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（mm）</w:t>
            </w:r>
          </w:p>
          <w:p w14:paraId="58375FC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的质</w:t>
            </w:r>
          </w:p>
          <w:p w14:paraId="04CF29B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量百</w:t>
            </w:r>
          </w:p>
          <w:p w14:paraId="5323EF9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分率</w:t>
            </w:r>
          </w:p>
          <w:p w14:paraId="73ED31B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070" w:type="pct"/>
            <w:noWrap w:val="0"/>
            <w:vAlign w:val="center"/>
          </w:tcPr>
          <w:p w14:paraId="149A759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31.5</w:t>
            </w:r>
          </w:p>
        </w:tc>
        <w:tc>
          <w:tcPr>
            <w:tcW w:w="1566" w:type="pct"/>
            <w:noWrap w:val="0"/>
            <w:vAlign w:val="center"/>
          </w:tcPr>
          <w:p w14:paraId="27F3FCE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504" w:type="pct"/>
            <w:noWrap w:val="0"/>
            <w:vAlign w:val="center"/>
          </w:tcPr>
          <w:p w14:paraId="0482230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100</w:t>
            </w:r>
          </w:p>
        </w:tc>
      </w:tr>
      <w:tr w14:paraId="2B41F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59" w:type="pct"/>
            <w:vMerge w:val="continue"/>
            <w:noWrap w:val="0"/>
            <w:vAlign w:val="center"/>
          </w:tcPr>
          <w:p w14:paraId="41297BF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195E354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26.5</w:t>
            </w:r>
          </w:p>
        </w:tc>
        <w:tc>
          <w:tcPr>
            <w:tcW w:w="1566" w:type="pct"/>
            <w:noWrap w:val="0"/>
            <w:vAlign w:val="center"/>
          </w:tcPr>
          <w:p w14:paraId="0DE5E5E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504" w:type="pct"/>
            <w:noWrap w:val="0"/>
            <w:vAlign w:val="center"/>
          </w:tcPr>
          <w:p w14:paraId="025620C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90-100</w:t>
            </w:r>
          </w:p>
        </w:tc>
      </w:tr>
      <w:tr w14:paraId="161445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5C4FA73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5B0A72B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566" w:type="pct"/>
            <w:noWrap w:val="0"/>
            <w:vAlign w:val="center"/>
          </w:tcPr>
          <w:p w14:paraId="6CBC736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504" w:type="pct"/>
            <w:noWrap w:val="0"/>
            <w:vAlign w:val="center"/>
          </w:tcPr>
          <w:p w14:paraId="1F56FD3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75-90</w:t>
            </w:r>
          </w:p>
        </w:tc>
      </w:tr>
      <w:tr w14:paraId="385B97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60DF58E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35F67712">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566" w:type="pct"/>
            <w:noWrap w:val="0"/>
            <w:vAlign w:val="top"/>
          </w:tcPr>
          <w:p w14:paraId="03BC8B2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100</w:t>
            </w:r>
          </w:p>
        </w:tc>
        <w:tc>
          <w:tcPr>
            <w:tcW w:w="1504" w:type="pct"/>
            <w:noWrap w:val="0"/>
            <w:vAlign w:val="center"/>
          </w:tcPr>
          <w:p w14:paraId="77A65D5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65-83</w:t>
            </w:r>
          </w:p>
        </w:tc>
      </w:tr>
      <w:tr w14:paraId="395D0E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05760B4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37D9A47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13.2</w:t>
            </w:r>
          </w:p>
        </w:tc>
        <w:tc>
          <w:tcPr>
            <w:tcW w:w="1566" w:type="pct"/>
            <w:noWrap w:val="0"/>
            <w:vAlign w:val="top"/>
          </w:tcPr>
          <w:p w14:paraId="40BF16C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100</w:t>
            </w:r>
          </w:p>
        </w:tc>
        <w:tc>
          <w:tcPr>
            <w:tcW w:w="1504" w:type="pct"/>
            <w:noWrap w:val="0"/>
            <w:vAlign w:val="center"/>
          </w:tcPr>
          <w:p w14:paraId="320B61E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57-76</w:t>
            </w:r>
          </w:p>
        </w:tc>
      </w:tr>
      <w:tr w14:paraId="21BD4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5780A28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15B506D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9.5</w:t>
            </w:r>
          </w:p>
        </w:tc>
        <w:tc>
          <w:tcPr>
            <w:tcW w:w="1566" w:type="pct"/>
            <w:noWrap w:val="0"/>
            <w:vAlign w:val="top"/>
          </w:tcPr>
          <w:p w14:paraId="5F478FB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75</w:t>
            </w:r>
          </w:p>
        </w:tc>
        <w:tc>
          <w:tcPr>
            <w:tcW w:w="1504" w:type="pct"/>
            <w:noWrap w:val="0"/>
            <w:vAlign w:val="center"/>
          </w:tcPr>
          <w:p w14:paraId="372714F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45-65</w:t>
            </w:r>
          </w:p>
        </w:tc>
      </w:tr>
      <w:tr w14:paraId="437417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191B3C6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0E15C94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4.75</w:t>
            </w:r>
          </w:p>
        </w:tc>
        <w:tc>
          <w:tcPr>
            <w:tcW w:w="1566" w:type="pct"/>
            <w:noWrap w:val="0"/>
            <w:vAlign w:val="top"/>
          </w:tcPr>
          <w:p w14:paraId="4CB35F2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34</w:t>
            </w:r>
          </w:p>
        </w:tc>
        <w:tc>
          <w:tcPr>
            <w:tcW w:w="1504" w:type="pct"/>
            <w:noWrap w:val="0"/>
            <w:vAlign w:val="center"/>
          </w:tcPr>
          <w:p w14:paraId="7393742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24-52</w:t>
            </w:r>
          </w:p>
        </w:tc>
      </w:tr>
      <w:tr w14:paraId="309CCA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137D06B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1E9187F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2.36</w:t>
            </w:r>
          </w:p>
        </w:tc>
        <w:tc>
          <w:tcPr>
            <w:tcW w:w="1566" w:type="pct"/>
            <w:noWrap w:val="0"/>
            <w:vAlign w:val="top"/>
          </w:tcPr>
          <w:p w14:paraId="0AF2433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26</w:t>
            </w:r>
          </w:p>
        </w:tc>
        <w:tc>
          <w:tcPr>
            <w:tcW w:w="1504" w:type="pct"/>
            <w:noWrap w:val="0"/>
            <w:vAlign w:val="center"/>
          </w:tcPr>
          <w:p w14:paraId="1A39382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16-42</w:t>
            </w:r>
          </w:p>
        </w:tc>
      </w:tr>
      <w:tr w14:paraId="6221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631FABD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2F227E2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1.18</w:t>
            </w:r>
          </w:p>
        </w:tc>
        <w:tc>
          <w:tcPr>
            <w:tcW w:w="1566" w:type="pct"/>
            <w:noWrap w:val="0"/>
            <w:vAlign w:val="top"/>
          </w:tcPr>
          <w:p w14:paraId="197F747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24</w:t>
            </w:r>
          </w:p>
        </w:tc>
        <w:tc>
          <w:tcPr>
            <w:tcW w:w="1504" w:type="pct"/>
            <w:noWrap w:val="0"/>
            <w:vAlign w:val="center"/>
          </w:tcPr>
          <w:p w14:paraId="067899F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12-33</w:t>
            </w:r>
          </w:p>
        </w:tc>
      </w:tr>
      <w:tr w14:paraId="0C30F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6098DDC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4CC3EF1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0.6</w:t>
            </w:r>
          </w:p>
        </w:tc>
        <w:tc>
          <w:tcPr>
            <w:tcW w:w="1566" w:type="pct"/>
            <w:noWrap w:val="0"/>
            <w:vAlign w:val="top"/>
          </w:tcPr>
          <w:p w14:paraId="00E32C3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20</w:t>
            </w:r>
          </w:p>
        </w:tc>
        <w:tc>
          <w:tcPr>
            <w:tcW w:w="1504" w:type="pct"/>
            <w:noWrap w:val="0"/>
            <w:vAlign w:val="center"/>
          </w:tcPr>
          <w:p w14:paraId="65490B8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8-24</w:t>
            </w:r>
          </w:p>
        </w:tc>
      </w:tr>
      <w:tr w14:paraId="6D0A6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0D836EF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7718085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0.3</w:t>
            </w:r>
          </w:p>
        </w:tc>
        <w:tc>
          <w:tcPr>
            <w:tcW w:w="1566" w:type="pct"/>
            <w:noWrap w:val="0"/>
            <w:vAlign w:val="top"/>
          </w:tcPr>
          <w:p w14:paraId="61F53D1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16</w:t>
            </w:r>
          </w:p>
        </w:tc>
        <w:tc>
          <w:tcPr>
            <w:tcW w:w="1504" w:type="pct"/>
            <w:noWrap w:val="0"/>
            <w:vAlign w:val="center"/>
          </w:tcPr>
          <w:p w14:paraId="0AD8493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5-17</w:t>
            </w:r>
          </w:p>
        </w:tc>
      </w:tr>
      <w:tr w14:paraId="111C5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3C1933E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5268BA1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0.15</w:t>
            </w:r>
          </w:p>
        </w:tc>
        <w:tc>
          <w:tcPr>
            <w:tcW w:w="1566" w:type="pct"/>
            <w:noWrap w:val="0"/>
            <w:vAlign w:val="top"/>
          </w:tcPr>
          <w:p w14:paraId="65C3425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15</w:t>
            </w:r>
          </w:p>
        </w:tc>
        <w:tc>
          <w:tcPr>
            <w:tcW w:w="1504" w:type="pct"/>
            <w:noWrap w:val="0"/>
            <w:vAlign w:val="center"/>
          </w:tcPr>
          <w:p w14:paraId="5ED8DE0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13</w:t>
            </w:r>
          </w:p>
        </w:tc>
      </w:tr>
      <w:tr w14:paraId="31CC1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9" w:type="pct"/>
            <w:vMerge w:val="continue"/>
            <w:noWrap w:val="0"/>
            <w:vAlign w:val="center"/>
          </w:tcPr>
          <w:p w14:paraId="411270A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1070" w:type="pct"/>
            <w:noWrap w:val="0"/>
            <w:vAlign w:val="center"/>
          </w:tcPr>
          <w:p w14:paraId="590CDAA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0.075</w:t>
            </w:r>
          </w:p>
        </w:tc>
        <w:tc>
          <w:tcPr>
            <w:tcW w:w="1566" w:type="pct"/>
            <w:noWrap w:val="0"/>
            <w:vAlign w:val="top"/>
          </w:tcPr>
          <w:p w14:paraId="1FC691C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12</w:t>
            </w:r>
          </w:p>
        </w:tc>
        <w:tc>
          <w:tcPr>
            <w:tcW w:w="1504" w:type="pct"/>
            <w:noWrap w:val="0"/>
            <w:vAlign w:val="center"/>
          </w:tcPr>
          <w:p w14:paraId="0EA1CF0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7</w:t>
            </w:r>
          </w:p>
        </w:tc>
      </w:tr>
    </w:tbl>
    <w:p w14:paraId="09A17058">
      <w:pPr>
        <w:keepNext w:val="0"/>
        <w:keepLines w:val="0"/>
        <w:pageBreakBefore w:val="0"/>
        <w:widowControl w:val="0"/>
        <w:kinsoku/>
        <w:wordWrap w:val="0"/>
        <w:overflowPunct/>
        <w:topLinePunct w:val="0"/>
        <w:autoSpaceDE/>
        <w:autoSpaceDN/>
        <w:bidi w:val="0"/>
        <w:adjustRightInd/>
        <w:snapToGrid/>
        <w:spacing w:before="157" w:beforeLines="50"/>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沥青混合料配合比设计技术要求应符合下表的规定，并具有良好的施工性能。</w:t>
      </w:r>
    </w:p>
    <w:p w14:paraId="4DB5BE24">
      <w:pPr>
        <w:pStyle w:val="72"/>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表 </w:t>
      </w:r>
      <w:r>
        <w:rPr>
          <w:rFonts w:hint="eastAsia" w:ascii="宋体" w:hAnsi="宋体" w:eastAsia="宋体" w:cs="宋体"/>
          <w:b/>
          <w:bCs/>
          <w:color w:val="auto"/>
          <w:sz w:val="24"/>
          <w:szCs w:val="24"/>
          <w:lang w:val="en-US" w:eastAsia="zh-CN"/>
        </w:rPr>
        <w:t>8</w:t>
      </w:r>
      <w:r>
        <w:rPr>
          <w:rFonts w:hint="eastAsia" w:ascii="宋体" w:hAnsi="宋体" w:eastAsia="宋体" w:cs="宋体"/>
          <w:b/>
          <w:bCs/>
          <w:color w:val="auto"/>
          <w:sz w:val="24"/>
          <w:szCs w:val="24"/>
        </w:rPr>
        <w:t xml:space="preserve"> SMA-13（SBS改性）混合料马歇尔试验配合比设计技术要求</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600"/>
        <w:gridCol w:w="2256"/>
      </w:tblGrid>
      <w:tr w14:paraId="14A5A9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6600" w:type="dxa"/>
            <w:noWrap w:val="0"/>
            <w:vAlign w:val="center"/>
          </w:tcPr>
          <w:p w14:paraId="59803D9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指   标</w:t>
            </w:r>
          </w:p>
        </w:tc>
        <w:tc>
          <w:tcPr>
            <w:tcW w:w="0" w:type="auto"/>
            <w:noWrap w:val="0"/>
            <w:vAlign w:val="center"/>
          </w:tcPr>
          <w:p w14:paraId="3065CFE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技术要求</w:t>
            </w:r>
          </w:p>
        </w:tc>
      </w:tr>
      <w:tr w14:paraId="68682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70742B5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击实次数（双面）（次）</w:t>
            </w:r>
          </w:p>
        </w:tc>
        <w:tc>
          <w:tcPr>
            <w:tcW w:w="0" w:type="auto"/>
            <w:noWrap w:val="0"/>
            <w:vAlign w:val="center"/>
          </w:tcPr>
          <w:p w14:paraId="2F91E5F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50</w:t>
            </w:r>
          </w:p>
        </w:tc>
      </w:tr>
      <w:tr w14:paraId="312CB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6DCB9BC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试件尺寸 （mm）</w:t>
            </w:r>
          </w:p>
        </w:tc>
        <w:tc>
          <w:tcPr>
            <w:tcW w:w="0" w:type="auto"/>
            <w:noWrap w:val="0"/>
            <w:vAlign w:val="center"/>
          </w:tcPr>
          <w:p w14:paraId="352BD6E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φ101.6mm×63.5mm</w:t>
            </w:r>
          </w:p>
        </w:tc>
      </w:tr>
      <w:tr w14:paraId="61B168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00" w:type="dxa"/>
            <w:noWrap w:val="0"/>
            <w:vAlign w:val="center"/>
          </w:tcPr>
          <w:p w14:paraId="312EC5E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空隙率VV （%）</w:t>
            </w:r>
          </w:p>
        </w:tc>
        <w:tc>
          <w:tcPr>
            <w:tcW w:w="0" w:type="auto"/>
            <w:noWrap w:val="0"/>
            <w:vAlign w:val="center"/>
          </w:tcPr>
          <w:p w14:paraId="4CF1B85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3～4</w:t>
            </w:r>
          </w:p>
        </w:tc>
      </w:tr>
      <w:tr w14:paraId="0C679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00" w:type="dxa"/>
            <w:noWrap w:val="0"/>
            <w:vAlign w:val="center"/>
          </w:tcPr>
          <w:p w14:paraId="17A7F96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矿料间隙率VMA，不小于（%）</w:t>
            </w:r>
          </w:p>
        </w:tc>
        <w:tc>
          <w:tcPr>
            <w:tcW w:w="0" w:type="auto"/>
            <w:noWrap w:val="0"/>
            <w:vAlign w:val="center"/>
          </w:tcPr>
          <w:p w14:paraId="7209ADC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17.0</w:t>
            </w:r>
          </w:p>
        </w:tc>
      </w:tr>
      <w:tr w14:paraId="151694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00" w:type="dxa"/>
            <w:noWrap w:val="0"/>
            <w:vAlign w:val="center"/>
          </w:tcPr>
          <w:p w14:paraId="727D2F8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粗集料骨架间隙率VCAmix,不大于</w:t>
            </w:r>
          </w:p>
        </w:tc>
        <w:tc>
          <w:tcPr>
            <w:tcW w:w="0" w:type="auto"/>
            <w:noWrap w:val="0"/>
            <w:vAlign w:val="center"/>
          </w:tcPr>
          <w:p w14:paraId="5FF82D22">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VCADRC</w:t>
            </w:r>
          </w:p>
        </w:tc>
      </w:tr>
      <w:tr w14:paraId="258486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00" w:type="dxa"/>
            <w:noWrap w:val="0"/>
            <w:vAlign w:val="center"/>
          </w:tcPr>
          <w:p w14:paraId="7F93F87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沥青饱和度VFA（%）</w:t>
            </w:r>
          </w:p>
        </w:tc>
        <w:tc>
          <w:tcPr>
            <w:tcW w:w="0" w:type="auto"/>
            <w:noWrap w:val="0"/>
            <w:vAlign w:val="center"/>
          </w:tcPr>
          <w:p w14:paraId="095B70F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75～85</w:t>
            </w:r>
          </w:p>
        </w:tc>
      </w:tr>
      <w:tr w14:paraId="5F960C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29B8851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稳定度，不小于 （kN）</w:t>
            </w:r>
          </w:p>
        </w:tc>
        <w:tc>
          <w:tcPr>
            <w:tcW w:w="0" w:type="auto"/>
            <w:noWrap w:val="0"/>
            <w:vAlign w:val="center"/>
          </w:tcPr>
          <w:p w14:paraId="7616B48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6.0</w:t>
            </w:r>
          </w:p>
        </w:tc>
      </w:tr>
      <w:tr w14:paraId="7C520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5AEB481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流值（mm）</w:t>
            </w:r>
          </w:p>
        </w:tc>
        <w:tc>
          <w:tcPr>
            <w:tcW w:w="0" w:type="auto"/>
            <w:noWrap w:val="0"/>
            <w:vAlign w:val="center"/>
          </w:tcPr>
          <w:p w14:paraId="25F7F7C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r>
      <w:tr w14:paraId="7DE8B1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6C4D083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谢伦堡沥青析漏试验的结合料损失（%）</w:t>
            </w:r>
          </w:p>
        </w:tc>
        <w:tc>
          <w:tcPr>
            <w:tcW w:w="0" w:type="auto"/>
            <w:noWrap w:val="0"/>
            <w:vAlign w:val="center"/>
          </w:tcPr>
          <w:p w14:paraId="709B22A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不大于0.1</w:t>
            </w:r>
          </w:p>
        </w:tc>
      </w:tr>
      <w:tr w14:paraId="686B8F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00" w:type="dxa"/>
            <w:noWrap w:val="0"/>
            <w:vAlign w:val="center"/>
          </w:tcPr>
          <w:p w14:paraId="44FCE42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肯塔堡飞散试验的混合料损失或浸水飞散试验（%）</w:t>
            </w:r>
          </w:p>
        </w:tc>
        <w:tc>
          <w:tcPr>
            <w:tcW w:w="0" w:type="auto"/>
            <w:noWrap w:val="0"/>
            <w:vAlign w:val="center"/>
          </w:tcPr>
          <w:p w14:paraId="2066F8E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不大于15</w:t>
            </w:r>
          </w:p>
        </w:tc>
      </w:tr>
    </w:tbl>
    <w:p w14:paraId="26DB1221">
      <w:pPr>
        <w:pStyle w:val="72"/>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宋体" w:hAnsi="宋体" w:eastAsia="宋体" w:cs="宋体"/>
          <w:b/>
          <w:bCs/>
          <w:color w:val="auto"/>
          <w:sz w:val="24"/>
          <w:szCs w:val="24"/>
        </w:rPr>
      </w:pPr>
    </w:p>
    <w:p w14:paraId="041CB324">
      <w:pPr>
        <w:pStyle w:val="72"/>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宋体" w:hAnsi="宋体" w:eastAsia="宋体" w:cs="宋体"/>
          <w:b/>
          <w:bCs/>
          <w:color w:val="auto"/>
          <w:sz w:val="24"/>
          <w:szCs w:val="24"/>
        </w:rPr>
      </w:pPr>
    </w:p>
    <w:p w14:paraId="06DC75EC">
      <w:pPr>
        <w:pStyle w:val="72"/>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宋体" w:hAnsi="宋体" w:eastAsia="宋体" w:cs="宋体"/>
          <w:b/>
          <w:bCs/>
          <w:color w:val="auto"/>
          <w:sz w:val="24"/>
          <w:szCs w:val="24"/>
        </w:rPr>
      </w:pPr>
    </w:p>
    <w:p w14:paraId="38874B62">
      <w:pPr>
        <w:pStyle w:val="72"/>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表 </w:t>
      </w:r>
      <w:r>
        <w:rPr>
          <w:rFonts w:hint="eastAsia" w:ascii="宋体" w:hAnsi="宋体" w:eastAsia="宋体" w:cs="宋体"/>
          <w:b/>
          <w:bCs/>
          <w:color w:val="auto"/>
          <w:sz w:val="24"/>
          <w:szCs w:val="24"/>
          <w:lang w:val="en-US" w:eastAsia="zh-CN"/>
        </w:rPr>
        <w:t>9</w:t>
      </w:r>
      <w:r>
        <w:rPr>
          <w:rFonts w:hint="eastAsia" w:ascii="宋体" w:hAnsi="宋体" w:eastAsia="宋体" w:cs="宋体"/>
          <w:b/>
          <w:bCs/>
          <w:color w:val="auto"/>
          <w:sz w:val="24"/>
          <w:szCs w:val="24"/>
        </w:rPr>
        <w:t xml:space="preserve"> 密集配沥青混凝土混合料马歇尔试验技术标准</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2981"/>
        <w:gridCol w:w="3696"/>
      </w:tblGrid>
      <w:tr w14:paraId="2F8FFA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256" w:type="dxa"/>
            <w:gridSpan w:val="2"/>
            <w:vMerge w:val="restart"/>
            <w:noWrap w:val="0"/>
            <w:vAlign w:val="center"/>
          </w:tcPr>
          <w:p w14:paraId="6F76C76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指   标</w:t>
            </w:r>
          </w:p>
        </w:tc>
        <w:tc>
          <w:tcPr>
            <w:tcW w:w="0" w:type="auto"/>
            <w:noWrap w:val="0"/>
            <w:vAlign w:val="center"/>
          </w:tcPr>
          <w:p w14:paraId="33E3E51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技术要求</w:t>
            </w:r>
          </w:p>
        </w:tc>
      </w:tr>
      <w:tr w14:paraId="26D61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256" w:type="dxa"/>
            <w:gridSpan w:val="2"/>
            <w:vMerge w:val="continue"/>
            <w:noWrap w:val="0"/>
            <w:vAlign w:val="center"/>
          </w:tcPr>
          <w:p w14:paraId="18AF208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66098D7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AC-2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C</w:t>
            </w:r>
          </w:p>
        </w:tc>
      </w:tr>
      <w:tr w14:paraId="55A13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6" w:type="dxa"/>
            <w:gridSpan w:val="2"/>
            <w:noWrap w:val="0"/>
            <w:vAlign w:val="center"/>
          </w:tcPr>
          <w:p w14:paraId="7908BCF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击实次数（双面）（次）</w:t>
            </w:r>
          </w:p>
        </w:tc>
        <w:tc>
          <w:tcPr>
            <w:tcW w:w="0" w:type="auto"/>
            <w:noWrap w:val="0"/>
            <w:vAlign w:val="center"/>
          </w:tcPr>
          <w:p w14:paraId="20DD576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50</w:t>
            </w:r>
          </w:p>
        </w:tc>
      </w:tr>
      <w:tr w14:paraId="2E3C56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6" w:type="dxa"/>
            <w:gridSpan w:val="2"/>
            <w:noWrap w:val="0"/>
            <w:vAlign w:val="center"/>
          </w:tcPr>
          <w:p w14:paraId="227974E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试件尺寸 （mm）</w:t>
            </w:r>
          </w:p>
        </w:tc>
        <w:tc>
          <w:tcPr>
            <w:tcW w:w="0" w:type="auto"/>
            <w:noWrap w:val="0"/>
            <w:vAlign w:val="center"/>
          </w:tcPr>
          <w:p w14:paraId="4D5AEE0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φ101.6mm×63.5mm</w:t>
            </w:r>
          </w:p>
        </w:tc>
      </w:tr>
      <w:tr w14:paraId="2ED74E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restart"/>
            <w:noWrap w:val="0"/>
            <w:vAlign w:val="center"/>
          </w:tcPr>
          <w:p w14:paraId="033713E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空隙率VV</w:t>
            </w:r>
          </w:p>
          <w:p w14:paraId="786D010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0" w:type="auto"/>
            <w:vMerge w:val="restart"/>
            <w:noWrap w:val="0"/>
            <w:vAlign w:val="center"/>
          </w:tcPr>
          <w:p w14:paraId="1BF10E3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深约90mm以内（含90mm）</w:t>
            </w:r>
          </w:p>
          <w:p w14:paraId="0243FD18">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深约90mm以下</w:t>
            </w:r>
          </w:p>
        </w:tc>
        <w:tc>
          <w:tcPr>
            <w:tcW w:w="0" w:type="auto"/>
            <w:noWrap w:val="0"/>
            <w:vAlign w:val="center"/>
          </w:tcPr>
          <w:p w14:paraId="4E8132B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3～6</w:t>
            </w:r>
          </w:p>
        </w:tc>
      </w:tr>
      <w:tr w14:paraId="3BB0A8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227AD26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vMerge w:val="continue"/>
            <w:noWrap w:val="0"/>
            <w:vAlign w:val="center"/>
          </w:tcPr>
          <w:p w14:paraId="3C23601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2C624BB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3～6</w:t>
            </w:r>
          </w:p>
        </w:tc>
      </w:tr>
      <w:tr w14:paraId="0D3E8F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6" w:type="dxa"/>
            <w:gridSpan w:val="2"/>
            <w:noWrap w:val="0"/>
            <w:vAlign w:val="center"/>
          </w:tcPr>
          <w:p w14:paraId="263B883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稳定度MS，不小于 （kN）</w:t>
            </w:r>
          </w:p>
        </w:tc>
        <w:tc>
          <w:tcPr>
            <w:tcW w:w="0" w:type="auto"/>
            <w:noWrap w:val="0"/>
            <w:vAlign w:val="center"/>
          </w:tcPr>
          <w:p w14:paraId="71EB9AE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r>
      <w:tr w14:paraId="18B14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6" w:type="dxa"/>
            <w:gridSpan w:val="2"/>
            <w:noWrap w:val="0"/>
            <w:vAlign w:val="center"/>
          </w:tcPr>
          <w:p w14:paraId="046514E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流值FL （mm）</w:t>
            </w:r>
          </w:p>
        </w:tc>
        <w:tc>
          <w:tcPr>
            <w:tcW w:w="0" w:type="auto"/>
            <w:noWrap w:val="0"/>
            <w:vAlign w:val="center"/>
          </w:tcPr>
          <w:p w14:paraId="4E1478F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2～4.5</w:t>
            </w:r>
          </w:p>
        </w:tc>
      </w:tr>
      <w:tr w14:paraId="24CC34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restart"/>
            <w:noWrap w:val="0"/>
            <w:vAlign w:val="center"/>
          </w:tcPr>
          <w:p w14:paraId="72CD7BB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矿料间隙率VMA，</w:t>
            </w:r>
          </w:p>
          <w:p w14:paraId="7EDFE76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不小于 （%）</w:t>
            </w:r>
          </w:p>
        </w:tc>
        <w:tc>
          <w:tcPr>
            <w:tcW w:w="0" w:type="auto"/>
            <w:vMerge w:val="restart"/>
            <w:noWrap w:val="0"/>
            <w:vAlign w:val="center"/>
          </w:tcPr>
          <w:p w14:paraId="5C9553A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设计空隙率</w:t>
            </w:r>
          </w:p>
          <w:p w14:paraId="7342148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0" w:type="auto"/>
            <w:noWrap w:val="0"/>
            <w:vAlign w:val="center"/>
          </w:tcPr>
          <w:p w14:paraId="6B5837F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相应于以下公称最大粒径（mm）</w:t>
            </w:r>
          </w:p>
          <w:p w14:paraId="50B2299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的最小VMA及VFA技术要求（%）</w:t>
            </w:r>
          </w:p>
        </w:tc>
      </w:tr>
      <w:tr w14:paraId="6B11D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3F01681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vMerge w:val="continue"/>
            <w:noWrap w:val="0"/>
            <w:vAlign w:val="center"/>
          </w:tcPr>
          <w:p w14:paraId="201E2C1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7497B4E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26.5</w:t>
            </w:r>
          </w:p>
        </w:tc>
      </w:tr>
      <w:tr w14:paraId="4E4DB4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5EAD3512">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719D14F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0" w:type="auto"/>
            <w:noWrap w:val="0"/>
            <w:vAlign w:val="center"/>
          </w:tcPr>
          <w:p w14:paraId="09AFE83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14:paraId="1201E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6B02CB8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77B3FE3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0" w:type="auto"/>
            <w:noWrap w:val="0"/>
            <w:vAlign w:val="center"/>
          </w:tcPr>
          <w:p w14:paraId="24D6CBD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p>
        </w:tc>
      </w:tr>
      <w:tr w14:paraId="1F8494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45A8A5E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41E2FF3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0" w:type="auto"/>
            <w:noWrap w:val="0"/>
            <w:vAlign w:val="center"/>
          </w:tcPr>
          <w:p w14:paraId="6C25ED1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p>
        </w:tc>
      </w:tr>
      <w:tr w14:paraId="11276B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08FA7A8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26F76D3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0" w:type="auto"/>
            <w:noWrap w:val="0"/>
            <w:vAlign w:val="center"/>
          </w:tcPr>
          <w:p w14:paraId="4922530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p>
        </w:tc>
      </w:tr>
      <w:tr w14:paraId="4F37F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439" w:type="dxa"/>
            <w:vMerge w:val="continue"/>
            <w:noWrap w:val="0"/>
            <w:vAlign w:val="center"/>
          </w:tcPr>
          <w:p w14:paraId="4352F1D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p>
        </w:tc>
        <w:tc>
          <w:tcPr>
            <w:tcW w:w="0" w:type="auto"/>
            <w:noWrap w:val="0"/>
            <w:vAlign w:val="center"/>
          </w:tcPr>
          <w:p w14:paraId="3270C35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0" w:type="auto"/>
            <w:noWrap w:val="0"/>
            <w:vAlign w:val="center"/>
          </w:tcPr>
          <w:p w14:paraId="2DD6DFB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p>
        </w:tc>
      </w:tr>
      <w:tr w14:paraId="145D0B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6" w:type="dxa"/>
            <w:gridSpan w:val="2"/>
            <w:noWrap w:val="0"/>
            <w:vAlign w:val="center"/>
          </w:tcPr>
          <w:p w14:paraId="2E4E6B1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沥青饱和度VFA （%）</w:t>
            </w:r>
          </w:p>
        </w:tc>
        <w:tc>
          <w:tcPr>
            <w:tcW w:w="0" w:type="auto"/>
            <w:noWrap w:val="0"/>
            <w:vAlign w:val="center"/>
          </w:tcPr>
          <w:p w14:paraId="18DA12B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55</w:t>
            </w: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0</w:t>
            </w:r>
          </w:p>
        </w:tc>
      </w:tr>
    </w:tbl>
    <w:p w14:paraId="2FB1A1A6">
      <w:pPr>
        <w:ind w:firstLine="480"/>
        <w:rPr>
          <w:rFonts w:hint="eastAsia" w:ascii="宋体" w:hAnsi="宋体" w:eastAsia="宋体" w:cs="宋体"/>
          <w:b/>
          <w:bCs/>
          <w:color w:val="auto"/>
          <w:sz w:val="24"/>
          <w:szCs w:val="24"/>
        </w:rPr>
      </w:pPr>
      <w:bookmarkStart w:id="0" w:name="_Toc18936"/>
      <w:bookmarkStart w:id="1" w:name="_Toc19563"/>
      <w:bookmarkStart w:id="2" w:name="_Toc23030"/>
      <w:r>
        <w:rPr>
          <w:rFonts w:hint="eastAsia" w:ascii="宋体" w:hAnsi="宋体" w:eastAsia="宋体" w:cs="宋体"/>
          <w:b/>
          <w:bCs/>
          <w:color w:val="auto"/>
          <w:sz w:val="24"/>
          <w:szCs w:val="24"/>
          <w:lang w:val="en-US" w:eastAsia="zh-CN"/>
        </w:rPr>
        <w:t>12.2</w:t>
      </w:r>
      <w:r>
        <w:rPr>
          <w:rFonts w:hint="eastAsia" w:ascii="宋体" w:hAnsi="宋体" w:eastAsia="宋体" w:cs="宋体"/>
          <w:b/>
          <w:bCs/>
          <w:color w:val="auto"/>
          <w:sz w:val="24"/>
          <w:szCs w:val="24"/>
          <w:lang w:eastAsia="zh-CN"/>
        </w:rPr>
        <w:t>橡胶沥青纤维碎石封层材料技术要求</w:t>
      </w:r>
      <w:bookmarkEnd w:id="0"/>
      <w:bookmarkEnd w:id="1"/>
    </w:p>
    <w:p w14:paraId="159C6B83">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应力吸收层采用高稠度橡胶复合改性沥青纤维碎石同步封层，是指采用专用设备同时喷洒橡胶复合改性沥青和纤维，然后在上面撒布碎石经碾压后形成新的沥青路表磨耗层或应力吸收层，它可以有效的阻止原面层上的裂缝或基层裂缝反射到上面层，是道路养护和建设的新技术。</w:t>
      </w:r>
    </w:p>
    <w:p w14:paraId="358E35E5">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（1）高稠度橡胶复合改性沥青</w:t>
      </w:r>
    </w:p>
    <w:p w14:paraId="71BD1526">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高稠度沥青改性剂是一种颗粒状（粒径大小一般在3-6mm）复合改性剂。该复合改性剂颗粒已经对高分子原料进行了去网络化、复合反应和稳定化处置。该改性剂颗粒，在18-22%内含掺量时，在基质沥青中充分熔胀后，采用专用的加强型沥青改性设备完成改性剂的剪切、细化和匀化。无需添加任何其他助剂，就可以实现稳定型高稠复合改性沥青的生产和供应。</w:t>
      </w:r>
    </w:p>
    <w:p w14:paraId="46B83D2A">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高稠度改性沥青具有低流动性（高稠度）、快速固结的特点，同时兼顾洒布的便捷，改性剂在沥青中充分细化分散，并应在改性沥青中稳定存在。关键控制指标是180℃粘度和储存稳定软化点差。</w:t>
      </w:r>
    </w:p>
    <w:p w14:paraId="7DDF690E">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作为下封层使用时为保证粘附效果须在同步封层施工前洒布一层乳化沥青透层油。</w:t>
      </w:r>
    </w:p>
    <w:p w14:paraId="209B56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color w:val="auto"/>
          <w:sz w:val="24"/>
          <w:szCs w:val="28"/>
        </w:rPr>
      </w:pPr>
      <w:r>
        <w:rPr>
          <w:rFonts w:hint="eastAsia" w:ascii="宋体" w:hAnsi="宋体" w:eastAsia="宋体" w:cs="Times New Roman"/>
          <w:b/>
          <w:color w:val="auto"/>
          <w:sz w:val="24"/>
          <w:szCs w:val="28"/>
          <w:lang w:eastAsia="zh-CN"/>
        </w:rPr>
        <w:t>表</w:t>
      </w:r>
      <w:r>
        <w:rPr>
          <w:rFonts w:hint="eastAsia" w:ascii="宋体" w:hAnsi="宋体" w:eastAsia="宋体" w:cs="Times New Roman"/>
          <w:b/>
          <w:color w:val="auto"/>
          <w:sz w:val="24"/>
          <w:szCs w:val="28"/>
          <w:lang w:val="en-US" w:eastAsia="zh-CN"/>
        </w:rPr>
        <w:t xml:space="preserve">10  </w:t>
      </w:r>
      <w:r>
        <w:rPr>
          <w:rFonts w:hint="eastAsia" w:ascii="宋体" w:hAnsi="宋体" w:eastAsia="宋体" w:cs="Times New Roman"/>
          <w:b/>
          <w:color w:val="auto"/>
          <w:sz w:val="24"/>
          <w:szCs w:val="28"/>
        </w:rPr>
        <w:t>洒布型高稠度橡胶复合改性沥青技术要求</w:t>
      </w:r>
    </w:p>
    <w:tbl>
      <w:tblPr>
        <w:tblStyle w:val="18"/>
        <w:tblW w:w="857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511"/>
        <w:gridCol w:w="944"/>
        <w:gridCol w:w="2433"/>
        <w:gridCol w:w="1689"/>
      </w:tblGrid>
      <w:tr w14:paraId="6BF2C3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511" w:type="dxa"/>
            <w:tcBorders>
              <w:top w:val="single" w:color="auto" w:sz="12" w:space="0"/>
              <w:left w:val="single" w:color="auto" w:sz="12" w:space="0"/>
              <w:bottom w:val="single" w:color="auto" w:sz="4" w:space="0"/>
              <w:right w:val="single" w:color="auto" w:sz="4" w:space="0"/>
            </w:tcBorders>
            <w:shd w:val="clear" w:color="auto" w:fill="FFFFFF"/>
            <w:noWrap w:val="0"/>
            <w:vAlign w:val="center"/>
          </w:tcPr>
          <w:p w14:paraId="4CA427FA">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指     标</w:t>
            </w:r>
          </w:p>
        </w:tc>
        <w:tc>
          <w:tcPr>
            <w:tcW w:w="944" w:type="dxa"/>
            <w:tcBorders>
              <w:top w:val="single" w:color="auto" w:sz="12" w:space="0"/>
              <w:left w:val="single" w:color="auto" w:sz="4" w:space="0"/>
              <w:bottom w:val="single" w:color="auto" w:sz="4" w:space="0"/>
              <w:right w:val="single" w:color="auto" w:sz="4" w:space="0"/>
            </w:tcBorders>
            <w:shd w:val="clear" w:color="auto" w:fill="FFFFFF"/>
            <w:noWrap w:val="0"/>
            <w:vAlign w:val="center"/>
          </w:tcPr>
          <w:p w14:paraId="4EB3D19D">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单位</w:t>
            </w:r>
          </w:p>
        </w:tc>
        <w:tc>
          <w:tcPr>
            <w:tcW w:w="2433" w:type="dxa"/>
            <w:tcBorders>
              <w:top w:val="single" w:color="auto" w:sz="12" w:space="0"/>
              <w:left w:val="single" w:color="auto" w:sz="4" w:space="0"/>
              <w:bottom w:val="single" w:color="auto" w:sz="4" w:space="0"/>
              <w:right w:val="single" w:color="auto" w:sz="4" w:space="0"/>
            </w:tcBorders>
            <w:shd w:val="clear" w:color="auto" w:fill="FFFFFF"/>
            <w:noWrap w:val="0"/>
            <w:vAlign w:val="center"/>
          </w:tcPr>
          <w:p w14:paraId="539866D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洒布型高稠度橡胶复合改性沥青</w:t>
            </w:r>
          </w:p>
        </w:tc>
        <w:tc>
          <w:tcPr>
            <w:tcW w:w="1689" w:type="dxa"/>
            <w:tcBorders>
              <w:top w:val="single" w:color="auto" w:sz="12" w:space="0"/>
              <w:left w:val="single" w:color="auto" w:sz="4" w:space="0"/>
              <w:bottom w:val="single" w:color="auto" w:sz="4" w:space="0"/>
              <w:right w:val="single" w:color="auto" w:sz="12" w:space="0"/>
            </w:tcBorders>
            <w:shd w:val="clear" w:color="auto" w:fill="FFFFFF"/>
            <w:noWrap w:val="0"/>
            <w:vAlign w:val="center"/>
          </w:tcPr>
          <w:p w14:paraId="56DFC4D6">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试验方法</w:t>
            </w:r>
          </w:p>
        </w:tc>
      </w:tr>
      <w:tr w14:paraId="372D6C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511" w:type="dxa"/>
            <w:tcBorders>
              <w:top w:val="single" w:color="auto" w:sz="4" w:space="0"/>
              <w:left w:val="single" w:color="auto" w:sz="12" w:space="0"/>
              <w:bottom w:val="single" w:color="auto" w:sz="4" w:space="0"/>
              <w:right w:val="single" w:color="auto" w:sz="4" w:space="0"/>
            </w:tcBorders>
            <w:noWrap w:val="0"/>
            <w:vAlign w:val="center"/>
          </w:tcPr>
          <w:p w14:paraId="48AB73CB">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针入度（25℃，5s，100g）</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7661816">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0.1mm</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B6CD81C">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30～60</w:t>
            </w:r>
          </w:p>
        </w:tc>
        <w:tc>
          <w:tcPr>
            <w:tcW w:w="1689" w:type="dxa"/>
            <w:tcBorders>
              <w:top w:val="single" w:color="auto" w:sz="4" w:space="0"/>
              <w:left w:val="single" w:color="auto" w:sz="4" w:space="0"/>
              <w:bottom w:val="single" w:color="auto" w:sz="4" w:space="0"/>
              <w:right w:val="single" w:color="auto" w:sz="12" w:space="0"/>
            </w:tcBorders>
            <w:noWrap w:val="0"/>
            <w:vAlign w:val="center"/>
          </w:tcPr>
          <w:p w14:paraId="66A6F816">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T0604</w:t>
            </w:r>
          </w:p>
        </w:tc>
      </w:tr>
      <w:tr w14:paraId="33F2D4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511" w:type="dxa"/>
            <w:tcBorders>
              <w:top w:val="single" w:color="auto" w:sz="4" w:space="0"/>
              <w:left w:val="single" w:color="auto" w:sz="12" w:space="0"/>
              <w:bottom w:val="single" w:color="auto" w:sz="4" w:space="0"/>
              <w:right w:val="single" w:color="auto" w:sz="4" w:space="0"/>
            </w:tcBorders>
            <w:noWrap w:val="0"/>
            <w:vAlign w:val="center"/>
          </w:tcPr>
          <w:p w14:paraId="393D1E2E">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软化点（TR＆B），不小于</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2EE60E1">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A72066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60</w:t>
            </w:r>
          </w:p>
        </w:tc>
        <w:tc>
          <w:tcPr>
            <w:tcW w:w="1689" w:type="dxa"/>
            <w:tcBorders>
              <w:top w:val="single" w:color="auto" w:sz="4" w:space="0"/>
              <w:left w:val="single" w:color="auto" w:sz="4" w:space="0"/>
              <w:bottom w:val="single" w:color="auto" w:sz="4" w:space="0"/>
              <w:right w:val="single" w:color="auto" w:sz="12" w:space="0"/>
            </w:tcBorders>
            <w:noWrap w:val="0"/>
            <w:vAlign w:val="center"/>
          </w:tcPr>
          <w:p w14:paraId="288ED924">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T0606</w:t>
            </w:r>
          </w:p>
        </w:tc>
      </w:tr>
      <w:tr w14:paraId="6847E5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511" w:type="dxa"/>
            <w:tcBorders>
              <w:top w:val="single" w:color="auto" w:sz="4" w:space="0"/>
              <w:left w:val="single" w:color="auto" w:sz="12" w:space="0"/>
              <w:bottom w:val="single" w:color="auto" w:sz="4" w:space="0"/>
              <w:right w:val="single" w:color="auto" w:sz="4" w:space="0"/>
            </w:tcBorders>
            <w:noWrap w:val="0"/>
            <w:vAlign w:val="center"/>
          </w:tcPr>
          <w:p w14:paraId="4C6DBF47">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旋转粘度180℃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FA48AE6">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Pa·s</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E6EBD5E">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2.0～5.0</w:t>
            </w:r>
          </w:p>
        </w:tc>
        <w:tc>
          <w:tcPr>
            <w:tcW w:w="1689" w:type="dxa"/>
            <w:tcBorders>
              <w:top w:val="single" w:color="auto" w:sz="4" w:space="0"/>
              <w:left w:val="single" w:color="auto" w:sz="4" w:space="0"/>
              <w:bottom w:val="single" w:color="auto" w:sz="4" w:space="0"/>
              <w:right w:val="single" w:color="auto" w:sz="12" w:space="0"/>
            </w:tcBorders>
            <w:noWrap w:val="0"/>
            <w:vAlign w:val="center"/>
          </w:tcPr>
          <w:p w14:paraId="0D6D490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T0625</w:t>
            </w:r>
          </w:p>
        </w:tc>
      </w:tr>
      <w:tr w14:paraId="7C4316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511" w:type="dxa"/>
            <w:tcBorders>
              <w:top w:val="single" w:color="auto" w:sz="4" w:space="0"/>
              <w:left w:val="single" w:color="auto" w:sz="12" w:space="0"/>
              <w:bottom w:val="single" w:color="auto" w:sz="4" w:space="0"/>
              <w:right w:val="single" w:color="auto" w:sz="4" w:space="0"/>
            </w:tcBorders>
            <w:noWrap w:val="0"/>
            <w:vAlign w:val="center"/>
          </w:tcPr>
          <w:p w14:paraId="6A81CA18">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弹性恢复25℃，不小于</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00EFFCC7">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261FF58A">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60</w:t>
            </w:r>
          </w:p>
        </w:tc>
        <w:tc>
          <w:tcPr>
            <w:tcW w:w="1689" w:type="dxa"/>
            <w:tcBorders>
              <w:top w:val="single" w:color="auto" w:sz="4" w:space="0"/>
              <w:left w:val="single" w:color="auto" w:sz="4" w:space="0"/>
              <w:bottom w:val="single" w:color="auto" w:sz="4" w:space="0"/>
              <w:right w:val="single" w:color="auto" w:sz="12" w:space="0"/>
            </w:tcBorders>
            <w:noWrap w:val="0"/>
            <w:vAlign w:val="center"/>
          </w:tcPr>
          <w:p w14:paraId="6E72584E">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T0662</w:t>
            </w:r>
          </w:p>
        </w:tc>
      </w:tr>
      <w:tr w14:paraId="65E28D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511" w:type="dxa"/>
            <w:tcBorders>
              <w:top w:val="single" w:color="auto" w:sz="4" w:space="0"/>
              <w:left w:val="single" w:color="auto" w:sz="12" w:space="0"/>
              <w:bottom w:val="single" w:color="auto" w:sz="4" w:space="0"/>
              <w:right w:val="single" w:color="auto" w:sz="4" w:space="0"/>
            </w:tcBorders>
            <w:noWrap w:val="0"/>
            <w:vAlign w:val="center"/>
          </w:tcPr>
          <w:p w14:paraId="34922113">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贮存稳定性离析，48h软化点差，不大于</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F1094BC">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1AB350A3">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5</w:t>
            </w:r>
          </w:p>
        </w:tc>
        <w:tc>
          <w:tcPr>
            <w:tcW w:w="1689" w:type="dxa"/>
            <w:tcBorders>
              <w:top w:val="single" w:color="auto" w:sz="4" w:space="0"/>
              <w:left w:val="single" w:color="auto" w:sz="4" w:space="0"/>
              <w:bottom w:val="single" w:color="auto" w:sz="4" w:space="0"/>
              <w:right w:val="single" w:color="auto" w:sz="12" w:space="0"/>
            </w:tcBorders>
            <w:noWrap w:val="0"/>
            <w:vAlign w:val="center"/>
          </w:tcPr>
          <w:p w14:paraId="4094802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T0661</w:t>
            </w:r>
          </w:p>
        </w:tc>
      </w:tr>
      <w:tr w14:paraId="7AFBCF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511" w:type="dxa"/>
            <w:tcBorders>
              <w:top w:val="single" w:color="auto" w:sz="4" w:space="0"/>
              <w:left w:val="single" w:color="auto" w:sz="12" w:space="0"/>
              <w:bottom w:val="single" w:color="auto" w:sz="12" w:space="0"/>
              <w:right w:val="single" w:color="auto" w:sz="4" w:space="0"/>
            </w:tcBorders>
            <w:noWrap w:val="0"/>
            <w:vAlign w:val="center"/>
          </w:tcPr>
          <w:p w14:paraId="6DA844A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延度 5℃（5cm/min）不小于</w:t>
            </w:r>
          </w:p>
        </w:tc>
        <w:tc>
          <w:tcPr>
            <w:tcW w:w="944" w:type="dxa"/>
            <w:tcBorders>
              <w:top w:val="single" w:color="auto" w:sz="4" w:space="0"/>
              <w:left w:val="single" w:color="auto" w:sz="4" w:space="0"/>
              <w:bottom w:val="single" w:color="auto" w:sz="12" w:space="0"/>
              <w:right w:val="single" w:color="auto" w:sz="4" w:space="0"/>
            </w:tcBorders>
            <w:noWrap w:val="0"/>
            <w:vAlign w:val="center"/>
          </w:tcPr>
          <w:p w14:paraId="1698125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cm</w:t>
            </w:r>
          </w:p>
        </w:tc>
        <w:tc>
          <w:tcPr>
            <w:tcW w:w="2433" w:type="dxa"/>
            <w:tcBorders>
              <w:top w:val="single" w:color="auto" w:sz="4" w:space="0"/>
              <w:left w:val="single" w:color="auto" w:sz="4" w:space="0"/>
              <w:bottom w:val="single" w:color="auto" w:sz="12" w:space="0"/>
              <w:right w:val="single" w:color="auto" w:sz="4" w:space="0"/>
            </w:tcBorders>
            <w:noWrap w:val="0"/>
            <w:vAlign w:val="center"/>
          </w:tcPr>
          <w:p w14:paraId="3C3F1DF6">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5</w:t>
            </w:r>
          </w:p>
        </w:tc>
        <w:tc>
          <w:tcPr>
            <w:tcW w:w="1689" w:type="dxa"/>
            <w:tcBorders>
              <w:top w:val="single" w:color="auto" w:sz="4" w:space="0"/>
              <w:left w:val="single" w:color="auto" w:sz="4" w:space="0"/>
              <w:bottom w:val="single" w:color="auto" w:sz="12" w:space="0"/>
              <w:right w:val="single" w:color="auto" w:sz="12" w:space="0"/>
            </w:tcBorders>
            <w:noWrap w:val="0"/>
            <w:vAlign w:val="center"/>
          </w:tcPr>
          <w:p w14:paraId="7CDF2A2B">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T0605</w:t>
            </w:r>
          </w:p>
        </w:tc>
      </w:tr>
    </w:tbl>
    <w:p w14:paraId="3A8C34EC">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（2）集料</w:t>
      </w:r>
    </w:p>
    <w:p w14:paraId="6FA61436">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应选择坚硬、粗糙、耐磨、洁净的玄武岩或石灰岩集料，集料粒径为4.75～9.5mm或9.5～13.2mm。4.75～9.5mm集料多用于磨耗层或新建道路下封层，用量为5～8m3/1000m2；9.5～ 13.2mm石料多用于新建道路下封层，用量为8~11m3/1000m2。 严格控制粉尘含量（小于0.075mm含量比例不大于1％）。</w:t>
      </w:r>
    </w:p>
    <w:p w14:paraId="5EF150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color w:val="auto"/>
          <w:sz w:val="24"/>
          <w:szCs w:val="28"/>
          <w:lang w:val="en-US" w:eastAsia="zh-CN"/>
        </w:rPr>
      </w:pPr>
      <w:r>
        <w:rPr>
          <w:rFonts w:hint="eastAsia" w:ascii="宋体" w:hAnsi="宋体" w:eastAsia="宋体" w:cs="Times New Roman"/>
          <w:b/>
          <w:color w:val="auto"/>
          <w:sz w:val="24"/>
          <w:szCs w:val="28"/>
          <w:lang w:val="en-US" w:eastAsia="zh-CN"/>
        </w:rPr>
        <w:t>表11  石料指标要求</w:t>
      </w:r>
    </w:p>
    <w:tbl>
      <w:tblPr>
        <w:tblStyle w:val="18"/>
        <w:tblW w:w="85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1806"/>
        <w:gridCol w:w="3008"/>
      </w:tblGrid>
      <w:tr w14:paraId="2EE83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shd w:val="clear" w:color="auto" w:fill="FFFFFF"/>
            <w:noWrap w:val="0"/>
            <w:vAlign w:val="center"/>
          </w:tcPr>
          <w:p w14:paraId="1007314D">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lang w:eastAsia="zh-CN"/>
              </w:rPr>
              <w:t>项目</w:t>
            </w:r>
          </w:p>
        </w:tc>
        <w:tc>
          <w:tcPr>
            <w:tcW w:w="1806" w:type="dxa"/>
            <w:tcBorders>
              <w:tl2br w:val="nil"/>
              <w:tr2bl w:val="nil"/>
            </w:tcBorders>
            <w:shd w:val="clear" w:color="auto" w:fill="FFFFFF"/>
            <w:noWrap w:val="0"/>
            <w:vAlign w:val="center"/>
          </w:tcPr>
          <w:p w14:paraId="5C06E383">
            <w:pPr>
              <w:widowControl/>
              <w:adjustRightInd w:val="0"/>
              <w:snapToGrid w:val="0"/>
              <w:spacing w:before="78" w:beforeLines="25" w:after="78" w:afterLines="25"/>
              <w:jc w:val="center"/>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eastAsia="zh-CN"/>
              </w:rPr>
              <w:t>指标</w:t>
            </w:r>
          </w:p>
        </w:tc>
        <w:tc>
          <w:tcPr>
            <w:tcW w:w="3008" w:type="dxa"/>
            <w:tcBorders>
              <w:tl2br w:val="nil"/>
              <w:tr2bl w:val="nil"/>
            </w:tcBorders>
            <w:shd w:val="clear" w:color="auto" w:fill="FFFFFF"/>
            <w:noWrap w:val="0"/>
            <w:vAlign w:val="center"/>
          </w:tcPr>
          <w:p w14:paraId="6E763D10">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lang w:eastAsia="zh-CN"/>
              </w:rPr>
              <w:t>备注</w:t>
            </w:r>
          </w:p>
        </w:tc>
      </w:tr>
      <w:tr w14:paraId="4E81AB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noWrap w:val="0"/>
            <w:vAlign w:val="center"/>
          </w:tcPr>
          <w:p w14:paraId="49F89302">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磨耗值</w:t>
            </w:r>
          </w:p>
        </w:tc>
        <w:tc>
          <w:tcPr>
            <w:tcW w:w="1806" w:type="dxa"/>
            <w:tcBorders>
              <w:tl2br w:val="nil"/>
              <w:tr2bl w:val="nil"/>
            </w:tcBorders>
            <w:noWrap w:val="0"/>
            <w:vAlign w:val="center"/>
          </w:tcPr>
          <w:p w14:paraId="75F72350">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≤30％</w:t>
            </w:r>
          </w:p>
        </w:tc>
        <w:tc>
          <w:tcPr>
            <w:tcW w:w="3008" w:type="dxa"/>
            <w:tcBorders>
              <w:tl2br w:val="nil"/>
              <w:tr2bl w:val="nil"/>
            </w:tcBorders>
            <w:noWrap w:val="0"/>
            <w:vAlign w:val="center"/>
          </w:tcPr>
          <w:p w14:paraId="34DEE0E8">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T0317</w:t>
            </w:r>
          </w:p>
        </w:tc>
      </w:tr>
      <w:tr w14:paraId="4EBDBC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noWrap w:val="0"/>
            <w:vAlign w:val="center"/>
          </w:tcPr>
          <w:p w14:paraId="66883702">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针片状</w:t>
            </w:r>
          </w:p>
        </w:tc>
        <w:tc>
          <w:tcPr>
            <w:tcW w:w="1806" w:type="dxa"/>
            <w:tcBorders>
              <w:tl2br w:val="nil"/>
              <w:tr2bl w:val="nil"/>
            </w:tcBorders>
            <w:noWrap w:val="0"/>
            <w:vAlign w:val="center"/>
          </w:tcPr>
          <w:p w14:paraId="21622AAB">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≤15％</w:t>
            </w:r>
          </w:p>
        </w:tc>
        <w:tc>
          <w:tcPr>
            <w:tcW w:w="3008" w:type="dxa"/>
            <w:tcBorders>
              <w:tl2br w:val="nil"/>
              <w:tr2bl w:val="nil"/>
            </w:tcBorders>
            <w:noWrap w:val="0"/>
            <w:vAlign w:val="center"/>
          </w:tcPr>
          <w:p w14:paraId="43727ACE">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T0312</w:t>
            </w:r>
          </w:p>
        </w:tc>
      </w:tr>
      <w:tr w14:paraId="2A481F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noWrap w:val="0"/>
            <w:vAlign w:val="center"/>
          </w:tcPr>
          <w:p w14:paraId="562E553E">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压碎值</w:t>
            </w:r>
          </w:p>
        </w:tc>
        <w:tc>
          <w:tcPr>
            <w:tcW w:w="1806" w:type="dxa"/>
            <w:tcBorders>
              <w:tl2br w:val="nil"/>
              <w:tr2bl w:val="nil"/>
            </w:tcBorders>
            <w:noWrap w:val="0"/>
            <w:vAlign w:val="center"/>
          </w:tcPr>
          <w:p w14:paraId="3504748B">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≤26％</w:t>
            </w:r>
          </w:p>
        </w:tc>
        <w:tc>
          <w:tcPr>
            <w:tcW w:w="3008" w:type="dxa"/>
            <w:tcBorders>
              <w:tl2br w:val="nil"/>
              <w:tr2bl w:val="nil"/>
            </w:tcBorders>
            <w:noWrap w:val="0"/>
            <w:vAlign w:val="center"/>
          </w:tcPr>
          <w:p w14:paraId="64554F47">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T0316</w:t>
            </w:r>
          </w:p>
        </w:tc>
      </w:tr>
      <w:tr w14:paraId="4FD43F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noWrap w:val="0"/>
            <w:vAlign w:val="center"/>
          </w:tcPr>
          <w:p w14:paraId="1AC17904">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吸水率</w:t>
            </w:r>
          </w:p>
        </w:tc>
        <w:tc>
          <w:tcPr>
            <w:tcW w:w="1806" w:type="dxa"/>
            <w:tcBorders>
              <w:tl2br w:val="nil"/>
              <w:tr2bl w:val="nil"/>
            </w:tcBorders>
            <w:noWrap w:val="0"/>
            <w:vAlign w:val="center"/>
          </w:tcPr>
          <w:p w14:paraId="4B1323B5">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≤2.5％</w:t>
            </w:r>
          </w:p>
        </w:tc>
        <w:tc>
          <w:tcPr>
            <w:tcW w:w="3008" w:type="dxa"/>
            <w:tcBorders>
              <w:tl2br w:val="nil"/>
              <w:tr2bl w:val="nil"/>
            </w:tcBorders>
            <w:noWrap w:val="0"/>
            <w:vAlign w:val="center"/>
          </w:tcPr>
          <w:p w14:paraId="7A8E61A1">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T0307</w:t>
            </w:r>
          </w:p>
        </w:tc>
      </w:tr>
      <w:tr w14:paraId="565BD2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86" w:type="dxa"/>
            <w:tcBorders>
              <w:tl2br w:val="nil"/>
              <w:tr2bl w:val="nil"/>
            </w:tcBorders>
            <w:noWrap w:val="0"/>
            <w:vAlign w:val="center"/>
          </w:tcPr>
          <w:p w14:paraId="534D3510">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磨光值</w:t>
            </w:r>
          </w:p>
        </w:tc>
        <w:tc>
          <w:tcPr>
            <w:tcW w:w="1806" w:type="dxa"/>
            <w:tcBorders>
              <w:tl2br w:val="nil"/>
              <w:tr2bl w:val="nil"/>
            </w:tcBorders>
            <w:noWrap w:val="0"/>
            <w:vAlign w:val="center"/>
          </w:tcPr>
          <w:p w14:paraId="53A89D17">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≥42</w:t>
            </w:r>
          </w:p>
        </w:tc>
        <w:tc>
          <w:tcPr>
            <w:tcW w:w="3008" w:type="dxa"/>
            <w:tcBorders>
              <w:tl2br w:val="nil"/>
              <w:tr2bl w:val="nil"/>
            </w:tcBorders>
            <w:noWrap w:val="0"/>
            <w:vAlign w:val="center"/>
          </w:tcPr>
          <w:p w14:paraId="5E6C4264">
            <w:pPr>
              <w:widowControl/>
              <w:adjustRightInd w:val="0"/>
              <w:snapToGrid w:val="0"/>
              <w:spacing w:before="78" w:beforeLines="25" w:after="78" w:afterLines="25"/>
              <w:jc w:val="center"/>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用作下封层时不检测磨光值</w:t>
            </w:r>
          </w:p>
        </w:tc>
      </w:tr>
    </w:tbl>
    <w:p w14:paraId="4359D0CB">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（3）纤维</w:t>
      </w:r>
    </w:p>
    <w:p w14:paraId="44330BA9">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采用喷射无捻粗纱型玻璃纤维，纤维长度可分为30mm、60mm和120mm三种长度，通常使用60mm规格。纤维用量为505～120g/m2，通常在60g/m2左右。</w:t>
      </w:r>
    </w:p>
    <w:p w14:paraId="7C585F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color w:val="auto"/>
          <w:sz w:val="24"/>
          <w:szCs w:val="28"/>
          <w:lang w:val="en-US" w:eastAsia="zh-CN"/>
        </w:rPr>
      </w:pPr>
      <w:r>
        <w:rPr>
          <w:rFonts w:hint="eastAsia" w:ascii="宋体" w:hAnsi="宋体" w:eastAsia="宋体" w:cs="Times New Roman"/>
          <w:b/>
          <w:color w:val="auto"/>
          <w:sz w:val="24"/>
          <w:szCs w:val="28"/>
          <w:lang w:val="en-US" w:eastAsia="zh-CN"/>
        </w:rPr>
        <w:t>表12  纤维技术指标要求</w:t>
      </w:r>
    </w:p>
    <w:tbl>
      <w:tblPr>
        <w:tblStyle w:val="18"/>
        <w:tblW w:w="775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686"/>
        <w:gridCol w:w="1806"/>
        <w:gridCol w:w="2266"/>
      </w:tblGrid>
      <w:tr w14:paraId="347D42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12" w:space="0"/>
              <w:left w:val="single" w:color="auto" w:sz="12" w:space="0"/>
              <w:bottom w:val="single" w:color="auto" w:sz="4" w:space="0"/>
              <w:right w:val="single" w:color="auto" w:sz="4" w:space="0"/>
            </w:tcBorders>
            <w:shd w:val="clear" w:color="auto" w:fill="FFFFFF"/>
            <w:noWrap w:val="0"/>
            <w:vAlign w:val="center"/>
          </w:tcPr>
          <w:p w14:paraId="054C649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lang w:eastAsia="zh-CN"/>
              </w:rPr>
              <w:t>项目</w:t>
            </w:r>
          </w:p>
        </w:tc>
        <w:tc>
          <w:tcPr>
            <w:tcW w:w="1806" w:type="dxa"/>
            <w:tcBorders>
              <w:top w:val="single" w:color="auto" w:sz="12" w:space="0"/>
              <w:left w:val="single" w:color="auto" w:sz="4" w:space="0"/>
              <w:bottom w:val="single" w:color="auto" w:sz="4" w:space="0"/>
              <w:right w:val="single" w:color="auto" w:sz="4" w:space="0"/>
            </w:tcBorders>
            <w:shd w:val="clear" w:color="auto" w:fill="FFFFFF"/>
            <w:noWrap w:val="0"/>
            <w:vAlign w:val="center"/>
          </w:tcPr>
          <w:p w14:paraId="2C61203B">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eastAsia="zh-CN"/>
              </w:rPr>
              <w:t>单位</w:t>
            </w:r>
          </w:p>
        </w:tc>
        <w:tc>
          <w:tcPr>
            <w:tcW w:w="2266" w:type="dxa"/>
            <w:tcBorders>
              <w:top w:val="single" w:color="auto" w:sz="12" w:space="0"/>
              <w:left w:val="single" w:color="auto" w:sz="4" w:space="0"/>
              <w:bottom w:val="single" w:color="auto" w:sz="4" w:space="0"/>
              <w:right w:val="single" w:color="auto" w:sz="12" w:space="0"/>
            </w:tcBorders>
            <w:shd w:val="clear" w:color="auto" w:fill="FFFFFF"/>
            <w:noWrap w:val="0"/>
            <w:vAlign w:val="center"/>
          </w:tcPr>
          <w:p w14:paraId="331438CF">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eastAsia="zh-CN"/>
              </w:rPr>
              <w:t>指标</w:t>
            </w:r>
          </w:p>
        </w:tc>
      </w:tr>
      <w:tr w14:paraId="3658A2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4" w:space="0"/>
              <w:left w:val="single" w:color="auto" w:sz="12" w:space="0"/>
              <w:bottom w:val="single" w:color="auto" w:sz="4" w:space="0"/>
              <w:right w:val="single" w:color="auto" w:sz="4" w:space="0"/>
            </w:tcBorders>
            <w:noWrap w:val="0"/>
            <w:vAlign w:val="center"/>
          </w:tcPr>
          <w:p w14:paraId="0E55E2C1">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线密度</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5BA8E40A">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Tex</w:t>
            </w:r>
          </w:p>
        </w:tc>
        <w:tc>
          <w:tcPr>
            <w:tcW w:w="2266" w:type="dxa"/>
            <w:tcBorders>
              <w:top w:val="single" w:color="auto" w:sz="4" w:space="0"/>
              <w:left w:val="single" w:color="auto" w:sz="4" w:space="0"/>
              <w:bottom w:val="single" w:color="auto" w:sz="4" w:space="0"/>
              <w:right w:val="single" w:color="auto" w:sz="12" w:space="0"/>
            </w:tcBorders>
            <w:noWrap w:val="0"/>
            <w:vAlign w:val="center"/>
          </w:tcPr>
          <w:p w14:paraId="37C02267">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2280</w:t>
            </w:r>
            <w:r>
              <w:rPr>
                <w:rFonts w:hint="eastAsia" w:ascii="宋体" w:hAnsi="宋体" w:eastAsia="宋体" w:cs="宋体"/>
                <w:color w:val="auto"/>
                <w:kern w:val="0"/>
                <w:sz w:val="24"/>
                <w:szCs w:val="28"/>
                <w:lang w:val="en-US" w:eastAsia="zh-CN"/>
              </w:rPr>
              <w:t>～</w:t>
            </w:r>
            <w:r>
              <w:rPr>
                <w:rFonts w:hint="eastAsia" w:ascii="宋体" w:hAnsi="宋体" w:eastAsia="宋体" w:cs="宋体"/>
                <w:color w:val="auto"/>
                <w:kern w:val="0"/>
                <w:sz w:val="24"/>
                <w:szCs w:val="28"/>
              </w:rPr>
              <w:t>2520</w:t>
            </w:r>
          </w:p>
        </w:tc>
      </w:tr>
      <w:tr w14:paraId="254A98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4" w:space="0"/>
              <w:left w:val="single" w:color="auto" w:sz="12" w:space="0"/>
              <w:bottom w:val="single" w:color="auto" w:sz="4" w:space="0"/>
              <w:right w:val="single" w:color="auto" w:sz="4" w:space="0"/>
            </w:tcBorders>
            <w:noWrap w:val="0"/>
            <w:vAlign w:val="center"/>
          </w:tcPr>
          <w:p w14:paraId="78D0FD83">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可燃物含量</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0342F9C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266" w:type="dxa"/>
            <w:tcBorders>
              <w:top w:val="single" w:color="auto" w:sz="4" w:space="0"/>
              <w:left w:val="single" w:color="auto" w:sz="4" w:space="0"/>
              <w:bottom w:val="single" w:color="auto" w:sz="4" w:space="0"/>
              <w:right w:val="single" w:color="auto" w:sz="12" w:space="0"/>
            </w:tcBorders>
            <w:noWrap w:val="0"/>
            <w:vAlign w:val="center"/>
          </w:tcPr>
          <w:p w14:paraId="1181DA83">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0.85</w:t>
            </w:r>
            <w:r>
              <w:rPr>
                <w:rFonts w:hint="eastAsia" w:ascii="宋体" w:hAnsi="宋体" w:eastAsia="宋体" w:cs="宋体"/>
                <w:color w:val="auto"/>
                <w:kern w:val="0"/>
                <w:sz w:val="24"/>
                <w:szCs w:val="28"/>
                <w:lang w:val="en-US" w:eastAsia="zh-CN"/>
              </w:rPr>
              <w:t>～</w:t>
            </w:r>
            <w:r>
              <w:rPr>
                <w:rFonts w:hint="eastAsia" w:ascii="宋体" w:hAnsi="宋体" w:eastAsia="宋体" w:cs="宋体"/>
                <w:color w:val="auto"/>
                <w:kern w:val="0"/>
                <w:sz w:val="24"/>
                <w:szCs w:val="28"/>
              </w:rPr>
              <w:t>1.15</w:t>
            </w:r>
          </w:p>
        </w:tc>
      </w:tr>
      <w:tr w14:paraId="5C0B25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4" w:space="0"/>
              <w:left w:val="single" w:color="auto" w:sz="12" w:space="0"/>
              <w:bottom w:val="single" w:color="auto" w:sz="4" w:space="0"/>
              <w:right w:val="single" w:color="auto" w:sz="4" w:space="0"/>
            </w:tcBorders>
            <w:noWrap w:val="0"/>
            <w:vAlign w:val="center"/>
          </w:tcPr>
          <w:p w14:paraId="65965F1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含水率</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4BC7E689">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266" w:type="dxa"/>
            <w:tcBorders>
              <w:top w:val="single" w:color="auto" w:sz="4" w:space="0"/>
              <w:left w:val="single" w:color="auto" w:sz="4" w:space="0"/>
              <w:bottom w:val="single" w:color="auto" w:sz="4" w:space="0"/>
              <w:right w:val="single" w:color="auto" w:sz="12" w:space="0"/>
            </w:tcBorders>
            <w:noWrap w:val="0"/>
            <w:vAlign w:val="center"/>
          </w:tcPr>
          <w:p w14:paraId="76657405">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≤0.10</w:t>
            </w:r>
          </w:p>
        </w:tc>
      </w:tr>
      <w:tr w14:paraId="3A174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4" w:space="0"/>
              <w:left w:val="single" w:color="auto" w:sz="12" w:space="0"/>
              <w:bottom w:val="single" w:color="auto" w:sz="4" w:space="0"/>
              <w:right w:val="single" w:color="auto" w:sz="4" w:space="0"/>
            </w:tcBorders>
            <w:noWrap w:val="0"/>
            <w:vAlign w:val="center"/>
          </w:tcPr>
          <w:p w14:paraId="7CA44FD3">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硬挺度</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09630952">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mm</w:t>
            </w:r>
          </w:p>
        </w:tc>
        <w:tc>
          <w:tcPr>
            <w:tcW w:w="2266" w:type="dxa"/>
            <w:tcBorders>
              <w:top w:val="single" w:color="auto" w:sz="4" w:space="0"/>
              <w:left w:val="single" w:color="auto" w:sz="4" w:space="0"/>
              <w:bottom w:val="single" w:color="auto" w:sz="4" w:space="0"/>
              <w:right w:val="single" w:color="auto" w:sz="12" w:space="0"/>
            </w:tcBorders>
            <w:noWrap w:val="0"/>
            <w:vAlign w:val="center"/>
          </w:tcPr>
          <w:p w14:paraId="46862F5F">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120-160</w:t>
            </w:r>
          </w:p>
        </w:tc>
      </w:tr>
      <w:tr w14:paraId="347A1B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686" w:type="dxa"/>
            <w:tcBorders>
              <w:top w:val="single" w:color="auto" w:sz="4" w:space="0"/>
              <w:left w:val="single" w:color="auto" w:sz="12" w:space="0"/>
              <w:bottom w:val="single" w:color="auto" w:sz="4" w:space="0"/>
              <w:right w:val="single" w:color="auto" w:sz="4" w:space="0"/>
            </w:tcBorders>
            <w:noWrap w:val="0"/>
            <w:vAlign w:val="center"/>
          </w:tcPr>
          <w:p w14:paraId="38D792E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分束率</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121C3D82">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w:t>
            </w:r>
          </w:p>
        </w:tc>
        <w:tc>
          <w:tcPr>
            <w:tcW w:w="2266" w:type="dxa"/>
            <w:tcBorders>
              <w:top w:val="single" w:color="auto" w:sz="4" w:space="0"/>
              <w:left w:val="single" w:color="auto" w:sz="4" w:space="0"/>
              <w:bottom w:val="single" w:color="auto" w:sz="4" w:space="0"/>
              <w:right w:val="single" w:color="auto" w:sz="12" w:space="0"/>
            </w:tcBorders>
            <w:noWrap w:val="0"/>
            <w:vAlign w:val="center"/>
          </w:tcPr>
          <w:p w14:paraId="4C4F8F70">
            <w:pPr>
              <w:keepNext w:val="0"/>
              <w:keepLines w:val="0"/>
              <w:pageBreakBefore w:val="0"/>
              <w:widowControl/>
              <w:kinsoku/>
              <w:wordWrap w:val="0"/>
              <w:overflowPunct/>
              <w:topLinePunct w:val="0"/>
              <w:autoSpaceDE/>
              <w:autoSpaceDN/>
              <w:bidi w:val="0"/>
              <w:adjustRightInd w:val="0"/>
              <w:snapToGrid w:val="0"/>
              <w:spacing w:before="78" w:beforeLines="25" w:after="78" w:afterLines="25" w:line="240" w:lineRule="auto"/>
              <w:ind w:firstLine="0" w:firstLineChars="0"/>
              <w:jc w:val="center"/>
              <w:textAlignment w:val="auto"/>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83-99</w:t>
            </w:r>
          </w:p>
        </w:tc>
      </w:tr>
      <w:bookmarkEnd w:id="2"/>
    </w:tbl>
    <w:p w14:paraId="26443587">
      <w:pPr>
        <w:keepNext w:val="0"/>
        <w:keepLines w:val="0"/>
        <w:pageBreakBefore w:val="0"/>
        <w:widowControl w:val="0"/>
        <w:kinsoku/>
        <w:wordWrap w:val="0"/>
        <w:overflowPunct/>
        <w:topLinePunct w:val="0"/>
        <w:autoSpaceDE/>
        <w:autoSpaceDN/>
        <w:bidi w:val="0"/>
        <w:adjustRightInd/>
        <w:snapToGrid/>
        <w:spacing w:before="313" w:beforeLines="100"/>
        <w:ind w:firstLine="48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12.3 </w:t>
      </w:r>
      <w:r>
        <w:rPr>
          <w:rFonts w:hint="eastAsia" w:ascii="宋体" w:hAnsi="宋体" w:eastAsia="宋体" w:cs="宋体"/>
          <w:b/>
          <w:bCs/>
          <w:color w:val="auto"/>
          <w:sz w:val="24"/>
          <w:szCs w:val="24"/>
        </w:rPr>
        <w:t>水泥稳定碎石基层</w:t>
      </w:r>
    </w:p>
    <w:p w14:paraId="1137251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水泥稳定碎石采用的水泥应采用42.5等级的普通硅酸盐水泥，初凝时间应在3小时以上，终凝时间应</w:t>
      </w:r>
      <w:r>
        <w:rPr>
          <w:rFonts w:hint="eastAsia" w:ascii="宋体" w:hAnsi="宋体" w:eastAsia="宋体" w:cs="宋体"/>
          <w:color w:val="auto"/>
          <w:sz w:val="24"/>
          <w:szCs w:val="24"/>
          <w:lang w:val="en-US" w:eastAsia="zh-CN"/>
        </w:rPr>
        <w:t>大于</w:t>
      </w:r>
      <w:r>
        <w:rPr>
          <w:rFonts w:hint="eastAsia" w:ascii="宋体" w:hAnsi="宋体" w:eastAsia="宋体" w:cs="宋体"/>
          <w:color w:val="auto"/>
          <w:sz w:val="24"/>
          <w:szCs w:val="24"/>
        </w:rPr>
        <w:t>6小时</w:t>
      </w:r>
      <w:r>
        <w:rPr>
          <w:rFonts w:hint="eastAsia" w:ascii="宋体" w:hAnsi="宋体" w:eastAsia="宋体" w:cs="宋体"/>
          <w:color w:val="auto"/>
          <w:sz w:val="24"/>
          <w:szCs w:val="24"/>
          <w:lang w:val="en-US" w:eastAsia="zh-CN"/>
        </w:rPr>
        <w:t>且小于10小时</w:t>
      </w:r>
      <w:r>
        <w:rPr>
          <w:rFonts w:hint="eastAsia" w:ascii="宋体" w:hAnsi="宋体" w:eastAsia="宋体" w:cs="宋体"/>
          <w:color w:val="auto"/>
          <w:sz w:val="24"/>
          <w:szCs w:val="24"/>
        </w:rPr>
        <w:t>。碎石的压碎值应≤30%。其集料级配应满足《</w:t>
      </w:r>
      <w:r>
        <w:rPr>
          <w:rFonts w:hint="eastAsia" w:ascii="宋体" w:hAnsi="宋体" w:eastAsia="宋体" w:cs="宋体"/>
          <w:color w:val="auto"/>
          <w:sz w:val="24"/>
          <w:szCs w:val="24"/>
          <w:lang w:val="en-US" w:eastAsia="zh-CN"/>
        </w:rPr>
        <w:t>公路路面基层施工技术细则</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JTG/T F20</w:t>
      </w:r>
      <w:r>
        <w:rPr>
          <w:rFonts w:hint="eastAsia" w:ascii="宋体" w:hAnsi="宋体" w:eastAsia="宋体" w:cs="宋体"/>
          <w:color w:val="auto"/>
          <w:sz w:val="24"/>
          <w:szCs w:val="24"/>
        </w:rPr>
        <w:t>-20</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3.6、3.7</w:t>
      </w:r>
      <w:r>
        <w:rPr>
          <w:rFonts w:hint="eastAsia" w:ascii="宋体" w:hAnsi="宋体" w:eastAsia="宋体" w:cs="宋体"/>
          <w:color w:val="auto"/>
          <w:sz w:val="24"/>
          <w:szCs w:val="24"/>
        </w:rPr>
        <w:t>条相关技术标准。</w:t>
      </w:r>
      <w:r>
        <w:rPr>
          <w:rFonts w:hint="eastAsia" w:ascii="宋体" w:hAnsi="宋体" w:eastAsia="宋体" w:cs="宋体"/>
          <w:color w:val="auto"/>
          <w:sz w:val="24"/>
          <w:szCs w:val="24"/>
          <w:lang w:val="en-US" w:eastAsia="zh-CN"/>
        </w:rPr>
        <w:t>被稳定材料碎石，</w:t>
      </w:r>
      <w:r>
        <w:rPr>
          <w:rFonts w:hint="eastAsia" w:ascii="宋体" w:hAnsi="宋体" w:eastAsia="宋体" w:cs="宋体"/>
          <w:color w:val="auto"/>
          <w:sz w:val="24"/>
          <w:szCs w:val="24"/>
        </w:rPr>
        <w:t>要求液限&lt;28%，塑性指数&lt;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。水可采用自来水或饮用水，必要时进行水质化验，满足施工要求。</w:t>
      </w:r>
    </w:p>
    <w:p w14:paraId="36020C6F">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水泥剂量按4%、4.5%、5%、5.5%、6%分别进行试验，制备不同比例的混合料，用重型击实法确定各组成混合料的最佳含水量和最大干密度。为减少基层裂缝，做到三个限制：在满足设计强度的基础上限制水泥用量；在减少含水量的同时，限制细集料、粉料用量；根据施工时气候条件限制含水量。具体要求水泥用量不大于6%，集料级配中</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0.075mm以下颗粒含量不大于4%、含水量不超高最佳含水量的1%。根据最佳含水量拌制的水泥稳定碎石混合料，按要求的压实度制备混合料试件，在标准条件养护6天，浸水1天后取出，做无侧限抗压强度。要求水泥稳定碎石7天浸水无侧限抗压强度代表值满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R≥3.5MPa。水</w:t>
      </w:r>
      <w:r>
        <w:rPr>
          <w:rFonts w:hint="eastAsia" w:ascii="宋体" w:hAnsi="宋体" w:eastAsia="宋体" w:cs="宋体"/>
          <w:color w:val="auto"/>
          <w:sz w:val="24"/>
          <w:szCs w:val="24"/>
          <w:lang w:eastAsia="zh-CN"/>
        </w:rPr>
        <w:t>泥</w:t>
      </w:r>
      <w:r>
        <w:rPr>
          <w:rFonts w:hint="eastAsia" w:ascii="宋体" w:hAnsi="宋体" w:eastAsia="宋体" w:cs="宋体"/>
          <w:color w:val="auto"/>
          <w:sz w:val="24"/>
          <w:szCs w:val="24"/>
        </w:rPr>
        <w:t>稳定碎石的压实度应≥9</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%。水泥稳定碎石应采用搅拌厂集中拌制，水泥掺量应比试验剂量增加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0.5%。</w:t>
      </w:r>
    </w:p>
    <w:p w14:paraId="00A54434">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水泥稳定碎石混合料级配组成要求如下：</w:t>
      </w:r>
    </w:p>
    <w:p w14:paraId="319586B2">
      <w:pPr>
        <w:pStyle w:val="7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13  </w:t>
      </w:r>
      <w:r>
        <w:rPr>
          <w:rFonts w:hint="eastAsia" w:ascii="宋体" w:hAnsi="宋体" w:eastAsia="宋体" w:cs="宋体"/>
          <w:b/>
          <w:bCs/>
          <w:color w:val="auto"/>
          <w:sz w:val="24"/>
          <w:szCs w:val="24"/>
        </w:rPr>
        <w:t>水</w:t>
      </w:r>
      <w:r>
        <w:rPr>
          <w:rFonts w:hint="eastAsia" w:ascii="宋体" w:hAnsi="宋体" w:eastAsia="宋体" w:cs="宋体"/>
          <w:b/>
          <w:bCs/>
          <w:color w:val="auto"/>
          <w:sz w:val="24"/>
          <w:szCs w:val="24"/>
          <w:lang w:val="en-US" w:eastAsia="zh-CN"/>
        </w:rPr>
        <w:t>泥稳定碎石推荐</w:t>
      </w:r>
      <w:r>
        <w:rPr>
          <w:rFonts w:hint="eastAsia" w:ascii="宋体" w:hAnsi="宋体" w:eastAsia="宋体" w:cs="宋体"/>
          <w:b/>
          <w:bCs/>
          <w:color w:val="auto"/>
          <w:sz w:val="24"/>
          <w:szCs w:val="24"/>
        </w:rPr>
        <w:t>级配</w:t>
      </w:r>
      <w:r>
        <w:rPr>
          <w:rFonts w:hint="eastAsia" w:ascii="宋体" w:hAnsi="宋体" w:eastAsia="宋体" w:cs="宋体"/>
          <w:b/>
          <w:bCs/>
          <w:color w:val="auto"/>
          <w:sz w:val="24"/>
          <w:szCs w:val="24"/>
          <w:lang w:val="en-US" w:eastAsia="zh-CN"/>
        </w:rPr>
        <w:t>范围</w:t>
      </w:r>
    </w:p>
    <w:tbl>
      <w:tblPr>
        <w:tblStyle w:val="18"/>
        <w:tblW w:w="100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24"/>
        <w:gridCol w:w="718"/>
        <w:gridCol w:w="689"/>
        <w:gridCol w:w="693"/>
        <w:gridCol w:w="607"/>
        <w:gridCol w:w="725"/>
        <w:gridCol w:w="728"/>
        <w:gridCol w:w="600"/>
        <w:gridCol w:w="660"/>
        <w:gridCol w:w="660"/>
        <w:gridCol w:w="660"/>
        <w:gridCol w:w="660"/>
        <w:gridCol w:w="828"/>
      </w:tblGrid>
      <w:tr w14:paraId="2ED76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24" w:type="dxa"/>
            <w:tcBorders>
              <w:tl2br w:val="nil"/>
              <w:tr2bl w:val="nil"/>
            </w:tcBorders>
            <w:vAlign w:val="center"/>
          </w:tcPr>
          <w:p w14:paraId="16C3715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筛孔尺寸（mm）</w:t>
            </w:r>
          </w:p>
        </w:tc>
        <w:tc>
          <w:tcPr>
            <w:tcW w:w="718" w:type="dxa"/>
            <w:tcBorders>
              <w:tl2br w:val="nil"/>
              <w:tr2bl w:val="nil"/>
            </w:tcBorders>
            <w:vAlign w:val="center"/>
          </w:tcPr>
          <w:p w14:paraId="0171A1A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.5</w:t>
            </w:r>
          </w:p>
        </w:tc>
        <w:tc>
          <w:tcPr>
            <w:tcW w:w="689" w:type="dxa"/>
            <w:tcBorders>
              <w:tl2br w:val="nil"/>
              <w:tr2bl w:val="nil"/>
            </w:tcBorders>
            <w:vAlign w:val="center"/>
          </w:tcPr>
          <w:p w14:paraId="5367394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31.5</w:t>
            </w:r>
          </w:p>
        </w:tc>
        <w:tc>
          <w:tcPr>
            <w:tcW w:w="693" w:type="dxa"/>
            <w:tcBorders>
              <w:tl2br w:val="nil"/>
              <w:tr2bl w:val="nil"/>
            </w:tcBorders>
            <w:vAlign w:val="center"/>
          </w:tcPr>
          <w:p w14:paraId="5B729E0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26.5</w:t>
            </w:r>
          </w:p>
        </w:tc>
        <w:tc>
          <w:tcPr>
            <w:tcW w:w="607" w:type="dxa"/>
            <w:tcBorders>
              <w:tl2br w:val="nil"/>
              <w:tr2bl w:val="nil"/>
            </w:tcBorders>
            <w:vAlign w:val="center"/>
          </w:tcPr>
          <w:p w14:paraId="7E80065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w:t>
            </w:r>
          </w:p>
        </w:tc>
        <w:tc>
          <w:tcPr>
            <w:tcW w:w="725" w:type="dxa"/>
            <w:tcBorders>
              <w:tl2br w:val="nil"/>
              <w:tr2bl w:val="nil"/>
            </w:tcBorders>
            <w:vAlign w:val="center"/>
          </w:tcPr>
          <w:p w14:paraId="0812A8D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p>
        </w:tc>
        <w:tc>
          <w:tcPr>
            <w:tcW w:w="728" w:type="dxa"/>
            <w:tcBorders>
              <w:tl2br w:val="nil"/>
              <w:tr2bl w:val="nil"/>
            </w:tcBorders>
            <w:vAlign w:val="center"/>
          </w:tcPr>
          <w:p w14:paraId="26FADB1E">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13.2</w:t>
            </w:r>
          </w:p>
        </w:tc>
        <w:tc>
          <w:tcPr>
            <w:tcW w:w="600" w:type="dxa"/>
            <w:tcBorders>
              <w:tl2br w:val="nil"/>
              <w:tr2bl w:val="nil"/>
            </w:tcBorders>
            <w:vAlign w:val="center"/>
          </w:tcPr>
          <w:p w14:paraId="20FED8D9">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w:t>
            </w:r>
          </w:p>
        </w:tc>
        <w:tc>
          <w:tcPr>
            <w:tcW w:w="660" w:type="dxa"/>
            <w:tcBorders>
              <w:tl2br w:val="nil"/>
              <w:tr2bl w:val="nil"/>
            </w:tcBorders>
            <w:vAlign w:val="center"/>
          </w:tcPr>
          <w:p w14:paraId="4E7CC55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4.75</w:t>
            </w:r>
          </w:p>
        </w:tc>
        <w:tc>
          <w:tcPr>
            <w:tcW w:w="660" w:type="dxa"/>
            <w:tcBorders>
              <w:tl2br w:val="nil"/>
              <w:tr2bl w:val="nil"/>
            </w:tcBorders>
            <w:vAlign w:val="center"/>
          </w:tcPr>
          <w:p w14:paraId="1A1B5A1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2.36</w:t>
            </w:r>
          </w:p>
        </w:tc>
        <w:tc>
          <w:tcPr>
            <w:tcW w:w="660" w:type="dxa"/>
            <w:tcBorders>
              <w:tl2br w:val="nil"/>
              <w:tr2bl w:val="nil"/>
            </w:tcBorders>
            <w:vAlign w:val="center"/>
          </w:tcPr>
          <w:p w14:paraId="7B1C702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1.18</w:t>
            </w:r>
          </w:p>
        </w:tc>
        <w:tc>
          <w:tcPr>
            <w:tcW w:w="660" w:type="dxa"/>
            <w:tcBorders>
              <w:tl2br w:val="nil"/>
              <w:tr2bl w:val="nil"/>
            </w:tcBorders>
            <w:vAlign w:val="center"/>
          </w:tcPr>
          <w:p w14:paraId="64A7EF02">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0.6</w:t>
            </w:r>
          </w:p>
        </w:tc>
        <w:tc>
          <w:tcPr>
            <w:tcW w:w="828" w:type="dxa"/>
            <w:tcBorders>
              <w:tl2br w:val="nil"/>
              <w:tr2bl w:val="nil"/>
            </w:tcBorders>
            <w:vAlign w:val="center"/>
          </w:tcPr>
          <w:p w14:paraId="3E974994">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0.075</w:t>
            </w:r>
          </w:p>
        </w:tc>
      </w:tr>
      <w:tr w14:paraId="76FF9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24" w:type="dxa"/>
            <w:tcBorders>
              <w:tl2br w:val="nil"/>
              <w:tr2bl w:val="nil"/>
            </w:tcBorders>
            <w:vAlign w:val="center"/>
          </w:tcPr>
          <w:p w14:paraId="7CC420D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通过质量百分率（%）</w:t>
            </w:r>
          </w:p>
        </w:tc>
        <w:tc>
          <w:tcPr>
            <w:tcW w:w="718" w:type="dxa"/>
            <w:tcBorders>
              <w:tl2br w:val="nil"/>
              <w:tr2bl w:val="nil"/>
            </w:tcBorders>
            <w:vAlign w:val="center"/>
          </w:tcPr>
          <w:p w14:paraId="6B25FE1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eastAsia="zh-CN"/>
              </w:rPr>
              <w:t>100</w:t>
            </w:r>
          </w:p>
        </w:tc>
        <w:tc>
          <w:tcPr>
            <w:tcW w:w="689" w:type="dxa"/>
            <w:tcBorders>
              <w:tl2br w:val="nil"/>
              <w:tr2bl w:val="nil"/>
            </w:tcBorders>
            <w:vAlign w:val="center"/>
          </w:tcPr>
          <w:p w14:paraId="39B9FE9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100</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90</w:t>
            </w:r>
          </w:p>
        </w:tc>
        <w:tc>
          <w:tcPr>
            <w:tcW w:w="693" w:type="dxa"/>
            <w:tcBorders>
              <w:tl2br w:val="nil"/>
              <w:tr2bl w:val="nil"/>
            </w:tcBorders>
            <w:vAlign w:val="center"/>
          </w:tcPr>
          <w:p w14:paraId="5916820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94</w:t>
            </w:r>
            <w:r>
              <w:rPr>
                <w:rFonts w:hint="eastAsia" w:ascii="宋体" w:hAnsi="宋体" w:eastAsia="宋体" w:cs="宋体"/>
                <w:color w:val="auto"/>
                <w:sz w:val="21"/>
                <w:szCs w:val="21"/>
              </w:rPr>
              <w:t>~</w:t>
            </w:r>
          </w:p>
          <w:p w14:paraId="614AC86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81</w:t>
            </w:r>
          </w:p>
        </w:tc>
        <w:tc>
          <w:tcPr>
            <w:tcW w:w="607" w:type="dxa"/>
            <w:tcBorders>
              <w:tl2br w:val="nil"/>
              <w:tr2bl w:val="nil"/>
            </w:tcBorders>
            <w:vAlign w:val="center"/>
          </w:tcPr>
          <w:p w14:paraId="790EE79F">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67</w:t>
            </w:r>
          </w:p>
        </w:tc>
        <w:tc>
          <w:tcPr>
            <w:tcW w:w="725" w:type="dxa"/>
            <w:tcBorders>
              <w:tl2br w:val="nil"/>
              <w:tr2bl w:val="nil"/>
            </w:tcBorders>
            <w:vAlign w:val="center"/>
          </w:tcPr>
          <w:p w14:paraId="614C906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78</w:t>
            </w:r>
            <w:r>
              <w:rPr>
                <w:rFonts w:hint="eastAsia" w:ascii="宋体" w:hAnsi="宋体" w:eastAsia="宋体" w:cs="宋体"/>
                <w:color w:val="auto"/>
                <w:sz w:val="21"/>
                <w:szCs w:val="21"/>
              </w:rPr>
              <w:t>~</w:t>
            </w:r>
          </w:p>
          <w:p w14:paraId="1AB0496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w:t>
            </w:r>
          </w:p>
        </w:tc>
        <w:tc>
          <w:tcPr>
            <w:tcW w:w="728" w:type="dxa"/>
            <w:tcBorders>
              <w:tl2br w:val="nil"/>
              <w:tr2bl w:val="nil"/>
            </w:tcBorders>
            <w:vAlign w:val="center"/>
          </w:tcPr>
          <w:p w14:paraId="79E87D9D">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73</w:t>
            </w:r>
            <w:r>
              <w:rPr>
                <w:rFonts w:hint="eastAsia" w:ascii="宋体" w:hAnsi="宋体" w:eastAsia="宋体" w:cs="宋体"/>
                <w:color w:val="auto"/>
                <w:sz w:val="21"/>
                <w:szCs w:val="21"/>
              </w:rPr>
              <w:t>~</w:t>
            </w:r>
          </w:p>
          <w:p w14:paraId="4A2811C7">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54</w:t>
            </w:r>
          </w:p>
        </w:tc>
        <w:tc>
          <w:tcPr>
            <w:tcW w:w="600" w:type="dxa"/>
            <w:tcBorders>
              <w:tl2br w:val="nil"/>
              <w:tr2bl w:val="nil"/>
            </w:tcBorders>
            <w:vAlign w:val="center"/>
          </w:tcPr>
          <w:p w14:paraId="431EE57C">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45</w:t>
            </w:r>
          </w:p>
        </w:tc>
        <w:tc>
          <w:tcPr>
            <w:tcW w:w="660" w:type="dxa"/>
            <w:tcBorders>
              <w:tl2br w:val="nil"/>
              <w:tr2bl w:val="nil"/>
            </w:tcBorders>
            <w:vAlign w:val="center"/>
          </w:tcPr>
          <w:p w14:paraId="7D57759A">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50~</w:t>
            </w:r>
          </w:p>
          <w:p w14:paraId="0687C4D6">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30</w:t>
            </w:r>
          </w:p>
        </w:tc>
        <w:tc>
          <w:tcPr>
            <w:tcW w:w="660" w:type="dxa"/>
            <w:tcBorders>
              <w:tl2br w:val="nil"/>
              <w:tr2bl w:val="nil"/>
            </w:tcBorders>
            <w:vAlign w:val="center"/>
          </w:tcPr>
          <w:p w14:paraId="5CA17AF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39~</w:t>
            </w:r>
          </w:p>
          <w:p w14:paraId="02738191">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w:t>
            </w:r>
          </w:p>
        </w:tc>
        <w:tc>
          <w:tcPr>
            <w:tcW w:w="660" w:type="dxa"/>
            <w:tcBorders>
              <w:tl2br w:val="nil"/>
              <w:tr2bl w:val="nil"/>
            </w:tcBorders>
            <w:vAlign w:val="center"/>
          </w:tcPr>
          <w:p w14:paraId="5F20DFF0">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26~</w:t>
            </w:r>
          </w:p>
          <w:p w14:paraId="13A96BAB">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660" w:type="dxa"/>
            <w:tcBorders>
              <w:tl2br w:val="nil"/>
              <w:tr2bl w:val="nil"/>
            </w:tcBorders>
            <w:vAlign w:val="center"/>
          </w:tcPr>
          <w:p w14:paraId="00F8A105">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19~8</w:t>
            </w:r>
          </w:p>
        </w:tc>
        <w:tc>
          <w:tcPr>
            <w:tcW w:w="828" w:type="dxa"/>
            <w:tcBorders>
              <w:tl2br w:val="nil"/>
              <w:tr2bl w:val="nil"/>
            </w:tcBorders>
            <w:vAlign w:val="center"/>
          </w:tcPr>
          <w:p w14:paraId="4DB69123">
            <w:pPr>
              <w:pStyle w:val="72"/>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7~2</w:t>
            </w:r>
          </w:p>
        </w:tc>
      </w:tr>
    </w:tbl>
    <w:p w14:paraId="14890DD5">
      <w:pPr>
        <w:keepNext w:val="0"/>
        <w:keepLines w:val="0"/>
        <w:pageBreakBefore w:val="0"/>
        <w:widowControl w:val="0"/>
        <w:kinsoku/>
        <w:wordWrap w:val="0"/>
        <w:overflowPunct/>
        <w:topLinePunct w:val="0"/>
        <w:autoSpaceDE/>
        <w:autoSpaceDN/>
        <w:bidi w:val="0"/>
        <w:adjustRightInd/>
        <w:snapToGrid/>
        <w:spacing w:before="157" w:beforeLines="50"/>
        <w:ind w:firstLine="48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12.4 级配碎石材料技术要求</w:t>
      </w:r>
    </w:p>
    <w:p w14:paraId="10EAB708">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级配碎石用作底基层时，公称最大粒径不应大于37.5mm。级配应符合下表的规定。</w:t>
      </w:r>
    </w:p>
    <w:p w14:paraId="1A3A99E2">
      <w:pPr>
        <w:pStyle w:val="7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Times New Roman"/>
          <w:b/>
          <w:sz w:val="24"/>
          <w:szCs w:val="28"/>
          <w:lang w:val="en-US" w:eastAsia="zh-CN"/>
        </w:rPr>
      </w:pPr>
      <w:r>
        <w:rPr>
          <w:rFonts w:hint="eastAsia" w:ascii="宋体" w:hAnsi="宋体" w:eastAsia="宋体" w:cs="Times New Roman"/>
          <w:b/>
          <w:sz w:val="24"/>
          <w:szCs w:val="28"/>
          <w:lang w:val="en-US" w:eastAsia="zh-CN"/>
        </w:rPr>
        <w:t>表14  级配碎石推荐级配范围</w:t>
      </w:r>
    </w:p>
    <w:tbl>
      <w:tblPr>
        <w:tblStyle w:val="18"/>
        <w:tblW w:w="98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18"/>
        <w:gridCol w:w="689"/>
        <w:gridCol w:w="693"/>
        <w:gridCol w:w="607"/>
        <w:gridCol w:w="725"/>
        <w:gridCol w:w="728"/>
        <w:gridCol w:w="600"/>
        <w:gridCol w:w="660"/>
        <w:gridCol w:w="660"/>
        <w:gridCol w:w="660"/>
        <w:gridCol w:w="660"/>
        <w:gridCol w:w="828"/>
      </w:tblGrid>
      <w:tr w14:paraId="15E6E0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81" w:type="dxa"/>
            <w:tcBorders>
              <w:tl2br w:val="nil"/>
              <w:tr2bl w:val="nil"/>
            </w:tcBorders>
            <w:noWrap w:val="0"/>
            <w:vAlign w:val="center"/>
          </w:tcPr>
          <w:p w14:paraId="1AD5D744">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筛孔尺寸</w:t>
            </w:r>
          </w:p>
          <w:p w14:paraId="5D1EB86C">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（mm）</w:t>
            </w:r>
          </w:p>
        </w:tc>
        <w:tc>
          <w:tcPr>
            <w:tcW w:w="718" w:type="dxa"/>
            <w:tcBorders>
              <w:tl2br w:val="nil"/>
              <w:tr2bl w:val="nil"/>
            </w:tcBorders>
            <w:noWrap w:val="0"/>
            <w:vAlign w:val="center"/>
          </w:tcPr>
          <w:p w14:paraId="63250C40">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37.5</w:t>
            </w:r>
          </w:p>
        </w:tc>
        <w:tc>
          <w:tcPr>
            <w:tcW w:w="689" w:type="dxa"/>
            <w:tcBorders>
              <w:tl2br w:val="nil"/>
              <w:tr2bl w:val="nil"/>
            </w:tcBorders>
            <w:noWrap w:val="0"/>
            <w:vAlign w:val="center"/>
          </w:tcPr>
          <w:p w14:paraId="4E38A35C">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31.5</w:t>
            </w:r>
          </w:p>
        </w:tc>
        <w:tc>
          <w:tcPr>
            <w:tcW w:w="693" w:type="dxa"/>
            <w:tcBorders>
              <w:tl2br w:val="nil"/>
              <w:tr2bl w:val="nil"/>
            </w:tcBorders>
            <w:noWrap w:val="0"/>
            <w:vAlign w:val="center"/>
          </w:tcPr>
          <w:p w14:paraId="28BCEAA2">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26.5</w:t>
            </w:r>
          </w:p>
        </w:tc>
        <w:tc>
          <w:tcPr>
            <w:tcW w:w="607" w:type="dxa"/>
            <w:tcBorders>
              <w:tl2br w:val="nil"/>
              <w:tr2bl w:val="nil"/>
            </w:tcBorders>
            <w:noWrap w:val="0"/>
            <w:vAlign w:val="center"/>
          </w:tcPr>
          <w:p w14:paraId="1363DAC1">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w:t>
            </w:r>
          </w:p>
        </w:tc>
        <w:tc>
          <w:tcPr>
            <w:tcW w:w="725" w:type="dxa"/>
            <w:tcBorders>
              <w:tl2br w:val="nil"/>
              <w:tr2bl w:val="nil"/>
            </w:tcBorders>
            <w:noWrap w:val="0"/>
            <w:vAlign w:val="center"/>
          </w:tcPr>
          <w:p w14:paraId="5D7F3FE9">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16</w:t>
            </w:r>
          </w:p>
        </w:tc>
        <w:tc>
          <w:tcPr>
            <w:tcW w:w="728" w:type="dxa"/>
            <w:tcBorders>
              <w:tl2br w:val="nil"/>
              <w:tr2bl w:val="nil"/>
            </w:tcBorders>
            <w:noWrap w:val="0"/>
            <w:vAlign w:val="center"/>
          </w:tcPr>
          <w:p w14:paraId="7316C074">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13.2</w:t>
            </w:r>
          </w:p>
        </w:tc>
        <w:tc>
          <w:tcPr>
            <w:tcW w:w="600" w:type="dxa"/>
            <w:tcBorders>
              <w:tl2br w:val="nil"/>
              <w:tr2bl w:val="nil"/>
            </w:tcBorders>
            <w:noWrap w:val="0"/>
            <w:vAlign w:val="center"/>
          </w:tcPr>
          <w:p w14:paraId="56ED84C5">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9.5</w:t>
            </w:r>
          </w:p>
        </w:tc>
        <w:tc>
          <w:tcPr>
            <w:tcW w:w="660" w:type="dxa"/>
            <w:tcBorders>
              <w:tl2br w:val="nil"/>
              <w:tr2bl w:val="nil"/>
            </w:tcBorders>
            <w:noWrap w:val="0"/>
            <w:vAlign w:val="center"/>
          </w:tcPr>
          <w:p w14:paraId="73CDB4FD">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4.75</w:t>
            </w:r>
          </w:p>
        </w:tc>
        <w:tc>
          <w:tcPr>
            <w:tcW w:w="660" w:type="dxa"/>
            <w:tcBorders>
              <w:tl2br w:val="nil"/>
              <w:tr2bl w:val="nil"/>
            </w:tcBorders>
            <w:noWrap w:val="0"/>
            <w:vAlign w:val="center"/>
          </w:tcPr>
          <w:p w14:paraId="464956A9">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2.36</w:t>
            </w:r>
          </w:p>
        </w:tc>
        <w:tc>
          <w:tcPr>
            <w:tcW w:w="660" w:type="dxa"/>
            <w:tcBorders>
              <w:tl2br w:val="nil"/>
              <w:tr2bl w:val="nil"/>
            </w:tcBorders>
            <w:noWrap w:val="0"/>
            <w:vAlign w:val="center"/>
          </w:tcPr>
          <w:p w14:paraId="5AFC5CDA">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1.18</w:t>
            </w:r>
          </w:p>
        </w:tc>
        <w:tc>
          <w:tcPr>
            <w:tcW w:w="660" w:type="dxa"/>
            <w:tcBorders>
              <w:tl2br w:val="nil"/>
              <w:tr2bl w:val="nil"/>
            </w:tcBorders>
            <w:noWrap w:val="0"/>
            <w:vAlign w:val="center"/>
          </w:tcPr>
          <w:p w14:paraId="6C7968C2">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0.6</w:t>
            </w:r>
          </w:p>
        </w:tc>
        <w:tc>
          <w:tcPr>
            <w:tcW w:w="828" w:type="dxa"/>
            <w:tcBorders>
              <w:tl2br w:val="nil"/>
              <w:tr2bl w:val="nil"/>
            </w:tcBorders>
            <w:noWrap w:val="0"/>
            <w:vAlign w:val="center"/>
          </w:tcPr>
          <w:p w14:paraId="0D427DC8">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0.075</w:t>
            </w:r>
          </w:p>
        </w:tc>
      </w:tr>
      <w:tr w14:paraId="3E8489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81" w:type="dxa"/>
            <w:tcBorders>
              <w:tl2br w:val="nil"/>
              <w:tr2bl w:val="nil"/>
            </w:tcBorders>
            <w:noWrap w:val="0"/>
            <w:vAlign w:val="center"/>
          </w:tcPr>
          <w:p w14:paraId="68E2BC68">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通过质量</w:t>
            </w:r>
          </w:p>
          <w:p w14:paraId="05A2D96D">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百分率（%）</w:t>
            </w:r>
          </w:p>
        </w:tc>
        <w:tc>
          <w:tcPr>
            <w:tcW w:w="718" w:type="dxa"/>
            <w:tcBorders>
              <w:tl2br w:val="nil"/>
              <w:tr2bl w:val="nil"/>
            </w:tcBorders>
            <w:noWrap w:val="0"/>
            <w:vAlign w:val="center"/>
          </w:tcPr>
          <w:p w14:paraId="43F61D2B">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100</w:t>
            </w:r>
          </w:p>
        </w:tc>
        <w:tc>
          <w:tcPr>
            <w:tcW w:w="689" w:type="dxa"/>
            <w:tcBorders>
              <w:tl2br w:val="nil"/>
              <w:tr2bl w:val="nil"/>
            </w:tcBorders>
            <w:noWrap w:val="0"/>
            <w:vAlign w:val="center"/>
          </w:tcPr>
          <w:p w14:paraId="7650C5D7">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100~90</w:t>
            </w:r>
          </w:p>
        </w:tc>
        <w:tc>
          <w:tcPr>
            <w:tcW w:w="693" w:type="dxa"/>
            <w:tcBorders>
              <w:tl2br w:val="nil"/>
              <w:tr2bl w:val="nil"/>
            </w:tcBorders>
            <w:noWrap w:val="0"/>
            <w:vAlign w:val="center"/>
          </w:tcPr>
          <w:p w14:paraId="6183314D">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93~</w:t>
            </w:r>
          </w:p>
          <w:p w14:paraId="37B2F2AF">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80</w:t>
            </w:r>
          </w:p>
        </w:tc>
        <w:tc>
          <w:tcPr>
            <w:tcW w:w="607" w:type="dxa"/>
            <w:tcBorders>
              <w:tl2br w:val="nil"/>
              <w:tr2bl w:val="nil"/>
            </w:tcBorders>
            <w:noWrap w:val="0"/>
            <w:vAlign w:val="center"/>
          </w:tcPr>
          <w:p w14:paraId="301F0D7C">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81~64</w:t>
            </w:r>
          </w:p>
        </w:tc>
        <w:tc>
          <w:tcPr>
            <w:tcW w:w="725" w:type="dxa"/>
            <w:tcBorders>
              <w:tl2br w:val="nil"/>
              <w:tr2bl w:val="nil"/>
            </w:tcBorders>
            <w:noWrap w:val="0"/>
            <w:vAlign w:val="center"/>
          </w:tcPr>
          <w:p w14:paraId="616115DB">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75~</w:t>
            </w:r>
          </w:p>
          <w:p w14:paraId="71B8ED43">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57</w:t>
            </w:r>
          </w:p>
        </w:tc>
        <w:tc>
          <w:tcPr>
            <w:tcW w:w="728" w:type="dxa"/>
            <w:tcBorders>
              <w:tl2br w:val="nil"/>
              <w:tr2bl w:val="nil"/>
            </w:tcBorders>
            <w:noWrap w:val="0"/>
            <w:vAlign w:val="center"/>
          </w:tcPr>
          <w:p w14:paraId="2D968485">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69~</w:t>
            </w:r>
          </w:p>
          <w:p w14:paraId="6FC6FCD4">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50</w:t>
            </w:r>
          </w:p>
        </w:tc>
        <w:tc>
          <w:tcPr>
            <w:tcW w:w="600" w:type="dxa"/>
            <w:tcBorders>
              <w:tl2br w:val="nil"/>
              <w:tr2bl w:val="nil"/>
            </w:tcBorders>
            <w:noWrap w:val="0"/>
            <w:vAlign w:val="center"/>
          </w:tcPr>
          <w:p w14:paraId="27CCAED5">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60~40</w:t>
            </w:r>
          </w:p>
        </w:tc>
        <w:tc>
          <w:tcPr>
            <w:tcW w:w="660" w:type="dxa"/>
            <w:tcBorders>
              <w:tl2br w:val="nil"/>
              <w:tr2bl w:val="nil"/>
            </w:tcBorders>
            <w:noWrap w:val="0"/>
            <w:vAlign w:val="center"/>
          </w:tcPr>
          <w:p w14:paraId="231E201E">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45~</w:t>
            </w:r>
          </w:p>
          <w:p w14:paraId="0B5FA7FE">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25</w:t>
            </w:r>
          </w:p>
        </w:tc>
        <w:tc>
          <w:tcPr>
            <w:tcW w:w="660" w:type="dxa"/>
            <w:tcBorders>
              <w:tl2br w:val="nil"/>
              <w:tr2bl w:val="nil"/>
            </w:tcBorders>
            <w:noWrap w:val="0"/>
            <w:vAlign w:val="center"/>
          </w:tcPr>
          <w:p w14:paraId="1554C572">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w:t>
            </w:r>
          </w:p>
          <w:p w14:paraId="1062F36D">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16</w:t>
            </w:r>
          </w:p>
        </w:tc>
        <w:tc>
          <w:tcPr>
            <w:tcW w:w="660" w:type="dxa"/>
            <w:tcBorders>
              <w:tl2br w:val="nil"/>
              <w:tr2bl w:val="nil"/>
            </w:tcBorders>
            <w:noWrap w:val="0"/>
            <w:vAlign w:val="center"/>
          </w:tcPr>
          <w:p w14:paraId="1D347A1E">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w:t>
            </w:r>
          </w:p>
          <w:p w14:paraId="17CEEC47">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w:t>
            </w:r>
          </w:p>
        </w:tc>
        <w:tc>
          <w:tcPr>
            <w:tcW w:w="660" w:type="dxa"/>
            <w:tcBorders>
              <w:tl2br w:val="nil"/>
              <w:tr2bl w:val="nil"/>
            </w:tcBorders>
            <w:noWrap w:val="0"/>
            <w:vAlign w:val="center"/>
          </w:tcPr>
          <w:p w14:paraId="38F1D968">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15~7</w:t>
            </w:r>
          </w:p>
        </w:tc>
        <w:tc>
          <w:tcPr>
            <w:tcW w:w="828" w:type="dxa"/>
            <w:tcBorders>
              <w:tl2br w:val="nil"/>
              <w:tr2bl w:val="nil"/>
            </w:tcBorders>
            <w:noWrap w:val="0"/>
            <w:vAlign w:val="center"/>
          </w:tcPr>
          <w:p w14:paraId="5978305D">
            <w:pPr>
              <w:widowControl w:val="0"/>
              <w:wordWrap/>
              <w:spacing w:line="24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5~2</w:t>
            </w:r>
          </w:p>
        </w:tc>
      </w:tr>
    </w:tbl>
    <w:p w14:paraId="3B1E237E">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级配碎石液限宜不大于28%，在潮湿多雨地区塑性指数宜小于6。</w:t>
      </w:r>
    </w:p>
    <w:p w14:paraId="4109A2CD">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级配碎石CBR强度应满足≥80。</w:t>
      </w:r>
    </w:p>
    <w:p w14:paraId="314040A9">
      <w:pPr>
        <w:pStyle w:val="29"/>
        <w:ind w:left="480" w:firstLine="0" w:firstLineChars="0"/>
        <w:rPr>
          <w:rFonts w:hint="eastAsia" w:ascii="宋体" w:hAnsi="宋体" w:eastAsia="宋体" w:cs="宋体"/>
          <w:b/>
          <w:bCs/>
          <w:color w:val="auto"/>
          <w:sz w:val="24"/>
          <w:szCs w:val="24"/>
          <w:lang w:eastAsia="zh-CN"/>
        </w:rPr>
      </w:pPr>
      <w:bookmarkStart w:id="3" w:name="_Toc11591"/>
      <w:bookmarkStart w:id="4" w:name="_Toc19645"/>
      <w:r>
        <w:rPr>
          <w:rFonts w:hint="eastAsia" w:ascii="宋体" w:hAnsi="宋体" w:eastAsia="宋体" w:cs="宋体"/>
          <w:b/>
          <w:bCs/>
          <w:color w:val="auto"/>
          <w:sz w:val="24"/>
          <w:szCs w:val="24"/>
          <w:lang w:val="en-US" w:eastAsia="zh-CN"/>
        </w:rPr>
        <w:t xml:space="preserve">12.5 </w:t>
      </w:r>
      <w:r>
        <w:rPr>
          <w:rFonts w:hint="eastAsia" w:ascii="宋体" w:hAnsi="宋体" w:eastAsia="宋体" w:cs="宋体"/>
          <w:b/>
          <w:bCs/>
          <w:color w:val="auto"/>
          <w:sz w:val="24"/>
          <w:szCs w:val="24"/>
        </w:rPr>
        <w:t>粘层油、透层油</w:t>
      </w:r>
    </w:p>
    <w:p w14:paraId="648AB693">
      <w:pPr>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透层油洒布于基层顶面，其渗入基层的深度不能小于5mm，</w:t>
      </w:r>
      <w:r>
        <w:rPr>
          <w:rFonts w:hint="eastAsia" w:ascii="宋体" w:hAnsi="宋体" w:eastAsia="宋体" w:cs="宋体"/>
          <w:color w:val="auto"/>
          <w:sz w:val="24"/>
          <w:szCs w:val="24"/>
        </w:rPr>
        <w:t>规格和质量应满足《公路沥青路面施工技术规范》9.1节中透层油的要求。</w:t>
      </w:r>
    </w:p>
    <w:p w14:paraId="20BA0600">
      <w:pPr>
        <w:ind w:firstLine="480"/>
        <w:rPr>
          <w:rFonts w:hint="eastAsia" w:ascii="宋体" w:hAnsi="宋体" w:eastAsia="宋体" w:cs="宋体"/>
          <w:color w:val="auto"/>
          <w:sz w:val="24"/>
          <w:szCs w:val="24"/>
        </w:rPr>
      </w:pPr>
      <w:r>
        <w:rPr>
          <w:rFonts w:hint="eastAsia" w:ascii="宋体" w:hAnsi="宋体" w:eastAsia="宋体" w:cs="宋体"/>
          <w:color w:val="auto"/>
          <w:sz w:val="24"/>
          <w:szCs w:val="24"/>
        </w:rPr>
        <w:t>粘层油用于上层沥青混凝土与下层沥青混凝土之间洒布的沥青材料薄层，其规格和质量应满足《公路沥青路面施工技术规范》9.2节中粘层的要求。</w:t>
      </w:r>
    </w:p>
    <w:bookmarkEnd w:id="3"/>
    <w:bookmarkEnd w:id="4"/>
    <w:p w14:paraId="742B0DBA">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13 </w:t>
      </w:r>
      <w:r>
        <w:rPr>
          <w:rFonts w:hint="eastAsia" w:ascii="宋体" w:hAnsi="宋体" w:eastAsia="宋体" w:cs="宋体"/>
          <w:b/>
          <w:color w:val="auto"/>
          <w:sz w:val="24"/>
          <w:szCs w:val="24"/>
        </w:rPr>
        <w:t>施工注意事项及要点</w:t>
      </w:r>
    </w:p>
    <w:p w14:paraId="2A7A0378">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13.1 既有管线的保护</w:t>
      </w:r>
    </w:p>
    <w:p w14:paraId="4EC5694C">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施工准备阶段，对原有地上、地下管线、交叉口处的感应线圈做好调查与标记；施工前组织现有管线单位管线交底，对机动车道下浅埋管线做好记录和监测，施工过程中做好必要的保护和加固，既要确保施工进度的顺利推进，又要确保既有管线正常运营</w:t>
      </w:r>
      <w:r>
        <w:rPr>
          <w:rFonts w:hint="eastAsia" w:ascii="宋体" w:hAnsi="宋体" w:eastAsia="宋体" w:cs="宋体"/>
          <w:color w:val="auto"/>
          <w:sz w:val="24"/>
          <w:szCs w:val="24"/>
          <w:lang w:eastAsia="zh-CN"/>
        </w:rPr>
        <w:t>。</w:t>
      </w:r>
    </w:p>
    <w:p w14:paraId="60AA46A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本工程道路车行道部位纵向无浅埋管线，横道浅埋管线施工中注意保护，雨水连管本次翻建，埋深应满足最小覆土厚度 70cm 以下，施工过程如果遇其他管线穿越无法按最小厚度要求的应进行方包加固处理。对于路口交通类感应线圈应挖除后重新铺设。</w:t>
      </w:r>
    </w:p>
    <w:p w14:paraId="3040FCEC">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lang w:val="en-US" w:eastAsia="zh-CN"/>
        </w:rPr>
      </w:pPr>
      <w:bookmarkStart w:id="5" w:name="_Toc15791"/>
      <w:r>
        <w:rPr>
          <w:rFonts w:hint="eastAsia" w:ascii="宋体" w:hAnsi="宋体" w:eastAsia="宋体" w:cs="宋体"/>
          <w:b/>
          <w:bCs/>
          <w:color w:val="auto"/>
          <w:sz w:val="24"/>
          <w:szCs w:val="24"/>
          <w:lang w:val="en-US" w:eastAsia="zh-CN"/>
        </w:rPr>
        <w:t>13.2 级配碎石垫层施工</w:t>
      </w:r>
      <w:bookmarkEnd w:id="5"/>
    </w:p>
    <w:p w14:paraId="40483B7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宜采用机械摊铺符合级配要求的厂拌级配碎石。机械摊铺压实系数宜为1.25~   1.35。摊铺碎石每层应按虚厚一次铺齐。颗粒分布应均匀，厚度一致，不得多次找补。已摊平的碎石碾压前应断绝交通，保持摊铺层清洁。</w:t>
      </w:r>
    </w:p>
    <w:p w14:paraId="4C7BCAC7">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级配碎石垫层宜在当天碾压完成，直线和不设超高的平曲线段，应由两侧向中心碾压。初压时，碾速宜为20~30m/min。碾压前和碾压中应适量洒水。碾压中对有过碾现象的部位，应进行换填处理。</w:t>
      </w:r>
    </w:p>
    <w:p w14:paraId="05E9B0B3">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碎石压实后及成活中应适量洒水。视压实碎石的缝隙情况撒布嵌缝料。宜采用  12t以上的压路机碾压成活，碾压至缝隙嵌挤应密实，稳定坚定，表面平整，轮迹小于5mm。</w:t>
      </w:r>
    </w:p>
    <w:p w14:paraId="4F1EF6F4">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未铺装上层前，对已成活的碎石垫层应保持养护，不得开放交通。</w:t>
      </w:r>
    </w:p>
    <w:p w14:paraId="6035FE64">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13.3 水泥稳定碎石基层施工</w:t>
      </w:r>
    </w:p>
    <w:p w14:paraId="65FDE81A">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水泥稳定碎石摊铺应采用机械摊铺，摊铺试验段以控制松铺系数，基层分两次摊铺。根据设计高度加上松铺厚度作为钢丝高程。摊铺中螺旋布料器应均衡地向两侧供料，螺旋布料器的料置以略高于螺旋布料器2/3为度，使熨平板挡板前混合料在全宽范围内保持一致，避免摊铺层出现离析现象，设专人检查铺筑厚度及平整度，发现局部离析、拖痕及其它问题应及时处理；摊铺中途不得随意变速或停机，摊铺速度控制在1.2～5m/min范围内。</w:t>
      </w:r>
    </w:p>
    <w:p w14:paraId="0302F6B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水泥稳碎石的碾压建议使用大吨位光轮压路机1台和振动压路机2台。碾压工作及时、紧跟，严格控制作业时间，从加水拌和到碾压成型时间间隔不能超过2小时，避免顶部混合料水分散发过快而变松散。碾压按由低到高，先轻后重，先静压后振压的原则进行。直线段，由两侧向中心碾压；超高段由内侧向外侧碾压。每道碾压与上道碾压相重叠1/2轮宽，使每层整个厚度和宽度均匀地压实到98%以上。压实后用光轮压路机赶光、收面，表面无轮迹、隆起，断面正确，坡度符合要求。碾压过程中压路机不能在工作面上调头。碾压结束后，碾压表面达到平整密实，无轮迹裂纹、搓板起皮、松散、反弹现象。</w:t>
      </w:r>
    </w:p>
    <w:p w14:paraId="61DB3EE2">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养生和交通管制：每一段的水稳碎石碾压完毕，并经过压实度、标高检查合格后，即可进入养生阶段，采用用湿润的土工布进行覆盖，覆盖2小时后，用洒水车洒水，洒水车的喷头用喷雾式，每天洒水次数视气候而定，整个养生期间始终保持水泥稳定碎石层表面湿润。在7 天内应保持基层处于湿润状态，28天内正常养护，在养护期间封闭交通。</w:t>
      </w:r>
    </w:p>
    <w:p w14:paraId="7CD425AE">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13.4 粘层油</w:t>
      </w:r>
    </w:p>
    <w:p w14:paraId="0175C39B">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双层式或三层式热拌热铺沥青混合料路面的沥青层之间或旧沥青路面层上加铺沥青层必须碰洒粘层油。</w:t>
      </w:r>
    </w:p>
    <w:p w14:paraId="6B8DBE41">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粘层油宜采用快裂或中裂乳化沥青、改性乳化沥青，也可采用快、中凝液体石油沥青，其规格和质量应符合规范的要求，所使用的基质沥青标号宜与主层沥青混合料相同。</w:t>
      </w:r>
    </w:p>
    <w:p w14:paraId="4065454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粘层油品种和用量,应根据下卧层的类型通过试洒确定。当粘层油上铺筑薄层大空隙排水路面时，粘层油的用量宜增加到0.6～1.0L/m2。在沥青层之间兼作封层而喷洒的粘层油宜采用改性沥青或改性乳化沥青，其用量宜不少于1.0L/m2。</w:t>
      </w:r>
    </w:p>
    <w:p w14:paraId="12A11A57">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粘层油宜采用沥青洒布车喷洒，并选择适宜的喷嘴，洒布速度和喷洒量保持稳定。当采用机动或手摇的手工沥青洒布机喷洒时，必须由熟练的技术工人操作，均匀洒布。气温低于l0℃时不得喷洒粘层油，寒冷季节施工不得不喷洒时可以分成两次喷洒。路面潮湿时不得喷洒粘层油，用水洗刷后需待表面干燥后喷洒。</w:t>
      </w:r>
    </w:p>
    <w:p w14:paraId="2112EC7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喷洒的粘层油必须成均匀雾状，在路面全宽度内均匀分布成一薄层，不得有洒花漏空或成条状，也不得有堆积。喷洒不足的要补洒，喷洒过量处应予刮除。喷洒粘层油后，严禁运料车外的其他车辆和行人通过。</w:t>
      </w:r>
    </w:p>
    <w:p w14:paraId="25C26CE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粘层油宜在当天洒布，待乳化沥青破乳、水分蒸发完成，或稀释沥青中的稀释剂基本挥发完成后，紧跟着铺筑沥青层，确保粘层不受污染。</w:t>
      </w:r>
    </w:p>
    <w:p w14:paraId="2E6B1D6C">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1</w:t>
      </w: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 xml:space="preserve"> 透层油</w:t>
      </w:r>
    </w:p>
    <w:p w14:paraId="4B5F56C8">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沥青路面各类基层都必须喷洒透层油，沥青层必须在透层油完全渗透入基层后方可铺筑。基层上设置下封层时，透层油不宜省略。气温低于1O℃或大风、即将降雨时不得喷洒透层油。</w:t>
      </w:r>
    </w:p>
    <w:p w14:paraId="3CF84FE0">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根据基层类型选择渗透性好的液体沥青、乳化沥青、煤沥青作透层油，喷洒后通过钻孔或挖掘确认透层油渗透入基层的深度宜不小于5mm (无机结合料稳定集料基层)～10mm(无结合料基层)，并能与基层联结成为一体。</w:t>
      </w:r>
    </w:p>
    <w:p w14:paraId="075A021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透层油的粘度通过调节稀释剂的用量或乳化沥青的浓度得到适宜的粘度，基质沥青的针入度通常宜不小于100。透层用乳化沥青的蒸发残留物含量允许根据渗透情况适当调整，当使用成品乳化沥青时可通过稀释得到要求的粘度。透层用液体沥青的粘度通过调节煤油或轻柴油等稀释剂的品种和掺量经试验确定。</w:t>
      </w:r>
    </w:p>
    <w:p w14:paraId="025FDE6C">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透层油的用量通过试洒确定，不宜超出下表要求的范围。</w:t>
      </w:r>
    </w:p>
    <w:p w14:paraId="6CB30D6D">
      <w:pPr>
        <w:spacing w:line="560" w:lineRule="exact"/>
        <w:jc w:val="center"/>
        <w:rPr>
          <w:rFonts w:hint="eastAsia" w:ascii="宋体" w:hAnsi="宋体" w:eastAsia="宋体" w:cs="宋体"/>
          <w:b/>
          <w:color w:val="auto"/>
          <w:sz w:val="24"/>
          <w:lang w:eastAsia="zh-CN"/>
        </w:rPr>
      </w:pPr>
      <w:r>
        <w:rPr>
          <w:rFonts w:hint="eastAsia" w:ascii="宋体" w:hAnsi="宋体" w:eastAsia="宋体" w:cs="宋体"/>
          <w:b/>
          <w:color w:val="auto"/>
          <w:sz w:val="24"/>
          <w:lang w:eastAsia="zh-CN"/>
        </w:rPr>
        <w:t>表</w:t>
      </w:r>
      <w:r>
        <w:rPr>
          <w:rFonts w:hint="eastAsia" w:ascii="宋体" w:hAnsi="宋体" w:eastAsia="宋体" w:cs="宋体"/>
          <w:b/>
          <w:color w:val="auto"/>
          <w:sz w:val="24"/>
          <w:lang w:val="en-US" w:eastAsia="zh-CN"/>
        </w:rPr>
        <w:t>15</w:t>
      </w:r>
      <w:r>
        <w:rPr>
          <w:rFonts w:hint="eastAsia" w:ascii="宋体" w:hAnsi="宋体" w:eastAsia="宋体" w:cs="宋体"/>
          <w:b/>
          <w:color w:val="auto"/>
          <w:sz w:val="24"/>
          <w:lang w:eastAsia="zh-CN"/>
        </w:rPr>
        <w:t xml:space="preserve">  沥青路面透层材料的规格和用量表       </w:t>
      </w:r>
    </w:p>
    <w:tbl>
      <w:tblPr>
        <w:tblStyle w:val="18"/>
        <w:tblW w:w="76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33"/>
        <w:gridCol w:w="2263"/>
        <w:gridCol w:w="2507"/>
      </w:tblGrid>
      <w:tr w14:paraId="46BE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2833" w:type="dxa"/>
            <w:vMerge w:val="restart"/>
            <w:vAlign w:val="center"/>
          </w:tcPr>
          <w:p w14:paraId="25EDD862">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用途</w:t>
            </w:r>
          </w:p>
        </w:tc>
        <w:tc>
          <w:tcPr>
            <w:tcW w:w="4770" w:type="dxa"/>
            <w:gridSpan w:val="2"/>
            <w:vAlign w:val="center"/>
          </w:tcPr>
          <w:p w14:paraId="21BE91FF">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乳化沥青</w:t>
            </w:r>
          </w:p>
        </w:tc>
      </w:tr>
      <w:tr w14:paraId="723F00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2833" w:type="dxa"/>
            <w:vMerge w:val="continue"/>
            <w:vAlign w:val="center"/>
          </w:tcPr>
          <w:p w14:paraId="1EB5A6FF">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p>
        </w:tc>
        <w:tc>
          <w:tcPr>
            <w:tcW w:w="2263" w:type="dxa"/>
            <w:vAlign w:val="center"/>
          </w:tcPr>
          <w:p w14:paraId="01CAC335">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规格</w:t>
            </w:r>
          </w:p>
        </w:tc>
        <w:tc>
          <w:tcPr>
            <w:tcW w:w="2507" w:type="dxa"/>
            <w:vAlign w:val="center"/>
          </w:tcPr>
          <w:p w14:paraId="37EDAB06">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用量（</w:t>
            </w:r>
            <w:r>
              <w:rPr>
                <w:rFonts w:hint="eastAsia" w:asciiTheme="minorEastAsia" w:hAnsiTheme="minorEastAsia" w:eastAsiaTheme="minorEastAsia" w:cstheme="minorEastAsia"/>
                <w:color w:val="auto"/>
                <w:sz w:val="24"/>
                <w:lang w:val="en-GB"/>
              </w:rPr>
              <w:t>L/m2</w:t>
            </w:r>
            <w:r>
              <w:rPr>
                <w:rFonts w:hint="eastAsia" w:asciiTheme="minorEastAsia" w:hAnsiTheme="minorEastAsia" w:eastAsiaTheme="minorEastAsia" w:cstheme="minorEastAsia"/>
                <w:color w:val="auto"/>
                <w:sz w:val="24"/>
              </w:rPr>
              <w:t>）</w:t>
            </w:r>
          </w:p>
        </w:tc>
      </w:tr>
      <w:tr w14:paraId="3FC458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2833" w:type="dxa"/>
            <w:vAlign w:val="center"/>
          </w:tcPr>
          <w:p w14:paraId="61955A6D">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lang w:val="en-GB"/>
              </w:rPr>
            </w:pPr>
            <w:r>
              <w:rPr>
                <w:rFonts w:hint="eastAsia" w:asciiTheme="minorEastAsia" w:hAnsiTheme="minorEastAsia" w:eastAsiaTheme="minorEastAsia" w:cstheme="minorEastAsia"/>
                <w:color w:val="auto"/>
                <w:sz w:val="24"/>
                <w:lang w:val="en-GB"/>
              </w:rPr>
              <w:t>无结合料粒料基层</w:t>
            </w:r>
          </w:p>
        </w:tc>
        <w:tc>
          <w:tcPr>
            <w:tcW w:w="2263" w:type="dxa"/>
            <w:vAlign w:val="center"/>
          </w:tcPr>
          <w:p w14:paraId="0D667797">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PC-2、PA-2</w:t>
            </w:r>
          </w:p>
        </w:tc>
        <w:tc>
          <w:tcPr>
            <w:tcW w:w="2507" w:type="dxa"/>
            <w:vAlign w:val="center"/>
          </w:tcPr>
          <w:p w14:paraId="5E478DF4">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1.0~2.0</w:t>
            </w:r>
          </w:p>
        </w:tc>
      </w:tr>
      <w:tr w14:paraId="27BEE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2833" w:type="dxa"/>
            <w:vAlign w:val="center"/>
          </w:tcPr>
          <w:p w14:paraId="0DFFDF31">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半刚性基层</w:t>
            </w:r>
          </w:p>
        </w:tc>
        <w:tc>
          <w:tcPr>
            <w:tcW w:w="2263" w:type="dxa"/>
            <w:vAlign w:val="center"/>
          </w:tcPr>
          <w:p w14:paraId="5E099619">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PC-2、PA-2</w:t>
            </w:r>
          </w:p>
        </w:tc>
        <w:tc>
          <w:tcPr>
            <w:tcW w:w="2507" w:type="dxa"/>
            <w:vAlign w:val="center"/>
          </w:tcPr>
          <w:p w14:paraId="44C8B809">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0.7~1.5</w:t>
            </w:r>
          </w:p>
        </w:tc>
      </w:tr>
    </w:tbl>
    <w:p w14:paraId="55336A9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用于半刚性基层的透层油宜紧接在基层碾压成型后表面稍变干燥、但尚未硬化的情况下喷洒。</w:t>
      </w:r>
    </w:p>
    <w:p w14:paraId="0B80E60D">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在无结合料粒料基层上洒布透层油时，宜在铺筑沥青层前1～2 天洒布。</w:t>
      </w:r>
    </w:p>
    <w:p w14:paraId="4895294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透层油宜采用沥青洒布车一次喷洒均匀，使用的喷嘴宜根据透层油的种类和粘度选择并保证均匀喷洒，沥青洒布车喷洒不均匀时宜改用手工沥青洒布机喷洒。</w:t>
      </w:r>
    </w:p>
    <w:p w14:paraId="69EB8612">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喷洒透层油前应清扫路面，遮挡防护路缘石及人工构造物避免污染，透层油必须洒布均匀，有花白遗漏应人工补洒，喷洒过量的立即撒布石屑或砂吸油，必要时作适当碾压。透层油洒布后不得在表面形成能被运料车和摊铺机粘起的油皮，透层油达不到渗透深度要求时，应更换透层油稠度或品种。</w:t>
      </w:r>
    </w:p>
    <w:p w14:paraId="0AF1E931">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透层油洒布后的养生时间随透层油的品种和气候条件由试验确定，确保液体沥青中的稀释剂全部挥发，乳化沥青渗透且水分蒸发，然后尽早铺筑沥青面层，防止工程车辆损坏透层。</w:t>
      </w:r>
    </w:p>
    <w:p w14:paraId="034240CE">
      <w:pPr>
        <w:pStyle w:val="29"/>
        <w:keepNext w:val="0"/>
        <w:keepLines w:val="0"/>
        <w:pageBreakBefore w:val="0"/>
        <w:widowControl w:val="0"/>
        <w:kinsoku/>
        <w:wordWrap w:val="0"/>
        <w:overflowPunct/>
        <w:topLinePunct w:val="0"/>
        <w:autoSpaceDE/>
        <w:autoSpaceDN/>
        <w:bidi w:val="0"/>
        <w:adjustRightInd/>
        <w:snapToGrid/>
        <w:ind w:left="482" w:firstLine="482" w:firstLineChars="200"/>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13.6 </w:t>
      </w:r>
      <w:r>
        <w:rPr>
          <w:rFonts w:hint="eastAsia" w:ascii="宋体" w:hAnsi="宋体" w:eastAsia="宋体" w:cs="宋体"/>
          <w:b/>
          <w:bCs/>
          <w:color w:val="auto"/>
          <w:sz w:val="24"/>
          <w:szCs w:val="24"/>
        </w:rPr>
        <w:t>橡胶沥青纤维碎石封层施工工艺</w:t>
      </w:r>
    </w:p>
    <w:p w14:paraId="448E4EC4">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橡胶沥青纤维碎石同步封层宜选择干燥和较热的季节施工，并在雨季前及最高气温低于10℃到来以前半个月结束。</w:t>
      </w:r>
    </w:p>
    <w:p w14:paraId="3CB3650D">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1、检查基层顶面</w:t>
      </w:r>
    </w:p>
    <w:p w14:paraId="0C8020B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下封层施工前，应检查基层顶面浮浆是否清除、浮灰是否吹净、裂缝是否已处理完毕，表面是否干燥。</w:t>
      </w:r>
    </w:p>
    <w:p w14:paraId="38233F35">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2、施工</w:t>
      </w:r>
    </w:p>
    <w:p w14:paraId="40BF89E5">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选用满足技术要求的橡胶沥青，用智能纤缝碎石封层设备进行喷洒沥青第一层，同步喷洒纤维和第二层沥青，车辆行驶速度控制在3～6km/h，沥青撒布温度不低于190℃，橡胶沥青撒布量2～2.4kg/m2。应保证洒布均勾，起步及终止时必须采取措施，避免喷洒过量或过少，横向搭接处应调整好宽度，避免搭接处喷洒过多或漏洒现象。碎石撒布在第二层沥青后同步进行，撒布不到位的区域应及时人工处理，确保撒布均勾。碎石撒布已覆盖表面70～80%。为保证撒布的均匀性，严格控制撒布车辆启动阶段的横纵向的接缝位置，避免出现重叠和漏撒现象。</w:t>
      </w:r>
    </w:p>
    <w:p w14:paraId="27931647">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3、接缝处理</w:t>
      </w:r>
    </w:p>
    <w:p w14:paraId="5A162BF6">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横缝采用对接法处理方式。每段接头处，用铁板或油毡纸横铺在本段起点前及终点后，以准确进行横向衔接，封层车经过后应及时取走铁板或油毡纸。纵缝处理时，第一幅右侧的橡胶沥青正常喷洒，而碎石则要减少一个卸料槽的宽度，第二幅左侧的沥青撒布与第一幅交叉重叠10cm左右，左侧碎石撒布正常。以此类推，直至最右侧一幅施工时调整到正常状态。</w:t>
      </w:r>
      <w:bookmarkStart w:id="6" w:name="_GoBack"/>
      <w:bookmarkEnd w:id="6"/>
    </w:p>
    <w:p w14:paraId="0884B76F">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4、压实</w:t>
      </w:r>
    </w:p>
    <w:p w14:paraId="01D66C0A">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同步喷洒施工结束后，应立即用26T轮胎压路机进行碾压2～4遍，碾压速度宜控制在2.5km/h左右。遵循先慢后快的原则，碾压时每次轮迹带重叠不小于</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30cm，保证压实效果。</w:t>
      </w:r>
    </w:p>
    <w:p w14:paraId="113508E4">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5、开放交通</w:t>
      </w:r>
    </w:p>
    <w:p w14:paraId="7073B239">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碾压结束后应采取硬隔离封闭交通，2h后方可允许车辆慢速通行，行车速度不得超过20km/h，严禁在同步封层上进行急刹车或停车掉头。使用智能清扫车将多余碎石浮料清扫干净后，可允许车辆以正常速度行驶。</w:t>
      </w:r>
    </w:p>
    <w:p w14:paraId="348F4133">
      <w:pPr>
        <w:ind w:firstLine="48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 xml:space="preserve">13.7 </w:t>
      </w:r>
      <w:r>
        <w:rPr>
          <w:rFonts w:hint="eastAsia" w:ascii="宋体" w:hAnsi="宋体" w:eastAsia="宋体" w:cs="宋体"/>
          <w:b/>
          <w:bCs/>
          <w:color w:val="auto"/>
          <w:sz w:val="24"/>
          <w:szCs w:val="24"/>
          <w:lang w:eastAsia="zh-CN"/>
        </w:rPr>
        <w:t>沥青面层施工</w:t>
      </w:r>
    </w:p>
    <w:p w14:paraId="56B082C1">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 热拌沥青混合料应选用符合要求的材料，应经配合比设计确定矿料级配和沥青用量。配合比设计应根据实践经验和马歇尔实验的结果，经过试拌试铺论证确定。</w:t>
      </w:r>
    </w:p>
    <w:p w14:paraId="70AB3B1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 沥青混合料必须在沥青拌和厂采用拌和机械拌和。可采用间歇式拌和机或连续式拌和机拌制。连续式拌和机应具备根据材料含水量变化调整矿料上料比例、上料速度、沥青用量的装置。间歇式拌和机宜配置自动记录设备，在拌和过程中应逐盘打印沥青及各种矿料的用量、拌和温度。</w:t>
      </w:r>
    </w:p>
    <w:p w14:paraId="4F731EBA">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 沥青材料应采用导热油加热，拌和的沥青混合料出厂温度应符合规范要求。当混合料出厂温度过高并影响沥青与集料的粘结力时，混合料不得使用。混合料应拌和均匀，所有矿料颗粒应全部裹覆沥青结合料。</w:t>
      </w:r>
    </w:p>
    <w:p w14:paraId="13143A6D">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 铺筑沥青混合料前，应检查确认下层的质量。当下层质量不符合要求，或未按规定洒布透层、粘层、铺筑下封层时，不得铺筑沥青面层。</w:t>
      </w:r>
    </w:p>
    <w:p w14:paraId="68B89A1B">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 热拌沥青混合料应采用机械摊铺。摊铺机在开始受料前应在料斗内涂刷少量防止粘料用的柴油。摊铺机自动找平时，中面层、下面层宜采用一侧钢丝绳引导的高程控制方式。表面层宜采用摊铺层前后保持相同高差的雪撬式摊铺厚度控制方式。经摊铺机初步压实的摊铺层应符合平整度、横坡的规定要求。</w:t>
      </w:r>
    </w:p>
    <w:p w14:paraId="2246F79E">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 沥青砼的摊铺温度应符合规范热拌沥青混合料施工温度的要求，并根据沥青标号、气温、摊铺厚度选用。当气温低于5℃时，不宜摊铺热拌沥青混合料。</w:t>
      </w:r>
    </w:p>
    <w:p w14:paraId="33B47E1D">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 沥青混合料必须缓慢、均匀、连续不间断地摊铺。摊铺过程中不得随意变换速度或中途停顿。摊铺速度应符合2~6m/min的要求。</w:t>
      </w:r>
    </w:p>
    <w:p w14:paraId="462C4CB5">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 用机械摊铺的混合料，不应用人工反复修整。在路面狭窄部分、平曲线半径较小的匝道或弯道加宽部分，以及小规模工程可用人工摊铺。</w:t>
      </w:r>
    </w:p>
    <w:p w14:paraId="7D10D38C">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9) 沥青混合料的压实按初压、复压、终压三个阶段进行。压实后的沥青混合料应符合平整度和压实度的要求。沥青混合料每层的辗压成型厚度不得大于10cm，超过</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10cm时应分层摊铺和压实。</w:t>
      </w:r>
    </w:p>
    <w:p w14:paraId="15712E60">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w:t>
      </w:r>
      <w:r>
        <w:rPr>
          <w:rFonts w:hint="eastAsia" w:ascii="宋体" w:hAnsi="宋体" w:eastAsia="宋体" w:cs="宋体"/>
          <w:b/>
          <w:color w:val="auto"/>
          <w:sz w:val="24"/>
          <w:szCs w:val="24"/>
          <w:lang w:val="en-US" w:eastAsia="zh-CN"/>
        </w:rPr>
        <w:t>4</w:t>
      </w:r>
      <w:r>
        <w:rPr>
          <w:rFonts w:hint="eastAsia" w:ascii="宋体" w:hAnsi="宋体" w:eastAsia="宋体" w:cs="宋体"/>
          <w:b/>
          <w:color w:val="auto"/>
          <w:sz w:val="24"/>
          <w:szCs w:val="24"/>
          <w:lang w:eastAsia="zh-CN"/>
        </w:rPr>
        <w:t xml:space="preserve"> 道路中修工程须严格按照有关施工技术规范要求执行，其质量标准须满足上海市标准《公路工程施工质量验收标准》（DG/TJ08-</w:t>
      </w:r>
      <w:r>
        <w:rPr>
          <w:rFonts w:hint="eastAsia" w:ascii="宋体" w:hAnsi="宋体" w:eastAsia="宋体" w:cs="宋体"/>
          <w:b/>
          <w:color w:val="auto"/>
          <w:sz w:val="24"/>
          <w:szCs w:val="24"/>
          <w:lang w:val="en-US" w:eastAsia="zh-CN"/>
        </w:rPr>
        <w:t>119</w:t>
      </w:r>
      <w:r>
        <w:rPr>
          <w:rFonts w:hint="eastAsia" w:ascii="宋体" w:hAnsi="宋体" w:eastAsia="宋体" w:cs="宋体"/>
          <w:b/>
          <w:color w:val="auto"/>
          <w:sz w:val="24"/>
          <w:szCs w:val="24"/>
          <w:lang w:eastAsia="zh-CN"/>
        </w:rPr>
        <w:t>-201</w:t>
      </w:r>
      <w:r>
        <w:rPr>
          <w:rFonts w:hint="eastAsia" w:ascii="宋体" w:hAnsi="宋体" w:eastAsia="宋体" w:cs="宋体"/>
          <w:b/>
          <w:color w:val="auto"/>
          <w:sz w:val="24"/>
          <w:szCs w:val="24"/>
          <w:lang w:val="en-US" w:eastAsia="zh-CN"/>
        </w:rPr>
        <w:t>8</w:t>
      </w:r>
      <w:r>
        <w:rPr>
          <w:rFonts w:hint="eastAsia" w:ascii="宋体" w:hAnsi="宋体" w:eastAsia="宋体" w:cs="宋体"/>
          <w:b/>
          <w:color w:val="auto"/>
          <w:sz w:val="24"/>
          <w:szCs w:val="24"/>
          <w:lang w:eastAsia="zh-CN"/>
        </w:rPr>
        <w:t>）的有关规定。</w:t>
      </w:r>
    </w:p>
    <w:p w14:paraId="19257B2C">
      <w:pPr>
        <w:ind w:firstLine="48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14.1</w:t>
      </w:r>
      <w:r>
        <w:rPr>
          <w:rFonts w:hint="eastAsia" w:ascii="宋体" w:hAnsi="宋体" w:eastAsia="宋体" w:cs="宋体"/>
          <w:b/>
          <w:bCs/>
          <w:color w:val="auto"/>
          <w:sz w:val="24"/>
          <w:szCs w:val="24"/>
        </w:rPr>
        <w:t xml:space="preserve"> 主要技术指标和要求：</w:t>
      </w:r>
    </w:p>
    <w:p w14:paraId="4EAA3DD8">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车行道</w:t>
      </w:r>
      <w:r>
        <w:rPr>
          <w:rFonts w:hint="eastAsia" w:ascii="宋体" w:hAnsi="宋体" w:eastAsia="宋体" w:cs="宋体"/>
          <w:color w:val="auto"/>
          <w:sz w:val="24"/>
          <w:szCs w:val="24"/>
        </w:rPr>
        <w:t>水泥稳定碎石基层顶面的</w:t>
      </w:r>
      <w:r>
        <w:rPr>
          <w:rFonts w:hint="eastAsia" w:ascii="宋体" w:hAnsi="宋体" w:eastAsia="宋体" w:cs="宋体"/>
          <w:color w:val="auto"/>
          <w:sz w:val="24"/>
          <w:szCs w:val="24"/>
          <w:lang w:eastAsia="zh-CN"/>
        </w:rPr>
        <w:t>验收</w:t>
      </w:r>
      <w:r>
        <w:rPr>
          <w:rFonts w:hint="eastAsia" w:ascii="宋体" w:hAnsi="宋体" w:eastAsia="宋体" w:cs="宋体"/>
          <w:color w:val="auto"/>
          <w:sz w:val="24"/>
          <w:szCs w:val="24"/>
        </w:rPr>
        <w:t>弯沉值 Ls&lt;</w:t>
      </w:r>
      <w:r>
        <w:rPr>
          <w:rFonts w:hint="eastAsia" w:ascii="宋体" w:hAnsi="宋体" w:eastAsia="宋体" w:cs="宋体"/>
          <w:color w:val="auto"/>
          <w:sz w:val="24"/>
          <w:szCs w:val="24"/>
          <w:lang w:val="en-US" w:eastAsia="zh-CN"/>
        </w:rPr>
        <w:t>38.6</w:t>
      </w:r>
      <w:r>
        <w:rPr>
          <w:rFonts w:hint="eastAsia" w:ascii="宋体" w:hAnsi="宋体" w:eastAsia="宋体" w:cs="宋体"/>
          <w:color w:val="auto"/>
          <w:sz w:val="24"/>
          <w:szCs w:val="24"/>
        </w:rPr>
        <w:t>（0.01mm）</w:t>
      </w:r>
      <w:r>
        <w:rPr>
          <w:rFonts w:hint="eastAsia" w:ascii="宋体" w:hAnsi="宋体" w:eastAsia="宋体" w:cs="宋体"/>
          <w:color w:val="auto"/>
          <w:sz w:val="24"/>
          <w:szCs w:val="24"/>
          <w:lang w:eastAsia="zh-CN"/>
        </w:rPr>
        <w:t>；</w:t>
      </w:r>
    </w:p>
    <w:p w14:paraId="40C09BA0">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车行道</w:t>
      </w:r>
      <w:r>
        <w:rPr>
          <w:rFonts w:hint="eastAsia" w:ascii="宋体" w:hAnsi="宋体" w:eastAsia="宋体" w:cs="宋体"/>
          <w:color w:val="auto"/>
          <w:sz w:val="24"/>
          <w:szCs w:val="24"/>
        </w:rPr>
        <w:t>沥青面层的</w:t>
      </w:r>
      <w:r>
        <w:rPr>
          <w:rFonts w:hint="eastAsia" w:ascii="宋体" w:hAnsi="宋体" w:eastAsia="宋体" w:cs="宋体"/>
          <w:color w:val="auto"/>
          <w:sz w:val="24"/>
          <w:szCs w:val="24"/>
          <w:lang w:eastAsia="zh-CN"/>
        </w:rPr>
        <w:t>验收</w:t>
      </w:r>
      <w:r>
        <w:rPr>
          <w:rFonts w:hint="eastAsia" w:ascii="宋体" w:hAnsi="宋体" w:eastAsia="宋体" w:cs="宋体"/>
          <w:color w:val="auto"/>
          <w:sz w:val="24"/>
          <w:szCs w:val="24"/>
        </w:rPr>
        <w:t>弯沉值 Ls&lt;</w:t>
      </w:r>
      <w:r>
        <w:rPr>
          <w:rFonts w:hint="eastAsia" w:ascii="宋体" w:hAnsi="宋体" w:eastAsia="宋体" w:cs="宋体"/>
          <w:color w:val="auto"/>
          <w:sz w:val="24"/>
          <w:szCs w:val="24"/>
          <w:lang w:val="en-US" w:eastAsia="zh-CN"/>
        </w:rPr>
        <w:t>28.5</w:t>
      </w:r>
      <w:r>
        <w:rPr>
          <w:rFonts w:hint="eastAsia" w:ascii="宋体" w:hAnsi="宋体" w:eastAsia="宋体" w:cs="宋体"/>
          <w:color w:val="auto"/>
          <w:sz w:val="24"/>
          <w:szCs w:val="24"/>
        </w:rPr>
        <w:t>（0.01mm）</w:t>
      </w:r>
      <w:r>
        <w:rPr>
          <w:rFonts w:hint="eastAsia" w:ascii="宋体" w:hAnsi="宋体" w:eastAsia="宋体" w:cs="宋体"/>
          <w:color w:val="auto"/>
          <w:sz w:val="24"/>
          <w:szCs w:val="24"/>
          <w:lang w:eastAsia="zh-CN"/>
        </w:rPr>
        <w:t>；</w:t>
      </w:r>
    </w:p>
    <w:p w14:paraId="29B22E27">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3）水泥稳定碎石混合料7d浸水抗压强度≥3.5MPa；</w:t>
      </w:r>
    </w:p>
    <w:p w14:paraId="04A8183E">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 水泥稳定碎石基层顶面必须喷洒透层油，透层沥青材料选用慢裂的洒布型乳化沥青</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（PC-2），用油量为1.1L/m2</w:t>
      </w:r>
      <w:r>
        <w:rPr>
          <w:rFonts w:hint="eastAsia" w:ascii="宋体" w:hAnsi="宋体" w:eastAsia="宋体" w:cs="宋体"/>
          <w:color w:val="auto"/>
          <w:sz w:val="24"/>
          <w:szCs w:val="24"/>
          <w:lang w:eastAsia="zh-CN"/>
        </w:rPr>
        <w:t>；</w:t>
      </w:r>
    </w:p>
    <w:p w14:paraId="7BCCCE82">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 各层沥青砼面层间必须喷洒粘层油，粘层沥青材料选用快裂的洒布型乳化沥青</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（PC-3），用油量为0.</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L/m2</w:t>
      </w:r>
      <w:r>
        <w:rPr>
          <w:rFonts w:hint="eastAsia" w:ascii="宋体" w:hAnsi="宋体" w:eastAsia="宋体" w:cs="宋体"/>
          <w:color w:val="auto"/>
          <w:sz w:val="24"/>
          <w:szCs w:val="24"/>
          <w:lang w:eastAsia="zh-CN"/>
        </w:rPr>
        <w:t>；</w:t>
      </w:r>
    </w:p>
    <w:p w14:paraId="54B2CB9B">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路基压实应采用重型击实标准，挖方路基最小压实度9</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14:paraId="1FFBF3FE">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7）碎石垫层压实度</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95%，水泥稳定碎石压实度</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98%，沥青面层SMA-13C(改性)压实度</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98%，AC-25C压实度</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96%。</w:t>
      </w:r>
    </w:p>
    <w:p w14:paraId="3BA0445A">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8）沥青路面平整度：IRI≤2.5(m/km)；最大间隙h≤2.5(mm)</w:t>
      </w:r>
      <w:r>
        <w:rPr>
          <w:rFonts w:hint="eastAsia" w:ascii="宋体" w:hAnsi="宋体" w:eastAsia="宋体" w:cs="宋体"/>
          <w:color w:val="auto"/>
          <w:sz w:val="24"/>
          <w:szCs w:val="24"/>
          <w:lang w:eastAsia="zh-CN"/>
        </w:rPr>
        <w:t>。</w:t>
      </w:r>
    </w:p>
    <w:p w14:paraId="0050AB1A">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沥青上面层</w:t>
      </w:r>
      <w:r>
        <w:rPr>
          <w:rFonts w:hint="eastAsia" w:ascii="宋体" w:hAnsi="宋体" w:eastAsia="宋体" w:cs="宋体"/>
          <w:color w:val="auto"/>
          <w:sz w:val="24"/>
          <w:szCs w:val="24"/>
          <w:lang w:val="en-US" w:eastAsia="zh-CN"/>
        </w:rPr>
        <w:t>SMA混合料</w:t>
      </w:r>
      <w:r>
        <w:rPr>
          <w:rFonts w:hint="eastAsia" w:ascii="宋体" w:hAnsi="宋体" w:eastAsia="宋体" w:cs="宋体"/>
          <w:color w:val="auto"/>
          <w:sz w:val="24"/>
          <w:szCs w:val="24"/>
        </w:rPr>
        <w:t>渗水系数≤</w:t>
      </w:r>
      <w:r>
        <w:rPr>
          <w:rFonts w:hint="eastAsia" w:ascii="宋体" w:hAnsi="宋体" w:eastAsia="宋体" w:cs="宋体"/>
          <w:color w:val="auto"/>
          <w:sz w:val="24"/>
          <w:szCs w:val="24"/>
          <w:lang w:val="en-US" w:eastAsia="zh-CN"/>
        </w:rPr>
        <w:t>60</w:t>
      </w:r>
      <w:r>
        <w:rPr>
          <w:rFonts w:hint="eastAsia" w:ascii="宋体" w:hAnsi="宋体" w:eastAsia="宋体" w:cs="宋体"/>
          <w:color w:val="auto"/>
          <w:sz w:val="24"/>
          <w:szCs w:val="24"/>
        </w:rPr>
        <w:t>ml/min</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沥青下面层</w:t>
      </w:r>
      <w:r>
        <w:rPr>
          <w:rFonts w:hint="eastAsia" w:ascii="宋体" w:hAnsi="宋体" w:eastAsia="宋体" w:cs="宋体"/>
          <w:color w:val="auto"/>
          <w:sz w:val="24"/>
          <w:szCs w:val="24"/>
          <w:lang w:eastAsia="zh-CN"/>
        </w:rPr>
        <w:t>密级配混合料</w:t>
      </w:r>
      <w:r>
        <w:rPr>
          <w:rFonts w:hint="eastAsia" w:ascii="宋体" w:hAnsi="宋体" w:eastAsia="宋体" w:cs="宋体"/>
          <w:color w:val="auto"/>
          <w:sz w:val="24"/>
          <w:szCs w:val="24"/>
        </w:rPr>
        <w:t>渗水系数≤</w:t>
      </w:r>
      <w:r>
        <w:rPr>
          <w:rFonts w:hint="eastAsia" w:ascii="宋体" w:hAnsi="宋体" w:eastAsia="宋体" w:cs="宋体"/>
          <w:color w:val="auto"/>
          <w:sz w:val="24"/>
          <w:szCs w:val="24"/>
          <w:lang w:val="en-US" w:eastAsia="zh-CN"/>
        </w:rPr>
        <w:t>80</w:t>
      </w:r>
      <w:r>
        <w:rPr>
          <w:rFonts w:hint="eastAsia" w:ascii="宋体" w:hAnsi="宋体" w:eastAsia="宋体" w:cs="宋体"/>
          <w:color w:val="auto"/>
          <w:sz w:val="24"/>
          <w:szCs w:val="24"/>
        </w:rPr>
        <w:t>ml/min</w:t>
      </w:r>
      <w:r>
        <w:rPr>
          <w:rFonts w:hint="eastAsia" w:ascii="宋体" w:hAnsi="宋体" w:eastAsia="宋体" w:cs="宋体"/>
          <w:color w:val="auto"/>
          <w:sz w:val="24"/>
          <w:szCs w:val="24"/>
          <w:lang w:eastAsia="zh-CN"/>
        </w:rPr>
        <w:t>。</w:t>
      </w:r>
    </w:p>
    <w:p w14:paraId="2C6AA2F2">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沥青面层抗滑检查指标要求：摩擦系数摆值BPN≥58，构造深度TD≥0.55mm</w:t>
      </w:r>
      <w:r>
        <w:rPr>
          <w:rFonts w:hint="eastAsia" w:ascii="宋体" w:hAnsi="宋体" w:eastAsia="宋体" w:cs="宋体"/>
          <w:color w:val="auto"/>
          <w:sz w:val="24"/>
          <w:szCs w:val="24"/>
          <w:lang w:eastAsia="zh-CN"/>
        </w:rPr>
        <w:t>。</w:t>
      </w:r>
    </w:p>
    <w:p w14:paraId="7DD7EEA6">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热拌沥青混合料动稳定度：</w:t>
      </w:r>
      <w:r>
        <w:rPr>
          <w:rFonts w:hint="eastAsia" w:ascii="宋体" w:hAnsi="宋体" w:eastAsia="宋体" w:cs="宋体"/>
          <w:color w:val="auto"/>
          <w:sz w:val="24"/>
          <w:szCs w:val="24"/>
          <w:lang w:eastAsia="zh-CN"/>
        </w:rPr>
        <w:t>改性</w:t>
      </w:r>
      <w:r>
        <w:rPr>
          <w:rFonts w:hint="eastAsia" w:ascii="宋体" w:hAnsi="宋体" w:eastAsia="宋体" w:cs="宋体"/>
          <w:color w:val="auto"/>
          <w:sz w:val="24"/>
          <w:szCs w:val="24"/>
          <w:lang w:val="en-US" w:eastAsia="zh-CN"/>
        </w:rPr>
        <w:t>SMA混合料</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3000（次/mm）</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普通沥青混合料</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00</w:t>
      </w:r>
      <w:r>
        <w:rPr>
          <w:rFonts w:hint="eastAsia" w:ascii="宋体" w:hAnsi="宋体" w:eastAsia="宋体" w:cs="宋体"/>
          <w:color w:val="auto"/>
          <w:sz w:val="24"/>
          <w:szCs w:val="24"/>
          <w:lang w:eastAsia="zh-CN"/>
        </w:rPr>
        <w:t>（次</w:t>
      </w:r>
      <w:r>
        <w:rPr>
          <w:rFonts w:hint="eastAsia" w:ascii="宋体" w:hAnsi="宋体" w:eastAsia="宋体" w:cs="宋体"/>
          <w:color w:val="auto"/>
          <w:sz w:val="24"/>
          <w:szCs w:val="24"/>
          <w:lang w:val="en-US" w:eastAsia="zh-CN"/>
        </w:rPr>
        <w:t>/mm</w:t>
      </w:r>
      <w:r>
        <w:rPr>
          <w:rFonts w:hint="eastAsia" w:ascii="宋体" w:hAnsi="宋体" w:eastAsia="宋体" w:cs="宋体"/>
          <w:color w:val="auto"/>
          <w:sz w:val="24"/>
          <w:szCs w:val="24"/>
          <w:lang w:eastAsia="zh-CN"/>
        </w:rPr>
        <w:t>）。</w:t>
      </w:r>
    </w:p>
    <w:p w14:paraId="1C61742B">
      <w:pPr>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沥青混凝土冻融劈裂强度比普通沥青混合料≥75%，改性沥青混合料≥80%；低温弯曲试验破坏应变：普通沥青≥2000；改性沥青≥2500</w:t>
      </w:r>
      <w:r>
        <w:rPr>
          <w:rFonts w:hint="eastAsia" w:ascii="宋体" w:hAnsi="宋体" w:eastAsia="宋体" w:cs="宋体"/>
          <w:color w:val="auto"/>
          <w:sz w:val="24"/>
          <w:szCs w:val="24"/>
          <w:lang w:eastAsia="zh-CN"/>
        </w:rPr>
        <w:t>。</w:t>
      </w:r>
    </w:p>
    <w:p w14:paraId="0AD933D2">
      <w:pPr>
        <w:keepNext w:val="0"/>
        <w:keepLines w:val="0"/>
        <w:pageBreakBefore w:val="0"/>
        <w:widowControl w:val="0"/>
        <w:kinsoku/>
        <w:wordWrap w:val="0"/>
        <w:overflowPunct/>
        <w:topLinePunct w:val="0"/>
        <w:autoSpaceDE/>
        <w:autoSpaceDN/>
        <w:bidi w:val="0"/>
        <w:adjustRightInd/>
        <w:snapToGrid/>
        <w:ind w:firstLine="482"/>
        <w:textAlignment w:val="auto"/>
        <w:outlineLvl w:val="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15 对项目批复意见的执行情况</w:t>
      </w:r>
    </w:p>
    <w:p w14:paraId="54F4275A">
      <w:pPr>
        <w:pStyle w:val="29"/>
        <w:keepNext w:val="0"/>
        <w:keepLines w:val="0"/>
        <w:pageBreakBefore w:val="0"/>
        <w:widowControl w:val="0"/>
        <w:kinsoku/>
        <w:wordWrap w:val="0"/>
        <w:overflowPunct/>
        <w:topLinePunct w:val="0"/>
        <w:autoSpaceDE/>
        <w:autoSpaceDN/>
        <w:bidi w:val="0"/>
        <w:adjustRightInd/>
        <w:snapToGrid/>
        <w:ind w:left="482"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本工程于2025.4.2获上海市松江区交通委员会《区交通委关于新浜镇上虞路（红牡丹路-戚家圩河桥）中修工程可行性研究报告（初步设计深度）的批复》（沪松交  [2025]32号）。本道路施工图按照批复内容及审核意见进行编制。施工图根据工可（初设深度）评审报告专家意见进行优化，详见评审报告专家评审意见及回复。</w:t>
      </w:r>
    </w:p>
    <w:sectPr>
      <w:headerReference r:id="rId6" w:type="first"/>
      <w:footerReference r:id="rId8" w:type="first"/>
      <w:headerReference r:id="rId5" w:type="even"/>
      <w:footerReference r:id="rId7" w:type="even"/>
      <w:pgSz w:w="23814" w:h="16839" w:orient="landscape"/>
      <w:pgMar w:top="1440" w:right="1800" w:bottom="1440" w:left="1800" w:header="851" w:footer="992" w:gutter="0"/>
      <w:pgBorders>
        <w:top w:val="none" w:sz="0" w:space="0"/>
        <w:left w:val="none" w:sz="0" w:space="0"/>
        <w:bottom w:val="none" w:sz="0" w:space="0"/>
        <w:right w:val="none" w:sz="0" w:space="0"/>
      </w:pgBorders>
      <w:cols w:space="144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姚体">
    <w:altName w:val="宋体"/>
    <w:panose1 w:val="02010601030101010101"/>
    <w:charset w:val="86"/>
    <w:family w:val="auto"/>
    <w:pitch w:val="default"/>
    <w:sig w:usb0="00000000" w:usb1="00000000" w:usb2="00000010" w:usb3="00000000" w:csb0="00040000" w:csb1="00000000"/>
  </w:font>
  <w:font w:name="SJQY">
    <w:panose1 w:val="02010600030101010101"/>
    <w:charset w:val="86"/>
    <w:family w:val="auto"/>
    <w:pitch w:val="default"/>
    <w:sig w:usb0="00000003" w:usb1="080E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32227">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715AF">
    <w:pPr>
      <w:pStyle w:val="1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FF1FA">
    <w:pPr>
      <w:pStyle w:val="1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D1A50">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5B68B7"/>
    <w:multiLevelType w:val="singleLevel"/>
    <w:tmpl w:val="D65B68B7"/>
    <w:lvl w:ilvl="0" w:tentative="0">
      <w:start w:val="1"/>
      <w:numFmt w:val="decimal"/>
      <w:suff w:val="space"/>
      <w:lvlText w:val="(%1)"/>
      <w:lvlJc w:val="left"/>
    </w:lvl>
  </w:abstractNum>
  <w:abstractNum w:abstractNumId="1">
    <w:nsid w:val="E3AA049A"/>
    <w:multiLevelType w:val="singleLevel"/>
    <w:tmpl w:val="E3AA049A"/>
    <w:lvl w:ilvl="0" w:tentative="0">
      <w:start w:val="1"/>
      <w:numFmt w:val="decimal"/>
      <w:suff w:val="space"/>
      <w:lvlText w:val="(%1)"/>
      <w:lvlJc w:val="left"/>
    </w:lvl>
  </w:abstractNum>
  <w:abstractNum w:abstractNumId="2">
    <w:nsid w:val="FF917578"/>
    <w:multiLevelType w:val="singleLevel"/>
    <w:tmpl w:val="FF917578"/>
    <w:lvl w:ilvl="0" w:tentative="0">
      <w:start w:val="1"/>
      <w:numFmt w:val="decimal"/>
      <w:suff w:val="space"/>
      <w:lvlText w:val="(%1)"/>
      <w:lvlJc w:val="left"/>
    </w:lvl>
  </w:abstractNum>
  <w:abstractNum w:abstractNumId="3">
    <w:nsid w:val="0000000D"/>
    <w:multiLevelType w:val="multilevel"/>
    <w:tmpl w:val="0000000D"/>
    <w:lvl w:ilvl="0" w:tentative="0">
      <w:start w:val="1"/>
      <w:numFmt w:val="chineseCountingThousand"/>
      <w:suff w:val="space"/>
      <w:lvlText w:val="第%1章"/>
      <w:lvlJc w:val="center"/>
      <w:pPr>
        <w:ind w:left="0" w:firstLine="0"/>
      </w:pPr>
      <w:rPr>
        <w:rFonts w:hint="eastAsia"/>
        <w:b/>
        <w:sz w:val="30"/>
        <w:szCs w:val="30"/>
      </w:rPr>
    </w:lvl>
    <w:lvl w:ilvl="1" w:tentative="0">
      <w:start w:val="1"/>
      <w:numFmt w:val="chineseCountingThousand"/>
      <w:suff w:val="nothing"/>
      <w:lvlText w:val="%2、"/>
      <w:lvlJc w:val="left"/>
      <w:pPr>
        <w:ind w:left="720" w:firstLine="0"/>
      </w:pPr>
      <w:rPr>
        <w:rFonts w:hint="eastAsia" w:ascii="宋体" w:hAnsi="宋体" w:eastAsia="宋体"/>
        <w:b/>
        <w:bCs/>
        <w:i w:val="0"/>
        <w:iCs w:val="0"/>
        <w:caps w:val="0"/>
        <w:smallCaps w:val="0"/>
        <w:strike w:val="0"/>
        <w:dstrike w:val="0"/>
        <w:color w:val="auto"/>
        <w:spacing w:val="0"/>
        <w:w w:val="100"/>
        <w:kern w:val="2"/>
        <w:position w:val="0"/>
        <w:sz w:val="28"/>
        <w:u w:val="none"/>
      </w:rPr>
    </w:lvl>
    <w:lvl w:ilvl="2" w:tentative="0">
      <w:start w:val="1"/>
      <w:numFmt w:val="decimal"/>
      <w:suff w:val="space"/>
      <w:lvlText w:val="附表%3"/>
      <w:lvlJc w:val="left"/>
      <w:pPr>
        <w:ind w:left="0" w:firstLine="0"/>
      </w:pPr>
      <w:rPr>
        <w:rFonts w:hint="eastAsia"/>
        <w:b/>
        <w:sz w:val="24"/>
        <w:szCs w:val="24"/>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pStyle w:val="6"/>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02D267C8"/>
    <w:multiLevelType w:val="multilevel"/>
    <w:tmpl w:val="02D267C8"/>
    <w:lvl w:ilvl="0" w:tentative="0">
      <w:start w:val="1"/>
      <w:numFmt w:val="decimal"/>
      <w:pStyle w:val="57"/>
      <w:lvlText w:val="%1. "/>
      <w:lvlJc w:val="left"/>
      <w:pPr>
        <w:ind w:left="420" w:hanging="420"/>
      </w:pPr>
      <w:rPr>
        <w:rFonts w:hint="eastAsia" w:ascii="方正姚体" w:eastAsia="方正姚体"/>
        <w:b/>
        <w:i w:val="0"/>
        <w:sz w:val="28"/>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92B6D1C"/>
    <w:multiLevelType w:val="multilevel"/>
    <w:tmpl w:val="092B6D1C"/>
    <w:lvl w:ilvl="0" w:tentative="0">
      <w:start w:val="1"/>
      <w:numFmt w:val="decimal"/>
      <w:lvlText w:val="%1"/>
      <w:lvlJc w:val="left"/>
      <w:pPr>
        <w:ind w:left="425" w:hanging="425"/>
      </w:pPr>
      <w:rPr>
        <w:rFonts w:hint="eastAsia"/>
      </w:rPr>
    </w:lvl>
    <w:lvl w:ilvl="1" w:tentative="0">
      <w:start w:val="1"/>
      <w:numFmt w:val="decimal"/>
      <w:pStyle w:val="78"/>
      <w:suff w:val="space"/>
      <w:lvlText w:val="%1.%2"/>
      <w:lvlJc w:val="left"/>
      <w:pPr>
        <w:ind w:left="851" w:hanging="851"/>
      </w:pPr>
      <w:rPr>
        <w:rFonts w:hint="eastAsia"/>
      </w:rPr>
    </w:lvl>
    <w:lvl w:ilvl="2" w:tentative="0">
      <w:start w:val="1"/>
      <w:numFmt w:val="decimal"/>
      <w:pStyle w:val="77"/>
      <w:suff w:val="space"/>
      <w:lvlText w:val="%1.%2.%3"/>
      <w:lvlJc w:val="left"/>
      <w:pPr>
        <w:ind w:left="1276" w:hanging="1276"/>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56AD02FB"/>
    <w:multiLevelType w:val="multilevel"/>
    <w:tmpl w:val="56AD02FB"/>
    <w:lvl w:ilvl="0" w:tentative="0">
      <w:start w:val="1"/>
      <w:numFmt w:val="chineseCountingThousand"/>
      <w:pStyle w:val="3"/>
      <w:suff w:val="nothing"/>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decimal"/>
      <w:lvlText w:val="%3."/>
      <w:lvlJc w:val="left"/>
      <w:pPr>
        <w:tabs>
          <w:tab w:val="left" w:pos="1080"/>
        </w:tabs>
        <w:ind w:left="1080" w:hanging="240"/>
      </w:pPr>
      <w:rPr>
        <w:rFonts w:hint="default"/>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616D4BB4"/>
    <w:multiLevelType w:val="multilevel"/>
    <w:tmpl w:val="616D4BB4"/>
    <w:lvl w:ilvl="0" w:tentative="0">
      <w:start w:val="1"/>
      <w:numFmt w:val="japaneseCounting"/>
      <w:pStyle w:val="2"/>
      <w:lvlText w:val="%1、"/>
      <w:lvlJc w:val="left"/>
      <w:pPr>
        <w:ind w:left="7083" w:hanging="420"/>
      </w:pPr>
      <w:rPr>
        <w:rFonts w:hint="default" w:cs="Times New Roman"/>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6"/>
  </w:num>
  <w:num w:numId="3">
    <w:abstractNumId w:val="3"/>
  </w:num>
  <w:num w:numId="4">
    <w:abstractNumId w:val="4"/>
  </w:num>
  <w:num w:numId="5">
    <w:abstractNumId w:val="5"/>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jMTQwODRkZGEzOWIyYTkzOGFhOGFmN2UxOTliMzUifQ=="/>
  </w:docVars>
  <w:rsids>
    <w:rsidRoot w:val="006542AC"/>
    <w:rsid w:val="000013A4"/>
    <w:rsid w:val="000017BF"/>
    <w:rsid w:val="00002367"/>
    <w:rsid w:val="0000250F"/>
    <w:rsid w:val="00003971"/>
    <w:rsid w:val="00003F0B"/>
    <w:rsid w:val="00003F4B"/>
    <w:rsid w:val="00004F77"/>
    <w:rsid w:val="00005003"/>
    <w:rsid w:val="00006425"/>
    <w:rsid w:val="0000659D"/>
    <w:rsid w:val="000109BB"/>
    <w:rsid w:val="00010BC7"/>
    <w:rsid w:val="00011041"/>
    <w:rsid w:val="000112B5"/>
    <w:rsid w:val="00011A0A"/>
    <w:rsid w:val="00011B04"/>
    <w:rsid w:val="0001200C"/>
    <w:rsid w:val="000120C3"/>
    <w:rsid w:val="000124AD"/>
    <w:rsid w:val="000134F4"/>
    <w:rsid w:val="000145BF"/>
    <w:rsid w:val="00014BE3"/>
    <w:rsid w:val="0001607B"/>
    <w:rsid w:val="000162D8"/>
    <w:rsid w:val="00016713"/>
    <w:rsid w:val="00017C15"/>
    <w:rsid w:val="00022229"/>
    <w:rsid w:val="0002359E"/>
    <w:rsid w:val="0002359F"/>
    <w:rsid w:val="000235FA"/>
    <w:rsid w:val="00023A3D"/>
    <w:rsid w:val="000245F7"/>
    <w:rsid w:val="000247D2"/>
    <w:rsid w:val="000276FA"/>
    <w:rsid w:val="00027975"/>
    <w:rsid w:val="000306FA"/>
    <w:rsid w:val="00032BA9"/>
    <w:rsid w:val="00032E55"/>
    <w:rsid w:val="00033928"/>
    <w:rsid w:val="00033B7D"/>
    <w:rsid w:val="000345E6"/>
    <w:rsid w:val="00034FA4"/>
    <w:rsid w:val="0003579A"/>
    <w:rsid w:val="0003589F"/>
    <w:rsid w:val="00035CDB"/>
    <w:rsid w:val="000368DC"/>
    <w:rsid w:val="00037488"/>
    <w:rsid w:val="000377F1"/>
    <w:rsid w:val="00037C19"/>
    <w:rsid w:val="00040FE5"/>
    <w:rsid w:val="000410F2"/>
    <w:rsid w:val="000414A6"/>
    <w:rsid w:val="0004239B"/>
    <w:rsid w:val="0004262E"/>
    <w:rsid w:val="000434C9"/>
    <w:rsid w:val="00043C3B"/>
    <w:rsid w:val="000443AB"/>
    <w:rsid w:val="000447D3"/>
    <w:rsid w:val="000447F9"/>
    <w:rsid w:val="0004496E"/>
    <w:rsid w:val="00045E74"/>
    <w:rsid w:val="00046108"/>
    <w:rsid w:val="00046D90"/>
    <w:rsid w:val="00047B05"/>
    <w:rsid w:val="000536C1"/>
    <w:rsid w:val="000538AC"/>
    <w:rsid w:val="00053C01"/>
    <w:rsid w:val="00054156"/>
    <w:rsid w:val="00054313"/>
    <w:rsid w:val="000546F1"/>
    <w:rsid w:val="00054E27"/>
    <w:rsid w:val="00055C9F"/>
    <w:rsid w:val="000567F9"/>
    <w:rsid w:val="00056B81"/>
    <w:rsid w:val="00056C1D"/>
    <w:rsid w:val="00060116"/>
    <w:rsid w:val="0006065B"/>
    <w:rsid w:val="00061BC7"/>
    <w:rsid w:val="00063D5D"/>
    <w:rsid w:val="000644A3"/>
    <w:rsid w:val="000647FB"/>
    <w:rsid w:val="000662D7"/>
    <w:rsid w:val="00066542"/>
    <w:rsid w:val="00066A8B"/>
    <w:rsid w:val="0006748B"/>
    <w:rsid w:val="00067CBA"/>
    <w:rsid w:val="0007003F"/>
    <w:rsid w:val="00070C33"/>
    <w:rsid w:val="00071743"/>
    <w:rsid w:val="00071BC4"/>
    <w:rsid w:val="00072A35"/>
    <w:rsid w:val="00072EC6"/>
    <w:rsid w:val="00073D07"/>
    <w:rsid w:val="00073E3C"/>
    <w:rsid w:val="00073FBB"/>
    <w:rsid w:val="00074371"/>
    <w:rsid w:val="000750EC"/>
    <w:rsid w:val="0007535C"/>
    <w:rsid w:val="00075698"/>
    <w:rsid w:val="000758DE"/>
    <w:rsid w:val="0007677E"/>
    <w:rsid w:val="000767D0"/>
    <w:rsid w:val="00076BB5"/>
    <w:rsid w:val="00077863"/>
    <w:rsid w:val="00077ADC"/>
    <w:rsid w:val="000810E3"/>
    <w:rsid w:val="000815A1"/>
    <w:rsid w:val="00082437"/>
    <w:rsid w:val="000824AA"/>
    <w:rsid w:val="00082845"/>
    <w:rsid w:val="000829B9"/>
    <w:rsid w:val="00083C4A"/>
    <w:rsid w:val="00083E8C"/>
    <w:rsid w:val="000847C4"/>
    <w:rsid w:val="00084AC4"/>
    <w:rsid w:val="00084B5C"/>
    <w:rsid w:val="000864A5"/>
    <w:rsid w:val="0008697A"/>
    <w:rsid w:val="000869F4"/>
    <w:rsid w:val="0008766D"/>
    <w:rsid w:val="000903F2"/>
    <w:rsid w:val="000911A8"/>
    <w:rsid w:val="00091E74"/>
    <w:rsid w:val="000926FC"/>
    <w:rsid w:val="00092C6F"/>
    <w:rsid w:val="00092E7A"/>
    <w:rsid w:val="00093F5A"/>
    <w:rsid w:val="000940FB"/>
    <w:rsid w:val="000942C4"/>
    <w:rsid w:val="0009652F"/>
    <w:rsid w:val="0009658A"/>
    <w:rsid w:val="00096C4C"/>
    <w:rsid w:val="00096C55"/>
    <w:rsid w:val="00097AD4"/>
    <w:rsid w:val="000A19EE"/>
    <w:rsid w:val="000A33DA"/>
    <w:rsid w:val="000A4403"/>
    <w:rsid w:val="000A4756"/>
    <w:rsid w:val="000A4795"/>
    <w:rsid w:val="000A4E6C"/>
    <w:rsid w:val="000A56DE"/>
    <w:rsid w:val="000A5B2D"/>
    <w:rsid w:val="000A6B3A"/>
    <w:rsid w:val="000A740A"/>
    <w:rsid w:val="000A798A"/>
    <w:rsid w:val="000A7AB0"/>
    <w:rsid w:val="000B192E"/>
    <w:rsid w:val="000B412A"/>
    <w:rsid w:val="000B45D4"/>
    <w:rsid w:val="000B45DB"/>
    <w:rsid w:val="000B46CE"/>
    <w:rsid w:val="000B4AC8"/>
    <w:rsid w:val="000B50C4"/>
    <w:rsid w:val="000B5DC5"/>
    <w:rsid w:val="000B5FC8"/>
    <w:rsid w:val="000B7479"/>
    <w:rsid w:val="000B74C9"/>
    <w:rsid w:val="000B7D65"/>
    <w:rsid w:val="000C0729"/>
    <w:rsid w:val="000C0D89"/>
    <w:rsid w:val="000C20B8"/>
    <w:rsid w:val="000C2A76"/>
    <w:rsid w:val="000C2ABB"/>
    <w:rsid w:val="000C303E"/>
    <w:rsid w:val="000C38F0"/>
    <w:rsid w:val="000C3CBB"/>
    <w:rsid w:val="000C5F50"/>
    <w:rsid w:val="000C616F"/>
    <w:rsid w:val="000C6332"/>
    <w:rsid w:val="000C673C"/>
    <w:rsid w:val="000D03E1"/>
    <w:rsid w:val="000D13C9"/>
    <w:rsid w:val="000D1F0E"/>
    <w:rsid w:val="000D2B30"/>
    <w:rsid w:val="000D2CB8"/>
    <w:rsid w:val="000D30DB"/>
    <w:rsid w:val="000D3A28"/>
    <w:rsid w:val="000D4247"/>
    <w:rsid w:val="000D5D0F"/>
    <w:rsid w:val="000D606F"/>
    <w:rsid w:val="000D6856"/>
    <w:rsid w:val="000D6A5E"/>
    <w:rsid w:val="000D6CCA"/>
    <w:rsid w:val="000D75C0"/>
    <w:rsid w:val="000D7623"/>
    <w:rsid w:val="000E0139"/>
    <w:rsid w:val="000E02F7"/>
    <w:rsid w:val="000E0867"/>
    <w:rsid w:val="000E1B40"/>
    <w:rsid w:val="000E1FE1"/>
    <w:rsid w:val="000E2136"/>
    <w:rsid w:val="000E310E"/>
    <w:rsid w:val="000E3BD0"/>
    <w:rsid w:val="000E4244"/>
    <w:rsid w:val="000E4E9A"/>
    <w:rsid w:val="000E4F87"/>
    <w:rsid w:val="000E5894"/>
    <w:rsid w:val="000E5C6B"/>
    <w:rsid w:val="000F0332"/>
    <w:rsid w:val="000F1F71"/>
    <w:rsid w:val="000F2F13"/>
    <w:rsid w:val="000F58D2"/>
    <w:rsid w:val="000F649F"/>
    <w:rsid w:val="000F6CB7"/>
    <w:rsid w:val="000F6D59"/>
    <w:rsid w:val="000F6F2E"/>
    <w:rsid w:val="0010050E"/>
    <w:rsid w:val="00100705"/>
    <w:rsid w:val="00100A8A"/>
    <w:rsid w:val="00100CA8"/>
    <w:rsid w:val="0010106C"/>
    <w:rsid w:val="00101B8B"/>
    <w:rsid w:val="00101BDF"/>
    <w:rsid w:val="00103C84"/>
    <w:rsid w:val="00104700"/>
    <w:rsid w:val="0010491C"/>
    <w:rsid w:val="00105D0F"/>
    <w:rsid w:val="0010634A"/>
    <w:rsid w:val="00106706"/>
    <w:rsid w:val="00106E14"/>
    <w:rsid w:val="00110C79"/>
    <w:rsid w:val="00112AA0"/>
    <w:rsid w:val="00112B18"/>
    <w:rsid w:val="00113782"/>
    <w:rsid w:val="00114B80"/>
    <w:rsid w:val="00115FF2"/>
    <w:rsid w:val="00116055"/>
    <w:rsid w:val="00116786"/>
    <w:rsid w:val="001177DE"/>
    <w:rsid w:val="00117899"/>
    <w:rsid w:val="001204E5"/>
    <w:rsid w:val="0012168C"/>
    <w:rsid w:val="00121E08"/>
    <w:rsid w:val="00121F51"/>
    <w:rsid w:val="00122D3F"/>
    <w:rsid w:val="00123F3B"/>
    <w:rsid w:val="00125F85"/>
    <w:rsid w:val="001269EE"/>
    <w:rsid w:val="00130F3B"/>
    <w:rsid w:val="0013141A"/>
    <w:rsid w:val="001320CD"/>
    <w:rsid w:val="00133E63"/>
    <w:rsid w:val="001344BD"/>
    <w:rsid w:val="00134951"/>
    <w:rsid w:val="00136840"/>
    <w:rsid w:val="00136A7C"/>
    <w:rsid w:val="00137BDD"/>
    <w:rsid w:val="001400AC"/>
    <w:rsid w:val="00140E31"/>
    <w:rsid w:val="00141725"/>
    <w:rsid w:val="00141B4D"/>
    <w:rsid w:val="0014215F"/>
    <w:rsid w:val="00142F16"/>
    <w:rsid w:val="00142F87"/>
    <w:rsid w:val="001431B0"/>
    <w:rsid w:val="001444B7"/>
    <w:rsid w:val="00146440"/>
    <w:rsid w:val="0014664F"/>
    <w:rsid w:val="0014676F"/>
    <w:rsid w:val="00146AE8"/>
    <w:rsid w:val="0014729F"/>
    <w:rsid w:val="00147703"/>
    <w:rsid w:val="001509EC"/>
    <w:rsid w:val="001511B4"/>
    <w:rsid w:val="001512FA"/>
    <w:rsid w:val="0015212D"/>
    <w:rsid w:val="001524AE"/>
    <w:rsid w:val="00154431"/>
    <w:rsid w:val="00155725"/>
    <w:rsid w:val="00155C27"/>
    <w:rsid w:val="00155D7C"/>
    <w:rsid w:val="00156347"/>
    <w:rsid w:val="001566AA"/>
    <w:rsid w:val="0015699C"/>
    <w:rsid w:val="0015700C"/>
    <w:rsid w:val="00157692"/>
    <w:rsid w:val="00160B63"/>
    <w:rsid w:val="00160D6B"/>
    <w:rsid w:val="001617B7"/>
    <w:rsid w:val="00161E0B"/>
    <w:rsid w:val="0016243C"/>
    <w:rsid w:val="001629DC"/>
    <w:rsid w:val="001635EF"/>
    <w:rsid w:val="00163EAD"/>
    <w:rsid w:val="001650BC"/>
    <w:rsid w:val="0016536A"/>
    <w:rsid w:val="00166412"/>
    <w:rsid w:val="00166753"/>
    <w:rsid w:val="0016749A"/>
    <w:rsid w:val="001703A7"/>
    <w:rsid w:val="00171C67"/>
    <w:rsid w:val="00172908"/>
    <w:rsid w:val="00172D58"/>
    <w:rsid w:val="00173009"/>
    <w:rsid w:val="00174A02"/>
    <w:rsid w:val="00174D43"/>
    <w:rsid w:val="00174DE0"/>
    <w:rsid w:val="0017502C"/>
    <w:rsid w:val="001757E5"/>
    <w:rsid w:val="001757EA"/>
    <w:rsid w:val="001761EF"/>
    <w:rsid w:val="00176522"/>
    <w:rsid w:val="001776FE"/>
    <w:rsid w:val="00180093"/>
    <w:rsid w:val="001800E6"/>
    <w:rsid w:val="00180398"/>
    <w:rsid w:val="001806E2"/>
    <w:rsid w:val="00181822"/>
    <w:rsid w:val="00182176"/>
    <w:rsid w:val="0018258F"/>
    <w:rsid w:val="0018289E"/>
    <w:rsid w:val="001837E5"/>
    <w:rsid w:val="001848C4"/>
    <w:rsid w:val="00186479"/>
    <w:rsid w:val="001867A9"/>
    <w:rsid w:val="00187FCE"/>
    <w:rsid w:val="00191F6A"/>
    <w:rsid w:val="00193563"/>
    <w:rsid w:val="00193B81"/>
    <w:rsid w:val="00194724"/>
    <w:rsid w:val="001956CA"/>
    <w:rsid w:val="00196322"/>
    <w:rsid w:val="001963D9"/>
    <w:rsid w:val="00196528"/>
    <w:rsid w:val="001A0568"/>
    <w:rsid w:val="001A13B7"/>
    <w:rsid w:val="001A1D8E"/>
    <w:rsid w:val="001A30B8"/>
    <w:rsid w:val="001A32A3"/>
    <w:rsid w:val="001A32DE"/>
    <w:rsid w:val="001A33CC"/>
    <w:rsid w:val="001A3A8A"/>
    <w:rsid w:val="001A464C"/>
    <w:rsid w:val="001A635B"/>
    <w:rsid w:val="001A6407"/>
    <w:rsid w:val="001A7386"/>
    <w:rsid w:val="001B088C"/>
    <w:rsid w:val="001B0B7E"/>
    <w:rsid w:val="001B1F95"/>
    <w:rsid w:val="001B222C"/>
    <w:rsid w:val="001B2D5D"/>
    <w:rsid w:val="001B2FBC"/>
    <w:rsid w:val="001B334E"/>
    <w:rsid w:val="001B459D"/>
    <w:rsid w:val="001B5106"/>
    <w:rsid w:val="001B67D4"/>
    <w:rsid w:val="001B72D6"/>
    <w:rsid w:val="001C02A2"/>
    <w:rsid w:val="001C06E7"/>
    <w:rsid w:val="001C0FDE"/>
    <w:rsid w:val="001C1488"/>
    <w:rsid w:val="001C1D69"/>
    <w:rsid w:val="001C28E6"/>
    <w:rsid w:val="001C327C"/>
    <w:rsid w:val="001C35D3"/>
    <w:rsid w:val="001C3918"/>
    <w:rsid w:val="001C42A1"/>
    <w:rsid w:val="001C46B5"/>
    <w:rsid w:val="001C5D3B"/>
    <w:rsid w:val="001C6145"/>
    <w:rsid w:val="001C62BA"/>
    <w:rsid w:val="001C6AAD"/>
    <w:rsid w:val="001C6B9F"/>
    <w:rsid w:val="001C71EB"/>
    <w:rsid w:val="001C7F54"/>
    <w:rsid w:val="001D04EB"/>
    <w:rsid w:val="001D0621"/>
    <w:rsid w:val="001D0841"/>
    <w:rsid w:val="001D08BD"/>
    <w:rsid w:val="001D1811"/>
    <w:rsid w:val="001D1CE2"/>
    <w:rsid w:val="001D2EB9"/>
    <w:rsid w:val="001D3F05"/>
    <w:rsid w:val="001D6280"/>
    <w:rsid w:val="001D666D"/>
    <w:rsid w:val="001D6F24"/>
    <w:rsid w:val="001D6F76"/>
    <w:rsid w:val="001D7461"/>
    <w:rsid w:val="001D7C07"/>
    <w:rsid w:val="001E0ED9"/>
    <w:rsid w:val="001E2127"/>
    <w:rsid w:val="001E24CA"/>
    <w:rsid w:val="001E2602"/>
    <w:rsid w:val="001E4483"/>
    <w:rsid w:val="001E4640"/>
    <w:rsid w:val="001E49E9"/>
    <w:rsid w:val="001E504F"/>
    <w:rsid w:val="001E640E"/>
    <w:rsid w:val="001E64D0"/>
    <w:rsid w:val="001E73AF"/>
    <w:rsid w:val="001E7B10"/>
    <w:rsid w:val="001F018D"/>
    <w:rsid w:val="001F0721"/>
    <w:rsid w:val="001F09A9"/>
    <w:rsid w:val="001F1344"/>
    <w:rsid w:val="001F1FB3"/>
    <w:rsid w:val="001F2164"/>
    <w:rsid w:val="001F24C4"/>
    <w:rsid w:val="001F3336"/>
    <w:rsid w:val="001F3A04"/>
    <w:rsid w:val="001F551A"/>
    <w:rsid w:val="001F5A42"/>
    <w:rsid w:val="001F7607"/>
    <w:rsid w:val="001F7858"/>
    <w:rsid w:val="001F78E9"/>
    <w:rsid w:val="00200621"/>
    <w:rsid w:val="00200AAB"/>
    <w:rsid w:val="00201237"/>
    <w:rsid w:val="002023CD"/>
    <w:rsid w:val="0020277A"/>
    <w:rsid w:val="0020294B"/>
    <w:rsid w:val="002032C1"/>
    <w:rsid w:val="00205254"/>
    <w:rsid w:val="00205616"/>
    <w:rsid w:val="002070F5"/>
    <w:rsid w:val="002074A7"/>
    <w:rsid w:val="00207AD6"/>
    <w:rsid w:val="002103D4"/>
    <w:rsid w:val="00210443"/>
    <w:rsid w:val="00210812"/>
    <w:rsid w:val="00210DF3"/>
    <w:rsid w:val="00212358"/>
    <w:rsid w:val="002138F1"/>
    <w:rsid w:val="00214037"/>
    <w:rsid w:val="00214ABB"/>
    <w:rsid w:val="00214E5F"/>
    <w:rsid w:val="00215390"/>
    <w:rsid w:val="0022155B"/>
    <w:rsid w:val="0022295B"/>
    <w:rsid w:val="002234ED"/>
    <w:rsid w:val="00223790"/>
    <w:rsid w:val="002239BC"/>
    <w:rsid w:val="00224C92"/>
    <w:rsid w:val="0022613D"/>
    <w:rsid w:val="00226454"/>
    <w:rsid w:val="00226A4D"/>
    <w:rsid w:val="00226D3A"/>
    <w:rsid w:val="002270F2"/>
    <w:rsid w:val="00227281"/>
    <w:rsid w:val="00227A67"/>
    <w:rsid w:val="002300AD"/>
    <w:rsid w:val="00230AFF"/>
    <w:rsid w:val="00230EDC"/>
    <w:rsid w:val="0023166C"/>
    <w:rsid w:val="0023169A"/>
    <w:rsid w:val="0023169F"/>
    <w:rsid w:val="00232D1C"/>
    <w:rsid w:val="002332DA"/>
    <w:rsid w:val="002332FA"/>
    <w:rsid w:val="0023368E"/>
    <w:rsid w:val="002341C5"/>
    <w:rsid w:val="00234458"/>
    <w:rsid w:val="0023519E"/>
    <w:rsid w:val="002359EE"/>
    <w:rsid w:val="00235F68"/>
    <w:rsid w:val="00236247"/>
    <w:rsid w:val="0023676A"/>
    <w:rsid w:val="00237F3A"/>
    <w:rsid w:val="002404C3"/>
    <w:rsid w:val="0024067C"/>
    <w:rsid w:val="0024084A"/>
    <w:rsid w:val="00240C78"/>
    <w:rsid w:val="00241C6D"/>
    <w:rsid w:val="00241E03"/>
    <w:rsid w:val="00243125"/>
    <w:rsid w:val="0024451C"/>
    <w:rsid w:val="002450B6"/>
    <w:rsid w:val="0024578D"/>
    <w:rsid w:val="00245EC7"/>
    <w:rsid w:val="002462FB"/>
    <w:rsid w:val="0024657C"/>
    <w:rsid w:val="002500A0"/>
    <w:rsid w:val="00251BFA"/>
    <w:rsid w:val="00252168"/>
    <w:rsid w:val="00252461"/>
    <w:rsid w:val="002524A1"/>
    <w:rsid w:val="002544B5"/>
    <w:rsid w:val="00254B7F"/>
    <w:rsid w:val="00255AA0"/>
    <w:rsid w:val="00255FB4"/>
    <w:rsid w:val="00256665"/>
    <w:rsid w:val="002567CE"/>
    <w:rsid w:val="0025714C"/>
    <w:rsid w:val="002572E2"/>
    <w:rsid w:val="002602BC"/>
    <w:rsid w:val="002608B4"/>
    <w:rsid w:val="00260F94"/>
    <w:rsid w:val="00261C19"/>
    <w:rsid w:val="00261F7B"/>
    <w:rsid w:val="00261FE1"/>
    <w:rsid w:val="0026220E"/>
    <w:rsid w:val="002622D0"/>
    <w:rsid w:val="00264889"/>
    <w:rsid w:val="00265692"/>
    <w:rsid w:val="002664B4"/>
    <w:rsid w:val="00266A16"/>
    <w:rsid w:val="00267666"/>
    <w:rsid w:val="00267EF4"/>
    <w:rsid w:val="00267FD6"/>
    <w:rsid w:val="002707E2"/>
    <w:rsid w:val="002714D8"/>
    <w:rsid w:val="00271F32"/>
    <w:rsid w:val="0027324E"/>
    <w:rsid w:val="0027371B"/>
    <w:rsid w:val="00275A4A"/>
    <w:rsid w:val="00275ED7"/>
    <w:rsid w:val="002763AA"/>
    <w:rsid w:val="00277CDC"/>
    <w:rsid w:val="00277E98"/>
    <w:rsid w:val="002800D3"/>
    <w:rsid w:val="0028077F"/>
    <w:rsid w:val="002809B8"/>
    <w:rsid w:val="00282947"/>
    <w:rsid w:val="00282F2F"/>
    <w:rsid w:val="00284202"/>
    <w:rsid w:val="00284D07"/>
    <w:rsid w:val="002854DE"/>
    <w:rsid w:val="00286071"/>
    <w:rsid w:val="002862A6"/>
    <w:rsid w:val="002865EF"/>
    <w:rsid w:val="00286A3B"/>
    <w:rsid w:val="00287813"/>
    <w:rsid w:val="00287821"/>
    <w:rsid w:val="00287859"/>
    <w:rsid w:val="002902DC"/>
    <w:rsid w:val="002906CF"/>
    <w:rsid w:val="0029086B"/>
    <w:rsid w:val="002918C9"/>
    <w:rsid w:val="0029254C"/>
    <w:rsid w:val="00296842"/>
    <w:rsid w:val="00296E18"/>
    <w:rsid w:val="00296F11"/>
    <w:rsid w:val="002A0F1C"/>
    <w:rsid w:val="002A1D2F"/>
    <w:rsid w:val="002A3594"/>
    <w:rsid w:val="002A3B5B"/>
    <w:rsid w:val="002A407C"/>
    <w:rsid w:val="002A45C7"/>
    <w:rsid w:val="002A4D1E"/>
    <w:rsid w:val="002A550E"/>
    <w:rsid w:val="002A5710"/>
    <w:rsid w:val="002A5D6D"/>
    <w:rsid w:val="002B0374"/>
    <w:rsid w:val="002B05DA"/>
    <w:rsid w:val="002B25C4"/>
    <w:rsid w:val="002B2F04"/>
    <w:rsid w:val="002B3091"/>
    <w:rsid w:val="002B3578"/>
    <w:rsid w:val="002B47DE"/>
    <w:rsid w:val="002B509F"/>
    <w:rsid w:val="002B50BE"/>
    <w:rsid w:val="002B66AE"/>
    <w:rsid w:val="002B726B"/>
    <w:rsid w:val="002C0A4C"/>
    <w:rsid w:val="002C192A"/>
    <w:rsid w:val="002C26DB"/>
    <w:rsid w:val="002C3D02"/>
    <w:rsid w:val="002C41D0"/>
    <w:rsid w:val="002C5056"/>
    <w:rsid w:val="002C53AB"/>
    <w:rsid w:val="002C59B1"/>
    <w:rsid w:val="002C5DEC"/>
    <w:rsid w:val="002C625B"/>
    <w:rsid w:val="002D005A"/>
    <w:rsid w:val="002D01A0"/>
    <w:rsid w:val="002D151D"/>
    <w:rsid w:val="002D1742"/>
    <w:rsid w:val="002D1841"/>
    <w:rsid w:val="002D1F31"/>
    <w:rsid w:val="002D2371"/>
    <w:rsid w:val="002D3666"/>
    <w:rsid w:val="002D3A2D"/>
    <w:rsid w:val="002D3A2F"/>
    <w:rsid w:val="002D3BA2"/>
    <w:rsid w:val="002D6436"/>
    <w:rsid w:val="002D70BA"/>
    <w:rsid w:val="002E0AF5"/>
    <w:rsid w:val="002E37E8"/>
    <w:rsid w:val="002E4010"/>
    <w:rsid w:val="002E48E6"/>
    <w:rsid w:val="002E4A17"/>
    <w:rsid w:val="002E5BFD"/>
    <w:rsid w:val="002E5E17"/>
    <w:rsid w:val="002E6248"/>
    <w:rsid w:val="002E69E0"/>
    <w:rsid w:val="002E6A92"/>
    <w:rsid w:val="002E706B"/>
    <w:rsid w:val="002E7E31"/>
    <w:rsid w:val="002F1A1C"/>
    <w:rsid w:val="002F1C37"/>
    <w:rsid w:val="002F3624"/>
    <w:rsid w:val="002F4777"/>
    <w:rsid w:val="002F4CE0"/>
    <w:rsid w:val="002F4FB5"/>
    <w:rsid w:val="002F5188"/>
    <w:rsid w:val="002F5B95"/>
    <w:rsid w:val="002F730D"/>
    <w:rsid w:val="002F77CD"/>
    <w:rsid w:val="00301545"/>
    <w:rsid w:val="00301BA6"/>
    <w:rsid w:val="003023E1"/>
    <w:rsid w:val="0030291A"/>
    <w:rsid w:val="00302AC3"/>
    <w:rsid w:val="00302BD0"/>
    <w:rsid w:val="00302EB6"/>
    <w:rsid w:val="0030385D"/>
    <w:rsid w:val="00303DDB"/>
    <w:rsid w:val="003042AA"/>
    <w:rsid w:val="00304F17"/>
    <w:rsid w:val="00305CB4"/>
    <w:rsid w:val="00306F8F"/>
    <w:rsid w:val="00306FA9"/>
    <w:rsid w:val="0031015B"/>
    <w:rsid w:val="00310916"/>
    <w:rsid w:val="00310BA8"/>
    <w:rsid w:val="0031134A"/>
    <w:rsid w:val="00312A5F"/>
    <w:rsid w:val="00312E1B"/>
    <w:rsid w:val="003131E0"/>
    <w:rsid w:val="00313456"/>
    <w:rsid w:val="00314778"/>
    <w:rsid w:val="00314CD6"/>
    <w:rsid w:val="00314DD4"/>
    <w:rsid w:val="003157D3"/>
    <w:rsid w:val="00316319"/>
    <w:rsid w:val="003165FB"/>
    <w:rsid w:val="00316F80"/>
    <w:rsid w:val="00317403"/>
    <w:rsid w:val="00317895"/>
    <w:rsid w:val="00317D90"/>
    <w:rsid w:val="00320FF9"/>
    <w:rsid w:val="00321DED"/>
    <w:rsid w:val="00321DF3"/>
    <w:rsid w:val="00323EB0"/>
    <w:rsid w:val="00324790"/>
    <w:rsid w:val="00324806"/>
    <w:rsid w:val="00325627"/>
    <w:rsid w:val="00327575"/>
    <w:rsid w:val="00327BA5"/>
    <w:rsid w:val="00330CCE"/>
    <w:rsid w:val="00331173"/>
    <w:rsid w:val="00331EBC"/>
    <w:rsid w:val="003331D5"/>
    <w:rsid w:val="00334077"/>
    <w:rsid w:val="00334778"/>
    <w:rsid w:val="003347A3"/>
    <w:rsid w:val="00335875"/>
    <w:rsid w:val="0033682E"/>
    <w:rsid w:val="003379BE"/>
    <w:rsid w:val="00337DA0"/>
    <w:rsid w:val="00340095"/>
    <w:rsid w:val="003404CA"/>
    <w:rsid w:val="003406DF"/>
    <w:rsid w:val="003406F2"/>
    <w:rsid w:val="003421B6"/>
    <w:rsid w:val="00342B1E"/>
    <w:rsid w:val="00342CEB"/>
    <w:rsid w:val="00343150"/>
    <w:rsid w:val="00343E8B"/>
    <w:rsid w:val="00344243"/>
    <w:rsid w:val="00344856"/>
    <w:rsid w:val="0034487F"/>
    <w:rsid w:val="0034488A"/>
    <w:rsid w:val="003449BA"/>
    <w:rsid w:val="00344DE8"/>
    <w:rsid w:val="00345A25"/>
    <w:rsid w:val="003462D4"/>
    <w:rsid w:val="0034684A"/>
    <w:rsid w:val="00346BD9"/>
    <w:rsid w:val="0035013A"/>
    <w:rsid w:val="00350610"/>
    <w:rsid w:val="00350DDF"/>
    <w:rsid w:val="00351146"/>
    <w:rsid w:val="00351568"/>
    <w:rsid w:val="003517F6"/>
    <w:rsid w:val="00351C0D"/>
    <w:rsid w:val="00351D82"/>
    <w:rsid w:val="003520F1"/>
    <w:rsid w:val="00352458"/>
    <w:rsid w:val="00352B77"/>
    <w:rsid w:val="00353A3F"/>
    <w:rsid w:val="00353C73"/>
    <w:rsid w:val="00355783"/>
    <w:rsid w:val="003563CF"/>
    <w:rsid w:val="00357D3D"/>
    <w:rsid w:val="00357E5A"/>
    <w:rsid w:val="00360E63"/>
    <w:rsid w:val="003623D6"/>
    <w:rsid w:val="00362A79"/>
    <w:rsid w:val="00362AA1"/>
    <w:rsid w:val="0036377D"/>
    <w:rsid w:val="0036391D"/>
    <w:rsid w:val="00364498"/>
    <w:rsid w:val="00364BB4"/>
    <w:rsid w:val="00365072"/>
    <w:rsid w:val="00365AB6"/>
    <w:rsid w:val="00365BCB"/>
    <w:rsid w:val="00365DD5"/>
    <w:rsid w:val="0036604D"/>
    <w:rsid w:val="00366548"/>
    <w:rsid w:val="00367132"/>
    <w:rsid w:val="0036773A"/>
    <w:rsid w:val="00367E9B"/>
    <w:rsid w:val="00370162"/>
    <w:rsid w:val="0037173E"/>
    <w:rsid w:val="003717A5"/>
    <w:rsid w:val="00371E02"/>
    <w:rsid w:val="003735EA"/>
    <w:rsid w:val="00373EDD"/>
    <w:rsid w:val="00374C00"/>
    <w:rsid w:val="00374FCE"/>
    <w:rsid w:val="00375BF1"/>
    <w:rsid w:val="00376B06"/>
    <w:rsid w:val="00377323"/>
    <w:rsid w:val="00377553"/>
    <w:rsid w:val="00377C56"/>
    <w:rsid w:val="00377EB5"/>
    <w:rsid w:val="00380BF4"/>
    <w:rsid w:val="003810C0"/>
    <w:rsid w:val="0038152C"/>
    <w:rsid w:val="00382547"/>
    <w:rsid w:val="003826B8"/>
    <w:rsid w:val="00383F77"/>
    <w:rsid w:val="00385252"/>
    <w:rsid w:val="00385779"/>
    <w:rsid w:val="00385A0C"/>
    <w:rsid w:val="003864E3"/>
    <w:rsid w:val="0038653C"/>
    <w:rsid w:val="00386A77"/>
    <w:rsid w:val="00387163"/>
    <w:rsid w:val="00387312"/>
    <w:rsid w:val="003877D5"/>
    <w:rsid w:val="003906AA"/>
    <w:rsid w:val="00390F49"/>
    <w:rsid w:val="0039241C"/>
    <w:rsid w:val="00394944"/>
    <w:rsid w:val="00394D58"/>
    <w:rsid w:val="003969BE"/>
    <w:rsid w:val="003971D1"/>
    <w:rsid w:val="00397813"/>
    <w:rsid w:val="00397C92"/>
    <w:rsid w:val="00397CEE"/>
    <w:rsid w:val="00397D1F"/>
    <w:rsid w:val="00397F1D"/>
    <w:rsid w:val="003A0551"/>
    <w:rsid w:val="003A0F0B"/>
    <w:rsid w:val="003A21E2"/>
    <w:rsid w:val="003A2ACB"/>
    <w:rsid w:val="003A2DE5"/>
    <w:rsid w:val="003A2EF1"/>
    <w:rsid w:val="003A3804"/>
    <w:rsid w:val="003A3DF3"/>
    <w:rsid w:val="003A4F85"/>
    <w:rsid w:val="003A680C"/>
    <w:rsid w:val="003A6C1B"/>
    <w:rsid w:val="003A6EC7"/>
    <w:rsid w:val="003A7074"/>
    <w:rsid w:val="003A7FF8"/>
    <w:rsid w:val="003B063C"/>
    <w:rsid w:val="003B0E4D"/>
    <w:rsid w:val="003B12D9"/>
    <w:rsid w:val="003B16D2"/>
    <w:rsid w:val="003B2281"/>
    <w:rsid w:val="003B23DA"/>
    <w:rsid w:val="003B4259"/>
    <w:rsid w:val="003B4C8B"/>
    <w:rsid w:val="003B5D44"/>
    <w:rsid w:val="003B7248"/>
    <w:rsid w:val="003B7B77"/>
    <w:rsid w:val="003C0838"/>
    <w:rsid w:val="003C12DB"/>
    <w:rsid w:val="003C2625"/>
    <w:rsid w:val="003C3439"/>
    <w:rsid w:val="003C454E"/>
    <w:rsid w:val="003C4964"/>
    <w:rsid w:val="003C53BE"/>
    <w:rsid w:val="003C5A28"/>
    <w:rsid w:val="003C61CC"/>
    <w:rsid w:val="003D1ED4"/>
    <w:rsid w:val="003D3D28"/>
    <w:rsid w:val="003D429F"/>
    <w:rsid w:val="003D559A"/>
    <w:rsid w:val="003D5B3F"/>
    <w:rsid w:val="003D5B7E"/>
    <w:rsid w:val="003D6BE4"/>
    <w:rsid w:val="003E010D"/>
    <w:rsid w:val="003E029B"/>
    <w:rsid w:val="003E054D"/>
    <w:rsid w:val="003E09D8"/>
    <w:rsid w:val="003E0E39"/>
    <w:rsid w:val="003E112F"/>
    <w:rsid w:val="003E17A8"/>
    <w:rsid w:val="003E22C9"/>
    <w:rsid w:val="003E2774"/>
    <w:rsid w:val="003E2885"/>
    <w:rsid w:val="003E28BC"/>
    <w:rsid w:val="003E2E38"/>
    <w:rsid w:val="003E322F"/>
    <w:rsid w:val="003E3401"/>
    <w:rsid w:val="003E39C5"/>
    <w:rsid w:val="003E3C99"/>
    <w:rsid w:val="003E51D4"/>
    <w:rsid w:val="003E60D1"/>
    <w:rsid w:val="003E6363"/>
    <w:rsid w:val="003E665F"/>
    <w:rsid w:val="003E69FE"/>
    <w:rsid w:val="003E78F2"/>
    <w:rsid w:val="003F0149"/>
    <w:rsid w:val="003F024D"/>
    <w:rsid w:val="003F0376"/>
    <w:rsid w:val="003F4835"/>
    <w:rsid w:val="003F5FDC"/>
    <w:rsid w:val="003F7433"/>
    <w:rsid w:val="003F7AA0"/>
    <w:rsid w:val="004018A5"/>
    <w:rsid w:val="00402074"/>
    <w:rsid w:val="0040215F"/>
    <w:rsid w:val="00402715"/>
    <w:rsid w:val="00404B6B"/>
    <w:rsid w:val="0040510A"/>
    <w:rsid w:val="00406D0C"/>
    <w:rsid w:val="00407C5D"/>
    <w:rsid w:val="00410752"/>
    <w:rsid w:val="00410ADB"/>
    <w:rsid w:val="004110A1"/>
    <w:rsid w:val="004128D3"/>
    <w:rsid w:val="00413368"/>
    <w:rsid w:val="004134D5"/>
    <w:rsid w:val="004139DF"/>
    <w:rsid w:val="00414535"/>
    <w:rsid w:val="0041606A"/>
    <w:rsid w:val="00417945"/>
    <w:rsid w:val="00417AA6"/>
    <w:rsid w:val="00417E8D"/>
    <w:rsid w:val="00421B86"/>
    <w:rsid w:val="00421E47"/>
    <w:rsid w:val="004224BF"/>
    <w:rsid w:val="00423BBC"/>
    <w:rsid w:val="00424350"/>
    <w:rsid w:val="00424733"/>
    <w:rsid w:val="004249CE"/>
    <w:rsid w:val="00425D34"/>
    <w:rsid w:val="004266E8"/>
    <w:rsid w:val="004277BD"/>
    <w:rsid w:val="004303C4"/>
    <w:rsid w:val="00430862"/>
    <w:rsid w:val="004318F9"/>
    <w:rsid w:val="00431BD1"/>
    <w:rsid w:val="00431FBD"/>
    <w:rsid w:val="00433815"/>
    <w:rsid w:val="00433BEE"/>
    <w:rsid w:val="00434D0D"/>
    <w:rsid w:val="0043528A"/>
    <w:rsid w:val="00435AB6"/>
    <w:rsid w:val="00435EB8"/>
    <w:rsid w:val="00435FAA"/>
    <w:rsid w:val="004364F0"/>
    <w:rsid w:val="00436E37"/>
    <w:rsid w:val="00436EAE"/>
    <w:rsid w:val="00437A88"/>
    <w:rsid w:val="00440E6F"/>
    <w:rsid w:val="0044170F"/>
    <w:rsid w:val="004419A9"/>
    <w:rsid w:val="00441C7B"/>
    <w:rsid w:val="004422A1"/>
    <w:rsid w:val="00443496"/>
    <w:rsid w:val="0044479C"/>
    <w:rsid w:val="004447F9"/>
    <w:rsid w:val="004455BC"/>
    <w:rsid w:val="00445883"/>
    <w:rsid w:val="00446097"/>
    <w:rsid w:val="0044641B"/>
    <w:rsid w:val="00446720"/>
    <w:rsid w:val="00446D80"/>
    <w:rsid w:val="0044758F"/>
    <w:rsid w:val="00447A6B"/>
    <w:rsid w:val="00447BE4"/>
    <w:rsid w:val="00447DDF"/>
    <w:rsid w:val="00450C0F"/>
    <w:rsid w:val="00450CEC"/>
    <w:rsid w:val="00451792"/>
    <w:rsid w:val="004517E7"/>
    <w:rsid w:val="00451AB2"/>
    <w:rsid w:val="00451EA4"/>
    <w:rsid w:val="0045210E"/>
    <w:rsid w:val="004524D8"/>
    <w:rsid w:val="00452648"/>
    <w:rsid w:val="0045270D"/>
    <w:rsid w:val="0045350B"/>
    <w:rsid w:val="00454298"/>
    <w:rsid w:val="004544FC"/>
    <w:rsid w:val="00454800"/>
    <w:rsid w:val="00454F7D"/>
    <w:rsid w:val="0045521F"/>
    <w:rsid w:val="00455B29"/>
    <w:rsid w:val="00455CB8"/>
    <w:rsid w:val="00455DA1"/>
    <w:rsid w:val="00457E87"/>
    <w:rsid w:val="00460865"/>
    <w:rsid w:val="00461409"/>
    <w:rsid w:val="0046195E"/>
    <w:rsid w:val="00462988"/>
    <w:rsid w:val="00464534"/>
    <w:rsid w:val="00464BC0"/>
    <w:rsid w:val="004653E8"/>
    <w:rsid w:val="00465FCA"/>
    <w:rsid w:val="004663F5"/>
    <w:rsid w:val="00466F40"/>
    <w:rsid w:val="004729C6"/>
    <w:rsid w:val="00473DF7"/>
    <w:rsid w:val="00473F1E"/>
    <w:rsid w:val="004742CC"/>
    <w:rsid w:val="004751DA"/>
    <w:rsid w:val="004803A6"/>
    <w:rsid w:val="00482837"/>
    <w:rsid w:val="004837B5"/>
    <w:rsid w:val="00483C06"/>
    <w:rsid w:val="0048447D"/>
    <w:rsid w:val="00484487"/>
    <w:rsid w:val="00484541"/>
    <w:rsid w:val="004849E7"/>
    <w:rsid w:val="004849F0"/>
    <w:rsid w:val="0048594F"/>
    <w:rsid w:val="00486127"/>
    <w:rsid w:val="004902DE"/>
    <w:rsid w:val="004908C9"/>
    <w:rsid w:val="004909C0"/>
    <w:rsid w:val="00491788"/>
    <w:rsid w:val="004920E6"/>
    <w:rsid w:val="00492D1D"/>
    <w:rsid w:val="00492EE2"/>
    <w:rsid w:val="00493824"/>
    <w:rsid w:val="00495942"/>
    <w:rsid w:val="004966E4"/>
    <w:rsid w:val="00496741"/>
    <w:rsid w:val="00497A5B"/>
    <w:rsid w:val="00497C8A"/>
    <w:rsid w:val="00497D1A"/>
    <w:rsid w:val="004A020E"/>
    <w:rsid w:val="004A1E7A"/>
    <w:rsid w:val="004A21EE"/>
    <w:rsid w:val="004A24CC"/>
    <w:rsid w:val="004A2E31"/>
    <w:rsid w:val="004A3CE4"/>
    <w:rsid w:val="004A3D12"/>
    <w:rsid w:val="004A424E"/>
    <w:rsid w:val="004A5C8C"/>
    <w:rsid w:val="004A68C6"/>
    <w:rsid w:val="004A6AD8"/>
    <w:rsid w:val="004A6E1E"/>
    <w:rsid w:val="004A7171"/>
    <w:rsid w:val="004B01B1"/>
    <w:rsid w:val="004B2C49"/>
    <w:rsid w:val="004B490B"/>
    <w:rsid w:val="004B490F"/>
    <w:rsid w:val="004B5121"/>
    <w:rsid w:val="004B5BC7"/>
    <w:rsid w:val="004B6693"/>
    <w:rsid w:val="004B67AF"/>
    <w:rsid w:val="004B7D6F"/>
    <w:rsid w:val="004B7D84"/>
    <w:rsid w:val="004C03B1"/>
    <w:rsid w:val="004C07B3"/>
    <w:rsid w:val="004C097C"/>
    <w:rsid w:val="004C1284"/>
    <w:rsid w:val="004C2E1B"/>
    <w:rsid w:val="004C3642"/>
    <w:rsid w:val="004C4605"/>
    <w:rsid w:val="004C4981"/>
    <w:rsid w:val="004C57C6"/>
    <w:rsid w:val="004C5BC8"/>
    <w:rsid w:val="004C6FBA"/>
    <w:rsid w:val="004C78C7"/>
    <w:rsid w:val="004C7F62"/>
    <w:rsid w:val="004D0CAC"/>
    <w:rsid w:val="004D1657"/>
    <w:rsid w:val="004D1A21"/>
    <w:rsid w:val="004D23C4"/>
    <w:rsid w:val="004D26CE"/>
    <w:rsid w:val="004D2B59"/>
    <w:rsid w:val="004D31A8"/>
    <w:rsid w:val="004D3DE5"/>
    <w:rsid w:val="004D4993"/>
    <w:rsid w:val="004D4A70"/>
    <w:rsid w:val="004D4E05"/>
    <w:rsid w:val="004D56DB"/>
    <w:rsid w:val="004D6052"/>
    <w:rsid w:val="004D75D9"/>
    <w:rsid w:val="004D7899"/>
    <w:rsid w:val="004D78D2"/>
    <w:rsid w:val="004D7923"/>
    <w:rsid w:val="004D7FB7"/>
    <w:rsid w:val="004E018E"/>
    <w:rsid w:val="004E0663"/>
    <w:rsid w:val="004E06D6"/>
    <w:rsid w:val="004E2DFA"/>
    <w:rsid w:val="004E376D"/>
    <w:rsid w:val="004E3B28"/>
    <w:rsid w:val="004E3C2C"/>
    <w:rsid w:val="004E4D44"/>
    <w:rsid w:val="004E64CD"/>
    <w:rsid w:val="004E73FE"/>
    <w:rsid w:val="004E779B"/>
    <w:rsid w:val="004E7B07"/>
    <w:rsid w:val="004F0BA9"/>
    <w:rsid w:val="004F13F5"/>
    <w:rsid w:val="004F16C9"/>
    <w:rsid w:val="004F25AD"/>
    <w:rsid w:val="004F2BED"/>
    <w:rsid w:val="004F395E"/>
    <w:rsid w:val="004F4544"/>
    <w:rsid w:val="004F573B"/>
    <w:rsid w:val="004F5EA3"/>
    <w:rsid w:val="004F617E"/>
    <w:rsid w:val="004F6EE2"/>
    <w:rsid w:val="004F74E1"/>
    <w:rsid w:val="004F759F"/>
    <w:rsid w:val="004F7D83"/>
    <w:rsid w:val="0050136B"/>
    <w:rsid w:val="00504060"/>
    <w:rsid w:val="00504E15"/>
    <w:rsid w:val="00506AD0"/>
    <w:rsid w:val="00507F7C"/>
    <w:rsid w:val="005115BB"/>
    <w:rsid w:val="0051219E"/>
    <w:rsid w:val="0051438F"/>
    <w:rsid w:val="00514DDA"/>
    <w:rsid w:val="00515ED2"/>
    <w:rsid w:val="005160A4"/>
    <w:rsid w:val="005160F6"/>
    <w:rsid w:val="00520042"/>
    <w:rsid w:val="00520987"/>
    <w:rsid w:val="0052111E"/>
    <w:rsid w:val="00521DF5"/>
    <w:rsid w:val="00522BB7"/>
    <w:rsid w:val="00522C91"/>
    <w:rsid w:val="00522DC9"/>
    <w:rsid w:val="005231AB"/>
    <w:rsid w:val="00523614"/>
    <w:rsid w:val="00524112"/>
    <w:rsid w:val="005244FF"/>
    <w:rsid w:val="0052550F"/>
    <w:rsid w:val="00526FA8"/>
    <w:rsid w:val="005270BF"/>
    <w:rsid w:val="00530894"/>
    <w:rsid w:val="00531A2C"/>
    <w:rsid w:val="005320FC"/>
    <w:rsid w:val="0053237F"/>
    <w:rsid w:val="005329A5"/>
    <w:rsid w:val="005331D8"/>
    <w:rsid w:val="00533424"/>
    <w:rsid w:val="00533FE8"/>
    <w:rsid w:val="00534B30"/>
    <w:rsid w:val="0053547F"/>
    <w:rsid w:val="00535964"/>
    <w:rsid w:val="00535C94"/>
    <w:rsid w:val="00536122"/>
    <w:rsid w:val="00537B5E"/>
    <w:rsid w:val="00537CD0"/>
    <w:rsid w:val="0054028E"/>
    <w:rsid w:val="00540989"/>
    <w:rsid w:val="00540BA9"/>
    <w:rsid w:val="00541565"/>
    <w:rsid w:val="00542867"/>
    <w:rsid w:val="00544273"/>
    <w:rsid w:val="005456A9"/>
    <w:rsid w:val="00546409"/>
    <w:rsid w:val="00546781"/>
    <w:rsid w:val="00546C0F"/>
    <w:rsid w:val="00546CE3"/>
    <w:rsid w:val="00546ED2"/>
    <w:rsid w:val="005470D0"/>
    <w:rsid w:val="00547467"/>
    <w:rsid w:val="005475BE"/>
    <w:rsid w:val="005478F3"/>
    <w:rsid w:val="0055052A"/>
    <w:rsid w:val="0055059D"/>
    <w:rsid w:val="00550B80"/>
    <w:rsid w:val="00551488"/>
    <w:rsid w:val="00551A9D"/>
    <w:rsid w:val="0055238C"/>
    <w:rsid w:val="005531EC"/>
    <w:rsid w:val="00553691"/>
    <w:rsid w:val="0055408E"/>
    <w:rsid w:val="005546EE"/>
    <w:rsid w:val="00555318"/>
    <w:rsid w:val="005559C9"/>
    <w:rsid w:val="005560F8"/>
    <w:rsid w:val="0055621E"/>
    <w:rsid w:val="00557154"/>
    <w:rsid w:val="005575A0"/>
    <w:rsid w:val="00557698"/>
    <w:rsid w:val="005607C7"/>
    <w:rsid w:val="00560843"/>
    <w:rsid w:val="005608A6"/>
    <w:rsid w:val="00561920"/>
    <w:rsid w:val="00561AF0"/>
    <w:rsid w:val="00562793"/>
    <w:rsid w:val="00562D0C"/>
    <w:rsid w:val="00563702"/>
    <w:rsid w:val="00563E8A"/>
    <w:rsid w:val="005655CD"/>
    <w:rsid w:val="00566454"/>
    <w:rsid w:val="00566C7F"/>
    <w:rsid w:val="00567625"/>
    <w:rsid w:val="0057070B"/>
    <w:rsid w:val="00572868"/>
    <w:rsid w:val="0057334E"/>
    <w:rsid w:val="00574904"/>
    <w:rsid w:val="00575B78"/>
    <w:rsid w:val="00576144"/>
    <w:rsid w:val="005761AE"/>
    <w:rsid w:val="0058016E"/>
    <w:rsid w:val="005801F5"/>
    <w:rsid w:val="00580CD7"/>
    <w:rsid w:val="00582B47"/>
    <w:rsid w:val="00582D6E"/>
    <w:rsid w:val="00582E6E"/>
    <w:rsid w:val="00583493"/>
    <w:rsid w:val="00584010"/>
    <w:rsid w:val="00584368"/>
    <w:rsid w:val="00584431"/>
    <w:rsid w:val="0058446D"/>
    <w:rsid w:val="005845A9"/>
    <w:rsid w:val="00584BCF"/>
    <w:rsid w:val="00584C83"/>
    <w:rsid w:val="00585128"/>
    <w:rsid w:val="0058568F"/>
    <w:rsid w:val="00585F0F"/>
    <w:rsid w:val="00586865"/>
    <w:rsid w:val="0059026A"/>
    <w:rsid w:val="005905FF"/>
    <w:rsid w:val="0059072D"/>
    <w:rsid w:val="00591E2A"/>
    <w:rsid w:val="00591FAE"/>
    <w:rsid w:val="00592666"/>
    <w:rsid w:val="00592DF4"/>
    <w:rsid w:val="00593D80"/>
    <w:rsid w:val="005941D0"/>
    <w:rsid w:val="00597114"/>
    <w:rsid w:val="005975EB"/>
    <w:rsid w:val="005A0C08"/>
    <w:rsid w:val="005A2900"/>
    <w:rsid w:val="005A3093"/>
    <w:rsid w:val="005A3E87"/>
    <w:rsid w:val="005A5704"/>
    <w:rsid w:val="005B088B"/>
    <w:rsid w:val="005B1090"/>
    <w:rsid w:val="005B1306"/>
    <w:rsid w:val="005B23AC"/>
    <w:rsid w:val="005B422C"/>
    <w:rsid w:val="005B4956"/>
    <w:rsid w:val="005B51E6"/>
    <w:rsid w:val="005B60AB"/>
    <w:rsid w:val="005B6BF2"/>
    <w:rsid w:val="005B7222"/>
    <w:rsid w:val="005B74BA"/>
    <w:rsid w:val="005C2199"/>
    <w:rsid w:val="005C27D1"/>
    <w:rsid w:val="005C3AA4"/>
    <w:rsid w:val="005C3CD4"/>
    <w:rsid w:val="005C3DFD"/>
    <w:rsid w:val="005C46CF"/>
    <w:rsid w:val="005C4D14"/>
    <w:rsid w:val="005C53E5"/>
    <w:rsid w:val="005C60E7"/>
    <w:rsid w:val="005C61B8"/>
    <w:rsid w:val="005C64E3"/>
    <w:rsid w:val="005C6A04"/>
    <w:rsid w:val="005C6EAB"/>
    <w:rsid w:val="005D1D9D"/>
    <w:rsid w:val="005D1E5D"/>
    <w:rsid w:val="005D2492"/>
    <w:rsid w:val="005D26E0"/>
    <w:rsid w:val="005D2E4D"/>
    <w:rsid w:val="005D385E"/>
    <w:rsid w:val="005D3A2E"/>
    <w:rsid w:val="005D3D2B"/>
    <w:rsid w:val="005D3F36"/>
    <w:rsid w:val="005D5BF9"/>
    <w:rsid w:val="005D63DB"/>
    <w:rsid w:val="005D6A9A"/>
    <w:rsid w:val="005D713F"/>
    <w:rsid w:val="005D7784"/>
    <w:rsid w:val="005D7B49"/>
    <w:rsid w:val="005E10E9"/>
    <w:rsid w:val="005E17C1"/>
    <w:rsid w:val="005E1E8B"/>
    <w:rsid w:val="005E1F3B"/>
    <w:rsid w:val="005E2028"/>
    <w:rsid w:val="005E2F0F"/>
    <w:rsid w:val="005E470E"/>
    <w:rsid w:val="005E5441"/>
    <w:rsid w:val="005E62DF"/>
    <w:rsid w:val="005E6318"/>
    <w:rsid w:val="005E6DB3"/>
    <w:rsid w:val="005E6E23"/>
    <w:rsid w:val="005E79F8"/>
    <w:rsid w:val="005F0A70"/>
    <w:rsid w:val="005F0BA8"/>
    <w:rsid w:val="005F144E"/>
    <w:rsid w:val="005F1A6F"/>
    <w:rsid w:val="005F1DB5"/>
    <w:rsid w:val="005F34A0"/>
    <w:rsid w:val="005F3D3F"/>
    <w:rsid w:val="005F3DEF"/>
    <w:rsid w:val="005F3E86"/>
    <w:rsid w:val="005F4C06"/>
    <w:rsid w:val="005F548B"/>
    <w:rsid w:val="005F58D9"/>
    <w:rsid w:val="005F5E28"/>
    <w:rsid w:val="005F5F3B"/>
    <w:rsid w:val="005F6AA1"/>
    <w:rsid w:val="005F6B4D"/>
    <w:rsid w:val="005F7D58"/>
    <w:rsid w:val="00602362"/>
    <w:rsid w:val="0060255B"/>
    <w:rsid w:val="00606C48"/>
    <w:rsid w:val="00606E9F"/>
    <w:rsid w:val="0060759F"/>
    <w:rsid w:val="00607CBC"/>
    <w:rsid w:val="0061166B"/>
    <w:rsid w:val="00611C45"/>
    <w:rsid w:val="006123E5"/>
    <w:rsid w:val="006124B4"/>
    <w:rsid w:val="00612DA5"/>
    <w:rsid w:val="00613143"/>
    <w:rsid w:val="00614E56"/>
    <w:rsid w:val="00615EE5"/>
    <w:rsid w:val="00616FD8"/>
    <w:rsid w:val="00621A76"/>
    <w:rsid w:val="006227A2"/>
    <w:rsid w:val="0062378A"/>
    <w:rsid w:val="006249A3"/>
    <w:rsid w:val="00626227"/>
    <w:rsid w:val="006278CA"/>
    <w:rsid w:val="00630259"/>
    <w:rsid w:val="00630ECF"/>
    <w:rsid w:val="00632601"/>
    <w:rsid w:val="00633EDE"/>
    <w:rsid w:val="00635F36"/>
    <w:rsid w:val="00637D56"/>
    <w:rsid w:val="0064031B"/>
    <w:rsid w:val="006423EA"/>
    <w:rsid w:val="0064315D"/>
    <w:rsid w:val="00643764"/>
    <w:rsid w:val="00644E2B"/>
    <w:rsid w:val="00644FA3"/>
    <w:rsid w:val="006457C6"/>
    <w:rsid w:val="0064581C"/>
    <w:rsid w:val="00645DB5"/>
    <w:rsid w:val="006467E3"/>
    <w:rsid w:val="006470EF"/>
    <w:rsid w:val="0065085F"/>
    <w:rsid w:val="00650F9A"/>
    <w:rsid w:val="00651567"/>
    <w:rsid w:val="00653466"/>
    <w:rsid w:val="00653F05"/>
    <w:rsid w:val="006542AC"/>
    <w:rsid w:val="00654FA3"/>
    <w:rsid w:val="00655323"/>
    <w:rsid w:val="006558BE"/>
    <w:rsid w:val="00655BC6"/>
    <w:rsid w:val="006568B8"/>
    <w:rsid w:val="00656A11"/>
    <w:rsid w:val="00657E38"/>
    <w:rsid w:val="0066036C"/>
    <w:rsid w:val="00662450"/>
    <w:rsid w:val="00662ADA"/>
    <w:rsid w:val="00663269"/>
    <w:rsid w:val="006633D9"/>
    <w:rsid w:val="00663455"/>
    <w:rsid w:val="00664983"/>
    <w:rsid w:val="00664C2E"/>
    <w:rsid w:val="006655DE"/>
    <w:rsid w:val="00666A91"/>
    <w:rsid w:val="00667318"/>
    <w:rsid w:val="006708FC"/>
    <w:rsid w:val="00670D68"/>
    <w:rsid w:val="00670FB6"/>
    <w:rsid w:val="00672392"/>
    <w:rsid w:val="00672B79"/>
    <w:rsid w:val="0067470C"/>
    <w:rsid w:val="00675656"/>
    <w:rsid w:val="0067651F"/>
    <w:rsid w:val="00680169"/>
    <w:rsid w:val="006814FE"/>
    <w:rsid w:val="006824BE"/>
    <w:rsid w:val="00682537"/>
    <w:rsid w:val="00684625"/>
    <w:rsid w:val="0068508B"/>
    <w:rsid w:val="0068589F"/>
    <w:rsid w:val="00686414"/>
    <w:rsid w:val="00686AF9"/>
    <w:rsid w:val="006870DE"/>
    <w:rsid w:val="006878F6"/>
    <w:rsid w:val="00687B35"/>
    <w:rsid w:val="006902DF"/>
    <w:rsid w:val="00691A1A"/>
    <w:rsid w:val="0069271A"/>
    <w:rsid w:val="00693197"/>
    <w:rsid w:val="00693281"/>
    <w:rsid w:val="00694A8E"/>
    <w:rsid w:val="00695512"/>
    <w:rsid w:val="00695BAB"/>
    <w:rsid w:val="006963E3"/>
    <w:rsid w:val="0069697F"/>
    <w:rsid w:val="00696990"/>
    <w:rsid w:val="00697E14"/>
    <w:rsid w:val="006A09D0"/>
    <w:rsid w:val="006A0BE0"/>
    <w:rsid w:val="006A0DCD"/>
    <w:rsid w:val="006A0F13"/>
    <w:rsid w:val="006A0F78"/>
    <w:rsid w:val="006A123B"/>
    <w:rsid w:val="006A133E"/>
    <w:rsid w:val="006A17C7"/>
    <w:rsid w:val="006A1994"/>
    <w:rsid w:val="006A3E34"/>
    <w:rsid w:val="006A3EB5"/>
    <w:rsid w:val="006A579C"/>
    <w:rsid w:val="006A5A5E"/>
    <w:rsid w:val="006A679E"/>
    <w:rsid w:val="006A69D4"/>
    <w:rsid w:val="006A6AB0"/>
    <w:rsid w:val="006A6F1E"/>
    <w:rsid w:val="006B0280"/>
    <w:rsid w:val="006B12A4"/>
    <w:rsid w:val="006B28A0"/>
    <w:rsid w:val="006B45AA"/>
    <w:rsid w:val="006B4EAD"/>
    <w:rsid w:val="006B54CE"/>
    <w:rsid w:val="006B672C"/>
    <w:rsid w:val="006B6CA5"/>
    <w:rsid w:val="006B7105"/>
    <w:rsid w:val="006C0203"/>
    <w:rsid w:val="006C1AA9"/>
    <w:rsid w:val="006C2279"/>
    <w:rsid w:val="006C24DA"/>
    <w:rsid w:val="006C2537"/>
    <w:rsid w:val="006C26E3"/>
    <w:rsid w:val="006C2D51"/>
    <w:rsid w:val="006C323B"/>
    <w:rsid w:val="006C3639"/>
    <w:rsid w:val="006C4C88"/>
    <w:rsid w:val="006C5246"/>
    <w:rsid w:val="006C59BA"/>
    <w:rsid w:val="006C65D9"/>
    <w:rsid w:val="006C6A78"/>
    <w:rsid w:val="006C76D1"/>
    <w:rsid w:val="006C78AE"/>
    <w:rsid w:val="006C7A9C"/>
    <w:rsid w:val="006D15FF"/>
    <w:rsid w:val="006D1F91"/>
    <w:rsid w:val="006D2438"/>
    <w:rsid w:val="006D33A0"/>
    <w:rsid w:val="006D3429"/>
    <w:rsid w:val="006D3502"/>
    <w:rsid w:val="006D39DC"/>
    <w:rsid w:val="006D3EAF"/>
    <w:rsid w:val="006D5447"/>
    <w:rsid w:val="006D61FF"/>
    <w:rsid w:val="006D689C"/>
    <w:rsid w:val="006D7778"/>
    <w:rsid w:val="006E1E75"/>
    <w:rsid w:val="006E542A"/>
    <w:rsid w:val="006E5FF0"/>
    <w:rsid w:val="006E7621"/>
    <w:rsid w:val="006F03C7"/>
    <w:rsid w:val="006F0B32"/>
    <w:rsid w:val="006F274E"/>
    <w:rsid w:val="006F302E"/>
    <w:rsid w:val="006F3345"/>
    <w:rsid w:val="006F3486"/>
    <w:rsid w:val="006F36BF"/>
    <w:rsid w:val="006F4DF0"/>
    <w:rsid w:val="006F50E9"/>
    <w:rsid w:val="006F54DA"/>
    <w:rsid w:val="006F5774"/>
    <w:rsid w:val="006F5F4D"/>
    <w:rsid w:val="006F6101"/>
    <w:rsid w:val="006F6DF9"/>
    <w:rsid w:val="006F74FC"/>
    <w:rsid w:val="006F7AF4"/>
    <w:rsid w:val="006F7DF2"/>
    <w:rsid w:val="0070150B"/>
    <w:rsid w:val="00701B1B"/>
    <w:rsid w:val="0070217D"/>
    <w:rsid w:val="00702994"/>
    <w:rsid w:val="00702BFE"/>
    <w:rsid w:val="00703738"/>
    <w:rsid w:val="007038B7"/>
    <w:rsid w:val="00703BD0"/>
    <w:rsid w:val="00703C00"/>
    <w:rsid w:val="00704E81"/>
    <w:rsid w:val="00706334"/>
    <w:rsid w:val="00706435"/>
    <w:rsid w:val="0071022F"/>
    <w:rsid w:val="00710C59"/>
    <w:rsid w:val="00711175"/>
    <w:rsid w:val="0071273A"/>
    <w:rsid w:val="00713C35"/>
    <w:rsid w:val="007145D4"/>
    <w:rsid w:val="0071499A"/>
    <w:rsid w:val="00715603"/>
    <w:rsid w:val="007176D6"/>
    <w:rsid w:val="00720D3F"/>
    <w:rsid w:val="007211E3"/>
    <w:rsid w:val="00721253"/>
    <w:rsid w:val="00721AB9"/>
    <w:rsid w:val="007226CF"/>
    <w:rsid w:val="00722C05"/>
    <w:rsid w:val="007231DC"/>
    <w:rsid w:val="007232BC"/>
    <w:rsid w:val="007232DD"/>
    <w:rsid w:val="00723F61"/>
    <w:rsid w:val="0072507F"/>
    <w:rsid w:val="007259CF"/>
    <w:rsid w:val="00725D68"/>
    <w:rsid w:val="00725E6A"/>
    <w:rsid w:val="007262E9"/>
    <w:rsid w:val="00727724"/>
    <w:rsid w:val="00730901"/>
    <w:rsid w:val="0073104B"/>
    <w:rsid w:val="007320AE"/>
    <w:rsid w:val="00732742"/>
    <w:rsid w:val="0073469D"/>
    <w:rsid w:val="00734FB2"/>
    <w:rsid w:val="007363E8"/>
    <w:rsid w:val="007368C0"/>
    <w:rsid w:val="00736E1B"/>
    <w:rsid w:val="0073720A"/>
    <w:rsid w:val="007415DA"/>
    <w:rsid w:val="007416F6"/>
    <w:rsid w:val="0074178D"/>
    <w:rsid w:val="00742C7C"/>
    <w:rsid w:val="00743E2A"/>
    <w:rsid w:val="00744C8B"/>
    <w:rsid w:val="00744CE1"/>
    <w:rsid w:val="00746220"/>
    <w:rsid w:val="0074670C"/>
    <w:rsid w:val="007468D2"/>
    <w:rsid w:val="007517C5"/>
    <w:rsid w:val="0075311C"/>
    <w:rsid w:val="0075366D"/>
    <w:rsid w:val="00754180"/>
    <w:rsid w:val="00754B23"/>
    <w:rsid w:val="007552BA"/>
    <w:rsid w:val="00755332"/>
    <w:rsid w:val="00756A24"/>
    <w:rsid w:val="0076003C"/>
    <w:rsid w:val="00760622"/>
    <w:rsid w:val="00760671"/>
    <w:rsid w:val="0076102B"/>
    <w:rsid w:val="007616D2"/>
    <w:rsid w:val="007618EE"/>
    <w:rsid w:val="007638B3"/>
    <w:rsid w:val="00764979"/>
    <w:rsid w:val="00764BF8"/>
    <w:rsid w:val="0076520A"/>
    <w:rsid w:val="007653B0"/>
    <w:rsid w:val="00765837"/>
    <w:rsid w:val="007660D0"/>
    <w:rsid w:val="00766484"/>
    <w:rsid w:val="00766F5E"/>
    <w:rsid w:val="00767307"/>
    <w:rsid w:val="00771531"/>
    <w:rsid w:val="00772E3A"/>
    <w:rsid w:val="00774B60"/>
    <w:rsid w:val="007756FA"/>
    <w:rsid w:val="00775ACA"/>
    <w:rsid w:val="0077603B"/>
    <w:rsid w:val="00776849"/>
    <w:rsid w:val="00780724"/>
    <w:rsid w:val="00781832"/>
    <w:rsid w:val="007825FC"/>
    <w:rsid w:val="00783045"/>
    <w:rsid w:val="00783469"/>
    <w:rsid w:val="00783752"/>
    <w:rsid w:val="007839E7"/>
    <w:rsid w:val="00784625"/>
    <w:rsid w:val="00785577"/>
    <w:rsid w:val="00786B2C"/>
    <w:rsid w:val="00786CEE"/>
    <w:rsid w:val="007901EC"/>
    <w:rsid w:val="00790520"/>
    <w:rsid w:val="0079116E"/>
    <w:rsid w:val="00791223"/>
    <w:rsid w:val="00791FC5"/>
    <w:rsid w:val="0079210A"/>
    <w:rsid w:val="0079216A"/>
    <w:rsid w:val="0079249D"/>
    <w:rsid w:val="0079258D"/>
    <w:rsid w:val="007927E1"/>
    <w:rsid w:val="0079285B"/>
    <w:rsid w:val="00793826"/>
    <w:rsid w:val="00793B58"/>
    <w:rsid w:val="00793BFE"/>
    <w:rsid w:val="00794387"/>
    <w:rsid w:val="007946F5"/>
    <w:rsid w:val="00794C9A"/>
    <w:rsid w:val="00797592"/>
    <w:rsid w:val="007976CD"/>
    <w:rsid w:val="00797EDA"/>
    <w:rsid w:val="007A055A"/>
    <w:rsid w:val="007A1112"/>
    <w:rsid w:val="007A15D6"/>
    <w:rsid w:val="007A17F0"/>
    <w:rsid w:val="007A1A15"/>
    <w:rsid w:val="007A284E"/>
    <w:rsid w:val="007A3825"/>
    <w:rsid w:val="007A3CED"/>
    <w:rsid w:val="007A4232"/>
    <w:rsid w:val="007A44F1"/>
    <w:rsid w:val="007A4540"/>
    <w:rsid w:val="007A4D25"/>
    <w:rsid w:val="007A4DF4"/>
    <w:rsid w:val="007A60C6"/>
    <w:rsid w:val="007A6649"/>
    <w:rsid w:val="007A70E4"/>
    <w:rsid w:val="007A715B"/>
    <w:rsid w:val="007A7606"/>
    <w:rsid w:val="007B02B2"/>
    <w:rsid w:val="007B110E"/>
    <w:rsid w:val="007B1619"/>
    <w:rsid w:val="007B1C5A"/>
    <w:rsid w:val="007B1E18"/>
    <w:rsid w:val="007B1EF9"/>
    <w:rsid w:val="007B289D"/>
    <w:rsid w:val="007B28F3"/>
    <w:rsid w:val="007B2DC0"/>
    <w:rsid w:val="007B2EE3"/>
    <w:rsid w:val="007B46B2"/>
    <w:rsid w:val="007B4B28"/>
    <w:rsid w:val="007B4E1D"/>
    <w:rsid w:val="007B54C7"/>
    <w:rsid w:val="007B6C14"/>
    <w:rsid w:val="007B6FF6"/>
    <w:rsid w:val="007B7C68"/>
    <w:rsid w:val="007B7E0B"/>
    <w:rsid w:val="007B7E90"/>
    <w:rsid w:val="007C034C"/>
    <w:rsid w:val="007C10C7"/>
    <w:rsid w:val="007C1BB6"/>
    <w:rsid w:val="007C3018"/>
    <w:rsid w:val="007C3094"/>
    <w:rsid w:val="007C43A5"/>
    <w:rsid w:val="007C4DE7"/>
    <w:rsid w:val="007C53C1"/>
    <w:rsid w:val="007C69F5"/>
    <w:rsid w:val="007C732B"/>
    <w:rsid w:val="007D0AE7"/>
    <w:rsid w:val="007D71A8"/>
    <w:rsid w:val="007D7AE8"/>
    <w:rsid w:val="007D7F6C"/>
    <w:rsid w:val="007E0380"/>
    <w:rsid w:val="007E16AF"/>
    <w:rsid w:val="007E1876"/>
    <w:rsid w:val="007E1916"/>
    <w:rsid w:val="007E19E5"/>
    <w:rsid w:val="007E1DE3"/>
    <w:rsid w:val="007E21D7"/>
    <w:rsid w:val="007E3652"/>
    <w:rsid w:val="007E39E0"/>
    <w:rsid w:val="007E54C2"/>
    <w:rsid w:val="007E6D43"/>
    <w:rsid w:val="007E6E29"/>
    <w:rsid w:val="007E7586"/>
    <w:rsid w:val="007E7E73"/>
    <w:rsid w:val="007F022D"/>
    <w:rsid w:val="007F0EDC"/>
    <w:rsid w:val="007F1C28"/>
    <w:rsid w:val="007F2F2E"/>
    <w:rsid w:val="007F39E3"/>
    <w:rsid w:val="007F3FA5"/>
    <w:rsid w:val="007F418C"/>
    <w:rsid w:val="007F5037"/>
    <w:rsid w:val="007F52E5"/>
    <w:rsid w:val="007F5465"/>
    <w:rsid w:val="007F5572"/>
    <w:rsid w:val="007F5D5D"/>
    <w:rsid w:val="007F62F2"/>
    <w:rsid w:val="007F66B6"/>
    <w:rsid w:val="007F6A19"/>
    <w:rsid w:val="007F6CC0"/>
    <w:rsid w:val="007F79BB"/>
    <w:rsid w:val="007F7D6C"/>
    <w:rsid w:val="00800A42"/>
    <w:rsid w:val="00801239"/>
    <w:rsid w:val="00802B18"/>
    <w:rsid w:val="008037DF"/>
    <w:rsid w:val="0080412D"/>
    <w:rsid w:val="00804687"/>
    <w:rsid w:val="008053B1"/>
    <w:rsid w:val="008055E0"/>
    <w:rsid w:val="00806334"/>
    <w:rsid w:val="008066A4"/>
    <w:rsid w:val="0080756E"/>
    <w:rsid w:val="00810524"/>
    <w:rsid w:val="008105EA"/>
    <w:rsid w:val="00810DF1"/>
    <w:rsid w:val="0081138E"/>
    <w:rsid w:val="008113C9"/>
    <w:rsid w:val="00811EAE"/>
    <w:rsid w:val="00811F87"/>
    <w:rsid w:val="008126DC"/>
    <w:rsid w:val="00812B7C"/>
    <w:rsid w:val="008142A8"/>
    <w:rsid w:val="00814F0E"/>
    <w:rsid w:val="008150B5"/>
    <w:rsid w:val="008164B5"/>
    <w:rsid w:val="0081661A"/>
    <w:rsid w:val="008173E0"/>
    <w:rsid w:val="00817AFD"/>
    <w:rsid w:val="00821A60"/>
    <w:rsid w:val="00821E15"/>
    <w:rsid w:val="00822668"/>
    <w:rsid w:val="008228DE"/>
    <w:rsid w:val="00822968"/>
    <w:rsid w:val="008229B3"/>
    <w:rsid w:val="00823661"/>
    <w:rsid w:val="0082399A"/>
    <w:rsid w:val="00823E66"/>
    <w:rsid w:val="00825051"/>
    <w:rsid w:val="00827EA5"/>
    <w:rsid w:val="00830BA7"/>
    <w:rsid w:val="0083136B"/>
    <w:rsid w:val="00831EB4"/>
    <w:rsid w:val="0083204B"/>
    <w:rsid w:val="00832BC1"/>
    <w:rsid w:val="00832E5A"/>
    <w:rsid w:val="008345A0"/>
    <w:rsid w:val="00834742"/>
    <w:rsid w:val="00834C0F"/>
    <w:rsid w:val="008350E9"/>
    <w:rsid w:val="00835B91"/>
    <w:rsid w:val="00835D13"/>
    <w:rsid w:val="00836B95"/>
    <w:rsid w:val="00837CED"/>
    <w:rsid w:val="008403A5"/>
    <w:rsid w:val="00840F1D"/>
    <w:rsid w:val="00842230"/>
    <w:rsid w:val="008427F9"/>
    <w:rsid w:val="00844E1A"/>
    <w:rsid w:val="00845823"/>
    <w:rsid w:val="00845CA4"/>
    <w:rsid w:val="008461B0"/>
    <w:rsid w:val="008463B9"/>
    <w:rsid w:val="00846D1B"/>
    <w:rsid w:val="00846E90"/>
    <w:rsid w:val="00846EDC"/>
    <w:rsid w:val="0084715F"/>
    <w:rsid w:val="008473B8"/>
    <w:rsid w:val="00847741"/>
    <w:rsid w:val="00847B24"/>
    <w:rsid w:val="00847D30"/>
    <w:rsid w:val="00847F89"/>
    <w:rsid w:val="008502FF"/>
    <w:rsid w:val="00850958"/>
    <w:rsid w:val="00851610"/>
    <w:rsid w:val="00851CBB"/>
    <w:rsid w:val="00853057"/>
    <w:rsid w:val="008537BB"/>
    <w:rsid w:val="00853A04"/>
    <w:rsid w:val="0085476E"/>
    <w:rsid w:val="00854987"/>
    <w:rsid w:val="00854C94"/>
    <w:rsid w:val="0085669E"/>
    <w:rsid w:val="0085713E"/>
    <w:rsid w:val="00857649"/>
    <w:rsid w:val="008578D2"/>
    <w:rsid w:val="00857922"/>
    <w:rsid w:val="00860491"/>
    <w:rsid w:val="00861C6B"/>
    <w:rsid w:val="00862A7E"/>
    <w:rsid w:val="00863B89"/>
    <w:rsid w:val="00863E9B"/>
    <w:rsid w:val="00863EF4"/>
    <w:rsid w:val="008640BC"/>
    <w:rsid w:val="00864A8C"/>
    <w:rsid w:val="008662B8"/>
    <w:rsid w:val="008664AB"/>
    <w:rsid w:val="008665F5"/>
    <w:rsid w:val="00867385"/>
    <w:rsid w:val="0087006F"/>
    <w:rsid w:val="0087007C"/>
    <w:rsid w:val="00870186"/>
    <w:rsid w:val="00871A9C"/>
    <w:rsid w:val="0087215C"/>
    <w:rsid w:val="0087283B"/>
    <w:rsid w:val="0087306C"/>
    <w:rsid w:val="008735A7"/>
    <w:rsid w:val="00873626"/>
    <w:rsid w:val="00873C26"/>
    <w:rsid w:val="00874FEE"/>
    <w:rsid w:val="00875A7B"/>
    <w:rsid w:val="0087608D"/>
    <w:rsid w:val="00877368"/>
    <w:rsid w:val="0087756C"/>
    <w:rsid w:val="00877E89"/>
    <w:rsid w:val="008815FA"/>
    <w:rsid w:val="00881DD3"/>
    <w:rsid w:val="008823FA"/>
    <w:rsid w:val="00882407"/>
    <w:rsid w:val="0088241B"/>
    <w:rsid w:val="00883649"/>
    <w:rsid w:val="00883B1D"/>
    <w:rsid w:val="00884248"/>
    <w:rsid w:val="0088534B"/>
    <w:rsid w:val="00887121"/>
    <w:rsid w:val="0088783F"/>
    <w:rsid w:val="00887909"/>
    <w:rsid w:val="00887ABA"/>
    <w:rsid w:val="008917F6"/>
    <w:rsid w:val="008931E2"/>
    <w:rsid w:val="0089352B"/>
    <w:rsid w:val="00893563"/>
    <w:rsid w:val="00893A35"/>
    <w:rsid w:val="00893AAE"/>
    <w:rsid w:val="008945BE"/>
    <w:rsid w:val="0089488E"/>
    <w:rsid w:val="008956B2"/>
    <w:rsid w:val="008965B9"/>
    <w:rsid w:val="0089760B"/>
    <w:rsid w:val="0089765A"/>
    <w:rsid w:val="008A0385"/>
    <w:rsid w:val="008A0972"/>
    <w:rsid w:val="008A15F5"/>
    <w:rsid w:val="008A2129"/>
    <w:rsid w:val="008A2950"/>
    <w:rsid w:val="008A31B0"/>
    <w:rsid w:val="008A4A89"/>
    <w:rsid w:val="008A4C5D"/>
    <w:rsid w:val="008A4E85"/>
    <w:rsid w:val="008A5A18"/>
    <w:rsid w:val="008A6119"/>
    <w:rsid w:val="008A6123"/>
    <w:rsid w:val="008A67F2"/>
    <w:rsid w:val="008A6E46"/>
    <w:rsid w:val="008A710F"/>
    <w:rsid w:val="008A7E55"/>
    <w:rsid w:val="008B19CE"/>
    <w:rsid w:val="008B20E2"/>
    <w:rsid w:val="008B2811"/>
    <w:rsid w:val="008B393A"/>
    <w:rsid w:val="008B5407"/>
    <w:rsid w:val="008B5AB3"/>
    <w:rsid w:val="008B6329"/>
    <w:rsid w:val="008B64AF"/>
    <w:rsid w:val="008B79D9"/>
    <w:rsid w:val="008C0A5F"/>
    <w:rsid w:val="008C0CE9"/>
    <w:rsid w:val="008C0E32"/>
    <w:rsid w:val="008C124C"/>
    <w:rsid w:val="008C129D"/>
    <w:rsid w:val="008C2AF6"/>
    <w:rsid w:val="008C3E7C"/>
    <w:rsid w:val="008C42B3"/>
    <w:rsid w:val="008C4EEA"/>
    <w:rsid w:val="008C5B1B"/>
    <w:rsid w:val="008C5D87"/>
    <w:rsid w:val="008C6C96"/>
    <w:rsid w:val="008C70B8"/>
    <w:rsid w:val="008C77D6"/>
    <w:rsid w:val="008D1165"/>
    <w:rsid w:val="008D2425"/>
    <w:rsid w:val="008D2CB4"/>
    <w:rsid w:val="008D4182"/>
    <w:rsid w:val="008D5075"/>
    <w:rsid w:val="008D542F"/>
    <w:rsid w:val="008D56A1"/>
    <w:rsid w:val="008D5A49"/>
    <w:rsid w:val="008D5BE0"/>
    <w:rsid w:val="008D60FE"/>
    <w:rsid w:val="008D64E6"/>
    <w:rsid w:val="008E11DC"/>
    <w:rsid w:val="008E2922"/>
    <w:rsid w:val="008E322C"/>
    <w:rsid w:val="008E3BAB"/>
    <w:rsid w:val="008E4527"/>
    <w:rsid w:val="008E561F"/>
    <w:rsid w:val="008E5776"/>
    <w:rsid w:val="008E57F0"/>
    <w:rsid w:val="008E5D23"/>
    <w:rsid w:val="008E7A4B"/>
    <w:rsid w:val="008E7F38"/>
    <w:rsid w:val="008F055F"/>
    <w:rsid w:val="008F169C"/>
    <w:rsid w:val="008F28A2"/>
    <w:rsid w:val="008F389D"/>
    <w:rsid w:val="008F481A"/>
    <w:rsid w:val="008F5586"/>
    <w:rsid w:val="008F6498"/>
    <w:rsid w:val="008F7517"/>
    <w:rsid w:val="009002D3"/>
    <w:rsid w:val="0090163B"/>
    <w:rsid w:val="00901A94"/>
    <w:rsid w:val="00901C6A"/>
    <w:rsid w:val="00902311"/>
    <w:rsid w:val="00902A78"/>
    <w:rsid w:val="0090306D"/>
    <w:rsid w:val="00903AB9"/>
    <w:rsid w:val="009048DC"/>
    <w:rsid w:val="00904A41"/>
    <w:rsid w:val="009055CE"/>
    <w:rsid w:val="0090606D"/>
    <w:rsid w:val="00906F2A"/>
    <w:rsid w:val="0091035F"/>
    <w:rsid w:val="00911F44"/>
    <w:rsid w:val="00912CE9"/>
    <w:rsid w:val="00913239"/>
    <w:rsid w:val="00913D89"/>
    <w:rsid w:val="009162F8"/>
    <w:rsid w:val="0091753D"/>
    <w:rsid w:val="00917691"/>
    <w:rsid w:val="009209DF"/>
    <w:rsid w:val="00920B81"/>
    <w:rsid w:val="00920B84"/>
    <w:rsid w:val="009222E8"/>
    <w:rsid w:val="009224F8"/>
    <w:rsid w:val="00922C52"/>
    <w:rsid w:val="009235FC"/>
    <w:rsid w:val="00923EAF"/>
    <w:rsid w:val="009241A5"/>
    <w:rsid w:val="009241D9"/>
    <w:rsid w:val="009243BA"/>
    <w:rsid w:val="00924B62"/>
    <w:rsid w:val="00930797"/>
    <w:rsid w:val="00930CEA"/>
    <w:rsid w:val="00930E42"/>
    <w:rsid w:val="00932345"/>
    <w:rsid w:val="00932752"/>
    <w:rsid w:val="00934253"/>
    <w:rsid w:val="00934A1D"/>
    <w:rsid w:val="00937D71"/>
    <w:rsid w:val="00940B17"/>
    <w:rsid w:val="00940C43"/>
    <w:rsid w:val="00941438"/>
    <w:rsid w:val="00941DC8"/>
    <w:rsid w:val="009427A7"/>
    <w:rsid w:val="00942A70"/>
    <w:rsid w:val="00942D66"/>
    <w:rsid w:val="0094408C"/>
    <w:rsid w:val="009441AA"/>
    <w:rsid w:val="009443C8"/>
    <w:rsid w:val="00944588"/>
    <w:rsid w:val="00944892"/>
    <w:rsid w:val="0094494E"/>
    <w:rsid w:val="00944B2E"/>
    <w:rsid w:val="00945A68"/>
    <w:rsid w:val="00946056"/>
    <w:rsid w:val="009463F7"/>
    <w:rsid w:val="009468A8"/>
    <w:rsid w:val="0094699D"/>
    <w:rsid w:val="009475C9"/>
    <w:rsid w:val="00947F00"/>
    <w:rsid w:val="00950A88"/>
    <w:rsid w:val="00951614"/>
    <w:rsid w:val="0095183E"/>
    <w:rsid w:val="00951F22"/>
    <w:rsid w:val="00954828"/>
    <w:rsid w:val="0095615D"/>
    <w:rsid w:val="009570E1"/>
    <w:rsid w:val="00960B07"/>
    <w:rsid w:val="00960DD8"/>
    <w:rsid w:val="009630C0"/>
    <w:rsid w:val="00963E67"/>
    <w:rsid w:val="009648E1"/>
    <w:rsid w:val="00966B72"/>
    <w:rsid w:val="00967300"/>
    <w:rsid w:val="00970249"/>
    <w:rsid w:val="0097035D"/>
    <w:rsid w:val="009704F7"/>
    <w:rsid w:val="009716F5"/>
    <w:rsid w:val="0097341D"/>
    <w:rsid w:val="00973E88"/>
    <w:rsid w:val="00974E9C"/>
    <w:rsid w:val="00975729"/>
    <w:rsid w:val="00976259"/>
    <w:rsid w:val="00976AD5"/>
    <w:rsid w:val="00976D04"/>
    <w:rsid w:val="00977BD8"/>
    <w:rsid w:val="009800CF"/>
    <w:rsid w:val="009805E3"/>
    <w:rsid w:val="009806BA"/>
    <w:rsid w:val="00980863"/>
    <w:rsid w:val="009816FD"/>
    <w:rsid w:val="00981EDF"/>
    <w:rsid w:val="009828CA"/>
    <w:rsid w:val="009832C8"/>
    <w:rsid w:val="00984040"/>
    <w:rsid w:val="009842CE"/>
    <w:rsid w:val="00985D21"/>
    <w:rsid w:val="00986147"/>
    <w:rsid w:val="00986BF8"/>
    <w:rsid w:val="00986FA1"/>
    <w:rsid w:val="009901FE"/>
    <w:rsid w:val="00991692"/>
    <w:rsid w:val="00994210"/>
    <w:rsid w:val="00994A9F"/>
    <w:rsid w:val="00995478"/>
    <w:rsid w:val="00995BD0"/>
    <w:rsid w:val="00995D64"/>
    <w:rsid w:val="00996849"/>
    <w:rsid w:val="00996BA1"/>
    <w:rsid w:val="00996C19"/>
    <w:rsid w:val="00997107"/>
    <w:rsid w:val="009A17D7"/>
    <w:rsid w:val="009A1810"/>
    <w:rsid w:val="009A2691"/>
    <w:rsid w:val="009A2862"/>
    <w:rsid w:val="009A37D1"/>
    <w:rsid w:val="009A4A14"/>
    <w:rsid w:val="009A4F34"/>
    <w:rsid w:val="009A5529"/>
    <w:rsid w:val="009A6E3F"/>
    <w:rsid w:val="009A77C4"/>
    <w:rsid w:val="009B0E51"/>
    <w:rsid w:val="009B150E"/>
    <w:rsid w:val="009B1514"/>
    <w:rsid w:val="009B1A49"/>
    <w:rsid w:val="009B1A97"/>
    <w:rsid w:val="009B1B93"/>
    <w:rsid w:val="009B21B1"/>
    <w:rsid w:val="009B2963"/>
    <w:rsid w:val="009B2F4A"/>
    <w:rsid w:val="009B314C"/>
    <w:rsid w:val="009B47F3"/>
    <w:rsid w:val="009B4ACD"/>
    <w:rsid w:val="009B58C5"/>
    <w:rsid w:val="009B5989"/>
    <w:rsid w:val="009B5AE1"/>
    <w:rsid w:val="009B649A"/>
    <w:rsid w:val="009B69F1"/>
    <w:rsid w:val="009B7B79"/>
    <w:rsid w:val="009C1532"/>
    <w:rsid w:val="009C1BE7"/>
    <w:rsid w:val="009C1D49"/>
    <w:rsid w:val="009C3B24"/>
    <w:rsid w:val="009C4BDF"/>
    <w:rsid w:val="009C51B3"/>
    <w:rsid w:val="009C5253"/>
    <w:rsid w:val="009C5E58"/>
    <w:rsid w:val="009C7D81"/>
    <w:rsid w:val="009C7E08"/>
    <w:rsid w:val="009D0BA4"/>
    <w:rsid w:val="009D110D"/>
    <w:rsid w:val="009D259B"/>
    <w:rsid w:val="009D2C3D"/>
    <w:rsid w:val="009D3869"/>
    <w:rsid w:val="009D3D21"/>
    <w:rsid w:val="009D630F"/>
    <w:rsid w:val="009E0557"/>
    <w:rsid w:val="009E0DB9"/>
    <w:rsid w:val="009E2A47"/>
    <w:rsid w:val="009E34EA"/>
    <w:rsid w:val="009E39DB"/>
    <w:rsid w:val="009E3D2D"/>
    <w:rsid w:val="009E5674"/>
    <w:rsid w:val="009E5C17"/>
    <w:rsid w:val="009E669C"/>
    <w:rsid w:val="009E7BFE"/>
    <w:rsid w:val="009F156A"/>
    <w:rsid w:val="009F167A"/>
    <w:rsid w:val="009F27F5"/>
    <w:rsid w:val="009F28AD"/>
    <w:rsid w:val="009F39F1"/>
    <w:rsid w:val="009F3A00"/>
    <w:rsid w:val="009F3E39"/>
    <w:rsid w:val="009F4030"/>
    <w:rsid w:val="009F5463"/>
    <w:rsid w:val="009F67EB"/>
    <w:rsid w:val="009F69EE"/>
    <w:rsid w:val="009F6E08"/>
    <w:rsid w:val="009F7777"/>
    <w:rsid w:val="00A00199"/>
    <w:rsid w:val="00A006FC"/>
    <w:rsid w:val="00A01F9F"/>
    <w:rsid w:val="00A022D1"/>
    <w:rsid w:val="00A02366"/>
    <w:rsid w:val="00A0295C"/>
    <w:rsid w:val="00A03D79"/>
    <w:rsid w:val="00A03E01"/>
    <w:rsid w:val="00A040C5"/>
    <w:rsid w:val="00A04722"/>
    <w:rsid w:val="00A05278"/>
    <w:rsid w:val="00A0704C"/>
    <w:rsid w:val="00A075BA"/>
    <w:rsid w:val="00A102D6"/>
    <w:rsid w:val="00A10D43"/>
    <w:rsid w:val="00A116D3"/>
    <w:rsid w:val="00A11E11"/>
    <w:rsid w:val="00A12267"/>
    <w:rsid w:val="00A122DE"/>
    <w:rsid w:val="00A14CD5"/>
    <w:rsid w:val="00A157EA"/>
    <w:rsid w:val="00A15BEA"/>
    <w:rsid w:val="00A15F16"/>
    <w:rsid w:val="00A1710F"/>
    <w:rsid w:val="00A2049A"/>
    <w:rsid w:val="00A20E89"/>
    <w:rsid w:val="00A215D3"/>
    <w:rsid w:val="00A21A41"/>
    <w:rsid w:val="00A221C2"/>
    <w:rsid w:val="00A22348"/>
    <w:rsid w:val="00A23868"/>
    <w:rsid w:val="00A23999"/>
    <w:rsid w:val="00A246C1"/>
    <w:rsid w:val="00A248CF"/>
    <w:rsid w:val="00A25F7F"/>
    <w:rsid w:val="00A268A4"/>
    <w:rsid w:val="00A26AEC"/>
    <w:rsid w:val="00A27A4E"/>
    <w:rsid w:val="00A30569"/>
    <w:rsid w:val="00A31BF2"/>
    <w:rsid w:val="00A33066"/>
    <w:rsid w:val="00A3317A"/>
    <w:rsid w:val="00A33F31"/>
    <w:rsid w:val="00A344B9"/>
    <w:rsid w:val="00A344E4"/>
    <w:rsid w:val="00A34F51"/>
    <w:rsid w:val="00A35528"/>
    <w:rsid w:val="00A3585B"/>
    <w:rsid w:val="00A35ACA"/>
    <w:rsid w:val="00A35B0B"/>
    <w:rsid w:val="00A3671D"/>
    <w:rsid w:val="00A369FB"/>
    <w:rsid w:val="00A36AC7"/>
    <w:rsid w:val="00A36DEE"/>
    <w:rsid w:val="00A40804"/>
    <w:rsid w:val="00A41100"/>
    <w:rsid w:val="00A429B4"/>
    <w:rsid w:val="00A443EE"/>
    <w:rsid w:val="00A45540"/>
    <w:rsid w:val="00A51027"/>
    <w:rsid w:val="00A5124C"/>
    <w:rsid w:val="00A512BB"/>
    <w:rsid w:val="00A5140B"/>
    <w:rsid w:val="00A5145A"/>
    <w:rsid w:val="00A52DB3"/>
    <w:rsid w:val="00A53026"/>
    <w:rsid w:val="00A53439"/>
    <w:rsid w:val="00A5361B"/>
    <w:rsid w:val="00A54FA5"/>
    <w:rsid w:val="00A5500D"/>
    <w:rsid w:val="00A55C55"/>
    <w:rsid w:val="00A55F48"/>
    <w:rsid w:val="00A560FD"/>
    <w:rsid w:val="00A57264"/>
    <w:rsid w:val="00A57CA6"/>
    <w:rsid w:val="00A60319"/>
    <w:rsid w:val="00A6058A"/>
    <w:rsid w:val="00A60A36"/>
    <w:rsid w:val="00A615D0"/>
    <w:rsid w:val="00A6201D"/>
    <w:rsid w:val="00A62958"/>
    <w:rsid w:val="00A62FB9"/>
    <w:rsid w:val="00A64C74"/>
    <w:rsid w:val="00A64EFF"/>
    <w:rsid w:val="00A65FD8"/>
    <w:rsid w:val="00A67366"/>
    <w:rsid w:val="00A7181C"/>
    <w:rsid w:val="00A727B0"/>
    <w:rsid w:val="00A73A07"/>
    <w:rsid w:val="00A73E33"/>
    <w:rsid w:val="00A74414"/>
    <w:rsid w:val="00A74B88"/>
    <w:rsid w:val="00A7625F"/>
    <w:rsid w:val="00A77FAE"/>
    <w:rsid w:val="00A80A5E"/>
    <w:rsid w:val="00A80E6B"/>
    <w:rsid w:val="00A80F1C"/>
    <w:rsid w:val="00A819B1"/>
    <w:rsid w:val="00A81C63"/>
    <w:rsid w:val="00A81CA2"/>
    <w:rsid w:val="00A83FF7"/>
    <w:rsid w:val="00A84FE7"/>
    <w:rsid w:val="00A856D1"/>
    <w:rsid w:val="00A859FC"/>
    <w:rsid w:val="00A85AB0"/>
    <w:rsid w:val="00A8667F"/>
    <w:rsid w:val="00A86DAF"/>
    <w:rsid w:val="00A86DD5"/>
    <w:rsid w:val="00A8793E"/>
    <w:rsid w:val="00A87D86"/>
    <w:rsid w:val="00A87DD3"/>
    <w:rsid w:val="00A87FE4"/>
    <w:rsid w:val="00A909C5"/>
    <w:rsid w:val="00A9282E"/>
    <w:rsid w:val="00A92C7B"/>
    <w:rsid w:val="00A9307C"/>
    <w:rsid w:val="00A93EE5"/>
    <w:rsid w:val="00A953F6"/>
    <w:rsid w:val="00A9791E"/>
    <w:rsid w:val="00A97DCE"/>
    <w:rsid w:val="00AA0033"/>
    <w:rsid w:val="00AA0284"/>
    <w:rsid w:val="00AA06B7"/>
    <w:rsid w:val="00AA08D0"/>
    <w:rsid w:val="00AA1990"/>
    <w:rsid w:val="00AA1992"/>
    <w:rsid w:val="00AA1C22"/>
    <w:rsid w:val="00AA25CC"/>
    <w:rsid w:val="00AA3853"/>
    <w:rsid w:val="00AA46EF"/>
    <w:rsid w:val="00AA4F00"/>
    <w:rsid w:val="00AA5A0D"/>
    <w:rsid w:val="00AA5FB8"/>
    <w:rsid w:val="00AA7473"/>
    <w:rsid w:val="00AA7BBA"/>
    <w:rsid w:val="00AB1055"/>
    <w:rsid w:val="00AB33A0"/>
    <w:rsid w:val="00AB4116"/>
    <w:rsid w:val="00AB4A12"/>
    <w:rsid w:val="00AB5858"/>
    <w:rsid w:val="00AB7BB6"/>
    <w:rsid w:val="00AC0365"/>
    <w:rsid w:val="00AC196E"/>
    <w:rsid w:val="00AC1A31"/>
    <w:rsid w:val="00AC1E64"/>
    <w:rsid w:val="00AC2AD2"/>
    <w:rsid w:val="00AC3C57"/>
    <w:rsid w:val="00AC3F62"/>
    <w:rsid w:val="00AC422D"/>
    <w:rsid w:val="00AC56B0"/>
    <w:rsid w:val="00AC57F4"/>
    <w:rsid w:val="00AC6733"/>
    <w:rsid w:val="00AD067A"/>
    <w:rsid w:val="00AD07BF"/>
    <w:rsid w:val="00AD0A1B"/>
    <w:rsid w:val="00AD287C"/>
    <w:rsid w:val="00AD3A86"/>
    <w:rsid w:val="00AD3D3C"/>
    <w:rsid w:val="00AD3FD2"/>
    <w:rsid w:val="00AD438D"/>
    <w:rsid w:val="00AD6A7D"/>
    <w:rsid w:val="00AD6F9E"/>
    <w:rsid w:val="00AD7273"/>
    <w:rsid w:val="00AE007C"/>
    <w:rsid w:val="00AE016F"/>
    <w:rsid w:val="00AE03A5"/>
    <w:rsid w:val="00AE1782"/>
    <w:rsid w:val="00AE2641"/>
    <w:rsid w:val="00AE2789"/>
    <w:rsid w:val="00AE4E16"/>
    <w:rsid w:val="00AE509F"/>
    <w:rsid w:val="00AE591A"/>
    <w:rsid w:val="00AE5A0B"/>
    <w:rsid w:val="00AE5C9C"/>
    <w:rsid w:val="00AE6AA5"/>
    <w:rsid w:val="00AE6AD9"/>
    <w:rsid w:val="00AE6C1D"/>
    <w:rsid w:val="00AE6F20"/>
    <w:rsid w:val="00AF0424"/>
    <w:rsid w:val="00AF0A25"/>
    <w:rsid w:val="00AF1179"/>
    <w:rsid w:val="00AF27EB"/>
    <w:rsid w:val="00AF343D"/>
    <w:rsid w:val="00AF3EB7"/>
    <w:rsid w:val="00AF3EF1"/>
    <w:rsid w:val="00AF4683"/>
    <w:rsid w:val="00AF61DC"/>
    <w:rsid w:val="00AF71CF"/>
    <w:rsid w:val="00AF7572"/>
    <w:rsid w:val="00AF7C28"/>
    <w:rsid w:val="00B004A4"/>
    <w:rsid w:val="00B0057F"/>
    <w:rsid w:val="00B00BF5"/>
    <w:rsid w:val="00B00F15"/>
    <w:rsid w:val="00B0100D"/>
    <w:rsid w:val="00B01128"/>
    <w:rsid w:val="00B01AB0"/>
    <w:rsid w:val="00B03790"/>
    <w:rsid w:val="00B04AA9"/>
    <w:rsid w:val="00B055AA"/>
    <w:rsid w:val="00B059DD"/>
    <w:rsid w:val="00B067DF"/>
    <w:rsid w:val="00B07645"/>
    <w:rsid w:val="00B078F2"/>
    <w:rsid w:val="00B109EF"/>
    <w:rsid w:val="00B10BD4"/>
    <w:rsid w:val="00B10D20"/>
    <w:rsid w:val="00B12404"/>
    <w:rsid w:val="00B12652"/>
    <w:rsid w:val="00B12774"/>
    <w:rsid w:val="00B14325"/>
    <w:rsid w:val="00B1459B"/>
    <w:rsid w:val="00B1537E"/>
    <w:rsid w:val="00B16A33"/>
    <w:rsid w:val="00B17BC8"/>
    <w:rsid w:val="00B20173"/>
    <w:rsid w:val="00B20A14"/>
    <w:rsid w:val="00B20BDF"/>
    <w:rsid w:val="00B210D9"/>
    <w:rsid w:val="00B2172D"/>
    <w:rsid w:val="00B227E0"/>
    <w:rsid w:val="00B23193"/>
    <w:rsid w:val="00B251B7"/>
    <w:rsid w:val="00B25591"/>
    <w:rsid w:val="00B276E9"/>
    <w:rsid w:val="00B27B6A"/>
    <w:rsid w:val="00B30038"/>
    <w:rsid w:val="00B30704"/>
    <w:rsid w:val="00B30E18"/>
    <w:rsid w:val="00B315D5"/>
    <w:rsid w:val="00B31787"/>
    <w:rsid w:val="00B324B3"/>
    <w:rsid w:val="00B3251A"/>
    <w:rsid w:val="00B32A39"/>
    <w:rsid w:val="00B32DAB"/>
    <w:rsid w:val="00B32FA3"/>
    <w:rsid w:val="00B33282"/>
    <w:rsid w:val="00B33736"/>
    <w:rsid w:val="00B3433D"/>
    <w:rsid w:val="00B343E0"/>
    <w:rsid w:val="00B34A6B"/>
    <w:rsid w:val="00B353A8"/>
    <w:rsid w:val="00B358E3"/>
    <w:rsid w:val="00B36013"/>
    <w:rsid w:val="00B3732A"/>
    <w:rsid w:val="00B37385"/>
    <w:rsid w:val="00B375DB"/>
    <w:rsid w:val="00B37994"/>
    <w:rsid w:val="00B41681"/>
    <w:rsid w:val="00B41C45"/>
    <w:rsid w:val="00B4479B"/>
    <w:rsid w:val="00B44E58"/>
    <w:rsid w:val="00B4530B"/>
    <w:rsid w:val="00B454FD"/>
    <w:rsid w:val="00B458DE"/>
    <w:rsid w:val="00B45F10"/>
    <w:rsid w:val="00B46098"/>
    <w:rsid w:val="00B46463"/>
    <w:rsid w:val="00B46C16"/>
    <w:rsid w:val="00B47AEB"/>
    <w:rsid w:val="00B50F53"/>
    <w:rsid w:val="00B512F5"/>
    <w:rsid w:val="00B51F56"/>
    <w:rsid w:val="00B52BE9"/>
    <w:rsid w:val="00B53154"/>
    <w:rsid w:val="00B53774"/>
    <w:rsid w:val="00B5379B"/>
    <w:rsid w:val="00B53BE8"/>
    <w:rsid w:val="00B53E41"/>
    <w:rsid w:val="00B53FA3"/>
    <w:rsid w:val="00B552A1"/>
    <w:rsid w:val="00B5539B"/>
    <w:rsid w:val="00B554A8"/>
    <w:rsid w:val="00B5550A"/>
    <w:rsid w:val="00B56134"/>
    <w:rsid w:val="00B562A2"/>
    <w:rsid w:val="00B56677"/>
    <w:rsid w:val="00B572F8"/>
    <w:rsid w:val="00B574D1"/>
    <w:rsid w:val="00B57D35"/>
    <w:rsid w:val="00B6081F"/>
    <w:rsid w:val="00B61050"/>
    <w:rsid w:val="00B61419"/>
    <w:rsid w:val="00B62973"/>
    <w:rsid w:val="00B6479A"/>
    <w:rsid w:val="00B649F6"/>
    <w:rsid w:val="00B64D7C"/>
    <w:rsid w:val="00B65069"/>
    <w:rsid w:val="00B66216"/>
    <w:rsid w:val="00B666A9"/>
    <w:rsid w:val="00B672DD"/>
    <w:rsid w:val="00B67629"/>
    <w:rsid w:val="00B70496"/>
    <w:rsid w:val="00B70B3A"/>
    <w:rsid w:val="00B70D51"/>
    <w:rsid w:val="00B71AE9"/>
    <w:rsid w:val="00B723C7"/>
    <w:rsid w:val="00B7266A"/>
    <w:rsid w:val="00B7270A"/>
    <w:rsid w:val="00B72B2D"/>
    <w:rsid w:val="00B72C0B"/>
    <w:rsid w:val="00B72CA2"/>
    <w:rsid w:val="00B74132"/>
    <w:rsid w:val="00B7415F"/>
    <w:rsid w:val="00B7494C"/>
    <w:rsid w:val="00B74BC1"/>
    <w:rsid w:val="00B7567F"/>
    <w:rsid w:val="00B75B3A"/>
    <w:rsid w:val="00B75C1F"/>
    <w:rsid w:val="00B75F06"/>
    <w:rsid w:val="00B76023"/>
    <w:rsid w:val="00B7665B"/>
    <w:rsid w:val="00B802B8"/>
    <w:rsid w:val="00B820D7"/>
    <w:rsid w:val="00B8235B"/>
    <w:rsid w:val="00B823A6"/>
    <w:rsid w:val="00B8241A"/>
    <w:rsid w:val="00B82702"/>
    <w:rsid w:val="00B828B7"/>
    <w:rsid w:val="00B837C1"/>
    <w:rsid w:val="00B845B1"/>
    <w:rsid w:val="00B84A3F"/>
    <w:rsid w:val="00B85582"/>
    <w:rsid w:val="00B85E8E"/>
    <w:rsid w:val="00B86A68"/>
    <w:rsid w:val="00B87369"/>
    <w:rsid w:val="00B903F2"/>
    <w:rsid w:val="00B9179F"/>
    <w:rsid w:val="00B92206"/>
    <w:rsid w:val="00B92B27"/>
    <w:rsid w:val="00B93A9D"/>
    <w:rsid w:val="00B93E4F"/>
    <w:rsid w:val="00B94181"/>
    <w:rsid w:val="00B96EAF"/>
    <w:rsid w:val="00B97092"/>
    <w:rsid w:val="00BA17C1"/>
    <w:rsid w:val="00BA3A77"/>
    <w:rsid w:val="00BA3B29"/>
    <w:rsid w:val="00BA43C4"/>
    <w:rsid w:val="00BA4C33"/>
    <w:rsid w:val="00BA6B44"/>
    <w:rsid w:val="00BA6F12"/>
    <w:rsid w:val="00BA7527"/>
    <w:rsid w:val="00BA7F12"/>
    <w:rsid w:val="00BB0B71"/>
    <w:rsid w:val="00BB19AF"/>
    <w:rsid w:val="00BB2112"/>
    <w:rsid w:val="00BB42C1"/>
    <w:rsid w:val="00BB4806"/>
    <w:rsid w:val="00BB6F97"/>
    <w:rsid w:val="00BC5179"/>
    <w:rsid w:val="00BC6347"/>
    <w:rsid w:val="00BC6A50"/>
    <w:rsid w:val="00BC76DF"/>
    <w:rsid w:val="00BC782C"/>
    <w:rsid w:val="00BC783B"/>
    <w:rsid w:val="00BC7D9C"/>
    <w:rsid w:val="00BD364D"/>
    <w:rsid w:val="00BD38C6"/>
    <w:rsid w:val="00BD3AA8"/>
    <w:rsid w:val="00BD453C"/>
    <w:rsid w:val="00BD4B2A"/>
    <w:rsid w:val="00BD5170"/>
    <w:rsid w:val="00BE0041"/>
    <w:rsid w:val="00BE05F8"/>
    <w:rsid w:val="00BE1084"/>
    <w:rsid w:val="00BE162C"/>
    <w:rsid w:val="00BE2818"/>
    <w:rsid w:val="00BE2941"/>
    <w:rsid w:val="00BE3934"/>
    <w:rsid w:val="00BE39F1"/>
    <w:rsid w:val="00BE43EF"/>
    <w:rsid w:val="00BE507A"/>
    <w:rsid w:val="00BE52C7"/>
    <w:rsid w:val="00BE65D8"/>
    <w:rsid w:val="00BE6D3B"/>
    <w:rsid w:val="00BF0FAC"/>
    <w:rsid w:val="00BF104A"/>
    <w:rsid w:val="00BF1555"/>
    <w:rsid w:val="00BF16C0"/>
    <w:rsid w:val="00BF1738"/>
    <w:rsid w:val="00BF1A28"/>
    <w:rsid w:val="00BF242C"/>
    <w:rsid w:val="00BF443B"/>
    <w:rsid w:val="00BF4E20"/>
    <w:rsid w:val="00BF5105"/>
    <w:rsid w:val="00BF5E16"/>
    <w:rsid w:val="00BF60CE"/>
    <w:rsid w:val="00BF66EF"/>
    <w:rsid w:val="00BF734A"/>
    <w:rsid w:val="00BF74CF"/>
    <w:rsid w:val="00C010B6"/>
    <w:rsid w:val="00C02049"/>
    <w:rsid w:val="00C022A5"/>
    <w:rsid w:val="00C024A6"/>
    <w:rsid w:val="00C025B0"/>
    <w:rsid w:val="00C04496"/>
    <w:rsid w:val="00C048A1"/>
    <w:rsid w:val="00C0495D"/>
    <w:rsid w:val="00C050C2"/>
    <w:rsid w:val="00C05DEA"/>
    <w:rsid w:val="00C070EA"/>
    <w:rsid w:val="00C0766B"/>
    <w:rsid w:val="00C111C6"/>
    <w:rsid w:val="00C1172E"/>
    <w:rsid w:val="00C11AF5"/>
    <w:rsid w:val="00C11B44"/>
    <w:rsid w:val="00C11FCB"/>
    <w:rsid w:val="00C12D07"/>
    <w:rsid w:val="00C13A7C"/>
    <w:rsid w:val="00C14340"/>
    <w:rsid w:val="00C14691"/>
    <w:rsid w:val="00C15446"/>
    <w:rsid w:val="00C1557A"/>
    <w:rsid w:val="00C1575B"/>
    <w:rsid w:val="00C165FB"/>
    <w:rsid w:val="00C167BD"/>
    <w:rsid w:val="00C16D58"/>
    <w:rsid w:val="00C20EB0"/>
    <w:rsid w:val="00C21223"/>
    <w:rsid w:val="00C2164E"/>
    <w:rsid w:val="00C21C7C"/>
    <w:rsid w:val="00C2257F"/>
    <w:rsid w:val="00C22685"/>
    <w:rsid w:val="00C23893"/>
    <w:rsid w:val="00C24306"/>
    <w:rsid w:val="00C25101"/>
    <w:rsid w:val="00C266CB"/>
    <w:rsid w:val="00C273F5"/>
    <w:rsid w:val="00C27F72"/>
    <w:rsid w:val="00C31F7D"/>
    <w:rsid w:val="00C32C86"/>
    <w:rsid w:val="00C3344D"/>
    <w:rsid w:val="00C33B2A"/>
    <w:rsid w:val="00C33B9C"/>
    <w:rsid w:val="00C35300"/>
    <w:rsid w:val="00C3532D"/>
    <w:rsid w:val="00C354B5"/>
    <w:rsid w:val="00C35B4E"/>
    <w:rsid w:val="00C36050"/>
    <w:rsid w:val="00C364DA"/>
    <w:rsid w:val="00C36A4D"/>
    <w:rsid w:val="00C36B5B"/>
    <w:rsid w:val="00C3718A"/>
    <w:rsid w:val="00C3767C"/>
    <w:rsid w:val="00C37788"/>
    <w:rsid w:val="00C4025C"/>
    <w:rsid w:val="00C414D1"/>
    <w:rsid w:val="00C41B3E"/>
    <w:rsid w:val="00C425BF"/>
    <w:rsid w:val="00C42A58"/>
    <w:rsid w:val="00C43086"/>
    <w:rsid w:val="00C45F6C"/>
    <w:rsid w:val="00C462CD"/>
    <w:rsid w:val="00C46770"/>
    <w:rsid w:val="00C46B79"/>
    <w:rsid w:val="00C473E9"/>
    <w:rsid w:val="00C47A79"/>
    <w:rsid w:val="00C47EE7"/>
    <w:rsid w:val="00C5165A"/>
    <w:rsid w:val="00C52D5B"/>
    <w:rsid w:val="00C53591"/>
    <w:rsid w:val="00C53A9D"/>
    <w:rsid w:val="00C53FDA"/>
    <w:rsid w:val="00C545C9"/>
    <w:rsid w:val="00C54ED0"/>
    <w:rsid w:val="00C56A9A"/>
    <w:rsid w:val="00C571ED"/>
    <w:rsid w:val="00C575A8"/>
    <w:rsid w:val="00C57B09"/>
    <w:rsid w:val="00C60057"/>
    <w:rsid w:val="00C60E69"/>
    <w:rsid w:val="00C61B61"/>
    <w:rsid w:val="00C62259"/>
    <w:rsid w:val="00C63351"/>
    <w:rsid w:val="00C637B9"/>
    <w:rsid w:val="00C63B49"/>
    <w:rsid w:val="00C643F0"/>
    <w:rsid w:val="00C64BDD"/>
    <w:rsid w:val="00C64C4B"/>
    <w:rsid w:val="00C6546A"/>
    <w:rsid w:val="00C6562A"/>
    <w:rsid w:val="00C6595A"/>
    <w:rsid w:val="00C670A9"/>
    <w:rsid w:val="00C6728B"/>
    <w:rsid w:val="00C676D4"/>
    <w:rsid w:val="00C677E5"/>
    <w:rsid w:val="00C678F0"/>
    <w:rsid w:val="00C67B95"/>
    <w:rsid w:val="00C708F9"/>
    <w:rsid w:val="00C70C4A"/>
    <w:rsid w:val="00C71591"/>
    <w:rsid w:val="00C7162D"/>
    <w:rsid w:val="00C71773"/>
    <w:rsid w:val="00C723C4"/>
    <w:rsid w:val="00C7257C"/>
    <w:rsid w:val="00C72F84"/>
    <w:rsid w:val="00C737E7"/>
    <w:rsid w:val="00C73EE2"/>
    <w:rsid w:val="00C73F05"/>
    <w:rsid w:val="00C73F33"/>
    <w:rsid w:val="00C741E9"/>
    <w:rsid w:val="00C7434A"/>
    <w:rsid w:val="00C74BE4"/>
    <w:rsid w:val="00C75A79"/>
    <w:rsid w:val="00C77A34"/>
    <w:rsid w:val="00C81628"/>
    <w:rsid w:val="00C81F71"/>
    <w:rsid w:val="00C826A3"/>
    <w:rsid w:val="00C8400A"/>
    <w:rsid w:val="00C84AD8"/>
    <w:rsid w:val="00C85489"/>
    <w:rsid w:val="00C858BE"/>
    <w:rsid w:val="00C85945"/>
    <w:rsid w:val="00C85F85"/>
    <w:rsid w:val="00C87055"/>
    <w:rsid w:val="00C876D3"/>
    <w:rsid w:val="00C87730"/>
    <w:rsid w:val="00C90F03"/>
    <w:rsid w:val="00C9211A"/>
    <w:rsid w:val="00C92D92"/>
    <w:rsid w:val="00C92DF7"/>
    <w:rsid w:val="00C92F98"/>
    <w:rsid w:val="00C93691"/>
    <w:rsid w:val="00C9465D"/>
    <w:rsid w:val="00C94CAD"/>
    <w:rsid w:val="00C9531A"/>
    <w:rsid w:val="00C9607E"/>
    <w:rsid w:val="00CA0269"/>
    <w:rsid w:val="00CA191C"/>
    <w:rsid w:val="00CA1F04"/>
    <w:rsid w:val="00CA2396"/>
    <w:rsid w:val="00CA3131"/>
    <w:rsid w:val="00CA37C2"/>
    <w:rsid w:val="00CA3818"/>
    <w:rsid w:val="00CA38C2"/>
    <w:rsid w:val="00CA5E74"/>
    <w:rsid w:val="00CA707E"/>
    <w:rsid w:val="00CA7C52"/>
    <w:rsid w:val="00CB163A"/>
    <w:rsid w:val="00CB22D0"/>
    <w:rsid w:val="00CB32B3"/>
    <w:rsid w:val="00CB40B3"/>
    <w:rsid w:val="00CB58A2"/>
    <w:rsid w:val="00CB5AFE"/>
    <w:rsid w:val="00CB61F8"/>
    <w:rsid w:val="00CB71F1"/>
    <w:rsid w:val="00CB7872"/>
    <w:rsid w:val="00CC0251"/>
    <w:rsid w:val="00CC02B3"/>
    <w:rsid w:val="00CC07DC"/>
    <w:rsid w:val="00CC1BF9"/>
    <w:rsid w:val="00CC37D1"/>
    <w:rsid w:val="00CC3EDB"/>
    <w:rsid w:val="00CC5D82"/>
    <w:rsid w:val="00CC5E15"/>
    <w:rsid w:val="00CC7039"/>
    <w:rsid w:val="00CC75F5"/>
    <w:rsid w:val="00CD015D"/>
    <w:rsid w:val="00CD0662"/>
    <w:rsid w:val="00CD0CAE"/>
    <w:rsid w:val="00CD15F2"/>
    <w:rsid w:val="00CD2A2A"/>
    <w:rsid w:val="00CD2EC6"/>
    <w:rsid w:val="00CD3C5F"/>
    <w:rsid w:val="00CD3E71"/>
    <w:rsid w:val="00CD41A2"/>
    <w:rsid w:val="00CD46ED"/>
    <w:rsid w:val="00CD4A4A"/>
    <w:rsid w:val="00CD5A64"/>
    <w:rsid w:val="00CD5E23"/>
    <w:rsid w:val="00CD5FFD"/>
    <w:rsid w:val="00CD6B07"/>
    <w:rsid w:val="00CD6E68"/>
    <w:rsid w:val="00CE0269"/>
    <w:rsid w:val="00CE0275"/>
    <w:rsid w:val="00CE0AB9"/>
    <w:rsid w:val="00CE0B2F"/>
    <w:rsid w:val="00CE0C3A"/>
    <w:rsid w:val="00CE1DF1"/>
    <w:rsid w:val="00CE3CD9"/>
    <w:rsid w:val="00CE5C20"/>
    <w:rsid w:val="00CE6A17"/>
    <w:rsid w:val="00CF01A2"/>
    <w:rsid w:val="00CF0799"/>
    <w:rsid w:val="00CF191A"/>
    <w:rsid w:val="00CF19BE"/>
    <w:rsid w:val="00CF29BE"/>
    <w:rsid w:val="00CF4A13"/>
    <w:rsid w:val="00CF4EB3"/>
    <w:rsid w:val="00CF5125"/>
    <w:rsid w:val="00CF5457"/>
    <w:rsid w:val="00CF5CA4"/>
    <w:rsid w:val="00CF5E5A"/>
    <w:rsid w:val="00CF616E"/>
    <w:rsid w:val="00CF63AC"/>
    <w:rsid w:val="00CF7342"/>
    <w:rsid w:val="00CF73FF"/>
    <w:rsid w:val="00CF7409"/>
    <w:rsid w:val="00D02BCE"/>
    <w:rsid w:val="00D02CB3"/>
    <w:rsid w:val="00D0316E"/>
    <w:rsid w:val="00D04428"/>
    <w:rsid w:val="00D048CB"/>
    <w:rsid w:val="00D04F8A"/>
    <w:rsid w:val="00D0576C"/>
    <w:rsid w:val="00D05DDC"/>
    <w:rsid w:val="00D06501"/>
    <w:rsid w:val="00D07D00"/>
    <w:rsid w:val="00D10081"/>
    <w:rsid w:val="00D100A2"/>
    <w:rsid w:val="00D106C1"/>
    <w:rsid w:val="00D1082F"/>
    <w:rsid w:val="00D1402C"/>
    <w:rsid w:val="00D156D4"/>
    <w:rsid w:val="00D16909"/>
    <w:rsid w:val="00D200E4"/>
    <w:rsid w:val="00D208C9"/>
    <w:rsid w:val="00D2114A"/>
    <w:rsid w:val="00D23A35"/>
    <w:rsid w:val="00D24393"/>
    <w:rsid w:val="00D246FF"/>
    <w:rsid w:val="00D25308"/>
    <w:rsid w:val="00D25BD2"/>
    <w:rsid w:val="00D25D79"/>
    <w:rsid w:val="00D315A6"/>
    <w:rsid w:val="00D31A8B"/>
    <w:rsid w:val="00D31EE7"/>
    <w:rsid w:val="00D32AC9"/>
    <w:rsid w:val="00D334A5"/>
    <w:rsid w:val="00D33709"/>
    <w:rsid w:val="00D34521"/>
    <w:rsid w:val="00D34CE2"/>
    <w:rsid w:val="00D35384"/>
    <w:rsid w:val="00D3582A"/>
    <w:rsid w:val="00D36738"/>
    <w:rsid w:val="00D36847"/>
    <w:rsid w:val="00D37696"/>
    <w:rsid w:val="00D37917"/>
    <w:rsid w:val="00D37B22"/>
    <w:rsid w:val="00D40878"/>
    <w:rsid w:val="00D415B5"/>
    <w:rsid w:val="00D41BC8"/>
    <w:rsid w:val="00D42609"/>
    <w:rsid w:val="00D430F0"/>
    <w:rsid w:val="00D43423"/>
    <w:rsid w:val="00D43962"/>
    <w:rsid w:val="00D44859"/>
    <w:rsid w:val="00D451A2"/>
    <w:rsid w:val="00D45349"/>
    <w:rsid w:val="00D45443"/>
    <w:rsid w:val="00D45502"/>
    <w:rsid w:val="00D45824"/>
    <w:rsid w:val="00D45861"/>
    <w:rsid w:val="00D46006"/>
    <w:rsid w:val="00D4616D"/>
    <w:rsid w:val="00D46223"/>
    <w:rsid w:val="00D472D3"/>
    <w:rsid w:val="00D4772F"/>
    <w:rsid w:val="00D50A25"/>
    <w:rsid w:val="00D51098"/>
    <w:rsid w:val="00D52CE9"/>
    <w:rsid w:val="00D52FB3"/>
    <w:rsid w:val="00D54176"/>
    <w:rsid w:val="00D54B19"/>
    <w:rsid w:val="00D55152"/>
    <w:rsid w:val="00D551FC"/>
    <w:rsid w:val="00D55EE7"/>
    <w:rsid w:val="00D57E45"/>
    <w:rsid w:val="00D600D7"/>
    <w:rsid w:val="00D6053A"/>
    <w:rsid w:val="00D60DBE"/>
    <w:rsid w:val="00D60F6A"/>
    <w:rsid w:val="00D61BFF"/>
    <w:rsid w:val="00D61E0F"/>
    <w:rsid w:val="00D62335"/>
    <w:rsid w:val="00D702B1"/>
    <w:rsid w:val="00D70808"/>
    <w:rsid w:val="00D71B4C"/>
    <w:rsid w:val="00D72EAA"/>
    <w:rsid w:val="00D731F1"/>
    <w:rsid w:val="00D7388A"/>
    <w:rsid w:val="00D73B1A"/>
    <w:rsid w:val="00D7457D"/>
    <w:rsid w:val="00D74F90"/>
    <w:rsid w:val="00D75BA6"/>
    <w:rsid w:val="00D77223"/>
    <w:rsid w:val="00D773B2"/>
    <w:rsid w:val="00D80759"/>
    <w:rsid w:val="00D820E7"/>
    <w:rsid w:val="00D83053"/>
    <w:rsid w:val="00D83AD5"/>
    <w:rsid w:val="00D847F1"/>
    <w:rsid w:val="00D85075"/>
    <w:rsid w:val="00D85C74"/>
    <w:rsid w:val="00D864D1"/>
    <w:rsid w:val="00D8695F"/>
    <w:rsid w:val="00D90256"/>
    <w:rsid w:val="00D9072B"/>
    <w:rsid w:val="00D922C4"/>
    <w:rsid w:val="00D92633"/>
    <w:rsid w:val="00D92656"/>
    <w:rsid w:val="00D928CD"/>
    <w:rsid w:val="00D92EA3"/>
    <w:rsid w:val="00D930DA"/>
    <w:rsid w:val="00D937FE"/>
    <w:rsid w:val="00D9384F"/>
    <w:rsid w:val="00D9386D"/>
    <w:rsid w:val="00D943CA"/>
    <w:rsid w:val="00D94A4F"/>
    <w:rsid w:val="00D94AC4"/>
    <w:rsid w:val="00D94EED"/>
    <w:rsid w:val="00D9688D"/>
    <w:rsid w:val="00D97F5D"/>
    <w:rsid w:val="00DA05BD"/>
    <w:rsid w:val="00DA0D1F"/>
    <w:rsid w:val="00DA5142"/>
    <w:rsid w:val="00DA51DA"/>
    <w:rsid w:val="00DA58FD"/>
    <w:rsid w:val="00DA7221"/>
    <w:rsid w:val="00DA7B37"/>
    <w:rsid w:val="00DB0E81"/>
    <w:rsid w:val="00DB32C8"/>
    <w:rsid w:val="00DB3B33"/>
    <w:rsid w:val="00DB4507"/>
    <w:rsid w:val="00DB4B63"/>
    <w:rsid w:val="00DB67E1"/>
    <w:rsid w:val="00DB7444"/>
    <w:rsid w:val="00DB7687"/>
    <w:rsid w:val="00DB7BA6"/>
    <w:rsid w:val="00DC20EF"/>
    <w:rsid w:val="00DC2255"/>
    <w:rsid w:val="00DC2636"/>
    <w:rsid w:val="00DC2826"/>
    <w:rsid w:val="00DC3851"/>
    <w:rsid w:val="00DC3E62"/>
    <w:rsid w:val="00DC428B"/>
    <w:rsid w:val="00DC5C76"/>
    <w:rsid w:val="00DC63F8"/>
    <w:rsid w:val="00DC6C76"/>
    <w:rsid w:val="00DD07B4"/>
    <w:rsid w:val="00DD0B45"/>
    <w:rsid w:val="00DD1EBE"/>
    <w:rsid w:val="00DD2DB4"/>
    <w:rsid w:val="00DD2E19"/>
    <w:rsid w:val="00DD3E42"/>
    <w:rsid w:val="00DD455E"/>
    <w:rsid w:val="00DD4DDB"/>
    <w:rsid w:val="00DD502C"/>
    <w:rsid w:val="00DD56B0"/>
    <w:rsid w:val="00DD6A7C"/>
    <w:rsid w:val="00DD73B1"/>
    <w:rsid w:val="00DD7A0B"/>
    <w:rsid w:val="00DD7A1D"/>
    <w:rsid w:val="00DD7F7D"/>
    <w:rsid w:val="00DE023E"/>
    <w:rsid w:val="00DE1347"/>
    <w:rsid w:val="00DE13D6"/>
    <w:rsid w:val="00DE1D9D"/>
    <w:rsid w:val="00DE2FC0"/>
    <w:rsid w:val="00DE333A"/>
    <w:rsid w:val="00DE402F"/>
    <w:rsid w:val="00DE5DA8"/>
    <w:rsid w:val="00DE5EEF"/>
    <w:rsid w:val="00DE61B0"/>
    <w:rsid w:val="00DE672B"/>
    <w:rsid w:val="00DE68A9"/>
    <w:rsid w:val="00DE7090"/>
    <w:rsid w:val="00DE75E7"/>
    <w:rsid w:val="00DE78A0"/>
    <w:rsid w:val="00DF04B0"/>
    <w:rsid w:val="00DF0F0A"/>
    <w:rsid w:val="00DF127F"/>
    <w:rsid w:val="00DF1B46"/>
    <w:rsid w:val="00DF1CA9"/>
    <w:rsid w:val="00DF2395"/>
    <w:rsid w:val="00DF2EB6"/>
    <w:rsid w:val="00DF5055"/>
    <w:rsid w:val="00DF6216"/>
    <w:rsid w:val="00DF64C6"/>
    <w:rsid w:val="00DF7474"/>
    <w:rsid w:val="00DF7BE6"/>
    <w:rsid w:val="00E00789"/>
    <w:rsid w:val="00E00DC9"/>
    <w:rsid w:val="00E011B0"/>
    <w:rsid w:val="00E01435"/>
    <w:rsid w:val="00E0193B"/>
    <w:rsid w:val="00E0293A"/>
    <w:rsid w:val="00E03B4B"/>
    <w:rsid w:val="00E03ED9"/>
    <w:rsid w:val="00E06172"/>
    <w:rsid w:val="00E0618D"/>
    <w:rsid w:val="00E06832"/>
    <w:rsid w:val="00E06A17"/>
    <w:rsid w:val="00E073E6"/>
    <w:rsid w:val="00E10E9C"/>
    <w:rsid w:val="00E11AB5"/>
    <w:rsid w:val="00E1394B"/>
    <w:rsid w:val="00E14403"/>
    <w:rsid w:val="00E14700"/>
    <w:rsid w:val="00E15DFF"/>
    <w:rsid w:val="00E16052"/>
    <w:rsid w:val="00E16687"/>
    <w:rsid w:val="00E16F58"/>
    <w:rsid w:val="00E1792C"/>
    <w:rsid w:val="00E17F9E"/>
    <w:rsid w:val="00E203E2"/>
    <w:rsid w:val="00E21667"/>
    <w:rsid w:val="00E21875"/>
    <w:rsid w:val="00E226E7"/>
    <w:rsid w:val="00E22FBB"/>
    <w:rsid w:val="00E249B8"/>
    <w:rsid w:val="00E24B4B"/>
    <w:rsid w:val="00E261B6"/>
    <w:rsid w:val="00E2664F"/>
    <w:rsid w:val="00E26C11"/>
    <w:rsid w:val="00E273E5"/>
    <w:rsid w:val="00E27B01"/>
    <w:rsid w:val="00E30975"/>
    <w:rsid w:val="00E309ED"/>
    <w:rsid w:val="00E31E33"/>
    <w:rsid w:val="00E322E6"/>
    <w:rsid w:val="00E32C04"/>
    <w:rsid w:val="00E33AAB"/>
    <w:rsid w:val="00E3492B"/>
    <w:rsid w:val="00E35043"/>
    <w:rsid w:val="00E3742D"/>
    <w:rsid w:val="00E37890"/>
    <w:rsid w:val="00E37DAA"/>
    <w:rsid w:val="00E401D4"/>
    <w:rsid w:val="00E40B18"/>
    <w:rsid w:val="00E419D2"/>
    <w:rsid w:val="00E4285C"/>
    <w:rsid w:val="00E42B6A"/>
    <w:rsid w:val="00E44998"/>
    <w:rsid w:val="00E453B2"/>
    <w:rsid w:val="00E455DE"/>
    <w:rsid w:val="00E45F47"/>
    <w:rsid w:val="00E46055"/>
    <w:rsid w:val="00E460DC"/>
    <w:rsid w:val="00E47FF0"/>
    <w:rsid w:val="00E509C3"/>
    <w:rsid w:val="00E50C7E"/>
    <w:rsid w:val="00E50D03"/>
    <w:rsid w:val="00E50D47"/>
    <w:rsid w:val="00E51A36"/>
    <w:rsid w:val="00E524AB"/>
    <w:rsid w:val="00E53F82"/>
    <w:rsid w:val="00E54623"/>
    <w:rsid w:val="00E5465B"/>
    <w:rsid w:val="00E54F12"/>
    <w:rsid w:val="00E552C9"/>
    <w:rsid w:val="00E55897"/>
    <w:rsid w:val="00E55B83"/>
    <w:rsid w:val="00E56053"/>
    <w:rsid w:val="00E5667D"/>
    <w:rsid w:val="00E56D6F"/>
    <w:rsid w:val="00E575A6"/>
    <w:rsid w:val="00E606F9"/>
    <w:rsid w:val="00E60C3B"/>
    <w:rsid w:val="00E60C5C"/>
    <w:rsid w:val="00E6125E"/>
    <w:rsid w:val="00E6148B"/>
    <w:rsid w:val="00E61796"/>
    <w:rsid w:val="00E61D57"/>
    <w:rsid w:val="00E62180"/>
    <w:rsid w:val="00E63DE6"/>
    <w:rsid w:val="00E64111"/>
    <w:rsid w:val="00E641FB"/>
    <w:rsid w:val="00E64599"/>
    <w:rsid w:val="00E64A25"/>
    <w:rsid w:val="00E64E14"/>
    <w:rsid w:val="00E64FDB"/>
    <w:rsid w:val="00E66D51"/>
    <w:rsid w:val="00E67F24"/>
    <w:rsid w:val="00E723EB"/>
    <w:rsid w:val="00E726D0"/>
    <w:rsid w:val="00E73B1E"/>
    <w:rsid w:val="00E73BAF"/>
    <w:rsid w:val="00E73DEA"/>
    <w:rsid w:val="00E7427C"/>
    <w:rsid w:val="00E74A80"/>
    <w:rsid w:val="00E74EFB"/>
    <w:rsid w:val="00E77339"/>
    <w:rsid w:val="00E77E56"/>
    <w:rsid w:val="00E802FA"/>
    <w:rsid w:val="00E806EB"/>
    <w:rsid w:val="00E81C97"/>
    <w:rsid w:val="00E81D97"/>
    <w:rsid w:val="00E8251C"/>
    <w:rsid w:val="00E8348C"/>
    <w:rsid w:val="00E83CD7"/>
    <w:rsid w:val="00E86A8D"/>
    <w:rsid w:val="00E87046"/>
    <w:rsid w:val="00E87E2B"/>
    <w:rsid w:val="00E9095C"/>
    <w:rsid w:val="00E91685"/>
    <w:rsid w:val="00E922B5"/>
    <w:rsid w:val="00E92648"/>
    <w:rsid w:val="00E93005"/>
    <w:rsid w:val="00E95B22"/>
    <w:rsid w:val="00E95CD5"/>
    <w:rsid w:val="00E963A4"/>
    <w:rsid w:val="00E9715B"/>
    <w:rsid w:val="00EA02FD"/>
    <w:rsid w:val="00EA08E6"/>
    <w:rsid w:val="00EA1B48"/>
    <w:rsid w:val="00EA260E"/>
    <w:rsid w:val="00EA28E2"/>
    <w:rsid w:val="00EA312D"/>
    <w:rsid w:val="00EA457A"/>
    <w:rsid w:val="00EA4B7D"/>
    <w:rsid w:val="00EA514C"/>
    <w:rsid w:val="00EA5304"/>
    <w:rsid w:val="00EA55FE"/>
    <w:rsid w:val="00EA6250"/>
    <w:rsid w:val="00EA6271"/>
    <w:rsid w:val="00EA6573"/>
    <w:rsid w:val="00EA6DDA"/>
    <w:rsid w:val="00EA713A"/>
    <w:rsid w:val="00EB052C"/>
    <w:rsid w:val="00EB1C51"/>
    <w:rsid w:val="00EB1FB0"/>
    <w:rsid w:val="00EB2F89"/>
    <w:rsid w:val="00EB451E"/>
    <w:rsid w:val="00EB5FE3"/>
    <w:rsid w:val="00EB6426"/>
    <w:rsid w:val="00EB644D"/>
    <w:rsid w:val="00EB7FF9"/>
    <w:rsid w:val="00EC0A2A"/>
    <w:rsid w:val="00EC0C5A"/>
    <w:rsid w:val="00EC2F3E"/>
    <w:rsid w:val="00EC4F19"/>
    <w:rsid w:val="00EC5002"/>
    <w:rsid w:val="00EC55E6"/>
    <w:rsid w:val="00EC649A"/>
    <w:rsid w:val="00ED0712"/>
    <w:rsid w:val="00ED0B6C"/>
    <w:rsid w:val="00ED10D7"/>
    <w:rsid w:val="00ED2590"/>
    <w:rsid w:val="00ED3F48"/>
    <w:rsid w:val="00ED4083"/>
    <w:rsid w:val="00ED588F"/>
    <w:rsid w:val="00ED635A"/>
    <w:rsid w:val="00ED6B44"/>
    <w:rsid w:val="00ED6F45"/>
    <w:rsid w:val="00ED7AC9"/>
    <w:rsid w:val="00EE07BA"/>
    <w:rsid w:val="00EE1BAA"/>
    <w:rsid w:val="00EE2D02"/>
    <w:rsid w:val="00EE2F7A"/>
    <w:rsid w:val="00EE46CB"/>
    <w:rsid w:val="00EE4979"/>
    <w:rsid w:val="00EE499D"/>
    <w:rsid w:val="00EE535E"/>
    <w:rsid w:val="00EE59ED"/>
    <w:rsid w:val="00EE6709"/>
    <w:rsid w:val="00EE691F"/>
    <w:rsid w:val="00EE7787"/>
    <w:rsid w:val="00EE79D5"/>
    <w:rsid w:val="00EF0B02"/>
    <w:rsid w:val="00EF0C20"/>
    <w:rsid w:val="00EF0F60"/>
    <w:rsid w:val="00EF29E1"/>
    <w:rsid w:val="00EF36F9"/>
    <w:rsid w:val="00EF40A5"/>
    <w:rsid w:val="00EF58F1"/>
    <w:rsid w:val="00EF693E"/>
    <w:rsid w:val="00EF7A8B"/>
    <w:rsid w:val="00F005CC"/>
    <w:rsid w:val="00F00FD7"/>
    <w:rsid w:val="00F02E78"/>
    <w:rsid w:val="00F03074"/>
    <w:rsid w:val="00F0329F"/>
    <w:rsid w:val="00F03F09"/>
    <w:rsid w:val="00F04257"/>
    <w:rsid w:val="00F04A0E"/>
    <w:rsid w:val="00F0513E"/>
    <w:rsid w:val="00F0574A"/>
    <w:rsid w:val="00F05850"/>
    <w:rsid w:val="00F0616B"/>
    <w:rsid w:val="00F06EC5"/>
    <w:rsid w:val="00F075A8"/>
    <w:rsid w:val="00F1127B"/>
    <w:rsid w:val="00F116E1"/>
    <w:rsid w:val="00F11DA9"/>
    <w:rsid w:val="00F123C6"/>
    <w:rsid w:val="00F13579"/>
    <w:rsid w:val="00F139B2"/>
    <w:rsid w:val="00F14433"/>
    <w:rsid w:val="00F14596"/>
    <w:rsid w:val="00F15483"/>
    <w:rsid w:val="00F16B79"/>
    <w:rsid w:val="00F20A7F"/>
    <w:rsid w:val="00F25252"/>
    <w:rsid w:val="00F25877"/>
    <w:rsid w:val="00F25887"/>
    <w:rsid w:val="00F25CC8"/>
    <w:rsid w:val="00F2668C"/>
    <w:rsid w:val="00F275D2"/>
    <w:rsid w:val="00F3144E"/>
    <w:rsid w:val="00F3147D"/>
    <w:rsid w:val="00F31D91"/>
    <w:rsid w:val="00F340C0"/>
    <w:rsid w:val="00F3412C"/>
    <w:rsid w:val="00F34A2F"/>
    <w:rsid w:val="00F351E2"/>
    <w:rsid w:val="00F36532"/>
    <w:rsid w:val="00F378C7"/>
    <w:rsid w:val="00F37DCF"/>
    <w:rsid w:val="00F406B9"/>
    <w:rsid w:val="00F40B03"/>
    <w:rsid w:val="00F41931"/>
    <w:rsid w:val="00F4195B"/>
    <w:rsid w:val="00F41CE2"/>
    <w:rsid w:val="00F423C2"/>
    <w:rsid w:val="00F42E7F"/>
    <w:rsid w:val="00F43EF6"/>
    <w:rsid w:val="00F44414"/>
    <w:rsid w:val="00F459CE"/>
    <w:rsid w:val="00F46526"/>
    <w:rsid w:val="00F469AF"/>
    <w:rsid w:val="00F47424"/>
    <w:rsid w:val="00F500E8"/>
    <w:rsid w:val="00F50E81"/>
    <w:rsid w:val="00F511CC"/>
    <w:rsid w:val="00F51541"/>
    <w:rsid w:val="00F5171E"/>
    <w:rsid w:val="00F51C8F"/>
    <w:rsid w:val="00F51FE8"/>
    <w:rsid w:val="00F52C90"/>
    <w:rsid w:val="00F52CB3"/>
    <w:rsid w:val="00F5362F"/>
    <w:rsid w:val="00F538BE"/>
    <w:rsid w:val="00F54888"/>
    <w:rsid w:val="00F559DB"/>
    <w:rsid w:val="00F56254"/>
    <w:rsid w:val="00F56EB1"/>
    <w:rsid w:val="00F57439"/>
    <w:rsid w:val="00F60A88"/>
    <w:rsid w:val="00F61062"/>
    <w:rsid w:val="00F616F4"/>
    <w:rsid w:val="00F61718"/>
    <w:rsid w:val="00F61C63"/>
    <w:rsid w:val="00F62128"/>
    <w:rsid w:val="00F62478"/>
    <w:rsid w:val="00F625DF"/>
    <w:rsid w:val="00F6296F"/>
    <w:rsid w:val="00F62B7F"/>
    <w:rsid w:val="00F63397"/>
    <w:rsid w:val="00F63EE2"/>
    <w:rsid w:val="00F645C5"/>
    <w:rsid w:val="00F65AB1"/>
    <w:rsid w:val="00F67043"/>
    <w:rsid w:val="00F67821"/>
    <w:rsid w:val="00F70039"/>
    <w:rsid w:val="00F701A3"/>
    <w:rsid w:val="00F702F9"/>
    <w:rsid w:val="00F7301B"/>
    <w:rsid w:val="00F73AD4"/>
    <w:rsid w:val="00F74105"/>
    <w:rsid w:val="00F7567F"/>
    <w:rsid w:val="00F75FF6"/>
    <w:rsid w:val="00F77661"/>
    <w:rsid w:val="00F81B47"/>
    <w:rsid w:val="00F81E6E"/>
    <w:rsid w:val="00F822A8"/>
    <w:rsid w:val="00F82C5B"/>
    <w:rsid w:val="00F82DF1"/>
    <w:rsid w:val="00F832CC"/>
    <w:rsid w:val="00F847C0"/>
    <w:rsid w:val="00F864A0"/>
    <w:rsid w:val="00F86DD5"/>
    <w:rsid w:val="00F87259"/>
    <w:rsid w:val="00F8753D"/>
    <w:rsid w:val="00F87C52"/>
    <w:rsid w:val="00F9032B"/>
    <w:rsid w:val="00F909ED"/>
    <w:rsid w:val="00F90BD8"/>
    <w:rsid w:val="00F92170"/>
    <w:rsid w:val="00F92296"/>
    <w:rsid w:val="00F934EC"/>
    <w:rsid w:val="00F94F19"/>
    <w:rsid w:val="00F95C8E"/>
    <w:rsid w:val="00F960CA"/>
    <w:rsid w:val="00F96F47"/>
    <w:rsid w:val="00FA03B8"/>
    <w:rsid w:val="00FA106B"/>
    <w:rsid w:val="00FA27A6"/>
    <w:rsid w:val="00FA470C"/>
    <w:rsid w:val="00FA4721"/>
    <w:rsid w:val="00FA4909"/>
    <w:rsid w:val="00FA56B8"/>
    <w:rsid w:val="00FA5C71"/>
    <w:rsid w:val="00FA5D60"/>
    <w:rsid w:val="00FA717D"/>
    <w:rsid w:val="00FA724A"/>
    <w:rsid w:val="00FA7D2E"/>
    <w:rsid w:val="00FB12BF"/>
    <w:rsid w:val="00FB36AF"/>
    <w:rsid w:val="00FB4425"/>
    <w:rsid w:val="00FB4ED2"/>
    <w:rsid w:val="00FB527C"/>
    <w:rsid w:val="00FB587D"/>
    <w:rsid w:val="00FB642C"/>
    <w:rsid w:val="00FB658F"/>
    <w:rsid w:val="00FB68F8"/>
    <w:rsid w:val="00FB6F65"/>
    <w:rsid w:val="00FB70BD"/>
    <w:rsid w:val="00FB78C4"/>
    <w:rsid w:val="00FB7DF2"/>
    <w:rsid w:val="00FC0940"/>
    <w:rsid w:val="00FC0C65"/>
    <w:rsid w:val="00FC151F"/>
    <w:rsid w:val="00FC1696"/>
    <w:rsid w:val="00FC214B"/>
    <w:rsid w:val="00FC28BC"/>
    <w:rsid w:val="00FC2B65"/>
    <w:rsid w:val="00FC334A"/>
    <w:rsid w:val="00FC44B3"/>
    <w:rsid w:val="00FC5757"/>
    <w:rsid w:val="00FC5E19"/>
    <w:rsid w:val="00FC6969"/>
    <w:rsid w:val="00FD0152"/>
    <w:rsid w:val="00FD028E"/>
    <w:rsid w:val="00FD08F0"/>
    <w:rsid w:val="00FD123F"/>
    <w:rsid w:val="00FD13CF"/>
    <w:rsid w:val="00FD19BE"/>
    <w:rsid w:val="00FD1B41"/>
    <w:rsid w:val="00FD1FFB"/>
    <w:rsid w:val="00FD3515"/>
    <w:rsid w:val="00FD3A7D"/>
    <w:rsid w:val="00FD3AC7"/>
    <w:rsid w:val="00FD4453"/>
    <w:rsid w:val="00FD5DE7"/>
    <w:rsid w:val="00FD6504"/>
    <w:rsid w:val="00FD65BB"/>
    <w:rsid w:val="00FD6AA9"/>
    <w:rsid w:val="00FD7513"/>
    <w:rsid w:val="00FD7C65"/>
    <w:rsid w:val="00FD7E9B"/>
    <w:rsid w:val="00FE0189"/>
    <w:rsid w:val="00FE075F"/>
    <w:rsid w:val="00FE16DE"/>
    <w:rsid w:val="00FE19BC"/>
    <w:rsid w:val="00FE2652"/>
    <w:rsid w:val="00FE37CE"/>
    <w:rsid w:val="00FE3929"/>
    <w:rsid w:val="00FE51B8"/>
    <w:rsid w:val="00FE6D39"/>
    <w:rsid w:val="00FE77FC"/>
    <w:rsid w:val="00FE7975"/>
    <w:rsid w:val="00FE7F17"/>
    <w:rsid w:val="00FF0A1C"/>
    <w:rsid w:val="00FF0C8D"/>
    <w:rsid w:val="00FF0FF1"/>
    <w:rsid w:val="00FF1707"/>
    <w:rsid w:val="00FF2DD1"/>
    <w:rsid w:val="00FF32BC"/>
    <w:rsid w:val="00FF3300"/>
    <w:rsid w:val="00FF498E"/>
    <w:rsid w:val="00FF4BEB"/>
    <w:rsid w:val="00FF5066"/>
    <w:rsid w:val="00FF60B2"/>
    <w:rsid w:val="00FF6705"/>
    <w:rsid w:val="02735767"/>
    <w:rsid w:val="02CD0A59"/>
    <w:rsid w:val="030225F8"/>
    <w:rsid w:val="04010654"/>
    <w:rsid w:val="04956C4C"/>
    <w:rsid w:val="06137DA4"/>
    <w:rsid w:val="064327D8"/>
    <w:rsid w:val="06683AA4"/>
    <w:rsid w:val="06A35B09"/>
    <w:rsid w:val="06D76222"/>
    <w:rsid w:val="0733313B"/>
    <w:rsid w:val="0781239A"/>
    <w:rsid w:val="079C1A7B"/>
    <w:rsid w:val="088A0C33"/>
    <w:rsid w:val="08A213B0"/>
    <w:rsid w:val="08F92DA2"/>
    <w:rsid w:val="0943624A"/>
    <w:rsid w:val="09492050"/>
    <w:rsid w:val="09CC1136"/>
    <w:rsid w:val="0A2C5771"/>
    <w:rsid w:val="0A3505C5"/>
    <w:rsid w:val="0B3E578A"/>
    <w:rsid w:val="0C433C5D"/>
    <w:rsid w:val="0C854F46"/>
    <w:rsid w:val="0D9B16FB"/>
    <w:rsid w:val="0DC7613A"/>
    <w:rsid w:val="0F3F361F"/>
    <w:rsid w:val="0F5E5B00"/>
    <w:rsid w:val="0F6A5141"/>
    <w:rsid w:val="0F8D4FAC"/>
    <w:rsid w:val="10476F00"/>
    <w:rsid w:val="104B05F9"/>
    <w:rsid w:val="1094500C"/>
    <w:rsid w:val="10E45DA3"/>
    <w:rsid w:val="116D241F"/>
    <w:rsid w:val="117B0EFE"/>
    <w:rsid w:val="11C1268F"/>
    <w:rsid w:val="11F9589C"/>
    <w:rsid w:val="12684809"/>
    <w:rsid w:val="127F4CFD"/>
    <w:rsid w:val="13565C60"/>
    <w:rsid w:val="1365296B"/>
    <w:rsid w:val="14661B61"/>
    <w:rsid w:val="14D04701"/>
    <w:rsid w:val="14E33A51"/>
    <w:rsid w:val="154C1A94"/>
    <w:rsid w:val="159C294D"/>
    <w:rsid w:val="15D954C2"/>
    <w:rsid w:val="1689111F"/>
    <w:rsid w:val="169D787A"/>
    <w:rsid w:val="16A35E4B"/>
    <w:rsid w:val="16AB5F8A"/>
    <w:rsid w:val="16B01522"/>
    <w:rsid w:val="19132971"/>
    <w:rsid w:val="19381C10"/>
    <w:rsid w:val="19BF5FE3"/>
    <w:rsid w:val="19CC46BF"/>
    <w:rsid w:val="1A0A429B"/>
    <w:rsid w:val="1A523EAB"/>
    <w:rsid w:val="1B3C3010"/>
    <w:rsid w:val="1BC2759C"/>
    <w:rsid w:val="1C1D28B8"/>
    <w:rsid w:val="1C7C54AE"/>
    <w:rsid w:val="1CB641C3"/>
    <w:rsid w:val="1D86128E"/>
    <w:rsid w:val="1D9D6AF2"/>
    <w:rsid w:val="1DCC7685"/>
    <w:rsid w:val="1E673EF8"/>
    <w:rsid w:val="1E6E02FA"/>
    <w:rsid w:val="1E993580"/>
    <w:rsid w:val="1EF208D8"/>
    <w:rsid w:val="1EFC1693"/>
    <w:rsid w:val="1F566EAC"/>
    <w:rsid w:val="1F5C6794"/>
    <w:rsid w:val="2019751D"/>
    <w:rsid w:val="20243092"/>
    <w:rsid w:val="2074014C"/>
    <w:rsid w:val="20F901AF"/>
    <w:rsid w:val="215F4F4C"/>
    <w:rsid w:val="21696921"/>
    <w:rsid w:val="21802688"/>
    <w:rsid w:val="219F7E37"/>
    <w:rsid w:val="21E90F18"/>
    <w:rsid w:val="224626A9"/>
    <w:rsid w:val="228C0698"/>
    <w:rsid w:val="22B1419A"/>
    <w:rsid w:val="22E21BC4"/>
    <w:rsid w:val="23C80D22"/>
    <w:rsid w:val="248A729F"/>
    <w:rsid w:val="24A87D82"/>
    <w:rsid w:val="24D662D6"/>
    <w:rsid w:val="24EC4F8F"/>
    <w:rsid w:val="265255F4"/>
    <w:rsid w:val="26DF5807"/>
    <w:rsid w:val="277E7331"/>
    <w:rsid w:val="280B2372"/>
    <w:rsid w:val="2820235C"/>
    <w:rsid w:val="283E2673"/>
    <w:rsid w:val="291662FB"/>
    <w:rsid w:val="29945333"/>
    <w:rsid w:val="29A75D63"/>
    <w:rsid w:val="2A91115A"/>
    <w:rsid w:val="2AD87060"/>
    <w:rsid w:val="2B7F215F"/>
    <w:rsid w:val="2B9743ED"/>
    <w:rsid w:val="2BE15D2A"/>
    <w:rsid w:val="2BFA4CC5"/>
    <w:rsid w:val="2C41239D"/>
    <w:rsid w:val="2CD9363A"/>
    <w:rsid w:val="2CDE05A8"/>
    <w:rsid w:val="2EB42984"/>
    <w:rsid w:val="2EB7754D"/>
    <w:rsid w:val="2EC66AF5"/>
    <w:rsid w:val="2F250FA9"/>
    <w:rsid w:val="2F4C5996"/>
    <w:rsid w:val="2FA6391D"/>
    <w:rsid w:val="2FD64145"/>
    <w:rsid w:val="30E71D69"/>
    <w:rsid w:val="31166617"/>
    <w:rsid w:val="311938D7"/>
    <w:rsid w:val="313F079F"/>
    <w:rsid w:val="31F25876"/>
    <w:rsid w:val="326469BA"/>
    <w:rsid w:val="32A761C6"/>
    <w:rsid w:val="32BC79F4"/>
    <w:rsid w:val="342643DB"/>
    <w:rsid w:val="34442186"/>
    <w:rsid w:val="345F0308"/>
    <w:rsid w:val="35384405"/>
    <w:rsid w:val="35602CD7"/>
    <w:rsid w:val="35973B3F"/>
    <w:rsid w:val="374753C5"/>
    <w:rsid w:val="379C5A59"/>
    <w:rsid w:val="37C35E79"/>
    <w:rsid w:val="380A2F6C"/>
    <w:rsid w:val="38A64049"/>
    <w:rsid w:val="390D5426"/>
    <w:rsid w:val="398B36DE"/>
    <w:rsid w:val="3A5C320C"/>
    <w:rsid w:val="3AE1377F"/>
    <w:rsid w:val="3B1722A4"/>
    <w:rsid w:val="3B1E6FEB"/>
    <w:rsid w:val="3C804F8F"/>
    <w:rsid w:val="3CAC0FD6"/>
    <w:rsid w:val="3CE43631"/>
    <w:rsid w:val="3D186A1C"/>
    <w:rsid w:val="3DFF57C6"/>
    <w:rsid w:val="3E722A06"/>
    <w:rsid w:val="3F511BE4"/>
    <w:rsid w:val="3FE07E89"/>
    <w:rsid w:val="409031C1"/>
    <w:rsid w:val="40981827"/>
    <w:rsid w:val="40A8669C"/>
    <w:rsid w:val="41F840FE"/>
    <w:rsid w:val="423337FF"/>
    <w:rsid w:val="43BF084C"/>
    <w:rsid w:val="43D0789D"/>
    <w:rsid w:val="44134E53"/>
    <w:rsid w:val="44C2124B"/>
    <w:rsid w:val="46175E42"/>
    <w:rsid w:val="46643E25"/>
    <w:rsid w:val="46992D2D"/>
    <w:rsid w:val="469B5BBB"/>
    <w:rsid w:val="48913CE3"/>
    <w:rsid w:val="48FB30E9"/>
    <w:rsid w:val="4A213CBB"/>
    <w:rsid w:val="4A4405DF"/>
    <w:rsid w:val="4A722C9D"/>
    <w:rsid w:val="4B1B63C7"/>
    <w:rsid w:val="4B896918"/>
    <w:rsid w:val="4BE833A9"/>
    <w:rsid w:val="4C716DBB"/>
    <w:rsid w:val="4C756B3F"/>
    <w:rsid w:val="4D4A5101"/>
    <w:rsid w:val="4DEB2467"/>
    <w:rsid w:val="4E155135"/>
    <w:rsid w:val="4EF55A84"/>
    <w:rsid w:val="4F8008FD"/>
    <w:rsid w:val="4FD346C3"/>
    <w:rsid w:val="4FF9494E"/>
    <w:rsid w:val="51461A05"/>
    <w:rsid w:val="52013490"/>
    <w:rsid w:val="5285392C"/>
    <w:rsid w:val="52A56730"/>
    <w:rsid w:val="534A764A"/>
    <w:rsid w:val="549E6EE1"/>
    <w:rsid w:val="54F25EE9"/>
    <w:rsid w:val="55150F9F"/>
    <w:rsid w:val="55944E7E"/>
    <w:rsid w:val="55A55B1C"/>
    <w:rsid w:val="56825DF1"/>
    <w:rsid w:val="56BB738B"/>
    <w:rsid w:val="57264490"/>
    <w:rsid w:val="574827C9"/>
    <w:rsid w:val="57E0768D"/>
    <w:rsid w:val="59951906"/>
    <w:rsid w:val="5ACC2F82"/>
    <w:rsid w:val="5B221AB1"/>
    <w:rsid w:val="5B7D2110"/>
    <w:rsid w:val="5BC45A47"/>
    <w:rsid w:val="5C7C2F7F"/>
    <w:rsid w:val="5CB32815"/>
    <w:rsid w:val="5DC95985"/>
    <w:rsid w:val="5DE775F5"/>
    <w:rsid w:val="5E426C15"/>
    <w:rsid w:val="5E676F0A"/>
    <w:rsid w:val="5EAD0C3C"/>
    <w:rsid w:val="5F0B7FEA"/>
    <w:rsid w:val="5F3B612E"/>
    <w:rsid w:val="5F417831"/>
    <w:rsid w:val="5F54262A"/>
    <w:rsid w:val="5F8B1B7E"/>
    <w:rsid w:val="5FA06C46"/>
    <w:rsid w:val="5FA464E5"/>
    <w:rsid w:val="5FC008D3"/>
    <w:rsid w:val="5FF40044"/>
    <w:rsid w:val="60675FC7"/>
    <w:rsid w:val="606B0E71"/>
    <w:rsid w:val="609606ED"/>
    <w:rsid w:val="61EC1A0D"/>
    <w:rsid w:val="62C22545"/>
    <w:rsid w:val="62DB284B"/>
    <w:rsid w:val="63723ABD"/>
    <w:rsid w:val="63C84091"/>
    <w:rsid w:val="642E44D8"/>
    <w:rsid w:val="64355766"/>
    <w:rsid w:val="643C1A1F"/>
    <w:rsid w:val="64410069"/>
    <w:rsid w:val="65822C40"/>
    <w:rsid w:val="669324C0"/>
    <w:rsid w:val="670143BF"/>
    <w:rsid w:val="673F2539"/>
    <w:rsid w:val="675B4B70"/>
    <w:rsid w:val="68280F64"/>
    <w:rsid w:val="68DF11BE"/>
    <w:rsid w:val="695540F5"/>
    <w:rsid w:val="6B754744"/>
    <w:rsid w:val="6C7E26F9"/>
    <w:rsid w:val="6CD81165"/>
    <w:rsid w:val="6E992010"/>
    <w:rsid w:val="6EB21420"/>
    <w:rsid w:val="6F51664B"/>
    <w:rsid w:val="70B42731"/>
    <w:rsid w:val="70B579B7"/>
    <w:rsid w:val="70DE34FF"/>
    <w:rsid w:val="71B85147"/>
    <w:rsid w:val="71B94855"/>
    <w:rsid w:val="72A06379"/>
    <w:rsid w:val="72BC2D47"/>
    <w:rsid w:val="72C077F9"/>
    <w:rsid w:val="72D56C57"/>
    <w:rsid w:val="739A39FF"/>
    <w:rsid w:val="741637B4"/>
    <w:rsid w:val="74C70BCD"/>
    <w:rsid w:val="75560B35"/>
    <w:rsid w:val="75E3649F"/>
    <w:rsid w:val="76BE6781"/>
    <w:rsid w:val="770D08C0"/>
    <w:rsid w:val="77126148"/>
    <w:rsid w:val="7897490D"/>
    <w:rsid w:val="79255C18"/>
    <w:rsid w:val="798F4AB2"/>
    <w:rsid w:val="7A0B0451"/>
    <w:rsid w:val="7B2924D2"/>
    <w:rsid w:val="7B611BC9"/>
    <w:rsid w:val="7BC85EBC"/>
    <w:rsid w:val="7C2E2BB2"/>
    <w:rsid w:val="7CBD13C3"/>
    <w:rsid w:val="7CEE11BB"/>
    <w:rsid w:val="7D156019"/>
    <w:rsid w:val="7D38150E"/>
    <w:rsid w:val="7D5511B7"/>
    <w:rsid w:val="7F746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nhideWhenUsed="0" w:uiPriority="99" w:semiHidden="0" w:name="heading 3"/>
    <w:lsdException w:qFormat="1" w:unhideWhenUsed="0" w:uiPriority="99" w:semiHidden="0" w:name="heading 4"/>
    <w:lsdException w:uiPriority="0" w:name="heading 5" w:locked="1"/>
    <w:lsdException w:qFormat="1" w:unhideWhenUsed="0"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unhideWhenUsed="0" w:uiPriority="0" w:semiHidden="0" w:name="Strong" w:locked="1"/>
    <w:lsdException w:unhideWhenUsed="0" w:uiPriority="0" w:semiHidden="0" w:name="Emphasis" w:locked="1"/>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ind w:firstLine="200" w:firstLineChars="200"/>
      <w:jc w:val="both"/>
    </w:pPr>
    <w:rPr>
      <w:rFonts w:eastAsia="仿宋" w:cs="Times New Roman" w:asciiTheme="minorHAnsi" w:hAnsiTheme="minorHAnsi"/>
      <w:kern w:val="2"/>
      <w:sz w:val="24"/>
      <w:szCs w:val="22"/>
      <w:lang w:val="en-US" w:eastAsia="zh-CN" w:bidi="ar-SA"/>
    </w:rPr>
  </w:style>
  <w:style w:type="paragraph" w:styleId="2">
    <w:name w:val="heading 1"/>
    <w:next w:val="1"/>
    <w:link w:val="54"/>
    <w:qFormat/>
    <w:locked/>
    <w:uiPriority w:val="0"/>
    <w:pPr>
      <w:widowControl w:val="0"/>
      <w:numPr>
        <w:ilvl w:val="0"/>
        <w:numId w:val="1"/>
      </w:numPr>
      <w:adjustRightInd w:val="0"/>
      <w:snapToGrid w:val="0"/>
      <w:spacing w:line="360" w:lineRule="auto"/>
      <w:ind w:left="0" w:firstLine="0"/>
      <w:outlineLvl w:val="0"/>
    </w:pPr>
    <w:rPr>
      <w:rFonts w:ascii="黑体" w:hAnsi="黑体" w:eastAsia="黑体" w:cs="黑体"/>
      <w:b/>
      <w:bCs/>
      <w:kern w:val="44"/>
      <w:sz w:val="28"/>
      <w:szCs w:val="44"/>
      <w:lang w:val="en-US" w:eastAsia="zh-CN" w:bidi="ar-SA"/>
    </w:rPr>
  </w:style>
  <w:style w:type="paragraph" w:styleId="3">
    <w:name w:val="heading 2"/>
    <w:basedOn w:val="1"/>
    <w:next w:val="1"/>
    <w:link w:val="23"/>
    <w:qFormat/>
    <w:uiPriority w:val="99"/>
    <w:pPr>
      <w:numPr>
        <w:ilvl w:val="0"/>
        <w:numId w:val="2"/>
      </w:numPr>
      <w:adjustRightInd w:val="0"/>
      <w:snapToGrid w:val="0"/>
      <w:spacing w:before="120"/>
      <w:jc w:val="left"/>
      <w:outlineLvl w:val="1"/>
    </w:pPr>
    <w:rPr>
      <w:rFonts w:ascii="Cambria" w:hAnsi="Cambria"/>
      <w:b/>
      <w:bCs/>
      <w:iCs/>
      <w:kern w:val="0"/>
      <w:sz w:val="28"/>
      <w:szCs w:val="28"/>
      <w:lang w:val="zh-CN" w:eastAsia="en-US"/>
    </w:rPr>
  </w:style>
  <w:style w:type="paragraph" w:styleId="4">
    <w:name w:val="heading 3"/>
    <w:basedOn w:val="1"/>
    <w:next w:val="1"/>
    <w:link w:val="24"/>
    <w:qFormat/>
    <w:uiPriority w:val="99"/>
    <w:pPr>
      <w:adjustRightInd w:val="0"/>
      <w:snapToGrid w:val="0"/>
      <w:spacing w:before="120" w:after="60"/>
      <w:jc w:val="left"/>
      <w:outlineLvl w:val="2"/>
    </w:pPr>
    <w:rPr>
      <w:rFonts w:ascii="Cambria" w:hAnsi="Cambria"/>
      <w:b/>
      <w:kern w:val="0"/>
      <w:sz w:val="26"/>
      <w:szCs w:val="20"/>
      <w:lang w:val="zh-CN" w:eastAsia="en-US"/>
    </w:rPr>
  </w:style>
  <w:style w:type="paragraph" w:styleId="5">
    <w:name w:val="heading 4"/>
    <w:basedOn w:val="1"/>
    <w:next w:val="1"/>
    <w:link w:val="25"/>
    <w:qFormat/>
    <w:uiPriority w:val="99"/>
    <w:pPr>
      <w:keepNext/>
      <w:keepLines/>
      <w:spacing w:before="280" w:after="290" w:line="376" w:lineRule="auto"/>
      <w:outlineLvl w:val="3"/>
    </w:pPr>
    <w:rPr>
      <w:rFonts w:ascii="Cambria" w:hAnsi="Cambria"/>
      <w:b/>
      <w:kern w:val="0"/>
      <w:sz w:val="28"/>
      <w:szCs w:val="20"/>
      <w:lang w:val="zh-CN" w:eastAsia="zh-CN"/>
    </w:rPr>
  </w:style>
  <w:style w:type="paragraph" w:styleId="6">
    <w:name w:val="heading 6"/>
    <w:basedOn w:val="1"/>
    <w:next w:val="1"/>
    <w:qFormat/>
    <w:locked/>
    <w:uiPriority w:val="0"/>
    <w:pPr>
      <w:keepNext/>
      <w:keepLines/>
      <w:numPr>
        <w:ilvl w:val="5"/>
        <w:numId w:val="3"/>
      </w:numPr>
      <w:spacing w:before="240" w:after="64" w:line="317" w:lineRule="auto"/>
      <w:outlineLvl w:val="5"/>
    </w:pPr>
    <w:rPr>
      <w:rFonts w:ascii="Arial" w:hAnsi="Arial" w:eastAsia="黑体"/>
      <w:b/>
      <w:bCs/>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adjustRightInd w:val="0"/>
      <w:snapToGrid w:val="0"/>
      <w:spacing w:before="100" w:after="200"/>
      <w:jc w:val="center"/>
    </w:pPr>
    <w:rPr>
      <w:rFonts w:ascii="宋体" w:hAnsi="宋体"/>
      <w:b/>
      <w:bCs/>
      <w:kern w:val="0"/>
      <w:szCs w:val="18"/>
      <w:lang w:eastAsia="en-US"/>
    </w:rPr>
  </w:style>
  <w:style w:type="paragraph" w:styleId="8">
    <w:name w:val="Document Map"/>
    <w:basedOn w:val="1"/>
    <w:semiHidden/>
    <w:qFormat/>
    <w:uiPriority w:val="0"/>
    <w:pPr>
      <w:shd w:val="clear" w:color="auto" w:fill="000080"/>
    </w:pPr>
  </w:style>
  <w:style w:type="paragraph" w:styleId="9">
    <w:name w:val="Body Text"/>
    <w:basedOn w:val="1"/>
    <w:link w:val="31"/>
    <w:qFormat/>
    <w:uiPriority w:val="0"/>
    <w:pPr>
      <w:adjustRightInd w:val="0"/>
      <w:snapToGrid w:val="0"/>
      <w:spacing w:after="120"/>
    </w:pPr>
    <w:rPr>
      <w:rFonts w:ascii="宋体" w:hAnsi="宋体"/>
      <w:kern w:val="0"/>
      <w:szCs w:val="20"/>
      <w:lang w:val="zh-CN" w:eastAsia="en-US"/>
    </w:rPr>
  </w:style>
  <w:style w:type="paragraph" w:styleId="10">
    <w:name w:val="Body Text Indent"/>
    <w:basedOn w:val="1"/>
    <w:link w:val="34"/>
    <w:qFormat/>
    <w:uiPriority w:val="99"/>
    <w:pPr>
      <w:spacing w:line="360" w:lineRule="exact"/>
      <w:ind w:firstLine="630"/>
    </w:pPr>
    <w:rPr>
      <w:rFonts w:ascii="宋体" w:hAnsi="宋体"/>
      <w:kern w:val="0"/>
      <w:szCs w:val="20"/>
      <w:lang w:val="zh-CN" w:eastAsia="zh-CN"/>
    </w:rPr>
  </w:style>
  <w:style w:type="paragraph" w:styleId="11">
    <w:name w:val="Date"/>
    <w:basedOn w:val="1"/>
    <w:next w:val="1"/>
    <w:link w:val="30"/>
    <w:qFormat/>
    <w:uiPriority w:val="99"/>
    <w:pPr>
      <w:adjustRightInd w:val="0"/>
      <w:snapToGrid w:val="0"/>
      <w:ind w:left="100" w:leftChars="2500"/>
      <w:jc w:val="left"/>
    </w:pPr>
    <w:rPr>
      <w:rFonts w:ascii="宋体" w:hAnsi="宋体"/>
      <w:kern w:val="0"/>
      <w:sz w:val="32"/>
      <w:szCs w:val="20"/>
      <w:lang w:val="zh-CN" w:eastAsia="en-US"/>
    </w:rPr>
  </w:style>
  <w:style w:type="paragraph" w:styleId="12">
    <w:name w:val="endnote text"/>
    <w:basedOn w:val="1"/>
    <w:link w:val="36"/>
    <w:semiHidden/>
    <w:qFormat/>
    <w:uiPriority w:val="99"/>
    <w:pPr>
      <w:snapToGrid w:val="0"/>
      <w:jc w:val="left"/>
    </w:pPr>
    <w:rPr>
      <w:kern w:val="0"/>
      <w:sz w:val="20"/>
      <w:szCs w:val="20"/>
    </w:rPr>
  </w:style>
  <w:style w:type="paragraph" w:styleId="13">
    <w:name w:val="Balloon Text"/>
    <w:basedOn w:val="1"/>
    <w:link w:val="28"/>
    <w:semiHidden/>
    <w:qFormat/>
    <w:uiPriority w:val="99"/>
    <w:rPr>
      <w:rFonts w:ascii="Calibri" w:hAnsi="Calibri"/>
      <w:kern w:val="0"/>
      <w:sz w:val="18"/>
      <w:szCs w:val="20"/>
      <w:lang w:val="zh-CN" w:eastAsia="zh-CN"/>
    </w:rPr>
  </w:style>
  <w:style w:type="paragraph" w:styleId="14">
    <w:name w:val="footer"/>
    <w:basedOn w:val="1"/>
    <w:link w:val="27"/>
    <w:qFormat/>
    <w:uiPriority w:val="99"/>
    <w:pPr>
      <w:tabs>
        <w:tab w:val="center" w:pos="4153"/>
        <w:tab w:val="right" w:pos="8306"/>
      </w:tabs>
      <w:snapToGrid w:val="0"/>
      <w:jc w:val="left"/>
    </w:pPr>
    <w:rPr>
      <w:rFonts w:ascii="Calibri" w:hAnsi="Calibri"/>
      <w:kern w:val="0"/>
      <w:sz w:val="18"/>
      <w:szCs w:val="20"/>
      <w:lang w:val="zh-CN" w:eastAsia="zh-CN"/>
    </w:rPr>
  </w:style>
  <w:style w:type="paragraph" w:styleId="15">
    <w:name w:val="header"/>
    <w:basedOn w:val="1"/>
    <w:link w:val="26"/>
    <w:qFormat/>
    <w:uiPriority w:val="99"/>
    <w:pPr>
      <w:tabs>
        <w:tab w:val="center" w:pos="4153"/>
        <w:tab w:val="right" w:pos="8306"/>
      </w:tabs>
      <w:snapToGrid w:val="0"/>
      <w:jc w:val="center"/>
    </w:pPr>
    <w:rPr>
      <w:rFonts w:ascii="Calibri" w:hAnsi="Calibri"/>
      <w:kern w:val="0"/>
      <w:sz w:val="18"/>
      <w:szCs w:val="20"/>
      <w:lang w:val="zh-CN" w:eastAsia="zh-CN"/>
    </w:rPr>
  </w:style>
  <w:style w:type="paragraph" w:styleId="16">
    <w:name w:val="Body Text Indent 3"/>
    <w:basedOn w:val="1"/>
    <w:link w:val="33"/>
    <w:qFormat/>
    <w:uiPriority w:val="99"/>
    <w:pPr>
      <w:spacing w:line="480" w:lineRule="exact"/>
      <w:ind w:firstLine="560"/>
    </w:pPr>
    <w:rPr>
      <w:rFonts w:ascii="仿宋_GB2312" w:hAnsi="新宋体" w:eastAsia="仿宋_GB2312"/>
      <w:kern w:val="0"/>
      <w:szCs w:val="20"/>
      <w:lang w:val="zh-CN" w:eastAsia="zh-CN"/>
    </w:rPr>
  </w:style>
  <w:style w:type="paragraph" w:styleId="17">
    <w:name w:val="Title"/>
    <w:next w:val="1"/>
    <w:link w:val="56"/>
    <w:qFormat/>
    <w:locked/>
    <w:uiPriority w:val="0"/>
    <w:pPr>
      <w:widowControl w:val="0"/>
      <w:spacing w:line="360" w:lineRule="auto"/>
      <w:jc w:val="center"/>
      <w:outlineLvl w:val="0"/>
    </w:pPr>
    <w:rPr>
      <w:rFonts w:ascii="黑体" w:hAnsi="黑体" w:eastAsia="黑体" w:cs="黑体"/>
      <w:b/>
      <w:bCs/>
      <w:kern w:val="2"/>
      <w:sz w:val="36"/>
      <w:szCs w:val="32"/>
      <w:lang w:val="en-US" w:eastAsia="zh-CN" w:bidi="ar-SA"/>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ndnote reference"/>
    <w:semiHidden/>
    <w:qFormat/>
    <w:uiPriority w:val="99"/>
    <w:rPr>
      <w:vertAlign w:val="superscript"/>
    </w:rPr>
  </w:style>
  <w:style w:type="character" w:styleId="22">
    <w:name w:val="page number"/>
    <w:basedOn w:val="20"/>
    <w:qFormat/>
    <w:uiPriority w:val="99"/>
  </w:style>
  <w:style w:type="character" w:customStyle="1" w:styleId="23">
    <w:name w:val="标题 2 字符"/>
    <w:link w:val="3"/>
    <w:qFormat/>
    <w:locked/>
    <w:uiPriority w:val="99"/>
    <w:rPr>
      <w:rFonts w:ascii="Cambria" w:hAnsi="Cambria"/>
      <w:b/>
      <w:bCs/>
      <w:iCs/>
      <w:sz w:val="28"/>
      <w:szCs w:val="28"/>
      <w:lang w:val="zh-CN" w:eastAsia="en-US"/>
    </w:rPr>
  </w:style>
  <w:style w:type="character" w:customStyle="1" w:styleId="24">
    <w:name w:val="标题 3 字符"/>
    <w:link w:val="4"/>
    <w:qFormat/>
    <w:locked/>
    <w:uiPriority w:val="99"/>
    <w:rPr>
      <w:rFonts w:ascii="Cambria" w:hAnsi="Cambria" w:eastAsia="宋体"/>
      <w:b/>
      <w:kern w:val="0"/>
      <w:sz w:val="26"/>
      <w:lang w:val="zh-CN" w:eastAsia="en-US"/>
    </w:rPr>
  </w:style>
  <w:style w:type="character" w:customStyle="1" w:styleId="25">
    <w:name w:val="标题 4 字符"/>
    <w:link w:val="5"/>
    <w:semiHidden/>
    <w:qFormat/>
    <w:locked/>
    <w:uiPriority w:val="99"/>
    <w:rPr>
      <w:rFonts w:ascii="Cambria" w:hAnsi="Cambria" w:eastAsia="宋体"/>
      <w:b/>
      <w:sz w:val="28"/>
    </w:rPr>
  </w:style>
  <w:style w:type="character" w:customStyle="1" w:styleId="26">
    <w:name w:val="页眉 字符"/>
    <w:link w:val="15"/>
    <w:qFormat/>
    <w:locked/>
    <w:uiPriority w:val="99"/>
    <w:rPr>
      <w:sz w:val="18"/>
    </w:rPr>
  </w:style>
  <w:style w:type="character" w:customStyle="1" w:styleId="27">
    <w:name w:val="页脚 字符"/>
    <w:link w:val="14"/>
    <w:qFormat/>
    <w:locked/>
    <w:uiPriority w:val="99"/>
    <w:rPr>
      <w:sz w:val="18"/>
    </w:rPr>
  </w:style>
  <w:style w:type="character" w:customStyle="1" w:styleId="28">
    <w:name w:val="批注框文本 字符"/>
    <w:link w:val="13"/>
    <w:semiHidden/>
    <w:qFormat/>
    <w:locked/>
    <w:uiPriority w:val="99"/>
    <w:rPr>
      <w:sz w:val="18"/>
    </w:rPr>
  </w:style>
  <w:style w:type="paragraph" w:customStyle="1" w:styleId="29">
    <w:name w:val="列出段落1"/>
    <w:basedOn w:val="1"/>
    <w:qFormat/>
    <w:uiPriority w:val="99"/>
    <w:pPr>
      <w:ind w:firstLine="420"/>
    </w:pPr>
  </w:style>
  <w:style w:type="character" w:customStyle="1" w:styleId="30">
    <w:name w:val="日期 字符"/>
    <w:link w:val="11"/>
    <w:qFormat/>
    <w:locked/>
    <w:uiPriority w:val="99"/>
    <w:rPr>
      <w:rFonts w:ascii="宋体" w:hAnsi="宋体" w:eastAsia="宋体"/>
      <w:kern w:val="0"/>
      <w:sz w:val="32"/>
      <w:lang w:val="zh-CN" w:eastAsia="en-US"/>
    </w:rPr>
  </w:style>
  <w:style w:type="character" w:customStyle="1" w:styleId="31">
    <w:name w:val="正文文本 字符"/>
    <w:link w:val="9"/>
    <w:qFormat/>
    <w:locked/>
    <w:uiPriority w:val="0"/>
    <w:rPr>
      <w:rFonts w:ascii="宋体" w:hAnsi="宋体" w:eastAsia="宋体"/>
      <w:sz w:val="24"/>
      <w:lang w:val="zh-CN" w:eastAsia="en-US"/>
    </w:rPr>
  </w:style>
  <w:style w:type="paragraph" w:customStyle="1" w:styleId="32">
    <w:name w:val="样式 居中"/>
    <w:basedOn w:val="1"/>
    <w:qFormat/>
    <w:uiPriority w:val="99"/>
    <w:pPr>
      <w:adjustRightInd w:val="0"/>
      <w:snapToGrid w:val="0"/>
      <w:jc w:val="center"/>
    </w:pPr>
    <w:rPr>
      <w:rFonts w:ascii="楷体_GB2312" w:eastAsia="楷体_GB2312" w:cs="宋体"/>
      <w:szCs w:val="20"/>
    </w:rPr>
  </w:style>
  <w:style w:type="character" w:customStyle="1" w:styleId="33">
    <w:name w:val="正文文本缩进 3 字符"/>
    <w:link w:val="16"/>
    <w:qFormat/>
    <w:locked/>
    <w:uiPriority w:val="99"/>
    <w:rPr>
      <w:rFonts w:ascii="仿宋_GB2312" w:hAnsi="新宋体" w:eastAsia="仿宋_GB2312"/>
      <w:sz w:val="24"/>
    </w:rPr>
  </w:style>
  <w:style w:type="character" w:customStyle="1" w:styleId="34">
    <w:name w:val="正文文本缩进 字符"/>
    <w:link w:val="10"/>
    <w:qFormat/>
    <w:locked/>
    <w:uiPriority w:val="99"/>
    <w:rPr>
      <w:rFonts w:ascii="宋体" w:hAnsi="宋体" w:eastAsia="宋体"/>
      <w:sz w:val="24"/>
    </w:rPr>
  </w:style>
  <w:style w:type="paragraph" w:customStyle="1" w:styleId="35">
    <w:name w:val="正文-宋4行25"/>
    <w:basedOn w:val="1"/>
    <w:qFormat/>
    <w:uiPriority w:val="99"/>
    <w:pPr>
      <w:adjustRightInd w:val="0"/>
      <w:spacing w:line="500" w:lineRule="exact"/>
      <w:ind w:firstLine="567"/>
      <w:textAlignment w:val="baseline"/>
    </w:pPr>
    <w:rPr>
      <w:kern w:val="0"/>
      <w:sz w:val="28"/>
      <w:szCs w:val="20"/>
    </w:rPr>
  </w:style>
  <w:style w:type="character" w:customStyle="1" w:styleId="36">
    <w:name w:val="尾注文本 字符"/>
    <w:basedOn w:val="20"/>
    <w:link w:val="12"/>
    <w:semiHidden/>
    <w:qFormat/>
    <w:locked/>
    <w:uiPriority w:val="99"/>
  </w:style>
  <w:style w:type="paragraph" w:customStyle="1" w:styleId="37">
    <w:name w:val="图表头"/>
    <w:link w:val="38"/>
    <w:qFormat/>
    <w:uiPriority w:val="99"/>
    <w:pPr>
      <w:spacing w:beforeLines="25" w:afterLines="25" w:line="360" w:lineRule="auto"/>
      <w:ind w:firstLine="200" w:firstLineChars="200"/>
      <w:jc w:val="center"/>
    </w:pPr>
    <w:rPr>
      <w:rFonts w:ascii="Calibri" w:hAnsi="Calibri" w:eastAsia="新宋体" w:cs="Times New Roman"/>
      <w:b/>
      <w:kern w:val="10"/>
      <w:sz w:val="24"/>
      <w:lang w:val="en-US" w:eastAsia="zh-CN" w:bidi="ar-SA"/>
    </w:rPr>
  </w:style>
  <w:style w:type="character" w:customStyle="1" w:styleId="38">
    <w:name w:val="图表头 Char"/>
    <w:link w:val="37"/>
    <w:qFormat/>
    <w:locked/>
    <w:uiPriority w:val="99"/>
    <w:rPr>
      <w:rFonts w:eastAsia="新宋体"/>
      <w:b/>
      <w:kern w:val="10"/>
      <w:sz w:val="24"/>
      <w:lang w:val="en-US" w:eastAsia="zh-CN" w:bidi="ar-SA"/>
    </w:rPr>
  </w:style>
  <w:style w:type="paragraph" w:customStyle="1" w:styleId="39">
    <w:name w:val="表格"/>
    <w:link w:val="42"/>
    <w:qFormat/>
    <w:uiPriority w:val="0"/>
    <w:pPr>
      <w:widowControl w:val="0"/>
      <w:spacing w:before="40" w:after="40" w:line="240" w:lineRule="exact"/>
      <w:jc w:val="center"/>
    </w:pPr>
    <w:rPr>
      <w:rFonts w:ascii="Times New Roman" w:hAnsi="Times New Roman" w:eastAsia="宋体" w:cs="Times New Roman"/>
      <w:sz w:val="24"/>
      <w:lang w:val="en-US" w:eastAsia="zh-CN" w:bidi="ar-SA"/>
    </w:rPr>
  </w:style>
  <w:style w:type="paragraph" w:customStyle="1" w:styleId="40">
    <w:name w:val="题注（标准）"/>
    <w:basedOn w:val="1"/>
    <w:link w:val="41"/>
    <w:qFormat/>
    <w:uiPriority w:val="0"/>
    <w:pPr>
      <w:spacing w:beforeLines="50" w:afterLines="25" w:line="400" w:lineRule="exact"/>
      <w:jc w:val="center"/>
    </w:pPr>
    <w:rPr>
      <w:rFonts w:ascii="Arial Unicode MS" w:hAnsi="Arial Unicode MS" w:cs="宋体"/>
      <w:color w:val="000000"/>
      <w:spacing w:val="-2"/>
      <w:kern w:val="0"/>
      <w:szCs w:val="20"/>
    </w:rPr>
  </w:style>
  <w:style w:type="character" w:customStyle="1" w:styleId="41">
    <w:name w:val="题注（标准） Char"/>
    <w:link w:val="40"/>
    <w:qFormat/>
    <w:locked/>
    <w:uiPriority w:val="0"/>
    <w:rPr>
      <w:rFonts w:ascii="Arial Unicode MS" w:hAnsi="Arial Unicode MS" w:eastAsia="宋体" w:cs="宋体"/>
      <w:color w:val="000000"/>
      <w:spacing w:val="-2"/>
      <w:sz w:val="24"/>
      <w:lang w:val="en-US" w:eastAsia="zh-CN" w:bidi="ar-SA"/>
    </w:rPr>
  </w:style>
  <w:style w:type="character" w:customStyle="1" w:styleId="42">
    <w:name w:val="表格 Char"/>
    <w:link w:val="39"/>
    <w:qFormat/>
    <w:locked/>
    <w:uiPriority w:val="0"/>
    <w:rPr>
      <w:rFonts w:ascii="Times New Roman" w:hAnsi="Times New Roman"/>
      <w:sz w:val="24"/>
      <w:lang w:val="en-US" w:eastAsia="zh-CN" w:bidi="ar-SA"/>
    </w:rPr>
  </w:style>
  <w:style w:type="character" w:customStyle="1" w:styleId="43">
    <w:name w:val="段落标题 Char"/>
    <w:qFormat/>
    <w:uiPriority w:val="0"/>
    <w:rPr>
      <w:rFonts w:ascii="宋体" w:hAnsi="宋体" w:eastAsia="宋体"/>
      <w:b/>
      <w:sz w:val="28"/>
      <w:lang w:val="en-US" w:eastAsia="zh-CN" w:bidi="ar-SA"/>
    </w:rPr>
  </w:style>
  <w:style w:type="paragraph" w:customStyle="1" w:styleId="44">
    <w:name w:val="段落文字"/>
    <w:basedOn w:val="1"/>
    <w:qFormat/>
    <w:uiPriority w:val="0"/>
    <w:pPr>
      <w:spacing w:line="480" w:lineRule="exact"/>
      <w:ind w:firstLine="526"/>
    </w:pPr>
    <w:rPr>
      <w:rFonts w:ascii="宋体" w:hAnsi="宋体"/>
      <w:sz w:val="28"/>
      <w:szCs w:val="28"/>
    </w:rPr>
  </w:style>
  <w:style w:type="paragraph" w:customStyle="1" w:styleId="45">
    <w:name w:val="列出段落11"/>
    <w:basedOn w:val="1"/>
    <w:qFormat/>
    <w:uiPriority w:val="99"/>
    <w:pPr>
      <w:spacing w:beforeLines="50"/>
      <w:ind w:firstLine="420"/>
    </w:pPr>
  </w:style>
  <w:style w:type="paragraph" w:styleId="46">
    <w:name w:val="List Paragraph"/>
    <w:basedOn w:val="1"/>
    <w:link w:val="68"/>
    <w:qFormat/>
    <w:uiPriority w:val="34"/>
    <w:pPr>
      <w:spacing w:beforeLines="50"/>
      <w:ind w:firstLine="420"/>
    </w:pPr>
  </w:style>
  <w:style w:type="paragraph" w:customStyle="1" w:styleId="47">
    <w:name w:val="投标正文"/>
    <w:link w:val="48"/>
    <w:qFormat/>
    <w:uiPriority w:val="0"/>
    <w:pPr>
      <w:widowControl w:val="0"/>
      <w:wordWrap w:val="0"/>
      <w:spacing w:line="360" w:lineRule="auto"/>
      <w:ind w:firstLine="200" w:firstLineChars="200"/>
      <w:jc w:val="both"/>
      <w:textAlignment w:val="center"/>
    </w:pPr>
    <w:rPr>
      <w:rFonts w:ascii="Times New Roman" w:hAnsi="Times New Roman" w:eastAsia="宋体" w:cs="Times New Roman"/>
      <w:bCs/>
      <w:color w:val="000000"/>
      <w:kern w:val="2"/>
      <w:sz w:val="28"/>
      <w:szCs w:val="32"/>
      <w:lang w:val="en-US" w:eastAsia="zh-CN" w:bidi="ar-SA"/>
    </w:rPr>
  </w:style>
  <w:style w:type="character" w:customStyle="1" w:styleId="48">
    <w:name w:val="投标正文 Char"/>
    <w:link w:val="47"/>
    <w:qFormat/>
    <w:uiPriority w:val="0"/>
    <w:rPr>
      <w:rFonts w:ascii="Times New Roman" w:hAnsi="Times New Roman"/>
      <w:bCs/>
      <w:color w:val="000000"/>
      <w:kern w:val="2"/>
      <w:sz w:val="28"/>
      <w:szCs w:val="32"/>
      <w:lang w:val="en-US" w:eastAsia="zh-CN" w:bidi="ar-SA"/>
    </w:rPr>
  </w:style>
  <w:style w:type="paragraph" w:customStyle="1" w:styleId="49">
    <w:name w:val="表"/>
    <w:link w:val="50"/>
    <w:qFormat/>
    <w:uiPriority w:val="0"/>
    <w:pPr>
      <w:widowControl w:val="0"/>
      <w:spacing w:before="60" w:after="60" w:line="560" w:lineRule="atLeast"/>
      <w:jc w:val="center"/>
      <w:textAlignment w:val="baseline"/>
    </w:pPr>
    <w:rPr>
      <w:rFonts w:ascii="Times New Roman" w:hAnsi="Times New Roman" w:eastAsia="宋体" w:cs="Times New Roman"/>
      <w:iCs/>
      <w:sz w:val="28"/>
      <w:szCs w:val="21"/>
      <w:lang w:val="en-US" w:eastAsia="zh-CN" w:bidi="ar-SA"/>
    </w:rPr>
  </w:style>
  <w:style w:type="character" w:customStyle="1" w:styleId="50">
    <w:name w:val="表 Char"/>
    <w:link w:val="49"/>
    <w:qFormat/>
    <w:uiPriority w:val="0"/>
    <w:rPr>
      <w:rFonts w:ascii="Times New Roman" w:hAnsi="Times New Roman"/>
      <w:iCs/>
      <w:sz w:val="28"/>
      <w:szCs w:val="21"/>
      <w:lang w:bidi="ar-SA"/>
    </w:rPr>
  </w:style>
  <w:style w:type="paragraph" w:customStyle="1" w:styleId="51">
    <w:name w:val="表名图名"/>
    <w:link w:val="52"/>
    <w:qFormat/>
    <w:uiPriority w:val="0"/>
    <w:pPr>
      <w:tabs>
        <w:tab w:val="right" w:leader="dot" w:pos="9249"/>
      </w:tabs>
      <w:spacing w:line="360" w:lineRule="auto"/>
      <w:jc w:val="center"/>
      <w:textAlignment w:val="center"/>
    </w:pPr>
    <w:rPr>
      <w:rFonts w:ascii="Times New Roman" w:hAnsi="Times New Roman" w:eastAsia="宋体" w:cs="Times New Roman"/>
      <w:bCs/>
      <w:color w:val="000000"/>
      <w:kern w:val="2"/>
      <w:sz w:val="24"/>
      <w:szCs w:val="28"/>
      <w:lang w:val="zh-CN" w:eastAsia="zh-CN" w:bidi="ar-SA"/>
    </w:rPr>
  </w:style>
  <w:style w:type="character" w:customStyle="1" w:styleId="52">
    <w:name w:val="表名图名 Char1"/>
    <w:link w:val="51"/>
    <w:qFormat/>
    <w:uiPriority w:val="0"/>
    <w:rPr>
      <w:rFonts w:ascii="Times New Roman" w:hAnsi="Times New Roman"/>
      <w:bCs/>
      <w:color w:val="000000"/>
      <w:kern w:val="2"/>
      <w:sz w:val="24"/>
      <w:szCs w:val="28"/>
      <w:lang w:val="zh-CN" w:bidi="ar-SA"/>
    </w:rPr>
  </w:style>
  <w:style w:type="character" w:customStyle="1" w:styleId="53">
    <w:name w:val="Subtle Emphasis"/>
    <w:qFormat/>
    <w:uiPriority w:val="19"/>
    <w:rPr>
      <w:i/>
      <w:iCs/>
      <w:color w:val="808080"/>
    </w:rPr>
  </w:style>
  <w:style w:type="character" w:customStyle="1" w:styleId="54">
    <w:name w:val="标题 1 字符"/>
    <w:link w:val="2"/>
    <w:qFormat/>
    <w:uiPriority w:val="0"/>
    <w:rPr>
      <w:rFonts w:ascii="黑体" w:hAnsi="黑体" w:eastAsia="黑体" w:cs="黑体"/>
      <w:b/>
      <w:bCs/>
      <w:kern w:val="44"/>
      <w:sz w:val="28"/>
      <w:szCs w:val="44"/>
    </w:rPr>
  </w:style>
  <w:style w:type="character" w:customStyle="1" w:styleId="55">
    <w:name w:val="Intense Emphasis"/>
    <w:qFormat/>
    <w:uiPriority w:val="21"/>
    <w:rPr>
      <w:b/>
      <w:bCs/>
      <w:i/>
      <w:iCs/>
      <w:color w:val="4F81BD"/>
    </w:rPr>
  </w:style>
  <w:style w:type="character" w:customStyle="1" w:styleId="56">
    <w:name w:val="标题 字符"/>
    <w:link w:val="17"/>
    <w:qFormat/>
    <w:uiPriority w:val="0"/>
    <w:rPr>
      <w:rFonts w:ascii="黑体" w:hAnsi="黑体" w:eastAsia="黑体" w:cs="黑体"/>
      <w:b/>
      <w:bCs/>
      <w:kern w:val="2"/>
      <w:sz w:val="36"/>
      <w:szCs w:val="32"/>
    </w:rPr>
  </w:style>
  <w:style w:type="paragraph" w:customStyle="1" w:styleId="57">
    <w:name w:val="标题1"/>
    <w:next w:val="1"/>
    <w:link w:val="58"/>
    <w:qFormat/>
    <w:uiPriority w:val="0"/>
    <w:pPr>
      <w:numPr>
        <w:ilvl w:val="0"/>
        <w:numId w:val="4"/>
      </w:numPr>
      <w:tabs>
        <w:tab w:val="left" w:pos="0"/>
      </w:tabs>
      <w:adjustRightInd w:val="0"/>
      <w:spacing w:line="360" w:lineRule="auto"/>
      <w:jc w:val="center"/>
      <w:outlineLvl w:val="1"/>
    </w:pPr>
    <w:rPr>
      <w:rFonts w:ascii="方正姚体" w:hAnsi="Calibri" w:eastAsia="宋体" w:cs="Times New Roman"/>
      <w:b/>
      <w:color w:val="000000"/>
      <w:kern w:val="2"/>
      <w:sz w:val="28"/>
      <w:szCs w:val="22"/>
      <w:lang w:val="en-US" w:eastAsia="zh-CN" w:bidi="ar-SA"/>
    </w:rPr>
  </w:style>
  <w:style w:type="character" w:customStyle="1" w:styleId="58">
    <w:name w:val="标题1 Char"/>
    <w:link w:val="57"/>
    <w:qFormat/>
    <w:uiPriority w:val="0"/>
    <w:rPr>
      <w:rFonts w:ascii="方正姚体"/>
      <w:b/>
      <w:color w:val="000000"/>
      <w:kern w:val="2"/>
      <w:sz w:val="28"/>
      <w:szCs w:val="22"/>
    </w:rPr>
  </w:style>
  <w:style w:type="paragraph" w:customStyle="1" w:styleId="59">
    <w:name w:val="文本正文"/>
    <w:link w:val="60"/>
    <w:qFormat/>
    <w:uiPriority w:val="0"/>
    <w:pPr>
      <w:widowControl w:val="0"/>
      <w:spacing w:line="360" w:lineRule="auto"/>
      <w:ind w:firstLine="200" w:firstLineChars="200"/>
      <w:jc w:val="both"/>
      <w:textAlignment w:val="center"/>
    </w:pPr>
    <w:rPr>
      <w:rFonts w:ascii="Times New Roman" w:hAnsi="Times New Roman" w:eastAsia="宋体" w:cs="Times New Roman"/>
      <w:bCs/>
      <w:color w:val="000000"/>
      <w:kern w:val="2"/>
      <w:sz w:val="24"/>
      <w:szCs w:val="32"/>
      <w:lang w:val="en-US" w:eastAsia="zh-CN" w:bidi="ar-SA"/>
    </w:rPr>
  </w:style>
  <w:style w:type="character" w:customStyle="1" w:styleId="60">
    <w:name w:val="文本正文 Char"/>
    <w:link w:val="59"/>
    <w:qFormat/>
    <w:uiPriority w:val="0"/>
    <w:rPr>
      <w:rFonts w:ascii="Times New Roman" w:hAnsi="Times New Roman"/>
      <w:bCs/>
      <w:color w:val="000000"/>
      <w:kern w:val="2"/>
      <w:sz w:val="24"/>
      <w:szCs w:val="32"/>
      <w:lang w:bidi="ar-SA"/>
    </w:rPr>
  </w:style>
  <w:style w:type="paragraph" w:customStyle="1" w:styleId="61">
    <w:name w:val="2"/>
    <w:next w:val="1"/>
    <w:link w:val="62"/>
    <w:qFormat/>
    <w:uiPriority w:val="0"/>
    <w:pPr>
      <w:spacing w:line="360" w:lineRule="auto"/>
    </w:pPr>
    <w:rPr>
      <w:rFonts w:ascii="Calibri" w:hAnsi="Calibri" w:eastAsia="宋体" w:cs="Times New Roman"/>
      <w:b/>
      <w:kern w:val="2"/>
      <w:sz w:val="24"/>
      <w:szCs w:val="22"/>
      <w:lang w:val="en-US" w:eastAsia="zh-CN" w:bidi="ar-SA"/>
    </w:rPr>
  </w:style>
  <w:style w:type="character" w:customStyle="1" w:styleId="62">
    <w:name w:val="2 Char"/>
    <w:link w:val="61"/>
    <w:qFormat/>
    <w:uiPriority w:val="0"/>
    <w:rPr>
      <w:b/>
      <w:kern w:val="2"/>
      <w:sz w:val="24"/>
      <w:szCs w:val="22"/>
      <w:lang w:val="en-US" w:eastAsia="zh-CN" w:bidi="ar-SA"/>
    </w:rPr>
  </w:style>
  <w:style w:type="paragraph" w:customStyle="1" w:styleId="63">
    <w:name w:val="表格文字"/>
    <w:link w:val="64"/>
    <w:qFormat/>
    <w:locked/>
    <w:uiPriority w:val="0"/>
    <w:pPr>
      <w:spacing w:before="25" w:beforeLines="25" w:after="25" w:afterLines="25"/>
      <w:jc w:val="center"/>
    </w:pPr>
    <w:rPr>
      <w:rFonts w:ascii="Times New Roman" w:hAnsi="Times New Roman" w:eastAsia="宋体" w:cs="Times New Roman"/>
      <w:kern w:val="2"/>
      <w:sz w:val="21"/>
      <w:szCs w:val="28"/>
      <w:lang w:val="en-US" w:eastAsia="zh-CN" w:bidi="ar-SA"/>
    </w:rPr>
  </w:style>
  <w:style w:type="character" w:customStyle="1" w:styleId="64">
    <w:name w:val="表格文字 Char Char"/>
    <w:link w:val="63"/>
    <w:qFormat/>
    <w:uiPriority w:val="0"/>
    <w:rPr>
      <w:rFonts w:ascii="Times New Roman" w:hAnsi="Times New Roman"/>
      <w:kern w:val="2"/>
      <w:sz w:val="21"/>
      <w:szCs w:val="28"/>
    </w:rPr>
  </w:style>
  <w:style w:type="paragraph" w:customStyle="1" w:styleId="65">
    <w:name w:val="方案正文"/>
    <w:link w:val="66"/>
    <w:qFormat/>
    <w:uiPriority w:val="0"/>
    <w:pPr>
      <w:widowControl w:val="0"/>
      <w:spacing w:line="360" w:lineRule="auto"/>
      <w:ind w:firstLine="200" w:firstLineChars="200"/>
      <w:jc w:val="both"/>
      <w:textAlignment w:val="center"/>
    </w:pPr>
    <w:rPr>
      <w:rFonts w:ascii="Times New Roman" w:hAnsi="Times New Roman" w:eastAsia="宋体" w:cs="Times New Roman"/>
      <w:bCs/>
      <w:color w:val="000000"/>
      <w:kern w:val="2"/>
      <w:sz w:val="28"/>
      <w:szCs w:val="32"/>
      <w:lang w:val="en-US" w:eastAsia="zh-CN" w:bidi="ar-SA"/>
    </w:rPr>
  </w:style>
  <w:style w:type="character" w:customStyle="1" w:styleId="66">
    <w:name w:val="方案正文 Char"/>
    <w:link w:val="65"/>
    <w:qFormat/>
    <w:uiPriority w:val="0"/>
    <w:rPr>
      <w:rFonts w:ascii="Times New Roman" w:hAnsi="Times New Roman"/>
      <w:bCs/>
      <w:color w:val="000000"/>
      <w:kern w:val="2"/>
      <w:sz w:val="28"/>
      <w:szCs w:val="32"/>
    </w:rPr>
  </w:style>
  <w:style w:type="table" w:customStyle="1" w:styleId="67">
    <w:name w:val="表格样式"/>
    <w:basedOn w:val="18"/>
    <w:qFormat/>
    <w:uiPriority w:val="99"/>
    <w:pPr>
      <w:spacing w:line="360" w:lineRule="auto"/>
      <w:jc w:val="center"/>
    </w:pPr>
    <w:rPr>
      <w:rFonts w:ascii="Times New Roman" w:hAnsi="Times New Roman"/>
      <w:sz w:val="21"/>
    </w:rPr>
    <w:tblPr>
      <w:jc w:val="center"/>
      <w:tblBorders>
        <w:top w:val="single" w:color="auto" w:sz="12" w:space="0"/>
        <w:bottom w:val="single" w:color="auto" w:sz="12" w:space="0"/>
        <w:insideH w:val="single" w:color="auto" w:sz="2" w:space="0"/>
        <w:insideV w:val="single" w:color="auto" w:sz="2" w:space="0"/>
      </w:tblBorders>
    </w:tblPr>
    <w:trPr>
      <w:jc w:val="center"/>
    </w:trPr>
    <w:tcPr>
      <w:vAlign w:val="center"/>
    </w:tcPr>
  </w:style>
  <w:style w:type="character" w:customStyle="1" w:styleId="68">
    <w:name w:val="列出段落 字符"/>
    <w:link w:val="46"/>
    <w:qFormat/>
    <w:uiPriority w:val="34"/>
    <w:rPr>
      <w:rFonts w:ascii="Times New Roman" w:hAnsi="Times New Roman"/>
      <w:kern w:val="2"/>
      <w:sz w:val="24"/>
      <w:szCs w:val="22"/>
    </w:rPr>
  </w:style>
  <w:style w:type="paragraph" w:customStyle="1" w:styleId="69">
    <w:name w:val="内容"/>
    <w:basedOn w:val="1"/>
    <w:qFormat/>
    <w:uiPriority w:val="0"/>
    <w:pPr>
      <w:wordWrap/>
      <w:ind w:firstLine="420" w:firstLineChars="0"/>
    </w:pPr>
    <w:rPr>
      <w:sz w:val="28"/>
      <w:szCs w:val="20"/>
    </w:rPr>
  </w:style>
  <w:style w:type="character" w:customStyle="1" w:styleId="70">
    <w:name w:val="MTDisplayEquation Char"/>
    <w:link w:val="71"/>
    <w:qFormat/>
    <w:uiPriority w:val="0"/>
    <w:rPr>
      <w:sz w:val="24"/>
      <w:szCs w:val="24"/>
    </w:rPr>
  </w:style>
  <w:style w:type="paragraph" w:customStyle="1" w:styleId="71">
    <w:name w:val="MTDisplayEquation"/>
    <w:basedOn w:val="1"/>
    <w:next w:val="1"/>
    <w:link w:val="70"/>
    <w:qFormat/>
    <w:uiPriority w:val="0"/>
    <w:pPr>
      <w:tabs>
        <w:tab w:val="center" w:pos="4160"/>
        <w:tab w:val="right" w:pos="8300"/>
      </w:tabs>
      <w:wordWrap/>
      <w:snapToGrid w:val="0"/>
      <w:spacing w:line="300" w:lineRule="auto"/>
      <w:ind w:firstLine="480"/>
    </w:pPr>
    <w:rPr>
      <w:rFonts w:ascii="Calibri" w:hAnsi="Calibri"/>
      <w:kern w:val="0"/>
      <w:szCs w:val="24"/>
    </w:rPr>
  </w:style>
  <w:style w:type="paragraph" w:customStyle="1" w:styleId="72">
    <w:name w:val="图表"/>
    <w:basedOn w:val="1"/>
    <w:next w:val="1"/>
    <w:link w:val="73"/>
    <w:qFormat/>
    <w:uiPriority w:val="0"/>
    <w:pPr>
      <w:wordWrap/>
      <w:spacing w:line="240" w:lineRule="auto"/>
      <w:ind w:firstLine="0" w:firstLineChars="0"/>
      <w:jc w:val="center"/>
    </w:pPr>
    <w:rPr>
      <w:rFonts w:cstheme="minorBidi"/>
      <w:color w:val="000000" w:themeColor="text1"/>
      <w:sz w:val="21"/>
      <w14:textFill>
        <w14:solidFill>
          <w14:schemeClr w14:val="tx1"/>
        </w14:solidFill>
      </w14:textFill>
    </w:rPr>
  </w:style>
  <w:style w:type="character" w:customStyle="1" w:styleId="73">
    <w:name w:val="图表 Char"/>
    <w:basedOn w:val="20"/>
    <w:link w:val="72"/>
    <w:qFormat/>
    <w:uiPriority w:val="0"/>
    <w:rPr>
      <w:rFonts w:eastAsia="仿宋" w:asciiTheme="minorHAnsi" w:hAnsiTheme="minorHAnsi" w:cstheme="minorBidi"/>
      <w:color w:val="000000" w:themeColor="text1"/>
      <w:kern w:val="2"/>
      <w:sz w:val="21"/>
      <w:szCs w:val="22"/>
      <w14:textFill>
        <w14:solidFill>
          <w14:schemeClr w14:val="tx1"/>
        </w14:solidFill>
      </w14:textFill>
    </w:rPr>
  </w:style>
  <w:style w:type="paragraph" w:customStyle="1" w:styleId="74">
    <w:name w:val="列出段落2"/>
    <w:basedOn w:val="1"/>
    <w:qFormat/>
    <w:uiPriority w:val="99"/>
    <w:pPr>
      <w:wordWrap/>
      <w:spacing w:line="240" w:lineRule="auto"/>
      <w:ind w:firstLine="420"/>
    </w:pPr>
    <w:rPr>
      <w:rFonts w:ascii="Calibri" w:hAnsi="Calibri" w:eastAsia="宋体"/>
      <w:sz w:val="21"/>
    </w:rPr>
  </w:style>
  <w:style w:type="paragraph" w:customStyle="1" w:styleId="75">
    <w:name w:val="沈禹图表名"/>
    <w:basedOn w:val="1"/>
    <w:qFormat/>
    <w:uiPriority w:val="0"/>
    <w:pPr>
      <w:jc w:val="center"/>
    </w:pPr>
    <w:rPr>
      <w:b/>
      <w:sz w:val="24"/>
      <w:szCs w:val="21"/>
    </w:rPr>
  </w:style>
  <w:style w:type="paragraph" w:styleId="76">
    <w:name w:val="No Spacing"/>
    <w:qFormat/>
    <w:uiPriority w:val="99"/>
    <w:pPr>
      <w:widowControl w:val="0"/>
      <w:jc w:val="center"/>
    </w:pPr>
    <w:rPr>
      <w:rFonts w:ascii="Calibri" w:hAnsi="Calibri" w:eastAsia="宋体" w:cs="Times New Roman"/>
      <w:color w:val="002060"/>
      <w:kern w:val="2"/>
      <w:sz w:val="24"/>
      <w:szCs w:val="22"/>
      <w:lang w:val="en-US" w:eastAsia="zh-CN" w:bidi="ar-SA"/>
    </w:rPr>
  </w:style>
  <w:style w:type="paragraph" w:customStyle="1" w:styleId="77">
    <w:name w:val="111级标题"/>
    <w:basedOn w:val="78"/>
    <w:qFormat/>
    <w:uiPriority w:val="0"/>
    <w:pPr>
      <w:numPr>
        <w:ilvl w:val="2"/>
        <w:numId w:val="5"/>
      </w:numPr>
      <w:spacing w:before="0" w:after="0"/>
    </w:pPr>
    <w:rPr>
      <w:sz w:val="28"/>
    </w:rPr>
  </w:style>
  <w:style w:type="paragraph" w:customStyle="1" w:styleId="78">
    <w:name w:val="11级标题"/>
    <w:basedOn w:val="3"/>
    <w:qFormat/>
    <w:uiPriority w:val="0"/>
    <w:pPr>
      <w:keepNext w:val="0"/>
      <w:keepLines w:val="0"/>
      <w:numPr>
        <w:ilvl w:val="1"/>
        <w:numId w:val="5"/>
      </w:numPr>
      <w:spacing w:before="100" w:after="100" w:line="360" w:lineRule="auto"/>
    </w:pPr>
    <w:rPr>
      <w:rFonts w:ascii="Times New Roman" w:hAnsi="Times New Roman"/>
      <w:sz w:val="30"/>
      <w:szCs w:val="3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F0A50-D940-46DB-8135-8E576FF32278}">
  <ds:schemaRefs/>
</ds:datastoreItem>
</file>

<file path=docProps/app.xml><?xml version="1.0" encoding="utf-8"?>
<Properties xmlns="http://schemas.openxmlformats.org/officeDocument/2006/extended-properties" xmlns:vt="http://schemas.openxmlformats.org/officeDocument/2006/docPropsVTypes">
  <Template>Normal.dotm</Template>
  <Company>tjsz</Company>
  <Pages>11</Pages>
  <Words>7690</Words>
  <Characters>9108</Characters>
  <Lines>88</Lines>
  <Paragraphs>24</Paragraphs>
  <TotalTime>2</TotalTime>
  <ScaleCrop>false</ScaleCrop>
  <LinksUpToDate>false</LinksUpToDate>
  <CharactersWithSpaces>9303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2018-03-03T07:26:00Z</dcterms:created>
  <dc:creator>ice</dc:creator>
  <cp:lastModifiedBy>周贺春</cp:lastModifiedBy>
  <cp:lastPrinted>2017-03-13T02:06:00Z</cp:lastPrinted>
  <dcterms:modified xsi:type="dcterms:W3CDTF">2025-05-08T05:09:44Z</dcterms:modified>
  <dc:title>道路施工图总说明</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8C8E5FE445E54BA392709AAC620C7BB2</vt:lpwstr>
  </property>
  <property fmtid="{D5CDD505-2E9C-101B-9397-08002B2CF9AE}" pid="4" name="KSOTemplateDocerSaveRecord">
    <vt:lpwstr>eyJoZGlkIjoiNWVjMTQwODRkZGEzOWIyYTkzOGFhOGFmN2UxOTliMzUiLCJ1c2VySWQiOiIyMTQ0ODU1MDEifQ==</vt:lpwstr>
  </property>
</Properties>
</file>