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7196C"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长宁分局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智慧监管</w:t>
      </w:r>
      <w:r>
        <w:rPr>
          <w:rFonts w:asciiTheme="minorEastAsia" w:hAnsiTheme="minorEastAsia" w:eastAsiaTheme="minorEastAsia" w:cstheme="minorEastAsia"/>
          <w:color w:val="auto"/>
          <w:sz w:val="32"/>
          <w:szCs w:val="32"/>
        </w:rPr>
        <w:t>装备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采购需求</w:t>
      </w:r>
    </w:p>
    <w:p w14:paraId="2CD62DE5">
      <w:pPr>
        <w:pStyle w:val="3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一、项目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概况</w:t>
      </w:r>
    </w:p>
    <w:p w14:paraId="4FA7FFB9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1、项目名称：长宁分局智慧监管装备采购</w:t>
      </w:r>
    </w:p>
    <w:p w14:paraId="02339EFD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2、预算金额（元）：人民币1755000.00元</w:t>
      </w:r>
    </w:p>
    <w:p w14:paraId="0881635B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Theme="minorEastAsia" w:hAnsi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3、简要描述：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</w:rPr>
        <w:t>通过采购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</w:rPr>
        <w:t>项智慧监管装备，提升长宁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eastAsia="zh-CN"/>
        </w:rPr>
        <w:t>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</w:rPr>
        <w:t>智慧监管水平，高效提升管理工作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</w:rPr>
        <w:t>项目预算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eastAsia="zh-CN"/>
        </w:rPr>
        <w:t>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1755000.0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</w:rPr>
        <w:t>元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</w:rPr>
        <w:t>采购内容为</w:t>
      </w:r>
      <w:r>
        <w:rPr>
          <w:rFonts w:asciiTheme="minorEastAsia" w:hAnsiTheme="minorEastAsia" w:cstheme="minorEastAsia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4"/>
          <w:lang w:val="en-US" w:eastAsia="zh-CN"/>
        </w:rPr>
        <w:t>行为管理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lang w:val="en-US" w:eastAsia="zh-CN"/>
        </w:rPr>
        <w:t>装备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4"/>
          <w:lang w:val="en-US" w:eastAsia="zh-CN"/>
        </w:rPr>
        <w:t>30套，虹膜设备4套，信息交互终端66台。</w:t>
      </w:r>
    </w:p>
    <w:p w14:paraId="542E7908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Theme="minorEastAsia" w:hAnsi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auto"/>
          <w:sz w:val="24"/>
          <w:szCs w:val="24"/>
          <w:lang w:val="en-US" w:eastAsia="zh-CN"/>
        </w:rPr>
        <w:t>4、质保期：提供3年软硬件质保及上门服务。</w:t>
      </w:r>
    </w:p>
    <w:p w14:paraId="4125208B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outlineLvl w:val="9"/>
        <w:rPr>
          <w:rFonts w:hint="default" w:asciiTheme="minorEastAsia" w:hAnsiTheme="minorEastAsia"/>
          <w:b w:val="0"/>
          <w:bCs w:val="0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auto"/>
          <w:sz w:val="24"/>
          <w:szCs w:val="24"/>
          <w:lang w:val="en-US" w:eastAsia="zh-CN"/>
        </w:rPr>
        <w:t>5、付款方式：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合同签订后支付30%合同款，到货安装调试合格满半年后支付60%合同款，剩余10%作为质保金，质保期满后支付。</w:t>
      </w:r>
    </w:p>
    <w:p w14:paraId="4593BD45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Theme="minorEastAsia" w:hAnsiTheme="minorEastAsia"/>
          <w:b w:val="0"/>
          <w:bCs w:val="0"/>
          <w:color w:val="auto"/>
          <w:sz w:val="24"/>
          <w:szCs w:val="24"/>
          <w:lang w:val="en-US" w:eastAsia="zh-CN"/>
        </w:rPr>
      </w:pPr>
    </w:p>
    <w:p w14:paraId="629E2755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outlineLvl w:val="9"/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二、采购内容及要求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450"/>
        <w:gridCol w:w="5450"/>
        <w:gridCol w:w="783"/>
      </w:tblGrid>
      <w:tr w14:paraId="499D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39" w:type="dxa"/>
            <w:vAlign w:val="center"/>
          </w:tcPr>
          <w:p w14:paraId="086107D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0" w:type="dxa"/>
            <w:vAlign w:val="center"/>
          </w:tcPr>
          <w:p w14:paraId="7F79FBE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装备名称</w:t>
            </w:r>
          </w:p>
        </w:tc>
        <w:tc>
          <w:tcPr>
            <w:tcW w:w="5450" w:type="dxa"/>
            <w:vAlign w:val="center"/>
          </w:tcPr>
          <w:p w14:paraId="568E5A8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装备参数</w:t>
            </w:r>
          </w:p>
        </w:tc>
        <w:tc>
          <w:tcPr>
            <w:tcW w:w="783" w:type="dxa"/>
            <w:vAlign w:val="center"/>
          </w:tcPr>
          <w:p w14:paraId="68D5431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 w14:paraId="3B77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39" w:type="dxa"/>
            <w:vAlign w:val="center"/>
          </w:tcPr>
          <w:p w14:paraId="02F6877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 w14:paraId="05BF601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行为管理装备</w:t>
            </w:r>
          </w:p>
        </w:tc>
        <w:tc>
          <w:tcPr>
            <w:tcW w:w="5450" w:type="dxa"/>
            <w:vAlign w:val="center"/>
          </w:tcPr>
          <w:p w14:paraId="2DE2F4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根据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室内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结构和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悬挂点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的分布，采用光幕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发现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器实现对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室内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悬挂点的全面立体防护。技术要求:光线波长 800mm-1000mm;发射、接收的光束数量在八路及以上;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发现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区域大小可调，最大3(高)x2(宽)m，最小1.2(高)x1.30(宽)m，幕帘厚度300-500mm可调，响应时间:100ms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4E2B98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室外活动场地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采用360度全向红外加微波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发现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器，预防滞留。技术要求:符合EH50130-5等级II;相对湿度0至95%，无冷凝;支持zigbee组网技术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6A97F4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提醒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模块支持8个及以上的前端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发现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器，具备分级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提示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功能。技术要求:CPU，STM32，75MHz以上，FLASH128K以上;实时时钟，RTC时基调校、低电压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测试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、抗印刷板漏电;通讯功能，TCF/IP协议支持，支持zigbee技术收发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发现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器信号;具有智能语音播报，带功放，可多路语音播报，内容可更新:功耗:.1w；可同时接入并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分辨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多路防区信号，每防区可接多个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提醒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点:多路维电器输出，并实现单路控制，智能判断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提醒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信号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662708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采用语音、灯光提醒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和提示人员；</w:t>
            </w:r>
          </w:p>
          <w:p w14:paraId="38007A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满足于监管装备的接口对接。</w:t>
            </w:r>
          </w:p>
        </w:tc>
        <w:tc>
          <w:tcPr>
            <w:tcW w:w="783" w:type="dxa"/>
            <w:vAlign w:val="center"/>
          </w:tcPr>
          <w:p w14:paraId="541BA18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 w14:paraId="018E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839" w:type="dxa"/>
            <w:vAlign w:val="center"/>
          </w:tcPr>
          <w:p w14:paraId="714DFC0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0" w:type="dxa"/>
            <w:vAlign w:val="center"/>
          </w:tcPr>
          <w:p w14:paraId="2593C04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虹膜设备</w:t>
            </w:r>
          </w:p>
        </w:tc>
        <w:tc>
          <w:tcPr>
            <w:tcW w:w="5450" w:type="dxa"/>
            <w:vAlign w:val="center"/>
          </w:tcPr>
          <w:p w14:paraId="28DB90DE">
            <w:pPr>
              <w:pStyle w:val="16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双眼的虹膜生物特征的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收入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分辨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，具有虹膜注册、储存、及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人员分辨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、人员管理、设备互联等功能。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满足于监管装备的接口对接。</w:t>
            </w:r>
          </w:p>
          <w:p w14:paraId="1746DD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519382B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2192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8" w:hRule="atLeast"/>
        </w:trPr>
        <w:tc>
          <w:tcPr>
            <w:tcW w:w="839" w:type="dxa"/>
            <w:vAlign w:val="center"/>
          </w:tcPr>
          <w:p w14:paraId="1DB8578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0" w:type="dxa"/>
            <w:vAlign w:val="center"/>
          </w:tcPr>
          <w:p w14:paraId="0E4A42A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信息交互终端</w:t>
            </w:r>
          </w:p>
        </w:tc>
        <w:tc>
          <w:tcPr>
            <w:tcW w:w="5450" w:type="dxa"/>
            <w:vAlign w:val="center"/>
          </w:tcPr>
          <w:p w14:paraId="47833F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具体技术要求：</w:t>
            </w:r>
          </w:p>
          <w:p w14:paraId="0CA64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安装于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室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內 、具有生物特征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分辨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和信息交互功能的终端。 终端由液晶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触摸屏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提醒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按钮、生物特征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收入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器（含摄像头、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拾音器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）等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组成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集成的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提醒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对讲应是独立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模块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。 </w:t>
            </w:r>
          </w:p>
          <w:p w14:paraId="0B1FA8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终端功能应具有可视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对讲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功能。应设置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提醒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按钮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, 须发出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文字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、 图像及声音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提醒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功能。应具备生物特征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分辨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功能。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采用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指纹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分辨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技术的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终端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、指纹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收入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器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应往合G4T1011-2012中8.1.6 2、83的规定。应具备触屏操控功能。应具有访问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控制功能，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非授权用户不能修改终端配置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参数，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无法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终端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访问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内网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496DC8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终端外壳防护等级应行合G/T 4208-2017中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IP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53的规定。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终端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破坏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能力应符合GE/T 20138-2006 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IK09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的规定,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实验后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终端应能正常工作外壳完好无被损。 </w:t>
            </w:r>
          </w:p>
          <w:p w14:paraId="03F30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满足监管装备的接口对接。</w:t>
            </w:r>
          </w:p>
          <w:p w14:paraId="58BC5865">
            <w:pPr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设备技术指标：</w:t>
            </w:r>
          </w:p>
          <w:p w14:paraId="6AE91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应具有访问控制功能，非授权用户不能修改终端配置参数，且无法通过终端访问网络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6C9298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处理器：主频≥2.0G，8核；</w:t>
            </w:r>
          </w:p>
          <w:p w14:paraId="28794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内存：不低于16G内存；</w:t>
            </w:r>
          </w:p>
          <w:p w14:paraId="618B1B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硬盘：不低于256GB；</w:t>
            </w:r>
          </w:p>
          <w:p w14:paraId="385ADC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屏幕：不低于13.3寸LED液晶面板模块；</w:t>
            </w:r>
          </w:p>
          <w:p w14:paraId="2EAAFB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最佳分辨率为：1920*1080高清；</w:t>
            </w:r>
          </w:p>
          <w:p w14:paraId="22A343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需要达到10指触控；</w:t>
            </w:r>
          </w:p>
          <w:p w14:paraId="706A7F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摄像头应达到500万像素或以上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264C3A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距离音源1 m处，声场强度应达到80 dB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60795E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内置麦克风（MIC），灵敏度应大于或等于-42 dB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7557BB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终端的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提醒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按钮在规定的负荷条件下，通断寿命应大于10000次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34545B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提醒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按钮应具有背光或荧光显示功能。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提醒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按钮压力应在2.5 N～4.0 N，行程应在1.5 mm～4.0 mm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51CD54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终端外壳防护等级应符合GB/T 4208-2017中IP64的规定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1650E8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终端抗破坏能力应符合GB/T 20138-2006中IK10的规定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40C482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终端安装应采用防拆螺栓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17470E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需要配置安装底盒，需要嵌入式安装；</w:t>
            </w:r>
          </w:p>
          <w:p w14:paraId="302B2B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需要具有防拆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提醒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功能；</w:t>
            </w:r>
          </w:p>
          <w:p w14:paraId="4B0A2E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必须采用国产操作系统；</w:t>
            </w:r>
          </w:p>
          <w:p w14:paraId="1C880D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必须采用国产芯片；</w:t>
            </w:r>
          </w:p>
          <w:p w14:paraId="175BB6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需要具有公安部相关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测试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中心出具的设备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测试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证明；</w:t>
            </w:r>
          </w:p>
          <w:p w14:paraId="56F80A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需要提供国家强制性认证的相关证明材料。</w:t>
            </w:r>
          </w:p>
          <w:p w14:paraId="25523120">
            <w:pPr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设备软件功能要求：</w:t>
            </w:r>
          </w:p>
          <w:p w14:paraId="3FF3BCAF">
            <w:pPr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sz w:val="24"/>
                <w:szCs w:val="24"/>
                <w:lang w:eastAsia="zh-CN"/>
              </w:rPr>
              <w:t>室内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4"/>
                <w:szCs w:val="24"/>
                <w:lang w:eastAsia="zh-CN"/>
              </w:rPr>
              <w:t>信息交互终端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具备执法规范、政务公开、内部管理、日常生活、心理测评及调查问卷等功能。</w:t>
            </w:r>
          </w:p>
          <w:p w14:paraId="159BBA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outlineLvl w:val="1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4115135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</w:tr>
    </w:tbl>
    <w:p w14:paraId="045E8688">
      <w:pPr>
        <w:rPr>
          <w:rFonts w:hint="eastAsia"/>
          <w:lang w:val="en-US" w:eastAsia="zh-CN"/>
        </w:rPr>
      </w:pPr>
    </w:p>
    <w:p w14:paraId="6EAD8446">
      <w:pPr>
        <w:pStyle w:val="15"/>
        <w:ind w:firstLine="482"/>
        <w:rPr>
          <w:rFonts w:asciiTheme="minorEastAsia" w:hAnsiTheme="minorEastAsia" w:eastAsiaTheme="minorEastAsia" w:cstheme="minorEastAsia"/>
          <w:b/>
          <w:bCs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szCs w:val="24"/>
        </w:rPr>
        <w:t>以上采购设备需提供安装</w:t>
      </w:r>
      <w:r>
        <w:rPr>
          <w:rFonts w:hint="eastAsia" w:asciiTheme="minorEastAsia" w:hAnsiTheme="minorEastAsia" w:eastAsiaTheme="minorEastAsia" w:cstheme="minorEastAsia"/>
          <w:b/>
          <w:bCs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墙面开槽、管线敷设、调试等</w:t>
      </w:r>
      <w:r>
        <w:rPr>
          <w:rFonts w:hint="eastAsia" w:asciiTheme="minorEastAsia" w:hAnsiTheme="minorEastAsia" w:eastAsiaTheme="minorEastAsia" w:cstheme="minorEastAsia"/>
          <w:b/>
          <w:bCs/>
          <w:szCs w:val="24"/>
        </w:rPr>
        <w:t>服务，安装服务中辅材需包含在报价中，安装位置需满足采购人要求。</w:t>
      </w:r>
    </w:p>
    <w:p w14:paraId="5DD1BD97">
      <w:pP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</w:p>
    <w:p w14:paraId="755F3D4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57A5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316B2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316B2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626C6"/>
    <w:multiLevelType w:val="multilevel"/>
    <w:tmpl w:val="013626C6"/>
    <w:lvl w:ilvl="0" w:tentative="0">
      <w:start w:val="1"/>
      <w:numFmt w:val="decimal"/>
      <w:pStyle w:val="14"/>
      <w:suff w:val="space"/>
      <w:lvlText w:val="%1 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  <w:szCs w:val="32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0"/>
        <w:szCs w:val="30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0" w:firstLine="0"/>
      </w:pPr>
      <w:rPr>
        <w:rFonts w:hint="default" w:ascii="Times New Roman" w:hAnsi="Times New Roman" w:eastAsia="宋体"/>
        <w:sz w:val="28"/>
        <w:szCs w:val="28"/>
      </w:rPr>
    </w:lvl>
    <w:lvl w:ilvl="3" w:tentative="0">
      <w:start w:val="1"/>
      <w:numFmt w:val="decimal"/>
      <w:isLgl/>
      <w:suff w:val="space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 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lvlText w:val="%1.%2.%3.%4.%5.%6.%7 "/>
      <w:lvlJc w:val="left"/>
      <w:pPr>
        <w:tabs>
          <w:tab w:val="left" w:pos="992"/>
        </w:tabs>
        <w:ind w:left="0" w:firstLine="0"/>
      </w:pPr>
      <w:rPr>
        <w:rFonts w:hint="default" w:ascii="Times New Roman" w:hAnsi="Times New Roman" w:eastAsia="宋体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92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992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CA366B"/>
    <w:rsid w:val="004109A1"/>
    <w:rsid w:val="00784036"/>
    <w:rsid w:val="00927D08"/>
    <w:rsid w:val="00CA366B"/>
    <w:rsid w:val="00E00CB8"/>
    <w:rsid w:val="00E87423"/>
    <w:rsid w:val="027F4E27"/>
    <w:rsid w:val="02A139C9"/>
    <w:rsid w:val="0358527F"/>
    <w:rsid w:val="036731AF"/>
    <w:rsid w:val="04B30062"/>
    <w:rsid w:val="07495274"/>
    <w:rsid w:val="0AF72D30"/>
    <w:rsid w:val="0BB14CCB"/>
    <w:rsid w:val="11050279"/>
    <w:rsid w:val="18D013C7"/>
    <w:rsid w:val="1C894A3D"/>
    <w:rsid w:val="1CD72DD4"/>
    <w:rsid w:val="1D272C90"/>
    <w:rsid w:val="1F3F164B"/>
    <w:rsid w:val="22101C55"/>
    <w:rsid w:val="22DB7C2B"/>
    <w:rsid w:val="24963E96"/>
    <w:rsid w:val="288562F1"/>
    <w:rsid w:val="2B8E2841"/>
    <w:rsid w:val="2F727403"/>
    <w:rsid w:val="301E482B"/>
    <w:rsid w:val="30C43201"/>
    <w:rsid w:val="31914587"/>
    <w:rsid w:val="334B750F"/>
    <w:rsid w:val="33ED1A69"/>
    <w:rsid w:val="33F061F4"/>
    <w:rsid w:val="34513DC0"/>
    <w:rsid w:val="34C8380D"/>
    <w:rsid w:val="39161C0E"/>
    <w:rsid w:val="39D43DF0"/>
    <w:rsid w:val="3A12685E"/>
    <w:rsid w:val="3D9B414F"/>
    <w:rsid w:val="3E775A0B"/>
    <w:rsid w:val="3EBB56B2"/>
    <w:rsid w:val="4195578E"/>
    <w:rsid w:val="439549FD"/>
    <w:rsid w:val="44CC63EF"/>
    <w:rsid w:val="45223B8C"/>
    <w:rsid w:val="45991206"/>
    <w:rsid w:val="465F7B50"/>
    <w:rsid w:val="4B8B44BF"/>
    <w:rsid w:val="4BBD5A4A"/>
    <w:rsid w:val="4C643D42"/>
    <w:rsid w:val="4CEB763F"/>
    <w:rsid w:val="4EE95ED8"/>
    <w:rsid w:val="4FF550BD"/>
    <w:rsid w:val="53AB3E52"/>
    <w:rsid w:val="53AE3B79"/>
    <w:rsid w:val="55C44267"/>
    <w:rsid w:val="573E2CB7"/>
    <w:rsid w:val="58B008E9"/>
    <w:rsid w:val="59BC2695"/>
    <w:rsid w:val="5BB7540A"/>
    <w:rsid w:val="627C12E5"/>
    <w:rsid w:val="643B0BF4"/>
    <w:rsid w:val="666172A6"/>
    <w:rsid w:val="669F57ED"/>
    <w:rsid w:val="6AF40401"/>
    <w:rsid w:val="6EBA32F9"/>
    <w:rsid w:val="6EE814FD"/>
    <w:rsid w:val="6F736F6D"/>
    <w:rsid w:val="706837D7"/>
    <w:rsid w:val="7574199F"/>
    <w:rsid w:val="76435B1D"/>
    <w:rsid w:val="76E21EBA"/>
    <w:rsid w:val="786018C7"/>
    <w:rsid w:val="79ED3581"/>
    <w:rsid w:val="7E2B0F47"/>
    <w:rsid w:val="7FC2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rPr>
      <w:sz w:val="4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1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样式1"/>
    <w:basedOn w:val="2"/>
    <w:qFormat/>
    <w:uiPriority w:val="0"/>
    <w:pPr>
      <w:keepNext w:val="0"/>
      <w:keepLines w:val="0"/>
      <w:numPr>
        <w:ilvl w:val="0"/>
        <w:numId w:val="1"/>
      </w:numPr>
      <w:tabs>
        <w:tab w:val="left" w:pos="420"/>
        <w:tab w:val="left" w:pos="480"/>
      </w:tabs>
      <w:snapToGrid w:val="0"/>
      <w:spacing w:before="360" w:after="360" w:line="240" w:lineRule="auto"/>
    </w:pPr>
    <w:rPr>
      <w:rFonts w:ascii="Times New Roman" w:hAnsi="Times New Roman" w:eastAsia="黑体" w:cs="Times New Roman"/>
      <w:sz w:val="30"/>
      <w:szCs w:val="28"/>
    </w:rPr>
  </w:style>
  <w:style w:type="paragraph" w:customStyle="1" w:styleId="15">
    <w:name w:val="文档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/>
      <w:sz w:val="24"/>
      <w:szCs w:val="36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1675</Characters>
  <DocSecurity>0</DocSecurity>
  <Lines>47</Lines>
  <Paragraphs>13</Paragraphs>
  <ScaleCrop>false</ScaleCrop>
  <LinksUpToDate>false</LinksUpToDate>
  <CharactersWithSpaces>1701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2025-05-12T09:39:00Z</cp:lastPrinted>
  <dcterms:created xsi:type="dcterms:W3CDTF">2024-02-08T03:14:00Z</dcterms:created>
  <dcterms:modified xsi:type="dcterms:W3CDTF">2025-06-11T05:24:05Z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F2F85DB8113C4E08AF9FCACE15E0F6D5_13</vt:lpwstr>
  </property>
  <property fmtid="{D5CDD505-2E9C-101B-9397-08002B2CF9AE}" pid="4" name="KSOTemplateDocerSaveRecord">
    <vt:lpwstr>eyJoZGlkIjoiOTU1MmQ2ZjQ0NmU0ZTYxMDM3MGM1OWJlYWEzMDNlODciLCJ1c2VySWQiOiIzMDk4MTc4NTcifQ==</vt:lpwstr>
  </property>
</Properties>
</file>