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6D769" w14:textId="77777777" w:rsidR="009D4D8C" w:rsidRDefault="009D4D8C">
      <w:pPr>
        <w:ind w:firstLine="560"/>
        <w:rPr>
          <w:rFonts w:ascii="宋体" w:eastAsia="宋体" w:hAnsi="宋体" w:cs="Times New Roman" w:hint="eastAsia"/>
        </w:rPr>
      </w:pPr>
    </w:p>
    <w:p w14:paraId="33A2DFE4" w14:textId="77777777" w:rsidR="009D4D8C" w:rsidRDefault="009D4D8C">
      <w:pPr>
        <w:pStyle w:val="a0"/>
        <w:ind w:firstLine="560"/>
        <w:rPr>
          <w:rFonts w:ascii="宋体" w:eastAsia="宋体" w:hAnsi="宋体" w:cs="Times New Roman" w:hint="eastAsia"/>
          <w:sz w:val="28"/>
          <w:szCs w:val="28"/>
        </w:rPr>
      </w:pPr>
    </w:p>
    <w:p w14:paraId="0A73F457" w14:textId="77777777" w:rsidR="009D4D8C" w:rsidRDefault="009D4D8C">
      <w:pPr>
        <w:ind w:firstLine="560"/>
        <w:rPr>
          <w:rFonts w:ascii="宋体" w:eastAsia="宋体" w:hAnsi="宋体" w:cs="Times New Roman" w:hint="eastAsia"/>
        </w:rPr>
      </w:pPr>
    </w:p>
    <w:p w14:paraId="1D715E29" w14:textId="77777777" w:rsidR="009D4D8C" w:rsidRDefault="00000000">
      <w:pPr>
        <w:ind w:leftChars="-50" w:left="27" w:hangingChars="32" w:hanging="167"/>
        <w:jc w:val="center"/>
        <w:rPr>
          <w:rFonts w:ascii="隶书" w:eastAsia="隶书" w:hAnsi="宋体" w:cs="Times New Roman" w:hint="eastAsia"/>
          <w:b/>
          <w:bCs/>
          <w:sz w:val="52"/>
          <w:szCs w:val="52"/>
          <w:lang w:eastAsia="zh-CN"/>
        </w:rPr>
      </w:pPr>
      <w:bookmarkStart w:id="0" w:name="_Hlk174407480"/>
      <w:r>
        <w:rPr>
          <w:rFonts w:ascii="隶书" w:eastAsia="隶书" w:hAnsi="宋体" w:cs="Times New Roman" w:hint="eastAsia"/>
          <w:b/>
          <w:bCs/>
          <w:sz w:val="52"/>
          <w:szCs w:val="52"/>
          <w:lang w:eastAsia="zh-CN"/>
        </w:rPr>
        <w:t>周家桥社区街道卫生服务中心</w:t>
      </w:r>
    </w:p>
    <w:p w14:paraId="21361959" w14:textId="77777777" w:rsidR="009D4D8C" w:rsidRDefault="00000000">
      <w:pPr>
        <w:ind w:leftChars="-50" w:left="27" w:hangingChars="32" w:hanging="167"/>
        <w:jc w:val="center"/>
        <w:rPr>
          <w:rFonts w:ascii="隶书" w:eastAsia="隶书" w:hAnsi="宋体" w:cs="Times New Roman" w:hint="eastAsia"/>
          <w:b/>
          <w:bCs/>
          <w:sz w:val="52"/>
          <w:szCs w:val="52"/>
          <w:lang w:eastAsia="zh-CN"/>
        </w:rPr>
      </w:pPr>
      <w:r>
        <w:rPr>
          <w:rFonts w:ascii="隶书" w:eastAsia="隶书" w:hAnsi="宋体" w:cs="Times New Roman" w:hint="eastAsia"/>
          <w:b/>
          <w:bCs/>
          <w:sz w:val="52"/>
          <w:szCs w:val="52"/>
          <w:lang w:eastAsia="zh-CN"/>
        </w:rPr>
        <w:t>污水处理升级改造方案</w:t>
      </w:r>
    </w:p>
    <w:bookmarkEnd w:id="0"/>
    <w:p w14:paraId="337725A1" w14:textId="77777777" w:rsidR="009D4D8C" w:rsidRDefault="009D4D8C">
      <w:pPr>
        <w:pStyle w:val="a0"/>
        <w:ind w:firstLine="560"/>
        <w:jc w:val="center"/>
        <w:rPr>
          <w:rFonts w:ascii="宋体" w:eastAsia="宋体" w:hAnsi="宋体" w:cs="Times New Roman" w:hint="eastAsia"/>
          <w:sz w:val="28"/>
          <w:szCs w:val="28"/>
          <w:lang w:eastAsia="zh-CN"/>
        </w:rPr>
      </w:pPr>
    </w:p>
    <w:p w14:paraId="7CEB5119" w14:textId="77777777" w:rsidR="009D4D8C" w:rsidRDefault="009D4D8C">
      <w:pPr>
        <w:pStyle w:val="a0"/>
        <w:ind w:firstLine="560"/>
        <w:jc w:val="center"/>
        <w:rPr>
          <w:rFonts w:ascii="宋体" w:eastAsia="宋体" w:hAnsi="宋体" w:cs="Times New Roman" w:hint="eastAsia"/>
          <w:sz w:val="28"/>
          <w:szCs w:val="28"/>
          <w:lang w:eastAsia="zh-CN"/>
        </w:rPr>
      </w:pPr>
    </w:p>
    <w:p w14:paraId="6A933473" w14:textId="77777777" w:rsidR="009D4D8C" w:rsidRDefault="009D4D8C">
      <w:pPr>
        <w:pStyle w:val="a0"/>
        <w:ind w:firstLine="560"/>
        <w:rPr>
          <w:rFonts w:ascii="宋体" w:eastAsia="宋体" w:hAnsi="宋体" w:cs="Times New Roman" w:hint="eastAsia"/>
          <w:sz w:val="28"/>
          <w:szCs w:val="28"/>
          <w:lang w:eastAsia="zh-CN"/>
        </w:rPr>
      </w:pPr>
    </w:p>
    <w:p w14:paraId="2C501019" w14:textId="77777777" w:rsidR="009D4D8C" w:rsidRDefault="009D4D8C">
      <w:pPr>
        <w:pStyle w:val="a0"/>
        <w:ind w:firstLine="560"/>
        <w:rPr>
          <w:rFonts w:ascii="宋体" w:eastAsia="宋体" w:hAnsi="宋体" w:cs="Times New Roman" w:hint="eastAsia"/>
          <w:sz w:val="28"/>
          <w:szCs w:val="28"/>
          <w:lang w:eastAsia="zh-CN"/>
        </w:rPr>
      </w:pPr>
    </w:p>
    <w:p w14:paraId="16864D46" w14:textId="77777777" w:rsidR="009D4D8C" w:rsidRDefault="009D4D8C">
      <w:pPr>
        <w:pStyle w:val="a0"/>
        <w:ind w:firstLine="560"/>
        <w:rPr>
          <w:rFonts w:ascii="宋体" w:eastAsia="宋体" w:hAnsi="宋体" w:cs="Times New Roman" w:hint="eastAsia"/>
          <w:sz w:val="28"/>
          <w:szCs w:val="28"/>
          <w:lang w:eastAsia="zh-CN"/>
        </w:rPr>
      </w:pPr>
    </w:p>
    <w:p w14:paraId="394F4721" w14:textId="77777777" w:rsidR="009D4D8C" w:rsidRDefault="009D4D8C">
      <w:pPr>
        <w:pStyle w:val="a0"/>
        <w:ind w:firstLine="560"/>
        <w:rPr>
          <w:rFonts w:ascii="宋体" w:eastAsia="宋体" w:hAnsi="宋体" w:cs="Times New Roman" w:hint="eastAsia"/>
          <w:sz w:val="28"/>
          <w:szCs w:val="28"/>
          <w:lang w:eastAsia="zh-CN"/>
        </w:rPr>
      </w:pPr>
    </w:p>
    <w:p w14:paraId="31688884" w14:textId="77777777" w:rsidR="009D4D8C" w:rsidRDefault="009D4D8C">
      <w:pPr>
        <w:pStyle w:val="a0"/>
        <w:ind w:firstLine="560"/>
        <w:rPr>
          <w:rFonts w:ascii="宋体" w:eastAsia="宋体" w:hAnsi="宋体" w:cs="Times New Roman" w:hint="eastAsia"/>
          <w:sz w:val="28"/>
          <w:szCs w:val="28"/>
          <w:lang w:eastAsia="zh-CN"/>
        </w:rPr>
      </w:pPr>
    </w:p>
    <w:p w14:paraId="124A0D64" w14:textId="77777777" w:rsidR="009D4D8C" w:rsidRDefault="009D4D8C">
      <w:pPr>
        <w:pStyle w:val="a0"/>
        <w:ind w:firstLine="560"/>
        <w:rPr>
          <w:rFonts w:ascii="宋体" w:eastAsia="宋体" w:hAnsi="宋体" w:cs="Times New Roman" w:hint="eastAsia"/>
          <w:sz w:val="28"/>
          <w:szCs w:val="28"/>
          <w:lang w:eastAsia="zh-CN"/>
        </w:rPr>
      </w:pPr>
    </w:p>
    <w:p w14:paraId="3DF07C36" w14:textId="77777777" w:rsidR="009D4D8C" w:rsidRDefault="009D4D8C">
      <w:pPr>
        <w:pStyle w:val="a0"/>
        <w:ind w:firstLineChars="150"/>
        <w:rPr>
          <w:rFonts w:ascii="宋体" w:eastAsia="宋体" w:hAnsi="宋体" w:cs="Times New Roman" w:hint="eastAsia"/>
          <w:sz w:val="28"/>
          <w:szCs w:val="28"/>
          <w:lang w:eastAsia="zh-CN"/>
        </w:rPr>
      </w:pPr>
    </w:p>
    <w:p w14:paraId="6EC200AB" w14:textId="77777777" w:rsidR="009D4D8C" w:rsidRDefault="009D4D8C">
      <w:pPr>
        <w:ind w:firstLine="560"/>
        <w:rPr>
          <w:rFonts w:ascii="宋体" w:eastAsia="宋体" w:hAnsi="宋体" w:cs="Times New Roman" w:hint="eastAsia"/>
          <w:szCs w:val="28"/>
        </w:rPr>
      </w:pPr>
    </w:p>
    <w:p w14:paraId="23A09529" w14:textId="77777777" w:rsidR="009D4D8C" w:rsidRDefault="009D4D8C">
      <w:pPr>
        <w:ind w:firstLine="560"/>
        <w:rPr>
          <w:rFonts w:ascii="宋体" w:eastAsia="宋体" w:hAnsi="宋体" w:cs="Times New Roman" w:hint="eastAsia"/>
          <w:szCs w:val="28"/>
        </w:rPr>
      </w:pPr>
    </w:p>
    <w:p w14:paraId="6287153E" w14:textId="77777777" w:rsidR="009D4D8C" w:rsidRDefault="009D4D8C">
      <w:pPr>
        <w:ind w:firstLine="560"/>
        <w:rPr>
          <w:rFonts w:ascii="宋体" w:eastAsia="宋体" w:hAnsi="宋体" w:cs="Times New Roman" w:hint="eastAsia"/>
          <w:szCs w:val="28"/>
        </w:rPr>
        <w:sectPr w:rsidR="009D4D8C">
          <w:footerReference w:type="even" r:id="rId8"/>
          <w:footerReference w:type="default" r:id="rId9"/>
          <w:footerReference w:type="first" r:id="rId10"/>
          <w:pgSz w:w="11907" w:h="16840"/>
          <w:pgMar w:top="1431" w:right="1786" w:bottom="0" w:left="1786" w:header="0" w:footer="0" w:gutter="0"/>
          <w:cols w:space="720"/>
        </w:sectPr>
      </w:pPr>
    </w:p>
    <w:sdt>
      <w:sdtPr>
        <w:rPr>
          <w:rFonts w:ascii="Arial" w:eastAsia="华文宋体" w:hAnsi="Arial" w:cs="Arial"/>
          <w:snapToGrid w:val="0"/>
          <w:color w:val="000000"/>
          <w:sz w:val="28"/>
          <w:szCs w:val="21"/>
          <w:lang w:val="zh-CN" w:eastAsia="en-US"/>
        </w:rPr>
        <w:id w:val="955445728"/>
        <w:docPartObj>
          <w:docPartGallery w:val="Table of Contents"/>
          <w:docPartUnique/>
        </w:docPartObj>
      </w:sdtPr>
      <w:sdtEndPr>
        <w:rPr>
          <w:b/>
          <w:bCs/>
        </w:rPr>
      </w:sdtEndPr>
      <w:sdtContent>
        <w:p w14:paraId="7346D312" w14:textId="77777777" w:rsidR="009D4D8C" w:rsidRDefault="00000000">
          <w:pPr>
            <w:pStyle w:val="TOC10"/>
            <w:ind w:firstLine="560"/>
            <w:jc w:val="center"/>
            <w:rPr>
              <w:rFonts w:ascii="宋体" w:eastAsia="宋体" w:hAnsi="宋体" w:hint="eastAsia"/>
              <w:b/>
              <w:bCs/>
              <w:color w:val="000000" w:themeColor="text1"/>
              <w:sz w:val="44"/>
              <w:szCs w:val="44"/>
            </w:rPr>
          </w:pPr>
          <w:r>
            <w:rPr>
              <w:rFonts w:ascii="宋体" w:eastAsia="宋体" w:hAnsi="宋体"/>
              <w:b/>
              <w:bCs/>
              <w:color w:val="000000" w:themeColor="text1"/>
              <w:sz w:val="44"/>
              <w:szCs w:val="44"/>
              <w:lang w:val="zh-CN"/>
            </w:rPr>
            <w:t>目</w:t>
          </w:r>
          <w:r>
            <w:rPr>
              <w:rFonts w:ascii="宋体" w:eastAsia="宋体" w:hAnsi="宋体" w:hint="eastAsia"/>
              <w:b/>
              <w:bCs/>
              <w:color w:val="000000" w:themeColor="text1"/>
              <w:sz w:val="44"/>
              <w:szCs w:val="44"/>
              <w:lang w:val="zh-CN"/>
            </w:rPr>
            <w:t xml:space="preserve">  </w:t>
          </w:r>
          <w:r>
            <w:rPr>
              <w:rFonts w:ascii="宋体" w:eastAsia="宋体" w:hAnsi="宋体"/>
              <w:b/>
              <w:bCs/>
              <w:color w:val="000000" w:themeColor="text1"/>
              <w:sz w:val="44"/>
              <w:szCs w:val="44"/>
              <w:lang w:val="zh-CN"/>
            </w:rPr>
            <w:t>录</w:t>
          </w:r>
        </w:p>
        <w:p w14:paraId="0F7EBC68" w14:textId="19315F25" w:rsidR="00BB2D03" w:rsidRDefault="00000000">
          <w:pPr>
            <w:pStyle w:val="TOC1"/>
            <w:tabs>
              <w:tab w:val="right" w:leader="dot" w:pos="9335"/>
            </w:tabs>
            <w:ind w:left="560" w:firstLine="480"/>
            <w:rPr>
              <w:rFonts w:asciiTheme="minorHAnsi" w:eastAsiaTheme="minorEastAsia" w:hAnsiTheme="minorHAnsi" w:cstheme="minorBidi" w:hint="eastAsia"/>
              <w:noProof/>
              <w:snapToGrid/>
              <w:color w:val="auto"/>
              <w:kern w:val="2"/>
              <w:sz w:val="22"/>
              <w:szCs w:val="24"/>
              <w:lang w:eastAsia="zh-CN"/>
              <w14:ligatures w14:val="standardContextual"/>
            </w:rPr>
          </w:pPr>
          <w:r>
            <w:rPr>
              <w:rFonts w:ascii="宋体" w:eastAsia="宋体" w:hAnsi="宋体"/>
              <w:sz w:val="24"/>
              <w:szCs w:val="24"/>
            </w:rPr>
            <w:fldChar w:fldCharType="begin"/>
          </w:r>
          <w:r>
            <w:rPr>
              <w:rFonts w:ascii="宋体" w:eastAsia="宋体" w:hAnsi="宋体"/>
              <w:sz w:val="24"/>
              <w:szCs w:val="24"/>
            </w:rPr>
            <w:instrText xml:space="preserve"> TOC \o "1-3" \h \z \u </w:instrText>
          </w:r>
          <w:r>
            <w:rPr>
              <w:rFonts w:ascii="宋体" w:eastAsia="宋体" w:hAnsi="宋体"/>
              <w:sz w:val="24"/>
              <w:szCs w:val="24"/>
            </w:rPr>
            <w:fldChar w:fldCharType="separate"/>
          </w:r>
          <w:hyperlink w:anchor="_Toc203048626" w:history="1">
            <w:r w:rsidR="00BB2D03" w:rsidRPr="00E21D97">
              <w:rPr>
                <w:rStyle w:val="ae"/>
                <w:rFonts w:ascii="宋体" w:hAnsi="宋体" w:hint="eastAsia"/>
                <w:noProof/>
                <w:lang w:eastAsia="zh-CN"/>
              </w:rPr>
              <w:t>一</w:t>
            </w:r>
            <w:r w:rsidR="00BB2D03" w:rsidRPr="00E21D97">
              <w:rPr>
                <w:rStyle w:val="ae"/>
                <w:rFonts w:ascii="宋体" w:hAnsi="宋体" w:hint="eastAsia"/>
                <w:noProof/>
                <w:lang w:eastAsia="zh-CN"/>
              </w:rPr>
              <w:t xml:space="preserve"> </w:t>
            </w:r>
            <w:r w:rsidR="00BB2D03" w:rsidRPr="00E21D97">
              <w:rPr>
                <w:rStyle w:val="ae"/>
                <w:rFonts w:ascii="宋体" w:hAnsi="宋体" w:hint="eastAsia"/>
                <w:noProof/>
                <w:lang w:eastAsia="zh-CN"/>
              </w:rPr>
              <w:t>总论</w:t>
            </w:r>
            <w:r w:rsidR="00BB2D03">
              <w:rPr>
                <w:rFonts w:hint="eastAsia"/>
                <w:noProof/>
                <w:webHidden/>
              </w:rPr>
              <w:tab/>
            </w:r>
            <w:r w:rsidR="00BB2D03">
              <w:rPr>
                <w:rFonts w:hint="eastAsia"/>
                <w:noProof/>
                <w:webHidden/>
              </w:rPr>
              <w:fldChar w:fldCharType="begin"/>
            </w:r>
            <w:r w:rsidR="00BB2D03">
              <w:rPr>
                <w:rFonts w:hint="eastAsia"/>
                <w:noProof/>
                <w:webHidden/>
              </w:rPr>
              <w:instrText xml:space="preserve"> </w:instrText>
            </w:r>
            <w:r w:rsidR="00BB2D03">
              <w:rPr>
                <w:noProof/>
                <w:webHidden/>
              </w:rPr>
              <w:instrText>PAGEREF _Toc203048626 \h</w:instrText>
            </w:r>
            <w:r w:rsidR="00BB2D03">
              <w:rPr>
                <w:rFonts w:hint="eastAsia"/>
                <w:noProof/>
                <w:webHidden/>
              </w:rPr>
              <w:instrText xml:space="preserve"> </w:instrText>
            </w:r>
            <w:r w:rsidR="00BB2D03">
              <w:rPr>
                <w:rFonts w:hint="eastAsia"/>
                <w:noProof/>
                <w:webHidden/>
              </w:rPr>
            </w:r>
            <w:r w:rsidR="00BB2D03">
              <w:rPr>
                <w:rFonts w:hint="eastAsia"/>
                <w:noProof/>
                <w:webHidden/>
              </w:rPr>
              <w:fldChar w:fldCharType="separate"/>
            </w:r>
            <w:r w:rsidR="00BB2D03">
              <w:rPr>
                <w:noProof/>
                <w:webHidden/>
              </w:rPr>
              <w:t>3</w:t>
            </w:r>
            <w:r w:rsidR="00BB2D03">
              <w:rPr>
                <w:rFonts w:hint="eastAsia"/>
                <w:noProof/>
                <w:webHidden/>
              </w:rPr>
              <w:fldChar w:fldCharType="end"/>
            </w:r>
          </w:hyperlink>
        </w:p>
        <w:p w14:paraId="0C0E8A8C" w14:textId="4588BC66" w:rsidR="00BB2D03" w:rsidRDefault="00BB2D03">
          <w:pPr>
            <w:pStyle w:val="TOC2"/>
            <w:tabs>
              <w:tab w:val="right" w:leader="dot" w:pos="9335"/>
            </w:tabs>
            <w:ind w:left="560" w:firstLine="560"/>
            <w:rPr>
              <w:rFonts w:asciiTheme="minorHAnsi" w:eastAsiaTheme="minorEastAsia" w:hAnsiTheme="minorHAnsi" w:cstheme="minorBidi" w:hint="eastAsia"/>
              <w:noProof/>
              <w:snapToGrid/>
              <w:color w:val="auto"/>
              <w:kern w:val="2"/>
              <w:sz w:val="22"/>
              <w:szCs w:val="24"/>
              <w:lang w:eastAsia="zh-CN"/>
              <w14:ligatures w14:val="standardContextual"/>
            </w:rPr>
          </w:pPr>
          <w:hyperlink w:anchor="_Toc203048627" w:history="1">
            <w:r w:rsidRPr="00E21D97">
              <w:rPr>
                <w:rStyle w:val="ae"/>
                <w:rFonts w:ascii="宋体" w:eastAsia="宋体" w:hAnsi="宋体" w:cs="Times New Roman" w:hint="eastAsia"/>
                <w:noProof/>
                <w:lang w:eastAsia="zh-CN"/>
              </w:rPr>
              <w:t>1.1 概述</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_Toc203048627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w:t>
            </w:r>
            <w:r>
              <w:rPr>
                <w:rFonts w:hint="eastAsia"/>
                <w:noProof/>
                <w:webHidden/>
              </w:rPr>
              <w:fldChar w:fldCharType="end"/>
            </w:r>
          </w:hyperlink>
        </w:p>
        <w:p w14:paraId="24E5C925" w14:textId="72E57E7A" w:rsidR="00BB2D03" w:rsidRDefault="00BB2D03">
          <w:pPr>
            <w:pStyle w:val="TOC1"/>
            <w:tabs>
              <w:tab w:val="right" w:leader="dot" w:pos="9335"/>
            </w:tabs>
            <w:ind w:left="560" w:firstLine="640"/>
            <w:rPr>
              <w:rFonts w:asciiTheme="minorHAnsi" w:eastAsiaTheme="minorEastAsia" w:hAnsiTheme="minorHAnsi" w:cstheme="minorBidi" w:hint="eastAsia"/>
              <w:noProof/>
              <w:snapToGrid/>
              <w:color w:val="auto"/>
              <w:kern w:val="2"/>
              <w:sz w:val="22"/>
              <w:szCs w:val="24"/>
              <w:lang w:eastAsia="zh-CN"/>
              <w14:ligatures w14:val="standardContextual"/>
            </w:rPr>
          </w:pPr>
          <w:hyperlink w:anchor="_Toc203048628" w:history="1">
            <w:r w:rsidRPr="00E21D97">
              <w:rPr>
                <w:rStyle w:val="ae"/>
                <w:rFonts w:ascii="宋体" w:hAnsi="宋体" w:hint="eastAsia"/>
                <w:noProof/>
                <w:lang w:eastAsia="zh-CN"/>
              </w:rPr>
              <w:t>二</w:t>
            </w:r>
            <w:r w:rsidRPr="00E21D97">
              <w:rPr>
                <w:rStyle w:val="ae"/>
                <w:rFonts w:ascii="宋体" w:hAnsi="宋体" w:hint="eastAsia"/>
                <w:noProof/>
                <w:lang w:eastAsia="zh-CN"/>
              </w:rPr>
              <w:t xml:space="preserve"> </w:t>
            </w:r>
            <w:r w:rsidRPr="00E21D97">
              <w:rPr>
                <w:rStyle w:val="ae"/>
                <w:rFonts w:ascii="宋体" w:hAnsi="宋体" w:hint="eastAsia"/>
                <w:noProof/>
                <w:lang w:eastAsia="zh-CN"/>
              </w:rPr>
              <w:t>设计范围</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_Toc203048628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w:t>
            </w:r>
            <w:r>
              <w:rPr>
                <w:rFonts w:hint="eastAsia"/>
                <w:noProof/>
                <w:webHidden/>
              </w:rPr>
              <w:fldChar w:fldCharType="end"/>
            </w:r>
          </w:hyperlink>
        </w:p>
        <w:p w14:paraId="1E625155" w14:textId="40D13783" w:rsidR="00BB2D03" w:rsidRDefault="00BB2D03">
          <w:pPr>
            <w:pStyle w:val="TOC2"/>
            <w:tabs>
              <w:tab w:val="right" w:leader="dot" w:pos="9335"/>
            </w:tabs>
            <w:ind w:left="560" w:firstLine="560"/>
            <w:rPr>
              <w:rFonts w:asciiTheme="minorHAnsi" w:eastAsiaTheme="minorEastAsia" w:hAnsiTheme="minorHAnsi" w:cstheme="minorBidi" w:hint="eastAsia"/>
              <w:noProof/>
              <w:snapToGrid/>
              <w:color w:val="auto"/>
              <w:kern w:val="2"/>
              <w:sz w:val="22"/>
              <w:szCs w:val="24"/>
              <w:lang w:eastAsia="zh-CN"/>
              <w14:ligatures w14:val="standardContextual"/>
            </w:rPr>
          </w:pPr>
          <w:hyperlink w:anchor="_Toc203048629" w:history="1">
            <w:r w:rsidRPr="00E21D97">
              <w:rPr>
                <w:rStyle w:val="ae"/>
                <w:rFonts w:ascii="宋体" w:eastAsia="宋体" w:hAnsi="宋体" w:cs="Times New Roman" w:hint="eastAsia"/>
                <w:noProof/>
                <w:lang w:eastAsia="zh-CN"/>
              </w:rPr>
              <w:t>2.1 设计原则</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_Toc203048629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w:t>
            </w:r>
            <w:r>
              <w:rPr>
                <w:rFonts w:hint="eastAsia"/>
                <w:noProof/>
                <w:webHidden/>
              </w:rPr>
              <w:fldChar w:fldCharType="end"/>
            </w:r>
          </w:hyperlink>
        </w:p>
        <w:p w14:paraId="3CD6E8E5" w14:textId="2B8C85D1" w:rsidR="00BB2D03" w:rsidRDefault="00BB2D03">
          <w:pPr>
            <w:pStyle w:val="TOC2"/>
            <w:tabs>
              <w:tab w:val="right" w:leader="dot" w:pos="9335"/>
            </w:tabs>
            <w:ind w:left="560" w:firstLine="560"/>
            <w:rPr>
              <w:rFonts w:asciiTheme="minorHAnsi" w:eastAsiaTheme="minorEastAsia" w:hAnsiTheme="minorHAnsi" w:cstheme="minorBidi" w:hint="eastAsia"/>
              <w:noProof/>
              <w:snapToGrid/>
              <w:color w:val="auto"/>
              <w:kern w:val="2"/>
              <w:sz w:val="22"/>
              <w:szCs w:val="24"/>
              <w:lang w:eastAsia="zh-CN"/>
              <w14:ligatures w14:val="standardContextual"/>
            </w:rPr>
          </w:pPr>
          <w:hyperlink w:anchor="_Toc203048630" w:history="1">
            <w:r w:rsidRPr="00E21D97">
              <w:rPr>
                <w:rStyle w:val="ae"/>
                <w:rFonts w:ascii="宋体" w:eastAsia="宋体" w:hAnsi="宋体" w:cs="Times New Roman" w:hint="eastAsia"/>
                <w:noProof/>
                <w:lang w:eastAsia="zh-CN"/>
              </w:rPr>
              <w:t>2.2 设计依据及其采用的设计规范及标准</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_Toc203048630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w:t>
            </w:r>
            <w:r>
              <w:rPr>
                <w:rFonts w:hint="eastAsia"/>
                <w:noProof/>
                <w:webHidden/>
              </w:rPr>
              <w:fldChar w:fldCharType="end"/>
            </w:r>
          </w:hyperlink>
        </w:p>
        <w:p w14:paraId="1BB169D1" w14:textId="2E4094E0" w:rsidR="00BB2D03" w:rsidRDefault="00BB2D03">
          <w:pPr>
            <w:pStyle w:val="TOC2"/>
            <w:tabs>
              <w:tab w:val="right" w:leader="dot" w:pos="9335"/>
            </w:tabs>
            <w:ind w:left="560" w:firstLine="560"/>
            <w:rPr>
              <w:rFonts w:asciiTheme="minorHAnsi" w:eastAsiaTheme="minorEastAsia" w:hAnsiTheme="minorHAnsi" w:cstheme="minorBidi" w:hint="eastAsia"/>
              <w:noProof/>
              <w:snapToGrid/>
              <w:color w:val="auto"/>
              <w:kern w:val="2"/>
              <w:sz w:val="22"/>
              <w:szCs w:val="24"/>
              <w:lang w:eastAsia="zh-CN"/>
              <w14:ligatures w14:val="standardContextual"/>
            </w:rPr>
          </w:pPr>
          <w:hyperlink w:anchor="_Toc203048631" w:history="1">
            <w:r w:rsidRPr="00E21D97">
              <w:rPr>
                <w:rStyle w:val="ae"/>
                <w:rFonts w:ascii="宋体" w:eastAsia="宋体" w:hAnsi="宋体" w:cs="Times New Roman" w:hint="eastAsia"/>
                <w:noProof/>
                <w:lang w:eastAsia="zh-CN"/>
              </w:rPr>
              <w:t>2.3 设计范围</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_Toc203048631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w:t>
            </w:r>
            <w:r>
              <w:rPr>
                <w:rFonts w:hint="eastAsia"/>
                <w:noProof/>
                <w:webHidden/>
              </w:rPr>
              <w:fldChar w:fldCharType="end"/>
            </w:r>
          </w:hyperlink>
        </w:p>
        <w:p w14:paraId="00353B7D" w14:textId="45EF23A1" w:rsidR="00BB2D03" w:rsidRDefault="00BB2D03">
          <w:pPr>
            <w:pStyle w:val="TOC2"/>
            <w:tabs>
              <w:tab w:val="right" w:leader="dot" w:pos="9335"/>
            </w:tabs>
            <w:ind w:left="560" w:firstLine="560"/>
            <w:rPr>
              <w:rFonts w:asciiTheme="minorHAnsi" w:eastAsiaTheme="minorEastAsia" w:hAnsiTheme="minorHAnsi" w:cstheme="minorBidi" w:hint="eastAsia"/>
              <w:noProof/>
              <w:snapToGrid/>
              <w:color w:val="auto"/>
              <w:kern w:val="2"/>
              <w:sz w:val="22"/>
              <w:szCs w:val="24"/>
              <w:lang w:eastAsia="zh-CN"/>
              <w14:ligatures w14:val="standardContextual"/>
            </w:rPr>
          </w:pPr>
          <w:hyperlink w:anchor="_Toc203048632" w:history="1">
            <w:r w:rsidRPr="00E21D97">
              <w:rPr>
                <w:rStyle w:val="ae"/>
                <w:rFonts w:ascii="宋体" w:eastAsia="宋体" w:hAnsi="宋体" w:cs="Times New Roman" w:hint="eastAsia"/>
                <w:noProof/>
                <w:lang w:eastAsia="zh-CN"/>
              </w:rPr>
              <w:t>2.4 设计内容:</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_Toc203048632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w:t>
            </w:r>
            <w:r>
              <w:rPr>
                <w:rFonts w:hint="eastAsia"/>
                <w:noProof/>
                <w:webHidden/>
              </w:rPr>
              <w:fldChar w:fldCharType="end"/>
            </w:r>
          </w:hyperlink>
        </w:p>
        <w:p w14:paraId="1537E59B" w14:textId="09711BD8" w:rsidR="00BB2D03" w:rsidRDefault="00BB2D03">
          <w:pPr>
            <w:pStyle w:val="TOC1"/>
            <w:tabs>
              <w:tab w:val="right" w:leader="dot" w:pos="9335"/>
            </w:tabs>
            <w:ind w:left="560" w:firstLine="640"/>
            <w:rPr>
              <w:rFonts w:asciiTheme="minorHAnsi" w:eastAsiaTheme="minorEastAsia" w:hAnsiTheme="minorHAnsi" w:cstheme="minorBidi" w:hint="eastAsia"/>
              <w:noProof/>
              <w:snapToGrid/>
              <w:color w:val="auto"/>
              <w:kern w:val="2"/>
              <w:sz w:val="22"/>
              <w:szCs w:val="24"/>
              <w:lang w:eastAsia="zh-CN"/>
              <w14:ligatures w14:val="standardContextual"/>
            </w:rPr>
          </w:pPr>
          <w:hyperlink w:anchor="_Toc203048633" w:history="1">
            <w:r w:rsidRPr="00E21D97">
              <w:rPr>
                <w:rStyle w:val="ae"/>
                <w:rFonts w:ascii="宋体" w:hAnsi="宋体" w:hint="eastAsia"/>
                <w:noProof/>
                <w:lang w:eastAsia="zh-CN"/>
              </w:rPr>
              <w:t>三、污水处理工艺设计方案</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_Toc203048633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5</w:t>
            </w:r>
            <w:r>
              <w:rPr>
                <w:rFonts w:hint="eastAsia"/>
                <w:noProof/>
                <w:webHidden/>
              </w:rPr>
              <w:fldChar w:fldCharType="end"/>
            </w:r>
          </w:hyperlink>
        </w:p>
        <w:p w14:paraId="1C7031D2" w14:textId="3A71D0FA" w:rsidR="00BB2D03" w:rsidRDefault="00BB2D03">
          <w:pPr>
            <w:pStyle w:val="TOC2"/>
            <w:tabs>
              <w:tab w:val="right" w:leader="dot" w:pos="9335"/>
            </w:tabs>
            <w:ind w:left="560" w:firstLine="560"/>
            <w:rPr>
              <w:rFonts w:asciiTheme="minorHAnsi" w:eastAsiaTheme="minorEastAsia" w:hAnsiTheme="minorHAnsi" w:cstheme="minorBidi" w:hint="eastAsia"/>
              <w:noProof/>
              <w:snapToGrid/>
              <w:color w:val="auto"/>
              <w:kern w:val="2"/>
              <w:sz w:val="22"/>
              <w:szCs w:val="24"/>
              <w:lang w:eastAsia="zh-CN"/>
              <w14:ligatures w14:val="standardContextual"/>
            </w:rPr>
          </w:pPr>
          <w:hyperlink w:anchor="_Toc203048634" w:history="1">
            <w:r w:rsidRPr="00E21D97">
              <w:rPr>
                <w:rStyle w:val="ae"/>
                <w:rFonts w:ascii="宋体" w:eastAsia="宋体" w:hAnsi="宋体" w:cs="Times New Roman" w:hint="eastAsia"/>
                <w:noProof/>
                <w:lang w:eastAsia="zh-CN"/>
              </w:rPr>
              <w:t>3.1 污水水质水量特点分析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_Toc203048634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5</w:t>
            </w:r>
            <w:r>
              <w:rPr>
                <w:rFonts w:hint="eastAsia"/>
                <w:noProof/>
                <w:webHidden/>
              </w:rPr>
              <w:fldChar w:fldCharType="end"/>
            </w:r>
          </w:hyperlink>
        </w:p>
        <w:p w14:paraId="17340437" w14:textId="0E4224AF" w:rsidR="00BB2D03" w:rsidRDefault="00BB2D03">
          <w:pPr>
            <w:pStyle w:val="TOC2"/>
            <w:tabs>
              <w:tab w:val="right" w:leader="dot" w:pos="9335"/>
            </w:tabs>
            <w:ind w:left="560" w:firstLine="560"/>
            <w:rPr>
              <w:rFonts w:asciiTheme="minorHAnsi" w:eastAsiaTheme="minorEastAsia" w:hAnsiTheme="minorHAnsi" w:cstheme="minorBidi" w:hint="eastAsia"/>
              <w:noProof/>
              <w:snapToGrid/>
              <w:color w:val="auto"/>
              <w:kern w:val="2"/>
              <w:sz w:val="22"/>
              <w:szCs w:val="24"/>
              <w:lang w:eastAsia="zh-CN"/>
              <w14:ligatures w14:val="standardContextual"/>
            </w:rPr>
          </w:pPr>
          <w:hyperlink w:anchor="_Toc203048635" w:history="1">
            <w:r w:rsidRPr="00E21D97">
              <w:rPr>
                <w:rStyle w:val="ae"/>
                <w:rFonts w:ascii="宋体" w:eastAsia="宋体" w:hAnsi="宋体" w:cs="Times New Roman" w:hint="eastAsia"/>
                <w:noProof/>
                <w:lang w:eastAsia="zh-CN"/>
              </w:rPr>
              <w:t>3.2 污水水质水量及处理目标</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_Toc203048635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5</w:t>
            </w:r>
            <w:r>
              <w:rPr>
                <w:rFonts w:hint="eastAsia"/>
                <w:noProof/>
                <w:webHidden/>
              </w:rPr>
              <w:fldChar w:fldCharType="end"/>
            </w:r>
          </w:hyperlink>
        </w:p>
        <w:p w14:paraId="41925D24" w14:textId="1FF79783" w:rsidR="00BB2D03" w:rsidRDefault="00BB2D03">
          <w:pPr>
            <w:pStyle w:val="TOC2"/>
            <w:tabs>
              <w:tab w:val="right" w:leader="dot" w:pos="9335"/>
            </w:tabs>
            <w:ind w:left="560" w:firstLine="560"/>
            <w:rPr>
              <w:rFonts w:asciiTheme="minorHAnsi" w:eastAsiaTheme="minorEastAsia" w:hAnsiTheme="minorHAnsi" w:cstheme="minorBidi" w:hint="eastAsia"/>
              <w:noProof/>
              <w:snapToGrid/>
              <w:color w:val="auto"/>
              <w:kern w:val="2"/>
              <w:sz w:val="22"/>
              <w:szCs w:val="24"/>
              <w:lang w:eastAsia="zh-CN"/>
              <w14:ligatures w14:val="standardContextual"/>
            </w:rPr>
          </w:pPr>
          <w:hyperlink w:anchor="_Toc203048636" w:history="1">
            <w:r w:rsidRPr="00E21D97">
              <w:rPr>
                <w:rStyle w:val="ae"/>
                <w:rFonts w:ascii="宋体" w:eastAsia="宋体" w:hAnsi="宋体" w:cs="Times New Roman" w:hint="eastAsia"/>
                <w:noProof/>
                <w:lang w:eastAsia="zh-CN"/>
              </w:rPr>
              <w:t>3.3 处理工艺分析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_Toc203048636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6</w:t>
            </w:r>
            <w:r>
              <w:rPr>
                <w:rFonts w:hint="eastAsia"/>
                <w:noProof/>
                <w:webHidden/>
              </w:rPr>
              <w:fldChar w:fldCharType="end"/>
            </w:r>
          </w:hyperlink>
        </w:p>
        <w:p w14:paraId="270BF988" w14:textId="515AD62E" w:rsidR="00BB2D03" w:rsidRDefault="00BB2D03">
          <w:pPr>
            <w:pStyle w:val="TOC2"/>
            <w:tabs>
              <w:tab w:val="right" w:leader="dot" w:pos="9335"/>
            </w:tabs>
            <w:ind w:left="560" w:firstLine="560"/>
            <w:rPr>
              <w:rFonts w:asciiTheme="minorHAnsi" w:eastAsiaTheme="minorEastAsia" w:hAnsiTheme="minorHAnsi" w:cstheme="minorBidi" w:hint="eastAsia"/>
              <w:noProof/>
              <w:snapToGrid/>
              <w:color w:val="auto"/>
              <w:kern w:val="2"/>
              <w:sz w:val="22"/>
              <w:szCs w:val="24"/>
              <w:lang w:eastAsia="zh-CN"/>
              <w14:ligatures w14:val="standardContextual"/>
            </w:rPr>
          </w:pPr>
          <w:hyperlink w:anchor="_Toc203048637" w:history="1">
            <w:r w:rsidRPr="00E21D97">
              <w:rPr>
                <w:rStyle w:val="ae"/>
                <w:rFonts w:ascii="宋体" w:eastAsia="宋体" w:hAnsi="宋体" w:cs="Times New Roman" w:hint="eastAsia"/>
                <w:noProof/>
                <w:lang w:eastAsia="zh-CN"/>
              </w:rPr>
              <w:t>3.4 治理工艺流程</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_Toc203048637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7</w:t>
            </w:r>
            <w:r>
              <w:rPr>
                <w:rFonts w:hint="eastAsia"/>
                <w:noProof/>
                <w:webHidden/>
              </w:rPr>
              <w:fldChar w:fldCharType="end"/>
            </w:r>
          </w:hyperlink>
        </w:p>
        <w:p w14:paraId="1170ACE0" w14:textId="7BBAA8E8" w:rsidR="00BB2D03" w:rsidRDefault="00BB2D03">
          <w:pPr>
            <w:pStyle w:val="TOC1"/>
            <w:tabs>
              <w:tab w:val="right" w:leader="dot" w:pos="9335"/>
            </w:tabs>
            <w:ind w:left="560" w:firstLine="640"/>
            <w:rPr>
              <w:rFonts w:asciiTheme="minorHAnsi" w:eastAsiaTheme="minorEastAsia" w:hAnsiTheme="minorHAnsi" w:cstheme="minorBidi" w:hint="eastAsia"/>
              <w:noProof/>
              <w:snapToGrid/>
              <w:color w:val="auto"/>
              <w:kern w:val="2"/>
              <w:sz w:val="22"/>
              <w:szCs w:val="24"/>
              <w:lang w:eastAsia="zh-CN"/>
              <w14:ligatures w14:val="standardContextual"/>
            </w:rPr>
          </w:pPr>
          <w:hyperlink w:anchor="_Toc203048638" w:history="1">
            <w:r w:rsidRPr="00E21D97">
              <w:rPr>
                <w:rStyle w:val="ae"/>
                <w:rFonts w:ascii="宋体" w:hAnsi="宋体" w:hint="eastAsia"/>
                <w:noProof/>
                <w:lang w:eastAsia="zh-CN"/>
              </w:rPr>
              <w:t>四、改造方案</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_Toc203048638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8</w:t>
            </w:r>
            <w:r>
              <w:rPr>
                <w:rFonts w:hint="eastAsia"/>
                <w:noProof/>
                <w:webHidden/>
              </w:rPr>
              <w:fldChar w:fldCharType="end"/>
            </w:r>
          </w:hyperlink>
        </w:p>
        <w:p w14:paraId="2AA4D861" w14:textId="5C9514E6" w:rsidR="00BB2D03" w:rsidRDefault="00BB2D03">
          <w:pPr>
            <w:pStyle w:val="TOC2"/>
            <w:tabs>
              <w:tab w:val="right" w:leader="dot" w:pos="9335"/>
            </w:tabs>
            <w:ind w:left="560" w:firstLine="560"/>
            <w:rPr>
              <w:rFonts w:asciiTheme="minorHAnsi" w:eastAsiaTheme="minorEastAsia" w:hAnsiTheme="minorHAnsi" w:cstheme="minorBidi" w:hint="eastAsia"/>
              <w:noProof/>
              <w:snapToGrid/>
              <w:color w:val="auto"/>
              <w:kern w:val="2"/>
              <w:sz w:val="22"/>
              <w:szCs w:val="24"/>
              <w:lang w:eastAsia="zh-CN"/>
              <w14:ligatures w14:val="standardContextual"/>
            </w:rPr>
          </w:pPr>
          <w:hyperlink w:anchor="_Toc203048639" w:history="1">
            <w:r w:rsidRPr="00E21D97">
              <w:rPr>
                <w:rStyle w:val="ae"/>
                <w:rFonts w:ascii="宋体" w:eastAsia="宋体" w:hAnsi="宋体" w:cs="Times New Roman" w:hint="eastAsia"/>
                <w:noProof/>
                <w:lang w:eastAsia="zh-CN"/>
              </w:rPr>
              <w:t>4.1 设计说明</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_Toc203048639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8</w:t>
            </w:r>
            <w:r>
              <w:rPr>
                <w:rFonts w:hint="eastAsia"/>
                <w:noProof/>
                <w:webHidden/>
              </w:rPr>
              <w:fldChar w:fldCharType="end"/>
            </w:r>
          </w:hyperlink>
        </w:p>
        <w:p w14:paraId="110DD443" w14:textId="2F56A787" w:rsidR="00BB2D03" w:rsidRDefault="00BB2D03">
          <w:pPr>
            <w:pStyle w:val="TOC1"/>
            <w:tabs>
              <w:tab w:val="right" w:leader="dot" w:pos="9335"/>
            </w:tabs>
            <w:ind w:left="560" w:firstLine="640"/>
            <w:rPr>
              <w:rFonts w:asciiTheme="minorHAnsi" w:eastAsiaTheme="minorEastAsia" w:hAnsiTheme="minorHAnsi" w:cstheme="minorBidi" w:hint="eastAsia"/>
              <w:noProof/>
              <w:snapToGrid/>
              <w:color w:val="auto"/>
              <w:kern w:val="2"/>
              <w:sz w:val="22"/>
              <w:szCs w:val="24"/>
              <w:lang w:eastAsia="zh-CN"/>
              <w14:ligatures w14:val="standardContextual"/>
            </w:rPr>
          </w:pPr>
          <w:hyperlink w:anchor="_Toc203048640" w:history="1">
            <w:r w:rsidRPr="00E21D97">
              <w:rPr>
                <w:rStyle w:val="ae"/>
                <w:rFonts w:ascii="宋体" w:hAnsi="宋体" w:hint="eastAsia"/>
                <w:noProof/>
                <w:lang w:eastAsia="zh-CN"/>
              </w:rPr>
              <w:t>五、施工方案</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_Toc203048640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9</w:t>
            </w:r>
            <w:r>
              <w:rPr>
                <w:rFonts w:hint="eastAsia"/>
                <w:noProof/>
                <w:webHidden/>
              </w:rPr>
              <w:fldChar w:fldCharType="end"/>
            </w:r>
          </w:hyperlink>
        </w:p>
        <w:p w14:paraId="5A94CBB4" w14:textId="19969445" w:rsidR="00BB2D03" w:rsidRDefault="00BB2D03">
          <w:pPr>
            <w:pStyle w:val="TOC1"/>
            <w:tabs>
              <w:tab w:val="right" w:leader="dot" w:pos="9335"/>
            </w:tabs>
            <w:ind w:left="560" w:firstLine="640"/>
            <w:rPr>
              <w:rFonts w:asciiTheme="minorHAnsi" w:eastAsiaTheme="minorEastAsia" w:hAnsiTheme="minorHAnsi" w:cstheme="minorBidi" w:hint="eastAsia"/>
              <w:noProof/>
              <w:snapToGrid/>
              <w:color w:val="auto"/>
              <w:kern w:val="2"/>
              <w:sz w:val="22"/>
              <w:szCs w:val="24"/>
              <w:lang w:eastAsia="zh-CN"/>
              <w14:ligatures w14:val="standardContextual"/>
            </w:rPr>
          </w:pPr>
          <w:hyperlink w:anchor="_Toc203048641" w:history="1">
            <w:r w:rsidRPr="00E21D97">
              <w:rPr>
                <w:rStyle w:val="ae"/>
                <w:rFonts w:ascii="宋体" w:hAnsi="宋体" w:hint="eastAsia"/>
                <w:noProof/>
                <w:lang w:eastAsia="zh-CN"/>
              </w:rPr>
              <w:t>六、电气控制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_Toc203048641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10</w:t>
            </w:r>
            <w:r>
              <w:rPr>
                <w:rFonts w:hint="eastAsia"/>
                <w:noProof/>
                <w:webHidden/>
              </w:rPr>
              <w:fldChar w:fldCharType="end"/>
            </w:r>
          </w:hyperlink>
        </w:p>
        <w:p w14:paraId="1957AF87" w14:textId="11236680" w:rsidR="00BB2D03" w:rsidRDefault="00BB2D03">
          <w:pPr>
            <w:pStyle w:val="TOC2"/>
            <w:tabs>
              <w:tab w:val="right" w:leader="dot" w:pos="9335"/>
            </w:tabs>
            <w:ind w:left="560" w:firstLine="560"/>
            <w:rPr>
              <w:rFonts w:asciiTheme="minorHAnsi" w:eastAsiaTheme="minorEastAsia" w:hAnsiTheme="minorHAnsi" w:cstheme="minorBidi" w:hint="eastAsia"/>
              <w:noProof/>
              <w:snapToGrid/>
              <w:color w:val="auto"/>
              <w:kern w:val="2"/>
              <w:sz w:val="22"/>
              <w:szCs w:val="24"/>
              <w:lang w:eastAsia="zh-CN"/>
              <w14:ligatures w14:val="standardContextual"/>
            </w:rPr>
          </w:pPr>
          <w:hyperlink w:anchor="_Toc203048642" w:history="1">
            <w:r w:rsidRPr="00E21D97">
              <w:rPr>
                <w:rStyle w:val="ae"/>
                <w:rFonts w:ascii="宋体" w:eastAsia="宋体" w:hAnsi="宋体" w:cs="Times New Roman" w:hint="eastAsia"/>
                <w:noProof/>
                <w:lang w:eastAsia="zh-CN"/>
              </w:rPr>
              <w:t>6.1 设计原则</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_Toc203048642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10</w:t>
            </w:r>
            <w:r>
              <w:rPr>
                <w:rFonts w:hint="eastAsia"/>
                <w:noProof/>
                <w:webHidden/>
              </w:rPr>
              <w:fldChar w:fldCharType="end"/>
            </w:r>
          </w:hyperlink>
        </w:p>
        <w:p w14:paraId="53F5A08A" w14:textId="649EE076" w:rsidR="00BB2D03" w:rsidRDefault="00BB2D03">
          <w:pPr>
            <w:pStyle w:val="TOC2"/>
            <w:tabs>
              <w:tab w:val="right" w:leader="dot" w:pos="9335"/>
            </w:tabs>
            <w:ind w:left="560" w:firstLine="560"/>
            <w:rPr>
              <w:rFonts w:asciiTheme="minorHAnsi" w:eastAsiaTheme="minorEastAsia" w:hAnsiTheme="minorHAnsi" w:cstheme="minorBidi" w:hint="eastAsia"/>
              <w:noProof/>
              <w:snapToGrid/>
              <w:color w:val="auto"/>
              <w:kern w:val="2"/>
              <w:sz w:val="22"/>
              <w:szCs w:val="24"/>
              <w:lang w:eastAsia="zh-CN"/>
              <w14:ligatures w14:val="standardContextual"/>
            </w:rPr>
          </w:pPr>
          <w:hyperlink w:anchor="_Toc203048643" w:history="1">
            <w:r w:rsidRPr="00E21D97">
              <w:rPr>
                <w:rStyle w:val="ae"/>
                <w:rFonts w:ascii="宋体" w:eastAsia="宋体" w:hAnsi="宋体" w:cs="Times New Roman" w:hint="eastAsia"/>
                <w:noProof/>
                <w:lang w:eastAsia="zh-CN"/>
              </w:rPr>
              <w:t>6.2 控制方式</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_Toc203048643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10</w:t>
            </w:r>
            <w:r>
              <w:rPr>
                <w:rFonts w:hint="eastAsia"/>
                <w:noProof/>
                <w:webHidden/>
              </w:rPr>
              <w:fldChar w:fldCharType="end"/>
            </w:r>
          </w:hyperlink>
        </w:p>
        <w:p w14:paraId="62F529A0" w14:textId="111CA773" w:rsidR="009D4D8C" w:rsidRDefault="00000000">
          <w:pPr>
            <w:ind w:left="490" w:hangingChars="175" w:hanging="490"/>
          </w:pPr>
          <w:r>
            <w:rPr>
              <w:rFonts w:ascii="宋体" w:eastAsia="宋体" w:hAnsi="宋体"/>
              <w:bCs/>
              <w:szCs w:val="24"/>
              <w:lang w:val="zh-CN"/>
            </w:rPr>
            <w:fldChar w:fldCharType="end"/>
          </w:r>
        </w:p>
      </w:sdtContent>
    </w:sdt>
    <w:p w14:paraId="724ACE3E" w14:textId="77777777" w:rsidR="009D4D8C" w:rsidRDefault="009D4D8C">
      <w:pPr>
        <w:ind w:leftChars="51" w:left="560" w:hangingChars="149" w:hanging="417"/>
        <w:rPr>
          <w:rFonts w:ascii="宋体" w:eastAsia="宋体" w:hAnsi="宋体" w:cs="Times New Roman" w:hint="eastAsia"/>
          <w:szCs w:val="28"/>
        </w:rPr>
        <w:sectPr w:rsidR="009D4D8C">
          <w:pgSz w:w="11907" w:h="16840"/>
          <w:pgMar w:top="1431" w:right="1129" w:bottom="0" w:left="1433" w:header="0" w:footer="0" w:gutter="0"/>
          <w:cols w:space="720"/>
        </w:sectPr>
      </w:pPr>
    </w:p>
    <w:p w14:paraId="3AD708AD" w14:textId="77777777" w:rsidR="009D4D8C" w:rsidRDefault="009D4D8C">
      <w:pPr>
        <w:pStyle w:val="a0"/>
        <w:ind w:firstLine="560"/>
        <w:rPr>
          <w:rFonts w:ascii="宋体" w:eastAsia="宋体" w:hAnsi="宋体" w:cs="Times New Roman" w:hint="eastAsia"/>
          <w:sz w:val="28"/>
          <w:szCs w:val="28"/>
        </w:rPr>
      </w:pPr>
    </w:p>
    <w:p w14:paraId="66749AE7" w14:textId="77777777" w:rsidR="009D4D8C" w:rsidRDefault="00000000">
      <w:pPr>
        <w:pStyle w:val="1"/>
        <w:rPr>
          <w:rFonts w:ascii="宋体" w:hAnsi="宋体" w:hint="eastAsia"/>
          <w:lang w:eastAsia="zh-CN"/>
        </w:rPr>
      </w:pPr>
      <w:bookmarkStart w:id="1" w:name="bookmark20"/>
      <w:bookmarkStart w:id="2" w:name="bookmark2"/>
      <w:bookmarkStart w:id="3" w:name="_Toc173836948"/>
      <w:bookmarkStart w:id="4" w:name="_Toc203048626"/>
      <w:bookmarkEnd w:id="1"/>
      <w:bookmarkEnd w:id="2"/>
      <w:proofErr w:type="gramStart"/>
      <w:r>
        <w:rPr>
          <w:rFonts w:ascii="宋体" w:hAnsi="宋体"/>
          <w:lang w:eastAsia="zh-CN"/>
        </w:rPr>
        <w:t>一</w:t>
      </w:r>
      <w:proofErr w:type="gramEnd"/>
      <w:r>
        <w:rPr>
          <w:rFonts w:ascii="宋体" w:hAnsi="宋体" w:hint="eastAsia"/>
          <w:lang w:eastAsia="zh-CN"/>
        </w:rPr>
        <w:t xml:space="preserve"> </w:t>
      </w:r>
      <w:r>
        <w:rPr>
          <w:rFonts w:ascii="宋体" w:hAnsi="宋体"/>
          <w:lang w:eastAsia="zh-CN"/>
        </w:rPr>
        <w:t>总论</w:t>
      </w:r>
      <w:bookmarkEnd w:id="3"/>
      <w:bookmarkEnd w:id="4"/>
    </w:p>
    <w:p w14:paraId="226789C1" w14:textId="77777777" w:rsidR="009D4D8C" w:rsidRDefault="00000000">
      <w:pPr>
        <w:pStyle w:val="2"/>
        <w:rPr>
          <w:rFonts w:ascii="宋体" w:eastAsia="宋体" w:hAnsi="宋体" w:cs="Times New Roman" w:hint="eastAsia"/>
          <w:lang w:eastAsia="zh-CN"/>
        </w:rPr>
      </w:pPr>
      <w:bookmarkStart w:id="5" w:name="bookmark3"/>
      <w:bookmarkStart w:id="6" w:name="_Toc203048627"/>
      <w:bookmarkEnd w:id="5"/>
      <w:r>
        <w:rPr>
          <w:rFonts w:ascii="宋体" w:eastAsia="宋体" w:hAnsi="宋体" w:cs="Times New Roman"/>
          <w:lang w:eastAsia="zh-CN"/>
        </w:rPr>
        <w:t>1</w:t>
      </w:r>
      <w:r>
        <w:rPr>
          <w:rFonts w:ascii="宋体" w:eastAsia="宋体" w:hAnsi="宋体" w:cs="Times New Roman" w:hint="eastAsia"/>
          <w:lang w:eastAsia="zh-CN"/>
        </w:rPr>
        <w:t>.1</w:t>
      </w:r>
      <w:r>
        <w:rPr>
          <w:rFonts w:ascii="宋体" w:eastAsia="宋体" w:hAnsi="宋体" w:cs="Times New Roman"/>
          <w:lang w:eastAsia="zh-CN"/>
        </w:rPr>
        <w:t xml:space="preserve"> 概述</w:t>
      </w:r>
      <w:bookmarkEnd w:id="6"/>
    </w:p>
    <w:p w14:paraId="791C71EC"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hint="eastAsia"/>
          <w:sz w:val="24"/>
          <w:szCs w:val="24"/>
          <w:lang w:eastAsia="zh-CN"/>
        </w:rPr>
        <w:t>本项目为周家桥社区街道卫生服务中心污水处理升级改造方案</w:t>
      </w:r>
    </w:p>
    <w:p w14:paraId="534B6F82"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t>该院现有一</w:t>
      </w:r>
      <w:r>
        <w:rPr>
          <w:rFonts w:ascii="宋体" w:eastAsia="宋体" w:hAnsi="宋体" w:cs="Times New Roman" w:hint="eastAsia"/>
          <w:sz w:val="24"/>
          <w:szCs w:val="24"/>
          <w:lang w:eastAsia="zh-CN"/>
        </w:rPr>
        <w:t>套污水处理系统</w:t>
      </w:r>
      <w:r>
        <w:rPr>
          <w:rFonts w:ascii="宋体" w:eastAsia="宋体" w:hAnsi="宋体" w:cs="Times New Roman"/>
          <w:sz w:val="24"/>
          <w:szCs w:val="24"/>
          <w:lang w:eastAsia="zh-CN"/>
        </w:rPr>
        <w:t>，</w:t>
      </w:r>
      <w:r>
        <w:rPr>
          <w:rFonts w:ascii="宋体" w:eastAsia="宋体" w:hAnsi="宋体" w:cs="Times New Roman" w:hint="eastAsia"/>
          <w:sz w:val="24"/>
          <w:szCs w:val="24"/>
          <w:lang w:eastAsia="zh-CN"/>
        </w:rPr>
        <w:t>仅为加药消毒</w:t>
      </w:r>
      <w:r>
        <w:rPr>
          <w:rFonts w:ascii="宋体" w:eastAsia="宋体" w:hAnsi="宋体" w:cs="Times New Roman"/>
          <w:sz w:val="24"/>
          <w:szCs w:val="24"/>
          <w:lang w:eastAsia="zh-CN"/>
        </w:rPr>
        <w:t>设备</w:t>
      </w:r>
      <w:r>
        <w:rPr>
          <w:rFonts w:ascii="宋体" w:eastAsia="宋体" w:hAnsi="宋体" w:cs="Times New Roman" w:hint="eastAsia"/>
          <w:sz w:val="24"/>
          <w:szCs w:val="24"/>
          <w:lang w:eastAsia="zh-CN"/>
        </w:rPr>
        <w:t>。</w:t>
      </w:r>
      <w:r>
        <w:rPr>
          <w:rFonts w:ascii="宋体" w:eastAsia="宋体" w:hAnsi="宋体" w:cs="Times New Roman"/>
          <w:sz w:val="24"/>
          <w:szCs w:val="24"/>
          <w:lang w:eastAsia="zh-CN"/>
        </w:rPr>
        <w:t>设备设施已不能满足当前的污水处理要求、控制智能化及环保监控要求。</w:t>
      </w:r>
      <w:r>
        <w:rPr>
          <w:rFonts w:ascii="宋体" w:eastAsia="宋体" w:hAnsi="宋体" w:cs="Times New Roman" w:hint="eastAsia"/>
          <w:sz w:val="24"/>
          <w:szCs w:val="24"/>
          <w:lang w:eastAsia="zh-CN"/>
        </w:rPr>
        <w:t>需升级更新设备</w:t>
      </w:r>
      <w:r>
        <w:rPr>
          <w:rFonts w:ascii="宋体" w:eastAsia="宋体" w:hAnsi="宋体" w:cs="Times New Roman"/>
          <w:sz w:val="24"/>
          <w:szCs w:val="24"/>
          <w:lang w:eastAsia="zh-CN"/>
        </w:rPr>
        <w:t>、提升处理污水处理能力。</w:t>
      </w:r>
    </w:p>
    <w:p w14:paraId="1001A2F9"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t>我司根据</w:t>
      </w:r>
      <w:r>
        <w:rPr>
          <w:rFonts w:ascii="宋体" w:eastAsia="宋体" w:hAnsi="宋体" w:cs="Times New Roman" w:hint="eastAsia"/>
          <w:sz w:val="24"/>
          <w:szCs w:val="24"/>
          <w:lang w:eastAsia="zh-CN"/>
        </w:rPr>
        <w:t>中心</w:t>
      </w:r>
      <w:r>
        <w:rPr>
          <w:rFonts w:ascii="宋体" w:eastAsia="宋体" w:hAnsi="宋体" w:cs="Times New Roman"/>
          <w:sz w:val="24"/>
          <w:szCs w:val="24"/>
          <w:lang w:eastAsia="zh-CN"/>
        </w:rPr>
        <w:t>提供的数据，并参考同类</w:t>
      </w:r>
      <w:r>
        <w:rPr>
          <w:rFonts w:ascii="宋体" w:eastAsia="宋体" w:hAnsi="宋体" w:cs="Times New Roman" w:hint="eastAsia"/>
          <w:sz w:val="24"/>
          <w:szCs w:val="24"/>
          <w:lang w:eastAsia="zh-CN"/>
        </w:rPr>
        <w:t>中心</w:t>
      </w:r>
      <w:r>
        <w:rPr>
          <w:rFonts w:ascii="宋体" w:eastAsia="宋体" w:hAnsi="宋体" w:cs="Times New Roman"/>
          <w:sz w:val="24"/>
          <w:szCs w:val="24"/>
          <w:lang w:eastAsia="zh-CN"/>
        </w:rPr>
        <w:t>排放污水的特点和要求，提出“接触氧化池+沉淀池+加药消毒+达标排放 ”二级生化处理方法，以供院方参考。本污水处理工艺拟采用一体化集成设备，该设备兼顾通用性及先进性水质水量变化适应能力强，运行管理简便、灵活、稳定，尽量考虑操作自动化，减少操作劳动强度。</w:t>
      </w:r>
    </w:p>
    <w:p w14:paraId="29D5EEA5" w14:textId="77777777" w:rsidR="009D4D8C" w:rsidRDefault="00000000">
      <w:pPr>
        <w:pStyle w:val="1"/>
        <w:rPr>
          <w:rFonts w:ascii="宋体" w:hAnsi="宋体" w:hint="eastAsia"/>
          <w:lang w:eastAsia="zh-CN"/>
        </w:rPr>
      </w:pPr>
      <w:bookmarkStart w:id="7" w:name="_Toc203048628"/>
      <w:r>
        <w:rPr>
          <w:rFonts w:ascii="宋体" w:hAnsi="宋体" w:hint="eastAsia"/>
          <w:lang w:eastAsia="zh-CN"/>
        </w:rPr>
        <w:t>二 设计范围</w:t>
      </w:r>
      <w:bookmarkEnd w:id="7"/>
    </w:p>
    <w:p w14:paraId="0F30EEA9" w14:textId="77777777" w:rsidR="009D4D8C" w:rsidRDefault="00000000">
      <w:pPr>
        <w:pStyle w:val="2"/>
        <w:rPr>
          <w:rFonts w:ascii="宋体" w:eastAsia="宋体" w:hAnsi="宋体" w:cs="Times New Roman" w:hint="eastAsia"/>
          <w:lang w:eastAsia="zh-CN"/>
        </w:rPr>
      </w:pPr>
      <w:bookmarkStart w:id="8" w:name="bookmark21"/>
      <w:bookmarkStart w:id="9" w:name="_Toc203048629"/>
      <w:bookmarkEnd w:id="8"/>
      <w:r>
        <w:rPr>
          <w:rFonts w:ascii="宋体" w:eastAsia="宋体" w:hAnsi="宋体" w:cs="Times New Roman" w:hint="eastAsia"/>
          <w:lang w:eastAsia="zh-CN"/>
        </w:rPr>
        <w:t xml:space="preserve">2.1 </w:t>
      </w:r>
      <w:r>
        <w:rPr>
          <w:rFonts w:ascii="宋体" w:eastAsia="宋体" w:hAnsi="宋体" w:cs="Times New Roman"/>
          <w:lang w:eastAsia="zh-CN"/>
        </w:rPr>
        <w:t>设计原则</w:t>
      </w:r>
      <w:bookmarkEnd w:id="9"/>
    </w:p>
    <w:p w14:paraId="63407E24"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hint="eastAsia"/>
          <w:sz w:val="24"/>
          <w:szCs w:val="24"/>
          <w:lang w:eastAsia="zh-CN"/>
        </w:rPr>
        <w:t xml:space="preserve">2.1.1 </w:t>
      </w:r>
      <w:r>
        <w:rPr>
          <w:rFonts w:ascii="宋体" w:eastAsia="宋体" w:hAnsi="宋体" w:cs="Times New Roman"/>
          <w:sz w:val="24"/>
          <w:szCs w:val="24"/>
          <w:lang w:eastAsia="zh-CN"/>
        </w:rPr>
        <w:t>本设计方案严格执行有关环境保护的各项规定，污水经处理后必须确保各项出水水质指标达到国家《污水综合排放标准》(GB8978-1996)表四之二级排放标准和</w:t>
      </w:r>
      <w:hyperlink r:id="rId11" w:history="1">
        <w:r>
          <w:rPr>
            <w:rFonts w:ascii="宋体" w:eastAsia="宋体" w:hAnsi="宋体" w:cs="Times New Roman"/>
            <w:sz w:val="24"/>
            <w:szCs w:val="24"/>
            <w:lang w:eastAsia="zh-CN"/>
          </w:rPr>
          <w:t>《医疗机构水污染物排放标准》(GB18466—2005)</w:t>
        </w:r>
      </w:hyperlink>
      <w:r>
        <w:rPr>
          <w:rFonts w:ascii="宋体" w:eastAsia="宋体" w:hAnsi="宋体" w:cs="Times New Roman"/>
          <w:sz w:val="24"/>
          <w:szCs w:val="24"/>
          <w:lang w:eastAsia="zh-CN"/>
        </w:rPr>
        <w:t>中的排放要求。</w:t>
      </w:r>
    </w:p>
    <w:p w14:paraId="3C34267C"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hint="eastAsia"/>
          <w:sz w:val="24"/>
          <w:szCs w:val="24"/>
          <w:lang w:eastAsia="zh-CN"/>
        </w:rPr>
        <w:t xml:space="preserve">2.1.2 </w:t>
      </w:r>
      <w:r>
        <w:rPr>
          <w:rFonts w:ascii="宋体" w:eastAsia="宋体" w:hAnsi="宋体" w:cs="Times New Roman"/>
          <w:sz w:val="24"/>
          <w:szCs w:val="24"/>
          <w:lang w:eastAsia="zh-CN"/>
        </w:rPr>
        <w:t>工艺先进可靠，对水质水量变化适应能力强，运行管理简便、灵活、稳定，尽量考虑操作自动化，减少操作劳动强度。</w:t>
      </w:r>
    </w:p>
    <w:p w14:paraId="37B5431B"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hint="eastAsia"/>
          <w:sz w:val="24"/>
          <w:szCs w:val="24"/>
          <w:lang w:eastAsia="zh-CN"/>
        </w:rPr>
        <w:t xml:space="preserve">2.1.3 </w:t>
      </w:r>
      <w:r>
        <w:rPr>
          <w:rFonts w:ascii="宋体" w:eastAsia="宋体" w:hAnsi="宋体" w:cs="Times New Roman"/>
          <w:sz w:val="24"/>
          <w:szCs w:val="24"/>
          <w:lang w:eastAsia="zh-CN"/>
        </w:rPr>
        <w:t>设备选型兼顾通用性和先进性，运行稳定可靠、效率高、管理方便、维修维护工作量少、价格适中。</w:t>
      </w:r>
    </w:p>
    <w:p w14:paraId="3FDC3767"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hint="eastAsia"/>
          <w:sz w:val="24"/>
          <w:szCs w:val="24"/>
          <w:lang w:eastAsia="zh-CN"/>
        </w:rPr>
        <w:t xml:space="preserve">2.1.4 </w:t>
      </w:r>
      <w:r>
        <w:rPr>
          <w:rFonts w:ascii="宋体" w:eastAsia="宋体" w:hAnsi="宋体" w:cs="Times New Roman"/>
          <w:sz w:val="24"/>
          <w:szCs w:val="24"/>
          <w:lang w:eastAsia="zh-CN"/>
        </w:rPr>
        <w:t>工艺选择应与当地的经济发展及现有条件相适应，妥善处理技术先进行性和合理可行性的关系。</w:t>
      </w:r>
    </w:p>
    <w:p w14:paraId="7E464707"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hint="eastAsia"/>
          <w:sz w:val="24"/>
          <w:szCs w:val="24"/>
          <w:lang w:eastAsia="zh-CN"/>
        </w:rPr>
        <w:t xml:space="preserve">2.1.5 </w:t>
      </w:r>
      <w:r>
        <w:rPr>
          <w:rFonts w:ascii="宋体" w:eastAsia="宋体" w:hAnsi="宋体" w:cs="Times New Roman"/>
          <w:sz w:val="24"/>
          <w:szCs w:val="24"/>
          <w:lang w:eastAsia="zh-CN"/>
        </w:rPr>
        <w:t>尽量采取措施，减小对周围环境的影响，合理控制噪声、气味，妥善处理与处置固体废弃物，避免二次污染。</w:t>
      </w:r>
    </w:p>
    <w:p w14:paraId="691FC4DC"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hint="eastAsia"/>
          <w:sz w:val="24"/>
          <w:szCs w:val="24"/>
          <w:lang w:eastAsia="zh-CN"/>
        </w:rPr>
        <w:t xml:space="preserve">2.1.6 </w:t>
      </w:r>
      <w:r>
        <w:rPr>
          <w:rFonts w:ascii="宋体" w:eastAsia="宋体" w:hAnsi="宋体" w:cs="Times New Roman"/>
          <w:sz w:val="24"/>
          <w:szCs w:val="24"/>
          <w:lang w:eastAsia="zh-CN"/>
        </w:rPr>
        <w:t>工程建设完成后，力争达到社会效益、经济效益、环境效益的最佳统一。</w:t>
      </w:r>
    </w:p>
    <w:p w14:paraId="02D02CBA" w14:textId="77777777" w:rsidR="009D4D8C" w:rsidRDefault="00000000">
      <w:pPr>
        <w:pStyle w:val="2"/>
        <w:rPr>
          <w:rFonts w:ascii="宋体" w:eastAsia="宋体" w:hAnsi="宋体" w:cs="Times New Roman" w:hint="eastAsia"/>
          <w:lang w:eastAsia="zh-CN"/>
        </w:rPr>
      </w:pPr>
      <w:bookmarkStart w:id="10" w:name="bookmark1"/>
      <w:bookmarkStart w:id="11" w:name="_Toc203048630"/>
      <w:bookmarkEnd w:id="10"/>
      <w:r>
        <w:rPr>
          <w:rFonts w:ascii="宋体" w:eastAsia="宋体" w:hAnsi="宋体" w:cs="Times New Roman" w:hint="eastAsia"/>
          <w:lang w:eastAsia="zh-CN"/>
        </w:rPr>
        <w:t xml:space="preserve">2.2 </w:t>
      </w:r>
      <w:r>
        <w:rPr>
          <w:rFonts w:ascii="宋体" w:eastAsia="宋体" w:hAnsi="宋体" w:cs="Times New Roman"/>
          <w:lang w:eastAsia="zh-CN"/>
        </w:rPr>
        <w:t>设计依据及其采用的设计规范及标准</w:t>
      </w:r>
      <w:bookmarkEnd w:id="11"/>
    </w:p>
    <w:p w14:paraId="07509844"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t>(1)《中华人民共和国环境保护法》和《水污染防治法》</w:t>
      </w:r>
    </w:p>
    <w:p w14:paraId="39EE2121"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t>(2) 国务院(1998)第253号令《建设项目环境保护管理条例》</w:t>
      </w:r>
    </w:p>
    <w:p w14:paraId="7F79B0D6"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t>(3)《污水综合排放标准》GB8978－96</w:t>
      </w:r>
    </w:p>
    <w:p w14:paraId="7A820C0E"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t>(4)</w:t>
      </w:r>
      <w:hyperlink r:id="rId12" w:history="1">
        <w:r>
          <w:rPr>
            <w:rFonts w:ascii="宋体" w:eastAsia="宋体" w:hAnsi="宋体" w:cs="Times New Roman"/>
            <w:sz w:val="24"/>
            <w:szCs w:val="24"/>
            <w:lang w:eastAsia="zh-CN"/>
          </w:rPr>
          <w:t>《医疗机构水污染物排放标准》(GB 18466—2005)</w:t>
        </w:r>
      </w:hyperlink>
      <w:r>
        <w:rPr>
          <w:rFonts w:ascii="宋体" w:eastAsia="宋体" w:hAnsi="宋体" w:cs="Times New Roman"/>
          <w:sz w:val="24"/>
          <w:szCs w:val="24"/>
          <w:lang w:eastAsia="zh-CN"/>
        </w:rPr>
        <w:t>)</w:t>
      </w:r>
    </w:p>
    <w:p w14:paraId="6A158146"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lastRenderedPageBreak/>
        <w:t>(5)《室外排水设计标准》GB50014-2019</w:t>
      </w:r>
    </w:p>
    <w:p w14:paraId="560D54F0"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t>(6)《医疗机构水污染物排放标准》GB18466-2005</w:t>
      </w:r>
    </w:p>
    <w:p w14:paraId="5880545A"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t xml:space="preserve">(7) </w:t>
      </w:r>
      <w:proofErr w:type="gramStart"/>
      <w:r>
        <w:rPr>
          <w:rFonts w:ascii="宋体" w:eastAsia="宋体" w:hAnsi="宋体" w:cs="Times New Roman"/>
          <w:sz w:val="24"/>
          <w:szCs w:val="24"/>
          <w:lang w:eastAsia="zh-CN"/>
        </w:rPr>
        <w:t>《医院污水处理技术指南》国环发</w:t>
      </w:r>
      <w:proofErr w:type="gramEnd"/>
      <w:r>
        <w:rPr>
          <w:rFonts w:ascii="宋体" w:eastAsia="宋体" w:hAnsi="宋体" w:cs="Times New Roman"/>
          <w:sz w:val="24"/>
          <w:szCs w:val="24"/>
          <w:lang w:eastAsia="zh-CN"/>
        </w:rPr>
        <w:t>[2003]197号</w:t>
      </w:r>
    </w:p>
    <w:p w14:paraId="4E30E061"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t>(8) 《医院污水处理工程技术规范》HJ2029-2013</w:t>
      </w:r>
    </w:p>
    <w:p w14:paraId="441CC15B"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t>(9) 《医院污水处理设计规范》CECS07-2004</w:t>
      </w:r>
    </w:p>
    <w:p w14:paraId="1E328AEA"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t>(10)《污水综合排放标准》DB31/199-2018</w:t>
      </w:r>
    </w:p>
    <w:p w14:paraId="1407F818"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t>(11)《城市区域环境噪音标准》(GB3096-2008)</w:t>
      </w:r>
    </w:p>
    <w:p w14:paraId="10C57655"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t>(12)《上海市大气污染防治条例》</w:t>
      </w:r>
    </w:p>
    <w:p w14:paraId="0259448B" w14:textId="77777777" w:rsidR="009D4D8C" w:rsidRDefault="00000000">
      <w:pPr>
        <w:ind w:firstLine="480"/>
        <w:rPr>
          <w:rFonts w:ascii="宋体" w:eastAsia="宋体" w:hAnsi="宋体" w:cs="Times New Roman" w:hint="eastAsia"/>
          <w:spacing w:val="2"/>
          <w:sz w:val="24"/>
          <w:szCs w:val="24"/>
          <w:lang w:eastAsia="zh-CN"/>
        </w:rPr>
      </w:pPr>
      <w:r>
        <w:rPr>
          <w:rFonts w:ascii="宋体" w:eastAsia="宋体" w:hAnsi="宋体" w:cs="Times New Roman"/>
          <w:sz w:val="24"/>
          <w:szCs w:val="24"/>
          <w:lang w:eastAsia="zh-CN"/>
        </w:rPr>
        <w:t>(13)《恶臭 (异味)污染物排放标准》DB31/1025-2016</w:t>
      </w:r>
      <w:bookmarkStart w:id="12" w:name="bookmark4"/>
      <w:bookmarkEnd w:id="12"/>
    </w:p>
    <w:p w14:paraId="35A73BAC" w14:textId="77777777" w:rsidR="009D4D8C" w:rsidRDefault="00000000">
      <w:pPr>
        <w:pStyle w:val="2"/>
        <w:rPr>
          <w:rFonts w:ascii="宋体" w:eastAsia="宋体" w:hAnsi="宋体" w:cs="Times New Roman" w:hint="eastAsia"/>
          <w:lang w:eastAsia="zh-CN"/>
        </w:rPr>
      </w:pPr>
      <w:bookmarkStart w:id="13" w:name="_Toc203048631"/>
      <w:r>
        <w:rPr>
          <w:rFonts w:ascii="宋体" w:eastAsia="宋体" w:hAnsi="宋体" w:cs="Times New Roman" w:hint="eastAsia"/>
          <w:lang w:eastAsia="zh-CN"/>
        </w:rPr>
        <w:t xml:space="preserve">2.3 </w:t>
      </w:r>
      <w:r>
        <w:rPr>
          <w:rFonts w:ascii="宋体" w:eastAsia="宋体" w:hAnsi="宋体" w:cs="Times New Roman"/>
          <w:lang w:eastAsia="zh-CN"/>
        </w:rPr>
        <w:t>设计范围</w:t>
      </w:r>
      <w:bookmarkEnd w:id="13"/>
    </w:p>
    <w:p w14:paraId="6BA911A5"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t>污水处理站的总体改造设计、施工和安装；包括工艺、土建、电气、仪表及自动控制设计等各工程。</w:t>
      </w:r>
    </w:p>
    <w:p w14:paraId="5016E7D1" w14:textId="77777777" w:rsidR="009D4D8C" w:rsidRDefault="00000000">
      <w:pPr>
        <w:pStyle w:val="2"/>
        <w:rPr>
          <w:rFonts w:ascii="宋体" w:eastAsia="宋体" w:hAnsi="宋体" w:cs="Times New Roman" w:hint="eastAsia"/>
          <w:lang w:eastAsia="zh-CN"/>
        </w:rPr>
      </w:pPr>
      <w:bookmarkStart w:id="14" w:name="bookmark5"/>
      <w:bookmarkStart w:id="15" w:name="_Toc203048632"/>
      <w:bookmarkEnd w:id="14"/>
      <w:r>
        <w:rPr>
          <w:rFonts w:ascii="宋体" w:eastAsia="宋体" w:hAnsi="宋体" w:cs="Times New Roman" w:hint="eastAsia"/>
          <w:lang w:eastAsia="zh-CN"/>
        </w:rPr>
        <w:t xml:space="preserve">2.4 </w:t>
      </w:r>
      <w:r>
        <w:rPr>
          <w:rFonts w:ascii="宋体" w:eastAsia="宋体" w:hAnsi="宋体" w:cs="Times New Roman"/>
          <w:lang w:eastAsia="zh-CN"/>
        </w:rPr>
        <w:t>设计内容:</w:t>
      </w:r>
      <w:bookmarkEnd w:id="15"/>
    </w:p>
    <w:p w14:paraId="19C826F4"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t>调查研究水量、水质变化情况，结合污水本身所特有的情况，选择技术成熟、经济合理、运行灵活、管理方便、处理效果稳定的设计方案，并对其进行设备选型。</w:t>
      </w:r>
    </w:p>
    <w:p w14:paraId="2E8B12F1" w14:textId="77777777" w:rsidR="009D4D8C" w:rsidRDefault="00000000">
      <w:pPr>
        <w:ind w:firstLine="560"/>
        <w:rPr>
          <w:rFonts w:ascii="宋体" w:eastAsia="宋体" w:hAnsi="宋体" w:cs="Times New Roman" w:hint="eastAsia"/>
          <w:szCs w:val="28"/>
          <w:lang w:eastAsia="zh-CN"/>
        </w:rPr>
      </w:pPr>
      <w:r>
        <w:rPr>
          <w:rFonts w:ascii="宋体" w:eastAsia="宋体" w:hAnsi="宋体" w:cs="Times New Roman"/>
          <w:szCs w:val="28"/>
          <w:lang w:eastAsia="zh-CN"/>
        </w:rPr>
        <w:br w:type="page"/>
      </w:r>
    </w:p>
    <w:p w14:paraId="28627926" w14:textId="77777777" w:rsidR="009D4D8C" w:rsidRDefault="00000000">
      <w:pPr>
        <w:pStyle w:val="1"/>
        <w:rPr>
          <w:rFonts w:ascii="宋体" w:hAnsi="宋体" w:hint="eastAsia"/>
          <w:lang w:eastAsia="zh-CN"/>
        </w:rPr>
      </w:pPr>
      <w:bookmarkStart w:id="16" w:name="bookmark6"/>
      <w:bookmarkStart w:id="17" w:name="_Toc173836949"/>
      <w:bookmarkStart w:id="18" w:name="_Toc203048633"/>
      <w:bookmarkEnd w:id="16"/>
      <w:r>
        <w:rPr>
          <w:rFonts w:ascii="宋体" w:hAnsi="宋体" w:hint="eastAsia"/>
          <w:lang w:val="en-US" w:eastAsia="zh-CN"/>
        </w:rPr>
        <w:lastRenderedPageBreak/>
        <w:t>三</w:t>
      </w:r>
      <w:r>
        <w:rPr>
          <w:rFonts w:ascii="宋体" w:hAnsi="宋体"/>
          <w:lang w:eastAsia="zh-CN"/>
        </w:rPr>
        <w:t>、污水处理工艺设计方案</w:t>
      </w:r>
      <w:bookmarkEnd w:id="17"/>
      <w:bookmarkEnd w:id="18"/>
    </w:p>
    <w:p w14:paraId="64CE7939" w14:textId="77777777" w:rsidR="009D4D8C" w:rsidRDefault="00000000">
      <w:pPr>
        <w:pStyle w:val="2"/>
        <w:rPr>
          <w:rFonts w:ascii="宋体" w:eastAsia="宋体" w:hAnsi="宋体" w:cs="Times New Roman" w:hint="eastAsia"/>
          <w:lang w:eastAsia="zh-CN"/>
        </w:rPr>
      </w:pPr>
      <w:bookmarkStart w:id="19" w:name="bookmark7"/>
      <w:bookmarkStart w:id="20" w:name="_Toc203048634"/>
      <w:bookmarkEnd w:id="19"/>
      <w:r>
        <w:rPr>
          <w:rFonts w:ascii="宋体" w:eastAsia="宋体" w:hAnsi="宋体" w:cs="Times New Roman" w:hint="eastAsia"/>
          <w:lang w:eastAsia="zh-CN"/>
        </w:rPr>
        <w:t>3.</w:t>
      </w:r>
      <w:r>
        <w:rPr>
          <w:rFonts w:ascii="宋体" w:eastAsia="宋体" w:hAnsi="宋体" w:cs="Times New Roman"/>
          <w:lang w:eastAsia="zh-CN"/>
        </w:rPr>
        <w:t>1</w:t>
      </w:r>
      <w:r>
        <w:rPr>
          <w:rFonts w:ascii="宋体" w:eastAsia="宋体" w:hAnsi="宋体" w:cs="Times New Roman" w:hint="eastAsia"/>
          <w:lang w:eastAsia="zh-CN"/>
        </w:rPr>
        <w:t xml:space="preserve"> </w:t>
      </w:r>
      <w:r>
        <w:rPr>
          <w:rFonts w:ascii="宋体" w:eastAsia="宋体" w:hAnsi="宋体" w:cs="Times New Roman"/>
          <w:lang w:eastAsia="zh-CN"/>
        </w:rPr>
        <w:t>污水水质水量特点分析</w:t>
      </w:r>
      <w:bookmarkEnd w:id="20"/>
    </w:p>
    <w:p w14:paraId="600D786A"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hint="eastAsia"/>
          <w:sz w:val="24"/>
          <w:szCs w:val="24"/>
          <w:lang w:eastAsia="zh-CN"/>
        </w:rPr>
        <w:t>卫生服务中心</w:t>
      </w:r>
      <w:r>
        <w:rPr>
          <w:rFonts w:ascii="宋体" w:eastAsia="宋体" w:hAnsi="宋体" w:cs="Times New Roman"/>
          <w:sz w:val="24"/>
          <w:szCs w:val="24"/>
          <w:lang w:eastAsia="zh-CN"/>
        </w:rPr>
        <w:t>污水排放的突出特点是高峰期明显。污水排放时变化系数(高峰期小时排放量与 小时平均排水量之比)一般为2.0 ~ 2.5之间。</w:t>
      </w:r>
    </w:p>
    <w:p w14:paraId="7FD16C3F"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t>医院排放的污水特殊性在于含有大量传染性病菌、病毒，因此，在确定医院污水处理流程时，必须考虑进行消毒杀菌处理。</w:t>
      </w:r>
    </w:p>
    <w:p w14:paraId="2032A2C0" w14:textId="77777777" w:rsidR="009D4D8C" w:rsidRDefault="00000000">
      <w:pPr>
        <w:pStyle w:val="2"/>
        <w:rPr>
          <w:rFonts w:ascii="宋体" w:eastAsia="宋体" w:hAnsi="宋体" w:cs="Times New Roman" w:hint="eastAsia"/>
          <w:lang w:eastAsia="zh-CN"/>
        </w:rPr>
      </w:pPr>
      <w:bookmarkStart w:id="21" w:name="bookmark8"/>
      <w:bookmarkStart w:id="22" w:name="_Toc203048635"/>
      <w:bookmarkEnd w:id="21"/>
      <w:r>
        <w:rPr>
          <w:rFonts w:ascii="宋体" w:eastAsia="宋体" w:hAnsi="宋体" w:cs="Times New Roman" w:hint="eastAsia"/>
          <w:lang w:eastAsia="zh-CN"/>
        </w:rPr>
        <w:t>3.</w:t>
      </w:r>
      <w:r>
        <w:rPr>
          <w:rFonts w:ascii="宋体" w:eastAsia="宋体" w:hAnsi="宋体" w:cs="Times New Roman"/>
          <w:lang w:eastAsia="zh-CN"/>
        </w:rPr>
        <w:t>2</w:t>
      </w:r>
      <w:r>
        <w:rPr>
          <w:rFonts w:ascii="宋体" w:eastAsia="宋体" w:hAnsi="宋体" w:cs="Times New Roman" w:hint="eastAsia"/>
          <w:lang w:eastAsia="zh-CN"/>
        </w:rPr>
        <w:t xml:space="preserve"> </w:t>
      </w:r>
      <w:r>
        <w:rPr>
          <w:rFonts w:ascii="宋体" w:eastAsia="宋体" w:hAnsi="宋体" w:cs="Times New Roman"/>
          <w:lang w:eastAsia="zh-CN"/>
        </w:rPr>
        <w:t>污水水质水量及处理目标</w:t>
      </w:r>
      <w:bookmarkEnd w:id="22"/>
    </w:p>
    <w:p w14:paraId="519A6EF3"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hint="eastAsia"/>
          <w:sz w:val="24"/>
          <w:szCs w:val="24"/>
          <w:lang w:eastAsia="zh-CN"/>
        </w:rPr>
        <w:t xml:space="preserve">3.2.1 </w:t>
      </w:r>
      <w:r>
        <w:rPr>
          <w:rFonts w:ascii="宋体" w:eastAsia="宋体" w:hAnsi="宋体" w:cs="Times New Roman"/>
          <w:sz w:val="24"/>
          <w:szCs w:val="24"/>
          <w:lang w:eastAsia="zh-CN"/>
        </w:rPr>
        <w:t>污水来源及数量</w:t>
      </w:r>
    </w:p>
    <w:p w14:paraId="2C9F39E5"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t>医院的每日排放的污水量与医院的规模、医疗内容，设备条件、住院和门诊人数、地域、季节、人的生活习惯和管理制度等因素有关。</w:t>
      </w:r>
    </w:p>
    <w:p w14:paraId="737CC2F5"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t>参照《建筑给水排水设计手册》用水定额部分内容，并参照环境评价表的相关内容，考虑管网漏失量等因素，</w:t>
      </w:r>
      <w:r>
        <w:rPr>
          <w:rFonts w:ascii="宋体" w:eastAsia="宋体" w:hAnsi="宋体" w:cs="Times New Roman" w:hint="eastAsia"/>
          <w:sz w:val="24"/>
          <w:szCs w:val="24"/>
          <w:lang w:eastAsia="zh-CN"/>
        </w:rPr>
        <w:t xml:space="preserve"> </w:t>
      </w:r>
    </w:p>
    <w:p w14:paraId="145016C2"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t>污水</w:t>
      </w:r>
      <w:r>
        <w:rPr>
          <w:rFonts w:ascii="宋体" w:eastAsia="宋体" w:hAnsi="宋体" w:cs="Times New Roman" w:hint="eastAsia"/>
          <w:sz w:val="24"/>
          <w:szCs w:val="24"/>
          <w:lang w:eastAsia="zh-CN"/>
        </w:rPr>
        <w:t>处理能力为</w:t>
      </w:r>
      <w:r>
        <w:rPr>
          <w:rFonts w:ascii="宋体" w:eastAsia="宋体" w:hAnsi="宋体" w:cs="Times New Roman"/>
          <w:sz w:val="24"/>
          <w:szCs w:val="24"/>
          <w:lang w:eastAsia="zh-CN"/>
        </w:rPr>
        <w:t>：Q=</w:t>
      </w:r>
      <w:r>
        <w:rPr>
          <w:rFonts w:ascii="宋体" w:eastAsia="宋体" w:hAnsi="宋体" w:cs="Times New Roman" w:hint="eastAsia"/>
          <w:sz w:val="24"/>
          <w:szCs w:val="24"/>
          <w:lang w:eastAsia="zh-CN"/>
        </w:rPr>
        <w:t>24</w:t>
      </w:r>
      <w:r>
        <w:rPr>
          <w:rFonts w:ascii="宋体" w:eastAsia="宋体" w:hAnsi="宋体" w:cs="Times New Roman"/>
          <w:sz w:val="24"/>
          <w:szCs w:val="24"/>
          <w:lang w:eastAsia="zh-CN"/>
        </w:rPr>
        <w:t>m3/</w:t>
      </w:r>
      <w:r>
        <w:rPr>
          <w:rFonts w:ascii="宋体" w:eastAsia="宋体" w:hAnsi="宋体" w:cs="Times New Roman" w:hint="eastAsia"/>
          <w:sz w:val="24"/>
          <w:szCs w:val="24"/>
          <w:lang w:eastAsia="zh-CN"/>
        </w:rPr>
        <w:t>d,</w:t>
      </w:r>
      <w:r>
        <w:rPr>
          <w:rFonts w:ascii="宋体" w:eastAsia="宋体" w:hAnsi="宋体" w:cs="Times New Roman"/>
          <w:sz w:val="24"/>
          <w:szCs w:val="24"/>
          <w:lang w:eastAsia="zh-CN"/>
        </w:rPr>
        <w:t xml:space="preserve"> Q=</w:t>
      </w:r>
      <w:r>
        <w:rPr>
          <w:rFonts w:ascii="宋体" w:eastAsia="宋体" w:hAnsi="宋体" w:cs="Times New Roman" w:hint="eastAsia"/>
          <w:sz w:val="24"/>
          <w:szCs w:val="24"/>
          <w:lang w:eastAsia="zh-CN"/>
        </w:rPr>
        <w:t>1</w:t>
      </w:r>
      <w:r>
        <w:rPr>
          <w:rFonts w:ascii="宋体" w:eastAsia="宋体" w:hAnsi="宋体" w:cs="Times New Roman"/>
          <w:sz w:val="24"/>
          <w:szCs w:val="24"/>
          <w:lang w:eastAsia="zh-CN"/>
        </w:rPr>
        <w:t>m3/</w:t>
      </w:r>
      <w:r>
        <w:rPr>
          <w:rFonts w:ascii="宋体" w:eastAsia="宋体" w:hAnsi="宋体" w:cs="Times New Roman" w:hint="eastAsia"/>
          <w:sz w:val="24"/>
          <w:szCs w:val="24"/>
          <w:lang w:eastAsia="zh-CN"/>
        </w:rPr>
        <w:t>h 1</w:t>
      </w:r>
      <w:r>
        <w:rPr>
          <w:rFonts w:ascii="宋体" w:eastAsia="宋体" w:hAnsi="宋体" w:cs="Times New Roman"/>
          <w:sz w:val="24"/>
          <w:szCs w:val="24"/>
          <w:lang w:eastAsia="zh-CN"/>
        </w:rPr>
        <w:t>；</w:t>
      </w:r>
    </w:p>
    <w:p w14:paraId="5F85DDBA"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hint="eastAsia"/>
          <w:sz w:val="24"/>
          <w:szCs w:val="24"/>
          <w:lang w:eastAsia="zh-CN"/>
        </w:rPr>
        <w:t xml:space="preserve">3.2.2 </w:t>
      </w:r>
      <w:r>
        <w:rPr>
          <w:rFonts w:ascii="宋体" w:eastAsia="宋体" w:hAnsi="宋体" w:cs="Times New Roman"/>
          <w:sz w:val="24"/>
          <w:szCs w:val="24"/>
          <w:lang w:eastAsia="zh-CN"/>
        </w:rPr>
        <w:t>处理目标</w:t>
      </w:r>
    </w:p>
    <w:p w14:paraId="2D980CD3"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t>参照其他类似医院的污水水质数据 ，设计的进水水质如下表所示：</w:t>
      </w:r>
    </w:p>
    <w:tbl>
      <w:tblPr>
        <w:tblW w:w="5000" w:type="pct"/>
        <w:tblLook w:val="04A0" w:firstRow="1" w:lastRow="0" w:firstColumn="1" w:lastColumn="0" w:noHBand="0" w:noVBand="1"/>
      </w:tblPr>
      <w:tblGrid>
        <w:gridCol w:w="784"/>
        <w:gridCol w:w="874"/>
        <w:gridCol w:w="827"/>
        <w:gridCol w:w="891"/>
        <w:gridCol w:w="1096"/>
        <w:gridCol w:w="956"/>
        <w:gridCol w:w="912"/>
        <w:gridCol w:w="986"/>
        <w:gridCol w:w="1096"/>
        <w:gridCol w:w="1096"/>
      </w:tblGrid>
      <w:tr w:rsidR="009D4D8C" w14:paraId="1630919C" w14:textId="77777777">
        <w:trPr>
          <w:trHeight w:val="320"/>
        </w:trPr>
        <w:tc>
          <w:tcPr>
            <w:tcW w:w="4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30D5D7"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指标</w:t>
            </w:r>
          </w:p>
        </w:tc>
        <w:tc>
          <w:tcPr>
            <w:tcW w:w="476" w:type="pct"/>
            <w:tcBorders>
              <w:top w:val="single" w:sz="4" w:space="0" w:color="auto"/>
              <w:left w:val="nil"/>
              <w:bottom w:val="single" w:sz="4" w:space="0" w:color="auto"/>
              <w:right w:val="single" w:sz="4" w:space="0" w:color="auto"/>
            </w:tcBorders>
            <w:shd w:val="clear" w:color="auto" w:fill="auto"/>
            <w:noWrap/>
            <w:vAlign w:val="bottom"/>
          </w:tcPr>
          <w:p w14:paraId="1588751F"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CODcr</w:t>
            </w:r>
          </w:p>
        </w:tc>
        <w:tc>
          <w:tcPr>
            <w:tcW w:w="451" w:type="pct"/>
            <w:tcBorders>
              <w:top w:val="single" w:sz="4" w:space="0" w:color="auto"/>
              <w:left w:val="nil"/>
              <w:bottom w:val="single" w:sz="4" w:space="0" w:color="auto"/>
              <w:right w:val="single" w:sz="4" w:space="0" w:color="auto"/>
            </w:tcBorders>
            <w:shd w:val="clear" w:color="auto" w:fill="auto"/>
            <w:noWrap/>
            <w:vAlign w:val="bottom"/>
          </w:tcPr>
          <w:p w14:paraId="2F01DBD6"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BOD</w:t>
            </w:r>
            <w:r>
              <w:rPr>
                <w:rFonts w:ascii="宋体" w:eastAsia="宋体" w:hAnsi="宋体" w:cs="Times New Roman"/>
                <w:snapToGrid/>
                <w:sz w:val="22"/>
                <w:szCs w:val="22"/>
                <w:vertAlign w:val="subscript"/>
                <w:lang w:eastAsia="zh-CN"/>
              </w:rPr>
              <w:t>5</w:t>
            </w:r>
          </w:p>
        </w:tc>
        <w:tc>
          <w:tcPr>
            <w:tcW w:w="485" w:type="pct"/>
            <w:tcBorders>
              <w:top w:val="single" w:sz="4" w:space="0" w:color="auto"/>
              <w:left w:val="nil"/>
              <w:bottom w:val="single" w:sz="4" w:space="0" w:color="auto"/>
              <w:right w:val="single" w:sz="4" w:space="0" w:color="auto"/>
            </w:tcBorders>
            <w:shd w:val="clear" w:color="auto" w:fill="auto"/>
            <w:noWrap/>
            <w:vAlign w:val="bottom"/>
          </w:tcPr>
          <w:p w14:paraId="755B75B5"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NH</w:t>
            </w:r>
            <w:r>
              <w:rPr>
                <w:rFonts w:ascii="宋体" w:eastAsia="宋体" w:hAnsi="宋体" w:cs="Times New Roman"/>
                <w:snapToGrid/>
                <w:sz w:val="22"/>
                <w:szCs w:val="22"/>
                <w:vertAlign w:val="subscript"/>
                <w:lang w:eastAsia="zh-CN"/>
              </w:rPr>
              <w:t>3</w:t>
            </w:r>
            <w:r>
              <w:rPr>
                <w:rFonts w:ascii="宋体" w:eastAsia="宋体" w:hAnsi="宋体" w:cs="Times New Roman"/>
                <w:snapToGrid/>
                <w:sz w:val="22"/>
                <w:szCs w:val="22"/>
                <w:lang w:eastAsia="zh-CN"/>
              </w:rPr>
              <w:t>-N</w:t>
            </w:r>
          </w:p>
        </w:tc>
        <w:tc>
          <w:tcPr>
            <w:tcW w:w="519" w:type="pct"/>
            <w:tcBorders>
              <w:top w:val="single" w:sz="4" w:space="0" w:color="auto"/>
              <w:left w:val="nil"/>
              <w:bottom w:val="single" w:sz="4" w:space="0" w:color="auto"/>
              <w:right w:val="single" w:sz="4" w:space="0" w:color="auto"/>
            </w:tcBorders>
            <w:shd w:val="clear" w:color="auto" w:fill="auto"/>
            <w:noWrap/>
            <w:vAlign w:val="bottom"/>
          </w:tcPr>
          <w:p w14:paraId="50BFA035"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动植物油</w:t>
            </w:r>
          </w:p>
        </w:tc>
        <w:tc>
          <w:tcPr>
            <w:tcW w:w="519" w:type="pct"/>
            <w:tcBorders>
              <w:top w:val="single" w:sz="4" w:space="0" w:color="auto"/>
              <w:left w:val="nil"/>
              <w:bottom w:val="single" w:sz="4" w:space="0" w:color="auto"/>
              <w:right w:val="single" w:sz="4" w:space="0" w:color="auto"/>
            </w:tcBorders>
            <w:shd w:val="clear" w:color="auto" w:fill="auto"/>
            <w:noWrap/>
            <w:vAlign w:val="bottom"/>
          </w:tcPr>
          <w:p w14:paraId="6271EA0B"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石油类</w:t>
            </w:r>
          </w:p>
        </w:tc>
        <w:tc>
          <w:tcPr>
            <w:tcW w:w="496" w:type="pct"/>
            <w:tcBorders>
              <w:top w:val="single" w:sz="4" w:space="0" w:color="auto"/>
              <w:left w:val="nil"/>
              <w:bottom w:val="single" w:sz="4" w:space="0" w:color="auto"/>
              <w:right w:val="single" w:sz="4" w:space="0" w:color="auto"/>
            </w:tcBorders>
            <w:shd w:val="clear" w:color="auto" w:fill="auto"/>
            <w:noWrap/>
            <w:vAlign w:val="bottom"/>
          </w:tcPr>
          <w:p w14:paraId="472C8B33"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SS</w:t>
            </w:r>
          </w:p>
        </w:tc>
        <w:tc>
          <w:tcPr>
            <w:tcW w:w="520" w:type="pct"/>
            <w:tcBorders>
              <w:top w:val="single" w:sz="4" w:space="0" w:color="auto"/>
              <w:left w:val="nil"/>
              <w:bottom w:val="single" w:sz="4" w:space="0" w:color="auto"/>
              <w:right w:val="single" w:sz="4" w:space="0" w:color="auto"/>
            </w:tcBorders>
            <w:shd w:val="clear" w:color="auto" w:fill="auto"/>
            <w:noWrap/>
            <w:vAlign w:val="bottom"/>
          </w:tcPr>
          <w:p w14:paraId="12E51040"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PH</w:t>
            </w:r>
          </w:p>
        </w:tc>
        <w:tc>
          <w:tcPr>
            <w:tcW w:w="564" w:type="pct"/>
            <w:tcBorders>
              <w:top w:val="single" w:sz="4" w:space="0" w:color="auto"/>
              <w:left w:val="nil"/>
              <w:bottom w:val="single" w:sz="4" w:space="0" w:color="auto"/>
              <w:right w:val="single" w:sz="4" w:space="0" w:color="auto"/>
            </w:tcBorders>
            <w:shd w:val="clear" w:color="auto" w:fill="auto"/>
            <w:noWrap/>
            <w:vAlign w:val="bottom"/>
          </w:tcPr>
          <w:p w14:paraId="78AD303A"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大肠杆菌</w:t>
            </w:r>
          </w:p>
        </w:tc>
        <w:tc>
          <w:tcPr>
            <w:tcW w:w="541" w:type="pct"/>
            <w:tcBorders>
              <w:top w:val="single" w:sz="4" w:space="0" w:color="auto"/>
              <w:left w:val="nil"/>
              <w:bottom w:val="single" w:sz="4" w:space="0" w:color="auto"/>
              <w:right w:val="single" w:sz="4" w:space="0" w:color="auto"/>
            </w:tcBorders>
            <w:shd w:val="clear" w:color="auto" w:fill="auto"/>
            <w:noWrap/>
            <w:vAlign w:val="bottom"/>
          </w:tcPr>
          <w:p w14:paraId="27201E21"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余氯出口</w:t>
            </w:r>
          </w:p>
        </w:tc>
      </w:tr>
      <w:tr w:rsidR="009D4D8C" w14:paraId="5CB6F6DC" w14:textId="77777777">
        <w:trPr>
          <w:trHeight w:val="280"/>
        </w:trPr>
        <w:tc>
          <w:tcPr>
            <w:tcW w:w="429" w:type="pct"/>
            <w:tcBorders>
              <w:top w:val="nil"/>
              <w:left w:val="single" w:sz="4" w:space="0" w:color="auto"/>
              <w:bottom w:val="single" w:sz="4" w:space="0" w:color="auto"/>
              <w:right w:val="single" w:sz="4" w:space="0" w:color="auto"/>
            </w:tcBorders>
            <w:shd w:val="clear" w:color="auto" w:fill="auto"/>
            <w:noWrap/>
            <w:vAlign w:val="bottom"/>
          </w:tcPr>
          <w:p w14:paraId="604EDB4C"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单位</w:t>
            </w:r>
          </w:p>
        </w:tc>
        <w:tc>
          <w:tcPr>
            <w:tcW w:w="476" w:type="pct"/>
            <w:tcBorders>
              <w:top w:val="nil"/>
              <w:left w:val="nil"/>
              <w:bottom w:val="single" w:sz="4" w:space="0" w:color="auto"/>
              <w:right w:val="single" w:sz="4" w:space="0" w:color="auto"/>
            </w:tcBorders>
            <w:shd w:val="clear" w:color="auto" w:fill="auto"/>
            <w:noWrap/>
            <w:vAlign w:val="bottom"/>
          </w:tcPr>
          <w:p w14:paraId="4C3FD357"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mg/L</w:t>
            </w:r>
          </w:p>
        </w:tc>
        <w:tc>
          <w:tcPr>
            <w:tcW w:w="451" w:type="pct"/>
            <w:tcBorders>
              <w:top w:val="nil"/>
              <w:left w:val="nil"/>
              <w:bottom w:val="single" w:sz="4" w:space="0" w:color="auto"/>
              <w:right w:val="single" w:sz="4" w:space="0" w:color="auto"/>
            </w:tcBorders>
            <w:shd w:val="clear" w:color="auto" w:fill="auto"/>
            <w:noWrap/>
            <w:vAlign w:val="bottom"/>
          </w:tcPr>
          <w:p w14:paraId="479B9D8D"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mg/L</w:t>
            </w:r>
          </w:p>
        </w:tc>
        <w:tc>
          <w:tcPr>
            <w:tcW w:w="485" w:type="pct"/>
            <w:tcBorders>
              <w:top w:val="nil"/>
              <w:left w:val="nil"/>
              <w:bottom w:val="single" w:sz="4" w:space="0" w:color="auto"/>
              <w:right w:val="single" w:sz="4" w:space="0" w:color="auto"/>
            </w:tcBorders>
            <w:shd w:val="clear" w:color="auto" w:fill="auto"/>
            <w:noWrap/>
            <w:vAlign w:val="bottom"/>
          </w:tcPr>
          <w:p w14:paraId="37F8081C"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mg/L</w:t>
            </w:r>
          </w:p>
        </w:tc>
        <w:tc>
          <w:tcPr>
            <w:tcW w:w="519" w:type="pct"/>
            <w:tcBorders>
              <w:top w:val="nil"/>
              <w:left w:val="nil"/>
              <w:bottom w:val="single" w:sz="4" w:space="0" w:color="auto"/>
              <w:right w:val="single" w:sz="4" w:space="0" w:color="auto"/>
            </w:tcBorders>
            <w:shd w:val="clear" w:color="auto" w:fill="auto"/>
            <w:noWrap/>
            <w:vAlign w:val="bottom"/>
          </w:tcPr>
          <w:p w14:paraId="415BE480"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mg/L</w:t>
            </w:r>
          </w:p>
        </w:tc>
        <w:tc>
          <w:tcPr>
            <w:tcW w:w="519" w:type="pct"/>
            <w:tcBorders>
              <w:top w:val="nil"/>
              <w:left w:val="nil"/>
              <w:bottom w:val="single" w:sz="4" w:space="0" w:color="auto"/>
              <w:right w:val="single" w:sz="4" w:space="0" w:color="auto"/>
            </w:tcBorders>
            <w:shd w:val="clear" w:color="auto" w:fill="auto"/>
            <w:noWrap/>
            <w:vAlign w:val="bottom"/>
          </w:tcPr>
          <w:p w14:paraId="7D59E387"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mg/L</w:t>
            </w:r>
          </w:p>
        </w:tc>
        <w:tc>
          <w:tcPr>
            <w:tcW w:w="496" w:type="pct"/>
            <w:tcBorders>
              <w:top w:val="nil"/>
              <w:left w:val="nil"/>
              <w:bottom w:val="single" w:sz="4" w:space="0" w:color="auto"/>
              <w:right w:val="single" w:sz="4" w:space="0" w:color="auto"/>
            </w:tcBorders>
            <w:shd w:val="clear" w:color="auto" w:fill="auto"/>
            <w:noWrap/>
            <w:vAlign w:val="bottom"/>
          </w:tcPr>
          <w:p w14:paraId="7C7ABADC"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mg/L</w:t>
            </w:r>
          </w:p>
        </w:tc>
        <w:tc>
          <w:tcPr>
            <w:tcW w:w="520" w:type="pct"/>
            <w:tcBorders>
              <w:top w:val="nil"/>
              <w:left w:val="nil"/>
              <w:bottom w:val="single" w:sz="4" w:space="0" w:color="auto"/>
              <w:right w:val="single" w:sz="4" w:space="0" w:color="auto"/>
            </w:tcBorders>
            <w:shd w:val="clear" w:color="auto" w:fill="auto"/>
            <w:noWrap/>
            <w:vAlign w:val="bottom"/>
          </w:tcPr>
          <w:p w14:paraId="0B5F7DD7"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无量纲</w:t>
            </w:r>
          </w:p>
        </w:tc>
        <w:tc>
          <w:tcPr>
            <w:tcW w:w="564" w:type="pct"/>
            <w:tcBorders>
              <w:top w:val="nil"/>
              <w:left w:val="nil"/>
              <w:bottom w:val="single" w:sz="4" w:space="0" w:color="auto"/>
              <w:right w:val="single" w:sz="4" w:space="0" w:color="auto"/>
            </w:tcBorders>
            <w:shd w:val="clear" w:color="auto" w:fill="auto"/>
            <w:noWrap/>
            <w:vAlign w:val="bottom"/>
          </w:tcPr>
          <w:p w14:paraId="696B5494"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proofErr w:type="gramStart"/>
            <w:r>
              <w:rPr>
                <w:rFonts w:ascii="宋体" w:eastAsia="宋体" w:hAnsi="宋体" w:cs="Times New Roman"/>
                <w:snapToGrid/>
                <w:sz w:val="22"/>
                <w:szCs w:val="22"/>
                <w:lang w:eastAsia="zh-CN"/>
              </w:rPr>
              <w:t>个</w:t>
            </w:r>
            <w:proofErr w:type="gramEnd"/>
            <w:r>
              <w:rPr>
                <w:rFonts w:ascii="宋体" w:eastAsia="宋体" w:hAnsi="宋体" w:cs="Times New Roman"/>
                <w:snapToGrid/>
                <w:sz w:val="22"/>
                <w:szCs w:val="22"/>
                <w:lang w:eastAsia="zh-CN"/>
              </w:rPr>
              <w:t>/L</w:t>
            </w:r>
          </w:p>
        </w:tc>
        <w:tc>
          <w:tcPr>
            <w:tcW w:w="541" w:type="pct"/>
            <w:tcBorders>
              <w:top w:val="nil"/>
              <w:left w:val="nil"/>
              <w:bottom w:val="single" w:sz="4" w:space="0" w:color="auto"/>
              <w:right w:val="single" w:sz="4" w:space="0" w:color="auto"/>
            </w:tcBorders>
            <w:shd w:val="clear" w:color="auto" w:fill="auto"/>
            <w:noWrap/>
            <w:vAlign w:val="bottom"/>
          </w:tcPr>
          <w:p w14:paraId="5598A9CD"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mg/L</w:t>
            </w:r>
          </w:p>
        </w:tc>
      </w:tr>
      <w:tr w:rsidR="009D4D8C" w14:paraId="4BA0DFAD" w14:textId="77777777">
        <w:trPr>
          <w:trHeight w:val="330"/>
        </w:trPr>
        <w:tc>
          <w:tcPr>
            <w:tcW w:w="429" w:type="pct"/>
            <w:tcBorders>
              <w:top w:val="nil"/>
              <w:left w:val="single" w:sz="4" w:space="0" w:color="auto"/>
              <w:bottom w:val="single" w:sz="4" w:space="0" w:color="auto"/>
              <w:right w:val="single" w:sz="4" w:space="0" w:color="auto"/>
            </w:tcBorders>
            <w:shd w:val="clear" w:color="auto" w:fill="auto"/>
            <w:noWrap/>
            <w:vAlign w:val="bottom"/>
          </w:tcPr>
          <w:p w14:paraId="72294A82"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数值</w:t>
            </w:r>
          </w:p>
        </w:tc>
        <w:tc>
          <w:tcPr>
            <w:tcW w:w="476" w:type="pct"/>
            <w:tcBorders>
              <w:top w:val="nil"/>
              <w:left w:val="nil"/>
              <w:bottom w:val="single" w:sz="4" w:space="0" w:color="auto"/>
              <w:right w:val="single" w:sz="4" w:space="0" w:color="auto"/>
            </w:tcBorders>
            <w:shd w:val="clear" w:color="auto" w:fill="auto"/>
            <w:noWrap/>
            <w:vAlign w:val="bottom"/>
          </w:tcPr>
          <w:p w14:paraId="351C4F58"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350</w:t>
            </w:r>
          </w:p>
        </w:tc>
        <w:tc>
          <w:tcPr>
            <w:tcW w:w="451" w:type="pct"/>
            <w:tcBorders>
              <w:top w:val="nil"/>
              <w:left w:val="nil"/>
              <w:bottom w:val="single" w:sz="4" w:space="0" w:color="auto"/>
              <w:right w:val="single" w:sz="4" w:space="0" w:color="auto"/>
            </w:tcBorders>
            <w:shd w:val="clear" w:color="auto" w:fill="auto"/>
            <w:noWrap/>
            <w:vAlign w:val="bottom"/>
          </w:tcPr>
          <w:p w14:paraId="1A1CAF06"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150</w:t>
            </w:r>
          </w:p>
        </w:tc>
        <w:tc>
          <w:tcPr>
            <w:tcW w:w="485" w:type="pct"/>
            <w:tcBorders>
              <w:top w:val="nil"/>
              <w:left w:val="nil"/>
              <w:bottom w:val="single" w:sz="4" w:space="0" w:color="auto"/>
              <w:right w:val="single" w:sz="4" w:space="0" w:color="auto"/>
            </w:tcBorders>
            <w:shd w:val="clear" w:color="auto" w:fill="auto"/>
            <w:noWrap/>
            <w:vAlign w:val="bottom"/>
          </w:tcPr>
          <w:p w14:paraId="59733AAA"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45</w:t>
            </w:r>
          </w:p>
        </w:tc>
        <w:tc>
          <w:tcPr>
            <w:tcW w:w="519" w:type="pct"/>
            <w:tcBorders>
              <w:top w:val="nil"/>
              <w:left w:val="nil"/>
              <w:bottom w:val="single" w:sz="4" w:space="0" w:color="auto"/>
              <w:right w:val="single" w:sz="4" w:space="0" w:color="auto"/>
            </w:tcBorders>
            <w:shd w:val="clear" w:color="auto" w:fill="auto"/>
            <w:noWrap/>
            <w:vAlign w:val="bottom"/>
          </w:tcPr>
          <w:p w14:paraId="349E8285"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8</w:t>
            </w:r>
          </w:p>
        </w:tc>
        <w:tc>
          <w:tcPr>
            <w:tcW w:w="519" w:type="pct"/>
            <w:tcBorders>
              <w:top w:val="nil"/>
              <w:left w:val="nil"/>
              <w:bottom w:val="single" w:sz="4" w:space="0" w:color="auto"/>
              <w:right w:val="single" w:sz="4" w:space="0" w:color="auto"/>
            </w:tcBorders>
            <w:shd w:val="clear" w:color="auto" w:fill="auto"/>
            <w:noWrap/>
            <w:vAlign w:val="bottom"/>
          </w:tcPr>
          <w:p w14:paraId="4001FE56"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8</w:t>
            </w:r>
          </w:p>
        </w:tc>
        <w:tc>
          <w:tcPr>
            <w:tcW w:w="496" w:type="pct"/>
            <w:tcBorders>
              <w:top w:val="nil"/>
              <w:left w:val="nil"/>
              <w:bottom w:val="single" w:sz="4" w:space="0" w:color="auto"/>
              <w:right w:val="single" w:sz="4" w:space="0" w:color="auto"/>
            </w:tcBorders>
            <w:shd w:val="clear" w:color="auto" w:fill="auto"/>
            <w:noWrap/>
            <w:vAlign w:val="bottom"/>
          </w:tcPr>
          <w:p w14:paraId="2786F0CD"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180</w:t>
            </w:r>
          </w:p>
        </w:tc>
        <w:tc>
          <w:tcPr>
            <w:tcW w:w="520" w:type="pct"/>
            <w:tcBorders>
              <w:top w:val="nil"/>
              <w:left w:val="nil"/>
              <w:bottom w:val="single" w:sz="4" w:space="0" w:color="auto"/>
              <w:right w:val="single" w:sz="4" w:space="0" w:color="auto"/>
            </w:tcBorders>
            <w:shd w:val="clear" w:color="auto" w:fill="auto"/>
            <w:noWrap/>
            <w:vAlign w:val="bottom"/>
          </w:tcPr>
          <w:p w14:paraId="7ED0ADDA"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6.0~9.0</w:t>
            </w:r>
          </w:p>
        </w:tc>
        <w:tc>
          <w:tcPr>
            <w:tcW w:w="564" w:type="pct"/>
            <w:tcBorders>
              <w:top w:val="nil"/>
              <w:left w:val="nil"/>
              <w:bottom w:val="single" w:sz="4" w:space="0" w:color="auto"/>
              <w:right w:val="single" w:sz="4" w:space="0" w:color="auto"/>
            </w:tcBorders>
            <w:shd w:val="clear" w:color="auto" w:fill="auto"/>
            <w:noWrap/>
            <w:vAlign w:val="bottom"/>
          </w:tcPr>
          <w:p w14:paraId="26AA8C0B"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2.3</w:t>
            </w:r>
            <w:r>
              <w:rPr>
                <w:rFonts w:ascii="宋体" w:eastAsia="宋体" w:hAnsi="宋体" w:cs="Times New Roman" w:hint="eastAsia"/>
                <w:snapToGrid/>
                <w:sz w:val="22"/>
                <w:szCs w:val="22"/>
                <w:lang w:eastAsia="zh-CN"/>
              </w:rPr>
              <w:t>*</w:t>
            </w:r>
            <w:r>
              <w:rPr>
                <w:rFonts w:ascii="宋体" w:eastAsia="宋体" w:hAnsi="宋体" w:cs="Times New Roman"/>
                <w:snapToGrid/>
                <w:sz w:val="22"/>
                <w:szCs w:val="22"/>
                <w:lang w:eastAsia="zh-CN"/>
              </w:rPr>
              <w:t>10</w:t>
            </w:r>
            <w:r>
              <w:rPr>
                <w:rFonts w:ascii="宋体" w:eastAsia="宋体" w:hAnsi="宋体" w:cs="Times New Roman"/>
                <w:snapToGrid/>
                <w:sz w:val="22"/>
                <w:szCs w:val="22"/>
                <w:vertAlign w:val="superscript"/>
                <w:lang w:eastAsia="zh-CN"/>
              </w:rPr>
              <w:t>8</w:t>
            </w:r>
          </w:p>
        </w:tc>
        <w:tc>
          <w:tcPr>
            <w:tcW w:w="541" w:type="pct"/>
            <w:tcBorders>
              <w:top w:val="nil"/>
              <w:left w:val="nil"/>
              <w:bottom w:val="single" w:sz="4" w:space="0" w:color="auto"/>
              <w:right w:val="single" w:sz="4" w:space="0" w:color="auto"/>
            </w:tcBorders>
            <w:shd w:val="clear" w:color="auto" w:fill="auto"/>
            <w:noWrap/>
            <w:vAlign w:val="bottom"/>
          </w:tcPr>
          <w:p w14:paraId="77CB419B"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w:t>
            </w:r>
          </w:p>
        </w:tc>
      </w:tr>
    </w:tbl>
    <w:p w14:paraId="75B1E02A"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t>出水执行《污水综合排放标准》(GB8978-1996)表四之二级排放标准和《医疗机构水污染物排放要求》(GB18466-2005)中的排放要求，见下表</w:t>
      </w:r>
    </w:p>
    <w:tbl>
      <w:tblPr>
        <w:tblW w:w="5000" w:type="pct"/>
        <w:jc w:val="center"/>
        <w:tblLook w:val="04A0" w:firstRow="1" w:lastRow="0" w:firstColumn="1" w:lastColumn="0" w:noHBand="0" w:noVBand="1"/>
      </w:tblPr>
      <w:tblGrid>
        <w:gridCol w:w="784"/>
        <w:gridCol w:w="874"/>
        <w:gridCol w:w="827"/>
        <w:gridCol w:w="891"/>
        <w:gridCol w:w="1096"/>
        <w:gridCol w:w="956"/>
        <w:gridCol w:w="912"/>
        <w:gridCol w:w="986"/>
        <w:gridCol w:w="1096"/>
        <w:gridCol w:w="1096"/>
      </w:tblGrid>
      <w:tr w:rsidR="009D4D8C" w14:paraId="0426F85F" w14:textId="77777777">
        <w:trPr>
          <w:trHeight w:val="320"/>
          <w:jc w:val="center"/>
        </w:trPr>
        <w:tc>
          <w:tcPr>
            <w:tcW w:w="4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F18FD0"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指标</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2526EF69"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CODcr</w:t>
            </w:r>
          </w:p>
        </w:tc>
        <w:tc>
          <w:tcPr>
            <w:tcW w:w="451" w:type="pct"/>
            <w:tcBorders>
              <w:top w:val="single" w:sz="4" w:space="0" w:color="auto"/>
              <w:left w:val="nil"/>
              <w:bottom w:val="single" w:sz="4" w:space="0" w:color="auto"/>
              <w:right w:val="single" w:sz="4" w:space="0" w:color="auto"/>
            </w:tcBorders>
            <w:shd w:val="clear" w:color="auto" w:fill="auto"/>
            <w:noWrap/>
            <w:vAlign w:val="center"/>
          </w:tcPr>
          <w:p w14:paraId="61BB689B"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BOD</w:t>
            </w:r>
            <w:r>
              <w:rPr>
                <w:rFonts w:ascii="宋体" w:eastAsia="宋体" w:hAnsi="宋体" w:cs="Times New Roman"/>
                <w:snapToGrid/>
                <w:sz w:val="22"/>
                <w:szCs w:val="22"/>
                <w:vertAlign w:val="subscript"/>
                <w:lang w:eastAsia="zh-CN"/>
              </w:rPr>
              <w:t>5</w:t>
            </w:r>
          </w:p>
        </w:tc>
        <w:tc>
          <w:tcPr>
            <w:tcW w:w="485" w:type="pct"/>
            <w:tcBorders>
              <w:top w:val="single" w:sz="4" w:space="0" w:color="auto"/>
              <w:left w:val="nil"/>
              <w:bottom w:val="single" w:sz="4" w:space="0" w:color="auto"/>
              <w:right w:val="single" w:sz="4" w:space="0" w:color="auto"/>
            </w:tcBorders>
            <w:shd w:val="clear" w:color="auto" w:fill="auto"/>
            <w:noWrap/>
            <w:vAlign w:val="center"/>
          </w:tcPr>
          <w:p w14:paraId="6DA8FDDD"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NH</w:t>
            </w:r>
            <w:r>
              <w:rPr>
                <w:rFonts w:ascii="宋体" w:eastAsia="宋体" w:hAnsi="宋体" w:cs="Times New Roman"/>
                <w:snapToGrid/>
                <w:sz w:val="22"/>
                <w:szCs w:val="22"/>
                <w:vertAlign w:val="subscript"/>
                <w:lang w:eastAsia="zh-CN"/>
              </w:rPr>
              <w:t>3</w:t>
            </w:r>
            <w:r>
              <w:rPr>
                <w:rFonts w:ascii="宋体" w:eastAsia="宋体" w:hAnsi="宋体" w:cs="Times New Roman"/>
                <w:snapToGrid/>
                <w:sz w:val="22"/>
                <w:szCs w:val="22"/>
                <w:lang w:eastAsia="zh-CN"/>
              </w:rPr>
              <w:t>-N</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071FF549"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动植物油</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70119781"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石油类</w:t>
            </w:r>
          </w:p>
        </w:tc>
        <w:tc>
          <w:tcPr>
            <w:tcW w:w="496" w:type="pct"/>
            <w:tcBorders>
              <w:top w:val="single" w:sz="4" w:space="0" w:color="auto"/>
              <w:left w:val="nil"/>
              <w:bottom w:val="single" w:sz="4" w:space="0" w:color="auto"/>
              <w:right w:val="single" w:sz="4" w:space="0" w:color="auto"/>
            </w:tcBorders>
            <w:shd w:val="clear" w:color="auto" w:fill="auto"/>
            <w:noWrap/>
            <w:vAlign w:val="center"/>
          </w:tcPr>
          <w:p w14:paraId="6DEE3396"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SS</w:t>
            </w:r>
          </w:p>
        </w:tc>
        <w:tc>
          <w:tcPr>
            <w:tcW w:w="520" w:type="pct"/>
            <w:tcBorders>
              <w:top w:val="single" w:sz="4" w:space="0" w:color="auto"/>
              <w:left w:val="nil"/>
              <w:bottom w:val="single" w:sz="4" w:space="0" w:color="auto"/>
              <w:right w:val="single" w:sz="4" w:space="0" w:color="auto"/>
            </w:tcBorders>
            <w:shd w:val="clear" w:color="auto" w:fill="auto"/>
            <w:noWrap/>
            <w:vAlign w:val="center"/>
          </w:tcPr>
          <w:p w14:paraId="663DE7EB"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PH</w:t>
            </w:r>
          </w:p>
        </w:tc>
        <w:tc>
          <w:tcPr>
            <w:tcW w:w="564" w:type="pct"/>
            <w:tcBorders>
              <w:top w:val="single" w:sz="4" w:space="0" w:color="auto"/>
              <w:left w:val="nil"/>
              <w:bottom w:val="single" w:sz="4" w:space="0" w:color="auto"/>
              <w:right w:val="single" w:sz="4" w:space="0" w:color="auto"/>
            </w:tcBorders>
            <w:shd w:val="clear" w:color="auto" w:fill="auto"/>
            <w:noWrap/>
            <w:vAlign w:val="center"/>
          </w:tcPr>
          <w:p w14:paraId="6FF707E5"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大肠杆菌</w:t>
            </w:r>
          </w:p>
        </w:tc>
        <w:tc>
          <w:tcPr>
            <w:tcW w:w="541" w:type="pct"/>
            <w:tcBorders>
              <w:top w:val="single" w:sz="4" w:space="0" w:color="auto"/>
              <w:left w:val="nil"/>
              <w:bottom w:val="single" w:sz="4" w:space="0" w:color="auto"/>
              <w:right w:val="single" w:sz="4" w:space="0" w:color="auto"/>
            </w:tcBorders>
            <w:shd w:val="clear" w:color="auto" w:fill="auto"/>
            <w:noWrap/>
            <w:vAlign w:val="center"/>
          </w:tcPr>
          <w:p w14:paraId="72F6E11D"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余氯出口</w:t>
            </w:r>
          </w:p>
        </w:tc>
      </w:tr>
      <w:tr w:rsidR="009D4D8C" w14:paraId="5EDD5C77" w14:textId="77777777">
        <w:trPr>
          <w:trHeight w:val="280"/>
          <w:jc w:val="center"/>
        </w:trPr>
        <w:tc>
          <w:tcPr>
            <w:tcW w:w="429" w:type="pct"/>
            <w:tcBorders>
              <w:top w:val="nil"/>
              <w:left w:val="single" w:sz="4" w:space="0" w:color="auto"/>
              <w:bottom w:val="single" w:sz="4" w:space="0" w:color="auto"/>
              <w:right w:val="single" w:sz="4" w:space="0" w:color="auto"/>
            </w:tcBorders>
            <w:shd w:val="clear" w:color="auto" w:fill="auto"/>
            <w:noWrap/>
            <w:vAlign w:val="center"/>
          </w:tcPr>
          <w:p w14:paraId="6612F81A"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单位</w:t>
            </w:r>
          </w:p>
        </w:tc>
        <w:tc>
          <w:tcPr>
            <w:tcW w:w="476" w:type="pct"/>
            <w:tcBorders>
              <w:top w:val="nil"/>
              <w:left w:val="nil"/>
              <w:bottom w:val="single" w:sz="4" w:space="0" w:color="auto"/>
              <w:right w:val="single" w:sz="4" w:space="0" w:color="auto"/>
            </w:tcBorders>
            <w:shd w:val="clear" w:color="auto" w:fill="auto"/>
            <w:noWrap/>
            <w:vAlign w:val="center"/>
          </w:tcPr>
          <w:p w14:paraId="00C4E201"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mg/L</w:t>
            </w:r>
          </w:p>
        </w:tc>
        <w:tc>
          <w:tcPr>
            <w:tcW w:w="451" w:type="pct"/>
            <w:tcBorders>
              <w:top w:val="nil"/>
              <w:left w:val="nil"/>
              <w:bottom w:val="single" w:sz="4" w:space="0" w:color="auto"/>
              <w:right w:val="single" w:sz="4" w:space="0" w:color="auto"/>
            </w:tcBorders>
            <w:shd w:val="clear" w:color="auto" w:fill="auto"/>
            <w:noWrap/>
            <w:vAlign w:val="center"/>
          </w:tcPr>
          <w:p w14:paraId="1C1EEAB3"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mg/L</w:t>
            </w:r>
          </w:p>
        </w:tc>
        <w:tc>
          <w:tcPr>
            <w:tcW w:w="485" w:type="pct"/>
            <w:tcBorders>
              <w:top w:val="nil"/>
              <w:left w:val="nil"/>
              <w:bottom w:val="single" w:sz="4" w:space="0" w:color="auto"/>
              <w:right w:val="single" w:sz="4" w:space="0" w:color="auto"/>
            </w:tcBorders>
            <w:shd w:val="clear" w:color="auto" w:fill="auto"/>
            <w:noWrap/>
            <w:vAlign w:val="center"/>
          </w:tcPr>
          <w:p w14:paraId="691EA08E"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mg/L</w:t>
            </w:r>
          </w:p>
        </w:tc>
        <w:tc>
          <w:tcPr>
            <w:tcW w:w="519" w:type="pct"/>
            <w:tcBorders>
              <w:top w:val="nil"/>
              <w:left w:val="nil"/>
              <w:bottom w:val="single" w:sz="4" w:space="0" w:color="auto"/>
              <w:right w:val="single" w:sz="4" w:space="0" w:color="auto"/>
            </w:tcBorders>
            <w:shd w:val="clear" w:color="auto" w:fill="auto"/>
            <w:noWrap/>
            <w:vAlign w:val="center"/>
          </w:tcPr>
          <w:p w14:paraId="57025086"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mg/L</w:t>
            </w:r>
          </w:p>
        </w:tc>
        <w:tc>
          <w:tcPr>
            <w:tcW w:w="519" w:type="pct"/>
            <w:tcBorders>
              <w:top w:val="nil"/>
              <w:left w:val="nil"/>
              <w:bottom w:val="single" w:sz="4" w:space="0" w:color="auto"/>
              <w:right w:val="single" w:sz="4" w:space="0" w:color="auto"/>
            </w:tcBorders>
            <w:shd w:val="clear" w:color="auto" w:fill="auto"/>
            <w:noWrap/>
            <w:vAlign w:val="center"/>
          </w:tcPr>
          <w:p w14:paraId="0ED7FA40"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mg/L</w:t>
            </w:r>
          </w:p>
        </w:tc>
        <w:tc>
          <w:tcPr>
            <w:tcW w:w="496" w:type="pct"/>
            <w:tcBorders>
              <w:top w:val="nil"/>
              <w:left w:val="nil"/>
              <w:bottom w:val="single" w:sz="4" w:space="0" w:color="auto"/>
              <w:right w:val="single" w:sz="4" w:space="0" w:color="auto"/>
            </w:tcBorders>
            <w:shd w:val="clear" w:color="auto" w:fill="auto"/>
            <w:noWrap/>
            <w:vAlign w:val="center"/>
          </w:tcPr>
          <w:p w14:paraId="0EA82D5D"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mg/L</w:t>
            </w:r>
          </w:p>
        </w:tc>
        <w:tc>
          <w:tcPr>
            <w:tcW w:w="520" w:type="pct"/>
            <w:tcBorders>
              <w:top w:val="nil"/>
              <w:left w:val="nil"/>
              <w:bottom w:val="single" w:sz="4" w:space="0" w:color="auto"/>
              <w:right w:val="single" w:sz="4" w:space="0" w:color="auto"/>
            </w:tcBorders>
            <w:shd w:val="clear" w:color="auto" w:fill="auto"/>
            <w:noWrap/>
            <w:vAlign w:val="center"/>
          </w:tcPr>
          <w:p w14:paraId="64E10088"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无量纲</w:t>
            </w:r>
          </w:p>
        </w:tc>
        <w:tc>
          <w:tcPr>
            <w:tcW w:w="564" w:type="pct"/>
            <w:tcBorders>
              <w:top w:val="nil"/>
              <w:left w:val="nil"/>
              <w:bottom w:val="single" w:sz="4" w:space="0" w:color="auto"/>
              <w:right w:val="single" w:sz="4" w:space="0" w:color="auto"/>
            </w:tcBorders>
            <w:shd w:val="clear" w:color="auto" w:fill="auto"/>
            <w:noWrap/>
            <w:vAlign w:val="center"/>
          </w:tcPr>
          <w:p w14:paraId="26DE40A4"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proofErr w:type="gramStart"/>
            <w:r>
              <w:rPr>
                <w:rFonts w:ascii="宋体" w:eastAsia="宋体" w:hAnsi="宋体" w:cs="Times New Roman"/>
                <w:snapToGrid/>
                <w:sz w:val="22"/>
                <w:szCs w:val="22"/>
                <w:lang w:eastAsia="zh-CN"/>
              </w:rPr>
              <w:t>个</w:t>
            </w:r>
            <w:proofErr w:type="gramEnd"/>
            <w:r>
              <w:rPr>
                <w:rFonts w:ascii="宋体" w:eastAsia="宋体" w:hAnsi="宋体" w:cs="Times New Roman"/>
                <w:snapToGrid/>
                <w:sz w:val="22"/>
                <w:szCs w:val="22"/>
                <w:lang w:eastAsia="zh-CN"/>
              </w:rPr>
              <w:t>/L</w:t>
            </w:r>
          </w:p>
        </w:tc>
        <w:tc>
          <w:tcPr>
            <w:tcW w:w="541" w:type="pct"/>
            <w:tcBorders>
              <w:top w:val="nil"/>
              <w:left w:val="nil"/>
              <w:bottom w:val="single" w:sz="4" w:space="0" w:color="auto"/>
              <w:right w:val="single" w:sz="4" w:space="0" w:color="auto"/>
            </w:tcBorders>
            <w:shd w:val="clear" w:color="auto" w:fill="auto"/>
            <w:noWrap/>
            <w:vAlign w:val="center"/>
          </w:tcPr>
          <w:p w14:paraId="3762A83F"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mg/L</w:t>
            </w:r>
          </w:p>
        </w:tc>
      </w:tr>
      <w:tr w:rsidR="009D4D8C" w14:paraId="32F0F77B" w14:textId="77777777">
        <w:trPr>
          <w:trHeight w:val="330"/>
          <w:jc w:val="center"/>
        </w:trPr>
        <w:tc>
          <w:tcPr>
            <w:tcW w:w="429" w:type="pct"/>
            <w:tcBorders>
              <w:top w:val="nil"/>
              <w:left w:val="single" w:sz="4" w:space="0" w:color="auto"/>
              <w:bottom w:val="single" w:sz="4" w:space="0" w:color="auto"/>
              <w:right w:val="single" w:sz="4" w:space="0" w:color="auto"/>
            </w:tcBorders>
            <w:shd w:val="clear" w:color="auto" w:fill="auto"/>
            <w:noWrap/>
            <w:vAlign w:val="center"/>
          </w:tcPr>
          <w:p w14:paraId="6D312A6D"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数值</w:t>
            </w:r>
          </w:p>
        </w:tc>
        <w:tc>
          <w:tcPr>
            <w:tcW w:w="476" w:type="pct"/>
            <w:tcBorders>
              <w:top w:val="nil"/>
              <w:left w:val="nil"/>
              <w:bottom w:val="single" w:sz="4" w:space="0" w:color="auto"/>
              <w:right w:val="single" w:sz="4" w:space="0" w:color="auto"/>
            </w:tcBorders>
            <w:shd w:val="clear" w:color="auto" w:fill="auto"/>
            <w:noWrap/>
            <w:vAlign w:val="center"/>
          </w:tcPr>
          <w:p w14:paraId="123598B4"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250</w:t>
            </w:r>
          </w:p>
        </w:tc>
        <w:tc>
          <w:tcPr>
            <w:tcW w:w="451" w:type="pct"/>
            <w:tcBorders>
              <w:top w:val="nil"/>
              <w:left w:val="nil"/>
              <w:bottom w:val="single" w:sz="4" w:space="0" w:color="auto"/>
              <w:right w:val="single" w:sz="4" w:space="0" w:color="auto"/>
            </w:tcBorders>
            <w:shd w:val="clear" w:color="auto" w:fill="auto"/>
            <w:noWrap/>
            <w:vAlign w:val="center"/>
          </w:tcPr>
          <w:p w14:paraId="2D2FE3AB"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100</w:t>
            </w:r>
          </w:p>
        </w:tc>
        <w:tc>
          <w:tcPr>
            <w:tcW w:w="485" w:type="pct"/>
            <w:tcBorders>
              <w:top w:val="nil"/>
              <w:left w:val="nil"/>
              <w:bottom w:val="single" w:sz="4" w:space="0" w:color="auto"/>
              <w:right w:val="single" w:sz="4" w:space="0" w:color="auto"/>
            </w:tcBorders>
            <w:shd w:val="clear" w:color="auto" w:fill="auto"/>
            <w:noWrap/>
            <w:vAlign w:val="center"/>
          </w:tcPr>
          <w:p w14:paraId="213DEC64"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40</w:t>
            </w:r>
          </w:p>
        </w:tc>
        <w:tc>
          <w:tcPr>
            <w:tcW w:w="519" w:type="pct"/>
            <w:tcBorders>
              <w:top w:val="nil"/>
              <w:left w:val="nil"/>
              <w:bottom w:val="single" w:sz="4" w:space="0" w:color="auto"/>
              <w:right w:val="single" w:sz="4" w:space="0" w:color="auto"/>
            </w:tcBorders>
            <w:shd w:val="clear" w:color="auto" w:fill="auto"/>
            <w:noWrap/>
            <w:vAlign w:val="center"/>
          </w:tcPr>
          <w:p w14:paraId="5FA286ED"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20</w:t>
            </w:r>
          </w:p>
        </w:tc>
        <w:tc>
          <w:tcPr>
            <w:tcW w:w="519" w:type="pct"/>
            <w:tcBorders>
              <w:top w:val="nil"/>
              <w:left w:val="nil"/>
              <w:bottom w:val="single" w:sz="4" w:space="0" w:color="auto"/>
              <w:right w:val="single" w:sz="4" w:space="0" w:color="auto"/>
            </w:tcBorders>
            <w:shd w:val="clear" w:color="auto" w:fill="auto"/>
            <w:noWrap/>
            <w:vAlign w:val="center"/>
          </w:tcPr>
          <w:p w14:paraId="791F20B0"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20</w:t>
            </w:r>
          </w:p>
        </w:tc>
        <w:tc>
          <w:tcPr>
            <w:tcW w:w="496" w:type="pct"/>
            <w:tcBorders>
              <w:top w:val="nil"/>
              <w:left w:val="nil"/>
              <w:bottom w:val="single" w:sz="4" w:space="0" w:color="auto"/>
              <w:right w:val="single" w:sz="4" w:space="0" w:color="auto"/>
            </w:tcBorders>
            <w:shd w:val="clear" w:color="auto" w:fill="auto"/>
            <w:noWrap/>
            <w:vAlign w:val="center"/>
          </w:tcPr>
          <w:p w14:paraId="3A360409"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60</w:t>
            </w:r>
          </w:p>
        </w:tc>
        <w:tc>
          <w:tcPr>
            <w:tcW w:w="520" w:type="pct"/>
            <w:tcBorders>
              <w:top w:val="nil"/>
              <w:left w:val="nil"/>
              <w:bottom w:val="single" w:sz="4" w:space="0" w:color="auto"/>
              <w:right w:val="single" w:sz="4" w:space="0" w:color="auto"/>
            </w:tcBorders>
            <w:shd w:val="clear" w:color="auto" w:fill="auto"/>
            <w:noWrap/>
            <w:vAlign w:val="center"/>
          </w:tcPr>
          <w:p w14:paraId="4545B01A"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6.0~9.0</w:t>
            </w:r>
          </w:p>
        </w:tc>
        <w:tc>
          <w:tcPr>
            <w:tcW w:w="564" w:type="pct"/>
            <w:tcBorders>
              <w:top w:val="nil"/>
              <w:left w:val="nil"/>
              <w:bottom w:val="single" w:sz="4" w:space="0" w:color="auto"/>
              <w:right w:val="single" w:sz="4" w:space="0" w:color="auto"/>
            </w:tcBorders>
            <w:shd w:val="clear" w:color="auto" w:fill="auto"/>
            <w:noWrap/>
            <w:vAlign w:val="center"/>
          </w:tcPr>
          <w:p w14:paraId="1D819F54"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50</w:t>
            </w:r>
            <w:r>
              <w:rPr>
                <w:rFonts w:ascii="宋体" w:eastAsia="宋体" w:hAnsi="宋体" w:cs="Times New Roman" w:hint="eastAsia"/>
                <w:snapToGrid/>
                <w:sz w:val="22"/>
                <w:szCs w:val="22"/>
                <w:lang w:eastAsia="zh-CN"/>
              </w:rPr>
              <w:t>0</w:t>
            </w:r>
            <w:r>
              <w:rPr>
                <w:rFonts w:ascii="宋体" w:eastAsia="宋体" w:hAnsi="宋体" w:cs="Times New Roman"/>
                <w:snapToGrid/>
                <w:sz w:val="22"/>
                <w:szCs w:val="22"/>
                <w:lang w:eastAsia="zh-CN"/>
              </w:rPr>
              <w:t>0</w:t>
            </w:r>
          </w:p>
        </w:tc>
        <w:tc>
          <w:tcPr>
            <w:tcW w:w="541" w:type="pct"/>
            <w:tcBorders>
              <w:top w:val="nil"/>
              <w:left w:val="nil"/>
              <w:bottom w:val="single" w:sz="4" w:space="0" w:color="auto"/>
              <w:right w:val="single" w:sz="4" w:space="0" w:color="auto"/>
            </w:tcBorders>
            <w:shd w:val="clear" w:color="auto" w:fill="auto"/>
            <w:noWrap/>
            <w:vAlign w:val="center"/>
          </w:tcPr>
          <w:p w14:paraId="10CA10BE" w14:textId="77777777" w:rsidR="009D4D8C" w:rsidRDefault="00000000">
            <w:pPr>
              <w:kinsoku/>
              <w:autoSpaceDE/>
              <w:autoSpaceDN/>
              <w:ind w:firstLineChars="0" w:firstLine="0"/>
              <w:jc w:val="center"/>
              <w:textAlignment w:val="auto"/>
              <w:rPr>
                <w:rFonts w:ascii="宋体" w:eastAsia="宋体" w:hAnsi="宋体" w:cs="Times New Roman" w:hint="eastAsia"/>
                <w:snapToGrid/>
                <w:sz w:val="22"/>
                <w:szCs w:val="22"/>
                <w:lang w:eastAsia="zh-CN"/>
              </w:rPr>
            </w:pPr>
            <w:r>
              <w:rPr>
                <w:rFonts w:ascii="宋体" w:eastAsia="宋体" w:hAnsi="宋体" w:cs="Times New Roman"/>
                <w:snapToGrid/>
                <w:sz w:val="22"/>
                <w:szCs w:val="22"/>
                <w:lang w:eastAsia="zh-CN"/>
              </w:rPr>
              <w:t>2~8</w:t>
            </w:r>
          </w:p>
        </w:tc>
      </w:tr>
    </w:tbl>
    <w:p w14:paraId="6152F4D6" w14:textId="77777777" w:rsidR="009D4D8C" w:rsidRDefault="00000000">
      <w:pPr>
        <w:ind w:firstLine="480"/>
        <w:rPr>
          <w:rFonts w:ascii="宋体" w:eastAsia="宋体" w:hAnsi="宋体" w:cs="Times New Roman" w:hint="eastAsia"/>
          <w:sz w:val="24"/>
          <w:szCs w:val="24"/>
        </w:rPr>
      </w:pPr>
      <w:r>
        <w:rPr>
          <w:rFonts w:ascii="宋体" w:eastAsia="宋体" w:hAnsi="宋体" w:cs="Times New Roman" w:hint="eastAsia"/>
          <w:sz w:val="24"/>
          <w:szCs w:val="24"/>
          <w:lang w:eastAsia="zh-CN"/>
        </w:rPr>
        <w:t xml:space="preserve">3.2.3 </w:t>
      </w:r>
      <w:r>
        <w:rPr>
          <w:rFonts w:ascii="宋体" w:eastAsia="宋体" w:hAnsi="宋体" w:cs="Times New Roman"/>
          <w:sz w:val="24"/>
          <w:szCs w:val="24"/>
        </w:rPr>
        <w:t>工艺选择基本思路</w:t>
      </w:r>
    </w:p>
    <w:p w14:paraId="468796B3"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t>根据上述分析，我公司考虑污水处理工艺的依照如下思路：</w:t>
      </w:r>
    </w:p>
    <w:p w14:paraId="5AAD2C83"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noProof/>
          <w:sz w:val="24"/>
          <w:szCs w:val="24"/>
        </w:rPr>
        <w:drawing>
          <wp:inline distT="0" distB="0" distL="0" distR="0" wp14:anchorId="5BE99EF8" wp14:editId="2C8480DD">
            <wp:extent cx="201930" cy="14160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3"/>
                    <a:stretch>
                      <a:fillRect/>
                    </a:stretch>
                  </pic:blipFill>
                  <pic:spPr>
                    <a:xfrm>
                      <a:off x="0" y="0"/>
                      <a:ext cx="201988" cy="141677"/>
                    </a:xfrm>
                    <a:prstGeom prst="rect">
                      <a:avLst/>
                    </a:prstGeom>
                  </pic:spPr>
                </pic:pic>
              </a:graphicData>
            </a:graphic>
          </wp:inline>
        </w:drawing>
      </w:r>
      <w:r>
        <w:rPr>
          <w:rFonts w:ascii="宋体" w:eastAsia="宋体" w:hAnsi="宋体" w:cs="Times New Roman"/>
          <w:sz w:val="24"/>
          <w:szCs w:val="24"/>
          <w:lang w:eastAsia="zh-CN"/>
        </w:rPr>
        <w:t>污水进入好氧生化处理系统，保证其经生化处理后污水可达标排放。</w:t>
      </w:r>
    </w:p>
    <w:p w14:paraId="4091957A"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noProof/>
          <w:sz w:val="24"/>
          <w:szCs w:val="24"/>
        </w:rPr>
        <w:drawing>
          <wp:inline distT="0" distB="0" distL="0" distR="0" wp14:anchorId="72505FEB" wp14:editId="107CBF13">
            <wp:extent cx="201930" cy="14160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4"/>
                    <a:stretch>
                      <a:fillRect/>
                    </a:stretch>
                  </pic:blipFill>
                  <pic:spPr>
                    <a:xfrm>
                      <a:off x="0" y="0"/>
                      <a:ext cx="201988" cy="141677"/>
                    </a:xfrm>
                    <a:prstGeom prst="rect">
                      <a:avLst/>
                    </a:prstGeom>
                  </pic:spPr>
                </pic:pic>
              </a:graphicData>
            </a:graphic>
          </wp:inline>
        </w:drawing>
      </w:r>
      <w:r>
        <w:rPr>
          <w:rFonts w:ascii="宋体" w:eastAsia="宋体" w:hAnsi="宋体" w:cs="Times New Roman"/>
          <w:sz w:val="24"/>
          <w:szCs w:val="24"/>
          <w:lang w:eastAsia="zh-CN"/>
        </w:rPr>
        <w:t>工艺流程简捷、工程造价低、运行经济、便于管理。</w:t>
      </w:r>
      <w:bookmarkStart w:id="23" w:name="bookmark9"/>
      <w:bookmarkEnd w:id="23"/>
    </w:p>
    <w:p w14:paraId="2C2034C6" w14:textId="77777777" w:rsidR="009D4D8C" w:rsidRDefault="00000000">
      <w:pPr>
        <w:kinsoku/>
        <w:autoSpaceDE/>
        <w:autoSpaceDN/>
        <w:adjustRightInd/>
        <w:snapToGrid/>
        <w:spacing w:line="240" w:lineRule="auto"/>
        <w:ind w:firstLineChars="0" w:firstLine="0"/>
        <w:textAlignment w:val="auto"/>
        <w:rPr>
          <w:rFonts w:ascii="宋体" w:eastAsia="宋体" w:hAnsi="宋体" w:cs="Times New Roman" w:hint="eastAsia"/>
          <w:b/>
          <w:sz w:val="30"/>
          <w:lang w:eastAsia="zh-CN"/>
        </w:rPr>
      </w:pPr>
      <w:r>
        <w:rPr>
          <w:rFonts w:ascii="宋体" w:eastAsia="宋体" w:hAnsi="宋体" w:cs="Times New Roman" w:hint="eastAsia"/>
          <w:lang w:eastAsia="zh-CN"/>
        </w:rPr>
        <w:br w:type="page"/>
      </w:r>
    </w:p>
    <w:p w14:paraId="6A956665" w14:textId="77777777" w:rsidR="009D4D8C" w:rsidRDefault="00000000">
      <w:pPr>
        <w:pStyle w:val="2"/>
        <w:rPr>
          <w:rFonts w:ascii="宋体" w:eastAsia="宋体" w:hAnsi="宋体" w:cs="Times New Roman" w:hint="eastAsia"/>
          <w:lang w:eastAsia="zh-CN"/>
        </w:rPr>
      </w:pPr>
      <w:bookmarkStart w:id="24" w:name="_Toc203048636"/>
      <w:r>
        <w:rPr>
          <w:rFonts w:ascii="宋体" w:eastAsia="宋体" w:hAnsi="宋体" w:cs="Times New Roman" w:hint="eastAsia"/>
          <w:lang w:eastAsia="zh-CN"/>
        </w:rPr>
        <w:lastRenderedPageBreak/>
        <w:t>3.</w:t>
      </w:r>
      <w:r>
        <w:rPr>
          <w:rFonts w:ascii="宋体" w:eastAsia="宋体" w:hAnsi="宋体" w:cs="Times New Roman"/>
          <w:lang w:eastAsia="zh-CN"/>
        </w:rPr>
        <w:t>3</w:t>
      </w:r>
      <w:r>
        <w:rPr>
          <w:rFonts w:ascii="宋体" w:eastAsia="宋体" w:hAnsi="宋体" w:cs="Times New Roman" w:hint="eastAsia"/>
          <w:lang w:eastAsia="zh-CN"/>
        </w:rPr>
        <w:t xml:space="preserve"> </w:t>
      </w:r>
      <w:r>
        <w:rPr>
          <w:rFonts w:ascii="宋体" w:eastAsia="宋体" w:hAnsi="宋体" w:cs="Times New Roman"/>
          <w:lang w:eastAsia="zh-CN"/>
        </w:rPr>
        <w:t>处理工艺分析</w:t>
      </w:r>
      <w:bookmarkEnd w:id="24"/>
    </w:p>
    <w:p w14:paraId="00862210" w14:textId="77777777" w:rsidR="009D4D8C" w:rsidRDefault="00000000">
      <w:pPr>
        <w:ind w:firstLine="460"/>
        <w:rPr>
          <w:rFonts w:ascii="宋体" w:eastAsia="宋体" w:hAnsi="宋体" w:cs="Times New Roman" w:hint="eastAsia"/>
          <w:sz w:val="24"/>
          <w:szCs w:val="24"/>
          <w:lang w:eastAsia="zh-CN"/>
        </w:rPr>
      </w:pPr>
      <w:r>
        <w:rPr>
          <w:rFonts w:ascii="宋体" w:eastAsia="宋体" w:hAnsi="宋体" w:cs="Times New Roman" w:hint="eastAsia"/>
          <w:spacing w:val="-10"/>
          <w:sz w:val="24"/>
          <w:szCs w:val="24"/>
          <w:lang w:eastAsia="zh-CN"/>
        </w:rPr>
        <w:t>3.3.1</w:t>
      </w:r>
      <w:r>
        <w:rPr>
          <w:rFonts w:ascii="宋体" w:eastAsia="宋体" w:hAnsi="宋体" w:cs="Times New Roman"/>
          <w:sz w:val="24"/>
          <w:szCs w:val="24"/>
          <w:lang w:eastAsia="zh-CN"/>
        </w:rPr>
        <w:t>格栅装置</w:t>
      </w:r>
    </w:p>
    <w:p w14:paraId="34D56C79"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t>格栅是一种用于固液分离的设施，通常用于污水处理的初级阶段。它的作用主要是拦截和去除污水中的较大颗粒物和漂浮物，从而减轻后续处理过程的负担。</w:t>
      </w:r>
    </w:p>
    <w:p w14:paraId="7AAF1B52"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t>由于医院污水与病人的生活起居密切相关，因此，污水中不可避免地含有大颗粒的悬浮物和漂浮物，因此随着环保要求的提高，格栅作为污水处理的重要组成部分。</w:t>
      </w:r>
    </w:p>
    <w:p w14:paraId="2AB81B6E"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hint="eastAsia"/>
          <w:sz w:val="24"/>
          <w:szCs w:val="24"/>
          <w:lang w:eastAsia="zh-CN"/>
        </w:rPr>
        <w:t xml:space="preserve">3.3.2 </w:t>
      </w:r>
      <w:r>
        <w:rPr>
          <w:rFonts w:ascii="宋体" w:eastAsia="宋体" w:hAnsi="宋体" w:cs="Times New Roman"/>
          <w:sz w:val="24"/>
          <w:szCs w:val="24"/>
          <w:lang w:eastAsia="zh-CN"/>
        </w:rPr>
        <w:t>生化处理工艺</w:t>
      </w:r>
    </w:p>
    <w:p w14:paraId="740105C7"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t>根据《污水综合排放标准》（GB8978－1996）表四之二级排放标准和《医疗机构水污染物排放要求》(GB18466-2005)中的排放要求，我司考虑采用厌氧+好</w:t>
      </w:r>
      <w:proofErr w:type="gramStart"/>
      <w:r>
        <w:rPr>
          <w:rFonts w:ascii="宋体" w:eastAsia="宋体" w:hAnsi="宋体" w:cs="Times New Roman"/>
          <w:sz w:val="24"/>
          <w:szCs w:val="24"/>
          <w:lang w:eastAsia="zh-CN"/>
        </w:rPr>
        <w:t>氧处理</w:t>
      </w:r>
      <w:proofErr w:type="gramEnd"/>
      <w:r>
        <w:rPr>
          <w:rFonts w:ascii="宋体" w:eastAsia="宋体" w:hAnsi="宋体" w:cs="Times New Roman"/>
          <w:sz w:val="24"/>
          <w:szCs w:val="24"/>
          <w:lang w:eastAsia="zh-CN"/>
        </w:rPr>
        <w:t>组合工艺对该医院污水进行处理，它是一种结合水解酸化反应、好氧生物反应等处理方法和原理的二级处理工艺，具有工艺简单，技术成熟，运行成本低的优点。</w:t>
      </w:r>
    </w:p>
    <w:p w14:paraId="664793AF"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noProof/>
          <w:sz w:val="24"/>
          <w:szCs w:val="24"/>
        </w:rPr>
        <w:drawing>
          <wp:inline distT="0" distB="0" distL="0" distR="0" wp14:anchorId="1CBAE364" wp14:editId="48B2429A">
            <wp:extent cx="172085" cy="120650"/>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5"/>
                    <a:stretch>
                      <a:fillRect/>
                    </a:stretch>
                  </pic:blipFill>
                  <pic:spPr>
                    <a:xfrm>
                      <a:off x="0" y="0"/>
                      <a:ext cx="172516" cy="121005"/>
                    </a:xfrm>
                    <a:prstGeom prst="rect">
                      <a:avLst/>
                    </a:prstGeom>
                  </pic:spPr>
                </pic:pic>
              </a:graphicData>
            </a:graphic>
          </wp:inline>
        </w:drawing>
      </w:r>
      <w:r>
        <w:rPr>
          <w:rFonts w:ascii="宋体" w:eastAsia="宋体" w:hAnsi="宋体" w:cs="Times New Roman"/>
          <w:sz w:val="24"/>
          <w:szCs w:val="24"/>
          <w:lang w:eastAsia="zh-CN"/>
        </w:rPr>
        <w:t>好</w:t>
      </w:r>
      <w:proofErr w:type="gramStart"/>
      <w:r>
        <w:rPr>
          <w:rFonts w:ascii="宋体" w:eastAsia="宋体" w:hAnsi="宋体" w:cs="Times New Roman"/>
          <w:sz w:val="24"/>
          <w:szCs w:val="24"/>
          <w:lang w:eastAsia="zh-CN"/>
        </w:rPr>
        <w:t>氧处理</w:t>
      </w:r>
      <w:proofErr w:type="gramEnd"/>
      <w:r>
        <w:rPr>
          <w:rFonts w:ascii="宋体" w:eastAsia="宋体" w:hAnsi="宋体" w:cs="Times New Roman"/>
          <w:sz w:val="24"/>
          <w:szCs w:val="24"/>
          <w:lang w:eastAsia="zh-CN"/>
        </w:rPr>
        <w:t>工艺</w:t>
      </w:r>
    </w:p>
    <w:p w14:paraId="62F98C18"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t>经水解酸化后的污水进入好</w:t>
      </w:r>
      <w:proofErr w:type="gramStart"/>
      <w:r>
        <w:rPr>
          <w:rFonts w:ascii="宋体" w:eastAsia="宋体" w:hAnsi="宋体" w:cs="Times New Roman"/>
          <w:sz w:val="24"/>
          <w:szCs w:val="24"/>
          <w:lang w:eastAsia="zh-CN"/>
        </w:rPr>
        <w:t>氧处理</w:t>
      </w:r>
      <w:proofErr w:type="gramEnd"/>
      <w:r>
        <w:rPr>
          <w:rFonts w:ascii="宋体" w:eastAsia="宋体" w:hAnsi="宋体" w:cs="Times New Roman"/>
          <w:sz w:val="24"/>
          <w:szCs w:val="24"/>
          <w:lang w:eastAsia="zh-CN"/>
        </w:rPr>
        <w:t>工艺，利用好氧微生物继续氧化分解污水中的有机污染物。好氧生物处理从机理上又分为好氧生物膜法和好氧活性污泥法两大类。</w:t>
      </w:r>
    </w:p>
    <w:p w14:paraId="1A8067A9"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t>我司所采用的生物接触氧化池是一种介于活性污泥法与生物滤池之间的生物膜法工艺，是一种连续流运行工艺。接触氧化池内设有生物填料，大部份微生物以生物膜的形式固生着长于填料表面，部份则以絮状生长于水中，因此它具有活性污泥法与生物滤池两者特点。由于填料比表面积大，池内单位体积吸附的固体量高，有较好的容积负荷；无需设污泥回流装置，不产生污泥膨胀。生物接触氧化中微生物所需的氧通过人工曝气供给。生物膜生长至一定厚度以后，近填料壁的微生物由于缺氧而进行厌氧代谢，产生的气体及曝气产生的冲刷作用会造成生物膜的脱落，并促进新生物膜的生长，形成生物膜的新陈代谢。脱落的生物膜将随水流出。与一般的活性污泥法相比，生物接触氧化具有以下优点：污泥产量较活性</w:t>
      </w:r>
      <w:bookmarkStart w:id="25" w:name="bookmark23"/>
      <w:bookmarkEnd w:id="25"/>
      <w:r>
        <w:rPr>
          <w:rFonts w:ascii="宋体" w:eastAsia="宋体" w:hAnsi="宋体" w:cs="Times New Roman"/>
          <w:sz w:val="24"/>
          <w:szCs w:val="24"/>
          <w:lang w:eastAsia="zh-CN"/>
        </w:rPr>
        <w:t>污泥法少；不存在污泥膨胀的问题，运行管理简便；具有较高的容积负荷，对 水质水量的冲击有较强的适应能力。</w:t>
      </w:r>
    </w:p>
    <w:p w14:paraId="4B158A4C"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hint="eastAsia"/>
          <w:sz w:val="24"/>
          <w:szCs w:val="24"/>
          <w:lang w:eastAsia="zh-CN"/>
        </w:rPr>
        <w:t xml:space="preserve">3.3.3 </w:t>
      </w:r>
      <w:r>
        <w:rPr>
          <w:rFonts w:ascii="宋体" w:eastAsia="宋体" w:hAnsi="宋体" w:cs="Times New Roman"/>
          <w:sz w:val="24"/>
          <w:szCs w:val="24"/>
          <w:lang w:eastAsia="zh-CN"/>
        </w:rPr>
        <w:t>末端处理</w:t>
      </w:r>
    </w:p>
    <w:p w14:paraId="14675F87"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t>为了去除好氧生物处理出水中悬浮物质，主要是随出水流出的活性污泥和脱落的生物膜，在接触氧化池后采用沉淀池。</w:t>
      </w:r>
      <w:proofErr w:type="gramStart"/>
      <w:r>
        <w:rPr>
          <w:rFonts w:ascii="宋体" w:eastAsia="宋体" w:hAnsi="宋体" w:cs="Times New Roman"/>
          <w:sz w:val="24"/>
          <w:szCs w:val="24"/>
          <w:lang w:eastAsia="zh-CN"/>
        </w:rPr>
        <w:t>二沉池</w:t>
      </w:r>
      <w:proofErr w:type="gramEnd"/>
      <w:r>
        <w:rPr>
          <w:rFonts w:ascii="宋体" w:eastAsia="宋体" w:hAnsi="宋体" w:cs="Times New Roman"/>
          <w:sz w:val="24"/>
          <w:szCs w:val="24"/>
          <w:lang w:eastAsia="zh-CN"/>
        </w:rPr>
        <w:t>沉淀下的污泥可定期用污泥泵抽回好氧</w:t>
      </w:r>
      <w:proofErr w:type="gramStart"/>
      <w:r>
        <w:rPr>
          <w:rFonts w:ascii="宋体" w:eastAsia="宋体" w:hAnsi="宋体" w:cs="Times New Roman"/>
          <w:sz w:val="24"/>
          <w:szCs w:val="24"/>
          <w:lang w:eastAsia="zh-CN"/>
        </w:rPr>
        <w:t>氧</w:t>
      </w:r>
      <w:proofErr w:type="gramEnd"/>
      <w:r>
        <w:rPr>
          <w:rFonts w:ascii="宋体" w:eastAsia="宋体" w:hAnsi="宋体" w:cs="Times New Roman"/>
          <w:sz w:val="24"/>
          <w:szCs w:val="24"/>
          <w:lang w:eastAsia="zh-CN"/>
        </w:rPr>
        <w:t>化池进行消解处理，这样，既减少整个流程的污泥产量，同时通过回流污泥促进生物代谢作用和厌氧还原作用。</w:t>
      </w:r>
    </w:p>
    <w:p w14:paraId="5CC87052"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hint="eastAsia"/>
          <w:sz w:val="24"/>
          <w:szCs w:val="24"/>
          <w:lang w:eastAsia="zh-CN"/>
        </w:rPr>
        <w:t>3.3.4</w:t>
      </w:r>
      <w:r>
        <w:rPr>
          <w:rFonts w:ascii="宋体" w:eastAsia="宋体" w:hAnsi="宋体" w:cs="Times New Roman"/>
          <w:sz w:val="24"/>
          <w:szCs w:val="24"/>
          <w:lang w:eastAsia="zh-CN"/>
        </w:rPr>
        <w:t>消毒设施</w:t>
      </w:r>
    </w:p>
    <w:p w14:paraId="1089CF10"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lastRenderedPageBreak/>
        <w:t>前已述及，医院污水中不但含有一般病毒、病菌等，还有传染性很强的病 毒、细菌，因此必须对污水进行严格消毒。</w:t>
      </w:r>
    </w:p>
    <w:p w14:paraId="11D9410D"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t>次氯酸钠消毒剂在杀死病毒细菌的同时，对污水中的COD也有一定的降解能力，基本不存在出水余氯过高过低的问题，并且长期使用不会产生抗药性，属于目前国际上公认的广谱高效消毒剂。</w:t>
      </w:r>
    </w:p>
    <w:p w14:paraId="56A157F4"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t>综上所述，我司选择次氯酸钠作为该医院污水处理的消毒剂</w:t>
      </w:r>
      <w:r>
        <w:rPr>
          <w:rFonts w:ascii="宋体" w:eastAsia="宋体" w:hAnsi="宋体" w:cs="Times New Roman"/>
          <w:spacing w:val="-1"/>
          <w:sz w:val="24"/>
          <w:szCs w:val="24"/>
          <w:lang w:eastAsia="zh-CN"/>
        </w:rPr>
        <w:t>。</w:t>
      </w:r>
    </w:p>
    <w:p w14:paraId="06B80961" w14:textId="77777777" w:rsidR="009D4D8C" w:rsidRDefault="00000000">
      <w:pPr>
        <w:pStyle w:val="2"/>
        <w:rPr>
          <w:rFonts w:ascii="宋体" w:eastAsia="宋体" w:hAnsi="宋体" w:cs="Times New Roman" w:hint="eastAsia"/>
          <w:lang w:eastAsia="zh-CN"/>
        </w:rPr>
      </w:pPr>
      <w:bookmarkStart w:id="26" w:name="bookmark10"/>
      <w:bookmarkStart w:id="27" w:name="_Toc203048637"/>
      <w:bookmarkEnd w:id="26"/>
      <w:r>
        <w:rPr>
          <w:rFonts w:ascii="宋体" w:eastAsia="宋体" w:hAnsi="宋体" w:cs="Times New Roman" w:hint="eastAsia"/>
          <w:lang w:eastAsia="zh-CN"/>
        </w:rPr>
        <w:t>3.</w:t>
      </w:r>
      <w:r>
        <w:rPr>
          <w:rFonts w:ascii="宋体" w:eastAsia="宋体" w:hAnsi="宋体" w:cs="Times New Roman"/>
          <w:lang w:eastAsia="zh-CN"/>
        </w:rPr>
        <w:t>4</w:t>
      </w:r>
      <w:r>
        <w:rPr>
          <w:rFonts w:ascii="宋体" w:eastAsia="宋体" w:hAnsi="宋体" w:cs="Times New Roman" w:hint="eastAsia"/>
          <w:lang w:eastAsia="zh-CN"/>
        </w:rPr>
        <w:t xml:space="preserve"> </w:t>
      </w:r>
      <w:r>
        <w:rPr>
          <w:rFonts w:ascii="宋体" w:eastAsia="宋体" w:hAnsi="宋体" w:cs="Times New Roman"/>
          <w:lang w:eastAsia="zh-CN"/>
        </w:rPr>
        <w:t>治理工艺流程</w:t>
      </w:r>
      <w:bookmarkEnd w:id="27"/>
    </w:p>
    <w:p w14:paraId="5D4C8AA1"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hint="eastAsia"/>
          <w:sz w:val="24"/>
          <w:szCs w:val="24"/>
          <w:lang w:eastAsia="zh-CN"/>
        </w:rPr>
        <w:t xml:space="preserve">3.4.1 </w:t>
      </w:r>
      <w:r>
        <w:rPr>
          <w:rFonts w:ascii="宋体" w:eastAsia="宋体" w:hAnsi="宋体" w:cs="Times New Roman"/>
          <w:sz w:val="24"/>
          <w:szCs w:val="24"/>
          <w:lang w:eastAsia="zh-CN"/>
        </w:rPr>
        <w:t>治理方案工艺流程图</w:t>
      </w:r>
    </w:p>
    <w:p w14:paraId="5C6F2BC3"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t>根据以上思路，污水处理工艺流程如下所示：</w:t>
      </w:r>
    </w:p>
    <w:p w14:paraId="2FEEB98C" w14:textId="77777777" w:rsidR="009D4D8C" w:rsidRDefault="00000000">
      <w:pPr>
        <w:ind w:leftChars="-101" w:hangingChars="101" w:hanging="283"/>
        <w:rPr>
          <w:rFonts w:ascii="宋体" w:eastAsia="宋体" w:hAnsi="宋体" w:cs="Times New Roman" w:hint="eastAsia"/>
          <w:sz w:val="24"/>
          <w:szCs w:val="24"/>
          <w:lang w:eastAsia="zh-CN"/>
        </w:rPr>
      </w:pPr>
      <w:r>
        <w:rPr>
          <w:noProof/>
          <w:snapToGrid/>
        </w:rPr>
        <w:drawing>
          <wp:inline distT="0" distB="0" distL="0" distR="0" wp14:anchorId="79B1EE86" wp14:editId="3A18900D">
            <wp:extent cx="6050280" cy="3837940"/>
            <wp:effectExtent l="0" t="0" r="7620" b="0"/>
            <wp:docPr id="7006244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62445" name="图片 1"/>
                    <pic:cNvPicPr>
                      <a:picLocks noChangeAspect="1"/>
                    </pic:cNvPicPr>
                  </pic:nvPicPr>
                  <pic:blipFill>
                    <a:blip r:embed="rId16"/>
                    <a:stretch>
                      <a:fillRect/>
                    </a:stretch>
                  </pic:blipFill>
                  <pic:spPr>
                    <a:xfrm>
                      <a:off x="0" y="0"/>
                      <a:ext cx="6050280" cy="3837940"/>
                    </a:xfrm>
                    <a:prstGeom prst="rect">
                      <a:avLst/>
                    </a:prstGeom>
                  </pic:spPr>
                </pic:pic>
              </a:graphicData>
            </a:graphic>
          </wp:inline>
        </w:drawing>
      </w:r>
      <w:r>
        <w:rPr>
          <w:rFonts w:ascii="宋体" w:eastAsia="宋体" w:hAnsi="宋体" w:cs="Times New Roman" w:hint="eastAsia"/>
          <w:sz w:val="24"/>
          <w:szCs w:val="24"/>
          <w:lang w:eastAsia="zh-CN"/>
        </w:rPr>
        <w:t xml:space="preserve"> 3.4.2 </w:t>
      </w:r>
      <w:r>
        <w:rPr>
          <w:rFonts w:ascii="宋体" w:eastAsia="宋体" w:hAnsi="宋体" w:cs="Times New Roman"/>
          <w:sz w:val="24"/>
          <w:szCs w:val="24"/>
          <w:lang w:eastAsia="zh-CN"/>
        </w:rPr>
        <w:t>工艺流程简介</w:t>
      </w:r>
    </w:p>
    <w:p w14:paraId="7451044D"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t>医院污水经污水收集管网收集，进入污水提升井由提升泵泵入接触氧化池，利用生物反应器中丰富的好氧微生物进一步降解溶解性的短链有机物；再经</w:t>
      </w:r>
      <w:proofErr w:type="gramStart"/>
      <w:r>
        <w:rPr>
          <w:rFonts w:ascii="宋体" w:eastAsia="宋体" w:hAnsi="宋体" w:cs="Times New Roman"/>
          <w:sz w:val="24"/>
          <w:szCs w:val="24"/>
          <w:lang w:eastAsia="zh-CN"/>
        </w:rPr>
        <w:t>二沉池</w:t>
      </w:r>
      <w:proofErr w:type="gramEnd"/>
      <w:r>
        <w:rPr>
          <w:rFonts w:ascii="宋体" w:eastAsia="宋体" w:hAnsi="宋体" w:cs="Times New Roman"/>
          <w:sz w:val="24"/>
          <w:szCs w:val="24"/>
          <w:lang w:eastAsia="zh-CN"/>
        </w:rPr>
        <w:t>进行泥水分离后进入消毒池，在消毒池入口处加入次氯酸钠消毒剂，通过接触消毒杀死病毒和细菌。</w:t>
      </w:r>
    </w:p>
    <w:p w14:paraId="631EF302"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t>经过上述处理流程后，可以保证出水达标排放。</w:t>
      </w:r>
    </w:p>
    <w:p w14:paraId="355D8971"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br w:type="page"/>
      </w:r>
    </w:p>
    <w:p w14:paraId="606E753D" w14:textId="77777777" w:rsidR="009D4D8C" w:rsidRDefault="00000000">
      <w:pPr>
        <w:pStyle w:val="1"/>
        <w:rPr>
          <w:rFonts w:ascii="宋体" w:hAnsi="宋体" w:hint="eastAsia"/>
          <w:lang w:eastAsia="zh-CN"/>
        </w:rPr>
      </w:pPr>
      <w:bookmarkStart w:id="28" w:name="bookmark11"/>
      <w:bookmarkStart w:id="29" w:name="bookmark24"/>
      <w:bookmarkStart w:id="30" w:name="_Toc173836951"/>
      <w:bookmarkStart w:id="31" w:name="_Toc203048638"/>
      <w:bookmarkEnd w:id="28"/>
      <w:bookmarkEnd w:id="29"/>
      <w:r>
        <w:rPr>
          <w:rFonts w:ascii="宋体" w:hAnsi="宋体"/>
          <w:lang w:eastAsia="zh-CN"/>
        </w:rPr>
        <w:lastRenderedPageBreak/>
        <w:t>四、改造方案</w:t>
      </w:r>
      <w:bookmarkEnd w:id="30"/>
      <w:bookmarkEnd w:id="31"/>
    </w:p>
    <w:p w14:paraId="0894800D" w14:textId="77777777" w:rsidR="009D4D8C" w:rsidRDefault="00000000">
      <w:pPr>
        <w:pStyle w:val="2"/>
        <w:rPr>
          <w:rFonts w:ascii="宋体" w:eastAsia="宋体" w:hAnsi="宋体" w:cs="Times New Roman" w:hint="eastAsia"/>
          <w:lang w:eastAsia="zh-CN"/>
        </w:rPr>
      </w:pPr>
      <w:bookmarkStart w:id="32" w:name="bookmark13"/>
      <w:bookmarkStart w:id="33" w:name="_Toc203048639"/>
      <w:bookmarkEnd w:id="32"/>
      <w:r>
        <w:rPr>
          <w:rFonts w:ascii="宋体" w:eastAsia="宋体" w:hAnsi="宋体" w:cs="Times New Roman" w:hint="eastAsia"/>
          <w:lang w:eastAsia="zh-CN"/>
        </w:rPr>
        <w:t>4.</w:t>
      </w:r>
      <w:r>
        <w:rPr>
          <w:rFonts w:ascii="宋体" w:eastAsia="宋体" w:hAnsi="宋体" w:cs="Times New Roman"/>
          <w:lang w:eastAsia="zh-CN"/>
        </w:rPr>
        <w:t>1</w:t>
      </w:r>
      <w:r>
        <w:rPr>
          <w:rFonts w:ascii="宋体" w:eastAsia="宋体" w:hAnsi="宋体" w:cs="Times New Roman" w:hint="eastAsia"/>
          <w:lang w:eastAsia="zh-CN"/>
        </w:rPr>
        <w:t xml:space="preserve"> </w:t>
      </w:r>
      <w:r>
        <w:rPr>
          <w:rFonts w:ascii="宋体" w:eastAsia="宋体" w:hAnsi="宋体" w:cs="Times New Roman"/>
          <w:lang w:eastAsia="zh-CN"/>
        </w:rPr>
        <w:t>设计说明</w:t>
      </w:r>
      <w:bookmarkEnd w:id="33"/>
    </w:p>
    <w:p w14:paraId="440132DD"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hint="eastAsia"/>
          <w:sz w:val="24"/>
          <w:szCs w:val="24"/>
          <w:lang w:eastAsia="zh-CN"/>
        </w:rPr>
        <w:t>4.1.1</w:t>
      </w:r>
      <w:r>
        <w:rPr>
          <w:rFonts w:ascii="宋体" w:eastAsia="宋体" w:hAnsi="宋体" w:cs="Times New Roman"/>
          <w:sz w:val="24"/>
          <w:szCs w:val="24"/>
          <w:lang w:eastAsia="zh-CN"/>
        </w:rPr>
        <w:t>格栅</w:t>
      </w:r>
    </w:p>
    <w:p w14:paraId="7D090E57"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t>考虑到该污水含有的纸、塑料、医用棉等杂质较多，我司考虑使用格栅进行去除杂质，以减少清理周期、减轻后续设备工作强度。</w:t>
      </w:r>
    </w:p>
    <w:p w14:paraId="5F781970"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hint="eastAsia"/>
          <w:sz w:val="24"/>
          <w:szCs w:val="24"/>
          <w:lang w:eastAsia="zh-CN"/>
        </w:rPr>
        <w:t xml:space="preserve">4.1.2 </w:t>
      </w:r>
      <w:r>
        <w:rPr>
          <w:rFonts w:ascii="宋体" w:eastAsia="宋体" w:hAnsi="宋体" w:cs="Times New Roman"/>
          <w:sz w:val="24"/>
          <w:szCs w:val="24"/>
          <w:lang w:eastAsia="zh-CN"/>
        </w:rPr>
        <w:t>一体化污水处理装置</w:t>
      </w:r>
    </w:p>
    <w:p w14:paraId="1D74C504"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t>一体化</w:t>
      </w:r>
      <w:proofErr w:type="gramStart"/>
      <w:r>
        <w:rPr>
          <w:rFonts w:ascii="宋体" w:eastAsia="宋体" w:hAnsi="宋体" w:cs="Times New Roman"/>
          <w:sz w:val="24"/>
          <w:szCs w:val="24"/>
          <w:lang w:eastAsia="zh-CN"/>
        </w:rPr>
        <w:t>设备含好氧</w:t>
      </w:r>
      <w:proofErr w:type="gramEnd"/>
      <w:r>
        <w:rPr>
          <w:rFonts w:ascii="宋体" w:eastAsia="宋体" w:hAnsi="宋体" w:cs="Times New Roman"/>
          <w:sz w:val="24"/>
          <w:szCs w:val="24"/>
          <w:lang w:eastAsia="zh-CN"/>
        </w:rPr>
        <w:t>池、沉淀池、消毒池，分隔设计详见后续深化图纸。</w:t>
      </w:r>
    </w:p>
    <w:p w14:paraId="23B6F070"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t>设备设计：</w:t>
      </w:r>
    </w:p>
    <w:p w14:paraId="3C32C531"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t xml:space="preserve">1）设备尺寸为 </w:t>
      </w:r>
      <w:r>
        <w:rPr>
          <w:rFonts w:ascii="宋体" w:eastAsia="宋体" w:hAnsi="宋体" w:cs="Times New Roman" w:hint="eastAsia"/>
          <w:sz w:val="24"/>
          <w:szCs w:val="24"/>
          <w:lang w:eastAsia="zh-CN"/>
        </w:rPr>
        <w:t>3.0</w:t>
      </w:r>
      <w:r>
        <w:rPr>
          <w:rFonts w:ascii="宋体" w:eastAsia="宋体" w:hAnsi="宋体" w:cs="Times New Roman"/>
          <w:sz w:val="24"/>
          <w:szCs w:val="24"/>
          <w:lang w:eastAsia="zh-CN"/>
        </w:rPr>
        <w:t>m×</w:t>
      </w:r>
      <w:r>
        <w:rPr>
          <w:rFonts w:ascii="宋体" w:eastAsia="宋体" w:hAnsi="宋体" w:cs="Times New Roman" w:hint="eastAsia"/>
          <w:sz w:val="24"/>
          <w:szCs w:val="24"/>
          <w:lang w:eastAsia="zh-CN"/>
        </w:rPr>
        <w:t>1.5</w:t>
      </w:r>
      <w:r>
        <w:rPr>
          <w:rFonts w:ascii="宋体" w:eastAsia="宋体" w:hAnsi="宋体" w:cs="Times New Roman"/>
          <w:sz w:val="24"/>
          <w:szCs w:val="24"/>
          <w:lang w:eastAsia="zh-CN"/>
        </w:rPr>
        <w:t>m×</w:t>
      </w:r>
      <w:r>
        <w:rPr>
          <w:rFonts w:ascii="宋体" w:eastAsia="宋体" w:hAnsi="宋体" w:cs="Times New Roman" w:hint="eastAsia"/>
          <w:sz w:val="24"/>
          <w:szCs w:val="24"/>
          <w:lang w:eastAsia="zh-CN"/>
        </w:rPr>
        <w:t>2.0</w:t>
      </w:r>
      <w:r>
        <w:rPr>
          <w:rFonts w:ascii="宋体" w:eastAsia="宋体" w:hAnsi="宋体" w:cs="Times New Roman"/>
          <w:sz w:val="24"/>
          <w:szCs w:val="24"/>
          <w:lang w:eastAsia="zh-CN"/>
        </w:rPr>
        <w:t>m（H）</w:t>
      </w:r>
    </w:p>
    <w:p w14:paraId="02C3ADBD"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t>2）污水出水口高度约为</w:t>
      </w:r>
      <w:r>
        <w:rPr>
          <w:rFonts w:ascii="宋体" w:eastAsia="宋体" w:hAnsi="宋体" w:cs="Times New Roman" w:hint="eastAsia"/>
          <w:sz w:val="24"/>
          <w:szCs w:val="24"/>
          <w:lang w:eastAsia="zh-CN"/>
        </w:rPr>
        <w:t>1.8</w:t>
      </w:r>
      <w:r>
        <w:rPr>
          <w:rFonts w:ascii="宋体" w:eastAsia="宋体" w:hAnsi="宋体" w:cs="Times New Roman"/>
          <w:sz w:val="24"/>
          <w:szCs w:val="24"/>
          <w:lang w:eastAsia="zh-CN"/>
        </w:rPr>
        <w:t>m、重力流排至污水总</w:t>
      </w:r>
      <w:r>
        <w:rPr>
          <w:rFonts w:ascii="宋体" w:eastAsia="宋体" w:hAnsi="宋体" w:cs="Times New Roman" w:hint="eastAsia"/>
          <w:sz w:val="24"/>
          <w:szCs w:val="24"/>
          <w:lang w:eastAsia="zh-CN"/>
        </w:rPr>
        <w:t>管</w:t>
      </w:r>
      <w:r>
        <w:rPr>
          <w:rFonts w:ascii="宋体" w:eastAsia="宋体" w:hAnsi="宋体" w:cs="Times New Roman"/>
          <w:sz w:val="24"/>
          <w:szCs w:val="24"/>
          <w:lang w:eastAsia="zh-CN"/>
        </w:rPr>
        <w:t>网。</w:t>
      </w:r>
    </w:p>
    <w:p w14:paraId="27ECE355"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hint="eastAsia"/>
          <w:sz w:val="24"/>
          <w:szCs w:val="24"/>
          <w:lang w:eastAsia="zh-CN"/>
        </w:rPr>
        <w:t xml:space="preserve">4.1.3 </w:t>
      </w:r>
      <w:r>
        <w:rPr>
          <w:rFonts w:ascii="宋体" w:eastAsia="宋体" w:hAnsi="宋体" w:cs="Times New Roman"/>
          <w:sz w:val="24"/>
          <w:szCs w:val="24"/>
          <w:lang w:eastAsia="zh-CN"/>
        </w:rPr>
        <w:t>污水提升</w:t>
      </w:r>
    </w:p>
    <w:p w14:paraId="45DA0C26"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t>设置污水提升井，其作用是将医院污水一次提升后，利用位差流入后续构筑物，以节省能耗，并保证水量的稳定。所选提升水泵采用 先进的抗堵塞技术，不易堵塞。在提升井内设置自动控制液位计，控制池内最高和最低水位，使提升泵在高水位启动，低水位停泵。</w:t>
      </w:r>
    </w:p>
    <w:p w14:paraId="5910D73C"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t>提升泵型号 Q=</w:t>
      </w:r>
      <w:r>
        <w:rPr>
          <w:rFonts w:ascii="宋体" w:eastAsia="宋体" w:hAnsi="宋体" w:cs="Times New Roman" w:hint="eastAsia"/>
          <w:sz w:val="24"/>
          <w:szCs w:val="24"/>
          <w:lang w:eastAsia="zh-CN"/>
        </w:rPr>
        <w:t>3</w:t>
      </w:r>
      <w:r>
        <w:rPr>
          <w:rFonts w:ascii="宋体" w:eastAsia="宋体" w:hAnsi="宋体" w:cs="Times New Roman"/>
          <w:sz w:val="24"/>
          <w:szCs w:val="24"/>
          <w:lang w:eastAsia="zh-CN"/>
        </w:rPr>
        <w:t>m³/h，H=1</w:t>
      </w:r>
      <w:r>
        <w:rPr>
          <w:rFonts w:ascii="宋体" w:eastAsia="宋体" w:hAnsi="宋体" w:cs="Times New Roman" w:hint="eastAsia"/>
          <w:sz w:val="24"/>
          <w:szCs w:val="24"/>
          <w:lang w:eastAsia="zh-CN"/>
        </w:rPr>
        <w:t>5</w:t>
      </w:r>
      <w:r>
        <w:rPr>
          <w:rFonts w:ascii="宋体" w:eastAsia="宋体" w:hAnsi="宋体" w:cs="Times New Roman"/>
          <w:sz w:val="24"/>
          <w:szCs w:val="24"/>
          <w:lang w:eastAsia="zh-CN"/>
        </w:rPr>
        <w:t>m</w:t>
      </w:r>
    </w:p>
    <w:p w14:paraId="761DF2EF" w14:textId="77777777" w:rsidR="009D4D8C" w:rsidRDefault="00000000">
      <w:pPr>
        <w:kinsoku/>
        <w:autoSpaceDE/>
        <w:autoSpaceDN/>
        <w:adjustRightInd/>
        <w:snapToGrid/>
        <w:spacing w:line="240" w:lineRule="auto"/>
        <w:ind w:firstLineChars="0" w:firstLine="0"/>
        <w:textAlignment w:val="auto"/>
        <w:rPr>
          <w:rFonts w:ascii="宋体" w:eastAsia="宋体" w:hAnsi="宋体" w:cs="Times New Roman" w:hint="eastAsia"/>
          <w:szCs w:val="28"/>
          <w:lang w:eastAsia="zh-CN"/>
        </w:rPr>
      </w:pPr>
      <w:r>
        <w:rPr>
          <w:rFonts w:ascii="宋体" w:eastAsia="宋体" w:hAnsi="宋体" w:cs="Times New Roman"/>
          <w:szCs w:val="28"/>
          <w:lang w:eastAsia="zh-CN"/>
        </w:rPr>
        <w:br w:type="page"/>
      </w:r>
    </w:p>
    <w:p w14:paraId="75FDA85E" w14:textId="77777777" w:rsidR="009D4D8C" w:rsidRDefault="00000000">
      <w:pPr>
        <w:pStyle w:val="1"/>
        <w:rPr>
          <w:rFonts w:ascii="宋体" w:hAnsi="宋体" w:hint="eastAsia"/>
          <w:lang w:eastAsia="zh-CN"/>
        </w:rPr>
      </w:pPr>
      <w:bookmarkStart w:id="34" w:name="_Toc203048640"/>
      <w:r>
        <w:rPr>
          <w:rFonts w:ascii="宋体" w:hAnsi="宋体"/>
          <w:lang w:eastAsia="zh-CN"/>
        </w:rPr>
        <w:lastRenderedPageBreak/>
        <w:t>五、施工方案</w:t>
      </w:r>
      <w:bookmarkEnd w:id="34"/>
    </w:p>
    <w:p w14:paraId="1F310D92"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t>原污水处理设备的拆除工作进行前，使用临时提升泵排空所有水池的存水。利用现有管线高差临排污水 至市政管网，开挖新提升井提升管线至一体化设备，并连接一体化设备到污水排出井。最后连接原污水收集井到污水提升井。</w:t>
      </w:r>
      <w:bookmarkStart w:id="35" w:name="bookmark14"/>
      <w:bookmarkEnd w:id="35"/>
    </w:p>
    <w:p w14:paraId="37E25169"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sz w:val="24"/>
          <w:szCs w:val="24"/>
          <w:lang w:eastAsia="zh-CN"/>
        </w:rPr>
        <w:t>出水水质将优于国家《污水综合排放标准》 (GB8978-1996)表四之二级排放标准和</w:t>
      </w:r>
      <w:hyperlink r:id="rId17" w:history="1">
        <w:r>
          <w:rPr>
            <w:rFonts w:ascii="宋体" w:eastAsia="宋体" w:hAnsi="宋体" w:cs="Times New Roman"/>
            <w:sz w:val="24"/>
            <w:szCs w:val="24"/>
            <w:lang w:eastAsia="zh-CN"/>
          </w:rPr>
          <w:t>《医疗机构水污染物排放标准》(GB 18466—2005)</w:t>
        </w:r>
      </w:hyperlink>
      <w:r>
        <w:rPr>
          <w:rFonts w:ascii="宋体" w:eastAsia="宋体" w:hAnsi="宋体" w:cs="Times New Roman"/>
          <w:sz w:val="24"/>
          <w:szCs w:val="24"/>
          <w:lang w:eastAsia="zh-CN"/>
        </w:rPr>
        <w:t>排放要求。</w:t>
      </w:r>
    </w:p>
    <w:p w14:paraId="005A0BE7" w14:textId="77777777" w:rsidR="009D4D8C" w:rsidRDefault="00000000">
      <w:pPr>
        <w:ind w:leftChars="-50" w:hangingChars="50" w:hanging="140"/>
        <w:rPr>
          <w:rFonts w:ascii="宋体" w:eastAsia="宋体" w:hAnsi="宋体" w:cs="Times New Roman" w:hint="eastAsia"/>
          <w:sz w:val="24"/>
          <w:szCs w:val="24"/>
          <w:lang w:eastAsia="zh-CN"/>
        </w:rPr>
      </w:pPr>
      <w:r>
        <w:rPr>
          <w:noProof/>
          <w:snapToGrid/>
        </w:rPr>
        <w:drawing>
          <wp:inline distT="0" distB="0" distL="0" distR="0" wp14:anchorId="5B5B28D9" wp14:editId="533AFCC6">
            <wp:extent cx="4458970" cy="5448300"/>
            <wp:effectExtent l="0" t="0" r="0" b="0"/>
            <wp:docPr id="89890777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907778" name="图片 1"/>
                    <pic:cNvPicPr>
                      <a:picLocks noChangeAspect="1"/>
                    </pic:cNvPicPr>
                  </pic:nvPicPr>
                  <pic:blipFill>
                    <a:blip r:embed="rId18"/>
                    <a:stretch>
                      <a:fillRect/>
                    </a:stretch>
                  </pic:blipFill>
                  <pic:spPr>
                    <a:xfrm>
                      <a:off x="0" y="0"/>
                      <a:ext cx="4460570" cy="5450248"/>
                    </a:xfrm>
                    <a:prstGeom prst="rect">
                      <a:avLst/>
                    </a:prstGeom>
                  </pic:spPr>
                </pic:pic>
              </a:graphicData>
            </a:graphic>
          </wp:inline>
        </w:drawing>
      </w:r>
    </w:p>
    <w:p w14:paraId="19875FD5" w14:textId="77777777" w:rsidR="009D4D8C" w:rsidRDefault="00000000">
      <w:pPr>
        <w:ind w:firstLine="560"/>
        <w:rPr>
          <w:rFonts w:ascii="宋体" w:eastAsia="宋体" w:hAnsi="宋体" w:cs="Times New Roman" w:hint="eastAsia"/>
          <w:szCs w:val="28"/>
          <w:lang w:eastAsia="zh-CN"/>
        </w:rPr>
      </w:pPr>
      <w:r>
        <w:rPr>
          <w:rFonts w:ascii="宋体" w:eastAsia="宋体" w:hAnsi="宋体" w:cs="Times New Roman"/>
          <w:szCs w:val="28"/>
          <w:lang w:eastAsia="zh-CN"/>
        </w:rPr>
        <w:br w:type="page"/>
      </w:r>
    </w:p>
    <w:p w14:paraId="797429B8" w14:textId="77777777" w:rsidR="009D4D8C" w:rsidRDefault="00000000">
      <w:pPr>
        <w:pStyle w:val="1"/>
        <w:rPr>
          <w:rFonts w:ascii="宋体" w:hAnsi="宋体" w:hint="eastAsia"/>
          <w:lang w:eastAsia="zh-CN"/>
        </w:rPr>
      </w:pPr>
      <w:bookmarkStart w:id="36" w:name="bookmark15"/>
      <w:bookmarkStart w:id="37" w:name="_Toc173836952"/>
      <w:bookmarkStart w:id="38" w:name="_Toc203048641"/>
      <w:bookmarkEnd w:id="36"/>
      <w:r>
        <w:rPr>
          <w:rFonts w:ascii="宋体" w:hAnsi="宋体"/>
          <w:lang w:eastAsia="zh-CN"/>
        </w:rPr>
        <w:lastRenderedPageBreak/>
        <w:t>六、电气控制</w:t>
      </w:r>
      <w:bookmarkEnd w:id="37"/>
      <w:bookmarkEnd w:id="38"/>
    </w:p>
    <w:p w14:paraId="78718104" w14:textId="77777777" w:rsidR="009D4D8C" w:rsidRDefault="00000000">
      <w:pPr>
        <w:pStyle w:val="2"/>
        <w:rPr>
          <w:rFonts w:ascii="宋体" w:eastAsia="宋体" w:hAnsi="宋体" w:cs="Times New Roman" w:hint="eastAsia"/>
          <w:lang w:eastAsia="zh-CN"/>
        </w:rPr>
      </w:pPr>
      <w:bookmarkStart w:id="39" w:name="bookmark16"/>
      <w:bookmarkStart w:id="40" w:name="_Toc203048642"/>
      <w:bookmarkEnd w:id="39"/>
      <w:r>
        <w:rPr>
          <w:rFonts w:ascii="宋体" w:eastAsia="宋体" w:hAnsi="宋体" w:cs="Times New Roman" w:hint="eastAsia"/>
          <w:lang w:eastAsia="zh-CN"/>
        </w:rPr>
        <w:t>6.</w:t>
      </w:r>
      <w:r>
        <w:rPr>
          <w:rFonts w:ascii="宋体" w:eastAsia="宋体" w:hAnsi="宋体" w:cs="Times New Roman"/>
          <w:lang w:eastAsia="zh-CN"/>
        </w:rPr>
        <w:t>1</w:t>
      </w:r>
      <w:r>
        <w:rPr>
          <w:rFonts w:ascii="宋体" w:eastAsia="宋体" w:hAnsi="宋体" w:cs="Times New Roman" w:hint="eastAsia"/>
          <w:lang w:eastAsia="zh-CN"/>
        </w:rPr>
        <w:t xml:space="preserve"> </w:t>
      </w:r>
      <w:r>
        <w:rPr>
          <w:rFonts w:ascii="宋体" w:eastAsia="宋体" w:hAnsi="宋体" w:cs="Times New Roman"/>
          <w:lang w:eastAsia="zh-CN"/>
        </w:rPr>
        <w:t>设计原则</w:t>
      </w:r>
      <w:bookmarkEnd w:id="40"/>
    </w:p>
    <w:p w14:paraId="356F6E90"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hint="eastAsia"/>
          <w:sz w:val="24"/>
          <w:szCs w:val="24"/>
          <w:lang w:eastAsia="zh-CN"/>
        </w:rPr>
        <w:t xml:space="preserve">6.1.1 </w:t>
      </w:r>
      <w:r>
        <w:rPr>
          <w:rFonts w:ascii="宋体" w:eastAsia="宋体" w:hAnsi="宋体" w:cs="Times New Roman"/>
          <w:sz w:val="24"/>
          <w:szCs w:val="24"/>
          <w:lang w:eastAsia="zh-CN"/>
        </w:rPr>
        <w:t>为确保安全，本设计为三相五线制线路。</w:t>
      </w:r>
    </w:p>
    <w:p w14:paraId="0EF16AC0"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hint="eastAsia"/>
          <w:sz w:val="24"/>
          <w:szCs w:val="24"/>
          <w:lang w:eastAsia="zh-CN"/>
        </w:rPr>
        <w:t xml:space="preserve">6.1.2 </w:t>
      </w:r>
      <w:r>
        <w:rPr>
          <w:rFonts w:ascii="宋体" w:eastAsia="宋体" w:hAnsi="宋体" w:cs="Times New Roman"/>
          <w:sz w:val="24"/>
          <w:szCs w:val="24"/>
          <w:lang w:eastAsia="zh-CN"/>
        </w:rPr>
        <w:t>为使污水处理工程正常运行，确保水处理效果，建议本系统的低压供电采用双进线，即设一路备用电源，采用人工切换。</w:t>
      </w:r>
    </w:p>
    <w:p w14:paraId="5E98F275" w14:textId="77777777" w:rsidR="009D4D8C" w:rsidRDefault="00000000">
      <w:pPr>
        <w:pStyle w:val="2"/>
        <w:rPr>
          <w:rFonts w:ascii="宋体" w:eastAsia="宋体" w:hAnsi="宋体" w:cs="Times New Roman" w:hint="eastAsia"/>
          <w:lang w:eastAsia="zh-CN"/>
        </w:rPr>
      </w:pPr>
      <w:bookmarkStart w:id="41" w:name="bookmark17"/>
      <w:bookmarkStart w:id="42" w:name="_Toc203048643"/>
      <w:bookmarkEnd w:id="41"/>
      <w:r>
        <w:rPr>
          <w:rFonts w:ascii="宋体" w:eastAsia="宋体" w:hAnsi="宋体" w:cs="Times New Roman" w:hint="eastAsia"/>
          <w:lang w:eastAsia="zh-CN"/>
        </w:rPr>
        <w:t>6.</w:t>
      </w:r>
      <w:r>
        <w:rPr>
          <w:rFonts w:ascii="宋体" w:eastAsia="宋体" w:hAnsi="宋体" w:cs="Times New Roman"/>
          <w:lang w:eastAsia="zh-CN"/>
        </w:rPr>
        <w:t>2</w:t>
      </w:r>
      <w:r>
        <w:rPr>
          <w:rFonts w:ascii="宋体" w:eastAsia="宋体" w:hAnsi="宋体" w:cs="Times New Roman" w:hint="eastAsia"/>
          <w:lang w:eastAsia="zh-CN"/>
        </w:rPr>
        <w:t xml:space="preserve"> </w:t>
      </w:r>
      <w:r>
        <w:rPr>
          <w:rFonts w:ascii="宋体" w:eastAsia="宋体" w:hAnsi="宋体" w:cs="Times New Roman"/>
          <w:lang w:eastAsia="zh-CN"/>
        </w:rPr>
        <w:t>控制方式</w:t>
      </w:r>
      <w:bookmarkEnd w:id="42"/>
    </w:p>
    <w:p w14:paraId="2C9A60E0" w14:textId="77777777" w:rsidR="009D4D8C" w:rsidRDefault="00000000">
      <w:pPr>
        <w:ind w:firstLine="480"/>
        <w:rPr>
          <w:rFonts w:ascii="宋体" w:eastAsia="宋体" w:hAnsi="宋体" w:cs="Times New Roman" w:hint="eastAsia"/>
          <w:sz w:val="24"/>
          <w:szCs w:val="24"/>
          <w:lang w:eastAsia="zh-CN"/>
        </w:rPr>
      </w:pPr>
      <w:r>
        <w:rPr>
          <w:rFonts w:ascii="宋体" w:eastAsia="宋体" w:hAnsi="宋体" w:cs="Times New Roman" w:hint="eastAsia"/>
          <w:sz w:val="24"/>
          <w:szCs w:val="24"/>
          <w:lang w:eastAsia="zh-CN"/>
        </w:rPr>
        <w:t xml:space="preserve">6.2.1 </w:t>
      </w:r>
      <w:r>
        <w:rPr>
          <w:rFonts w:ascii="宋体" w:eastAsia="宋体" w:hAnsi="宋体" w:cs="Times New Roman"/>
          <w:sz w:val="24"/>
          <w:szCs w:val="24"/>
          <w:lang w:eastAsia="zh-CN"/>
        </w:rPr>
        <w:t>根据工艺要求，对鼓风机、污水提升泵等系统中的主要环节可进行集中控制及现场控制，曝气机通过微电脑计时控制器控制，以达到自动操作目的。</w:t>
      </w:r>
    </w:p>
    <w:p w14:paraId="7A5CCC02" w14:textId="3CABBE85" w:rsidR="009D4D8C" w:rsidRDefault="00000000">
      <w:pPr>
        <w:ind w:firstLine="480"/>
        <w:rPr>
          <w:rFonts w:ascii="宋体" w:eastAsia="宋体" w:hAnsi="宋体" w:cs="Times New Roman" w:hint="eastAsia"/>
          <w:szCs w:val="28"/>
          <w:lang w:eastAsia="zh-CN"/>
        </w:rPr>
      </w:pPr>
      <w:r>
        <w:rPr>
          <w:rFonts w:ascii="宋体" w:eastAsia="宋体" w:hAnsi="宋体" w:cs="Times New Roman" w:hint="eastAsia"/>
          <w:sz w:val="24"/>
          <w:szCs w:val="24"/>
          <w:lang w:eastAsia="zh-CN"/>
        </w:rPr>
        <w:t>6.2.2</w:t>
      </w:r>
      <w:r>
        <w:rPr>
          <w:rFonts w:ascii="宋体" w:eastAsia="宋体" w:hAnsi="宋体" w:cs="Times New Roman"/>
          <w:sz w:val="24"/>
          <w:szCs w:val="24"/>
          <w:lang w:eastAsia="zh-CN"/>
        </w:rPr>
        <w:t>一旦自动控制失灵或需变更工艺时，本系统可进行手动控制，以信号灯观察运行正常与否。</w:t>
      </w:r>
      <w:bookmarkStart w:id="43" w:name="bookmark18"/>
      <w:bookmarkEnd w:id="43"/>
      <w:r>
        <w:rPr>
          <w:rFonts w:ascii="宋体" w:eastAsia="宋体" w:hAnsi="宋体" w:cs="Times New Roman"/>
          <w:szCs w:val="28"/>
          <w:lang w:eastAsia="zh-CN"/>
        </w:rPr>
        <w:br w:type="page"/>
      </w:r>
    </w:p>
    <w:p w14:paraId="7C4AC80D" w14:textId="77777777" w:rsidR="009D4D8C" w:rsidRDefault="009D4D8C">
      <w:pPr>
        <w:ind w:firstLineChars="0" w:firstLine="0"/>
        <w:rPr>
          <w:rFonts w:ascii="宋体" w:eastAsia="宋体" w:hAnsi="宋体" w:cs="Times New Roman" w:hint="eastAsia"/>
          <w:szCs w:val="28"/>
          <w:lang w:eastAsia="zh-CN"/>
        </w:rPr>
      </w:pPr>
    </w:p>
    <w:sectPr w:rsidR="009D4D8C">
      <w:headerReference w:type="default" r:id="rId19"/>
      <w:footerReference w:type="default" r:id="rId20"/>
      <w:pgSz w:w="11907" w:h="16840"/>
      <w:pgMar w:top="1211" w:right="1076" w:bottom="1105" w:left="1303" w:header="692" w:footer="78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0DDCF" w14:textId="77777777" w:rsidR="00EF5E68" w:rsidRDefault="00EF5E68">
      <w:pPr>
        <w:spacing w:line="240" w:lineRule="auto"/>
        <w:ind w:firstLine="560"/>
      </w:pPr>
      <w:r>
        <w:separator/>
      </w:r>
    </w:p>
  </w:endnote>
  <w:endnote w:type="continuationSeparator" w:id="0">
    <w:p w14:paraId="7C51EAD5" w14:textId="77777777" w:rsidR="00EF5E68" w:rsidRDefault="00EF5E68">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宋体">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94203" w14:textId="77777777" w:rsidR="009D4D8C" w:rsidRDefault="009D4D8C">
    <w:pPr>
      <w:pStyle w:val="a9"/>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DE7F3" w14:textId="77777777" w:rsidR="009D4D8C" w:rsidRDefault="00000000">
    <w:pPr>
      <w:pStyle w:val="a9"/>
      <w:ind w:firstLine="360"/>
    </w:pPr>
    <w:r>
      <w:rPr>
        <w:noProof/>
      </w:rPr>
      <mc:AlternateContent>
        <mc:Choice Requires="wps">
          <w:drawing>
            <wp:anchor distT="0" distB="0" distL="114300" distR="114300" simplePos="0" relativeHeight="251660288" behindDoc="0" locked="0" layoutInCell="1" allowOverlap="1" wp14:anchorId="67ADF39A" wp14:editId="176741C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1C7B1D" w14:textId="77777777" w:rsidR="009D4D8C" w:rsidRDefault="00000000">
                          <w:pPr>
                            <w:pStyle w:val="a9"/>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7ADF39A"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531C7B1D" w14:textId="77777777" w:rsidR="009D4D8C" w:rsidRDefault="00000000">
                    <w:pPr>
                      <w:pStyle w:val="a9"/>
                      <w:ind w:firstLine="360"/>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2CD67" w14:textId="77777777" w:rsidR="009D4D8C" w:rsidRDefault="009D4D8C">
    <w:pPr>
      <w:pStyle w:val="a9"/>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FB742" w14:textId="77777777" w:rsidR="009D4D8C" w:rsidRDefault="00000000">
    <w:pPr>
      <w:pStyle w:val="a9"/>
      <w:ind w:firstLine="360"/>
    </w:pPr>
    <w:r>
      <w:rPr>
        <w:noProof/>
      </w:rPr>
      <mc:AlternateContent>
        <mc:Choice Requires="wps">
          <w:drawing>
            <wp:anchor distT="0" distB="0" distL="114300" distR="114300" simplePos="0" relativeHeight="251659264" behindDoc="0" locked="0" layoutInCell="1" allowOverlap="1" wp14:anchorId="6F523552" wp14:editId="3FD46B12">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8D5614" w14:textId="77777777" w:rsidR="009D4D8C" w:rsidRDefault="00000000">
                          <w:pPr>
                            <w:pStyle w:val="a9"/>
                            <w:ind w:firstLine="36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F523552" id="_x0000_t202" coordsize="21600,21600" o:spt="202" path="m,l,21600r21600,l21600,xe">
              <v:stroke joinstyle="miter"/>
              <v:path gradientshapeok="t" o:connecttype="rect"/>
            </v:shapetype>
            <v:shape id="文本框 9" o:spid="_x0000_s1027"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0A8D5614" w14:textId="77777777" w:rsidR="009D4D8C" w:rsidRDefault="00000000">
                    <w:pPr>
                      <w:pStyle w:val="a9"/>
                      <w:ind w:firstLine="360"/>
                    </w:pPr>
                    <w:r>
                      <w:fldChar w:fldCharType="begin"/>
                    </w:r>
                    <w:r>
                      <w:instrText xml:space="preserve"> PAGE  \* MERGEFORMAT </w:instrText>
                    </w:r>
                    <w:r>
                      <w:fldChar w:fldCharType="separate"/>
                    </w:r>
                    <w:r>
                      <w:t>3</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EF7F5" w14:textId="77777777" w:rsidR="00EF5E68" w:rsidRDefault="00EF5E68">
      <w:pPr>
        <w:ind w:firstLine="560"/>
      </w:pPr>
      <w:r>
        <w:separator/>
      </w:r>
    </w:p>
  </w:footnote>
  <w:footnote w:type="continuationSeparator" w:id="0">
    <w:p w14:paraId="1FDA97A9" w14:textId="77777777" w:rsidR="00EF5E68" w:rsidRDefault="00EF5E68">
      <w:pPr>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EC3D4" w14:textId="77777777" w:rsidR="009D4D8C" w:rsidRDefault="009D4D8C">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bordersDoNotSurroundHeader/>
  <w:bordersDoNotSurroundFooter/>
  <w:proofState w:grammar="clean"/>
  <w:defaultTabStop w:val="420"/>
  <w:noPunctuationKerning/>
  <w:characterSpacingControl w:val="doNotCompress"/>
  <w:hdrShapeDefaults>
    <o:shapedefaults v:ext="edit" spidmax="2050"/>
  </w:hdrShapeDefaults>
  <w:footnotePr>
    <w:footnote w:id="-1"/>
    <w:footnote w:id="0"/>
  </w:footnotePr>
  <w:endnotePr>
    <w:endnote w:id="-1"/>
    <w:endnote w:id="0"/>
  </w:endnotePr>
  <w:compat>
    <w:spaceForUL/>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DViY2JkMjU3NGYzZTEwMzZmMGFkZWViYmNkYWU3NDIifQ=="/>
  </w:docVars>
  <w:rsids>
    <w:rsidRoot w:val="00382A25"/>
    <w:rsid w:val="00021CED"/>
    <w:rsid w:val="00071BF7"/>
    <w:rsid w:val="000C19DC"/>
    <w:rsid w:val="00151034"/>
    <w:rsid w:val="001C0820"/>
    <w:rsid w:val="001D4BE8"/>
    <w:rsid w:val="001E75F5"/>
    <w:rsid w:val="00200387"/>
    <w:rsid w:val="0022505C"/>
    <w:rsid w:val="00264BF0"/>
    <w:rsid w:val="00272842"/>
    <w:rsid w:val="00285085"/>
    <w:rsid w:val="003161E4"/>
    <w:rsid w:val="00334A6F"/>
    <w:rsid w:val="00347AD3"/>
    <w:rsid w:val="00350DB2"/>
    <w:rsid w:val="003612E5"/>
    <w:rsid w:val="00382A25"/>
    <w:rsid w:val="00390837"/>
    <w:rsid w:val="0039434E"/>
    <w:rsid w:val="003C0DF6"/>
    <w:rsid w:val="003C273D"/>
    <w:rsid w:val="003D1292"/>
    <w:rsid w:val="003D6CF5"/>
    <w:rsid w:val="00453F72"/>
    <w:rsid w:val="00456918"/>
    <w:rsid w:val="004845C5"/>
    <w:rsid w:val="004D702D"/>
    <w:rsid w:val="004E3CF1"/>
    <w:rsid w:val="004F1644"/>
    <w:rsid w:val="004F4496"/>
    <w:rsid w:val="00522985"/>
    <w:rsid w:val="00527FCF"/>
    <w:rsid w:val="00531FF2"/>
    <w:rsid w:val="005555C8"/>
    <w:rsid w:val="00557A78"/>
    <w:rsid w:val="00596D4A"/>
    <w:rsid w:val="005C6F8E"/>
    <w:rsid w:val="005E6406"/>
    <w:rsid w:val="005E7E66"/>
    <w:rsid w:val="005F3398"/>
    <w:rsid w:val="00637A5F"/>
    <w:rsid w:val="00655E0A"/>
    <w:rsid w:val="00665AAD"/>
    <w:rsid w:val="00691AF4"/>
    <w:rsid w:val="006E37C5"/>
    <w:rsid w:val="006F17FD"/>
    <w:rsid w:val="006F6F75"/>
    <w:rsid w:val="0073679E"/>
    <w:rsid w:val="007543DC"/>
    <w:rsid w:val="007C407A"/>
    <w:rsid w:val="008210F4"/>
    <w:rsid w:val="00856718"/>
    <w:rsid w:val="008B61C9"/>
    <w:rsid w:val="008B6A97"/>
    <w:rsid w:val="008E243B"/>
    <w:rsid w:val="009108A1"/>
    <w:rsid w:val="00926BAB"/>
    <w:rsid w:val="009A06D5"/>
    <w:rsid w:val="009A114C"/>
    <w:rsid w:val="009C7AC8"/>
    <w:rsid w:val="009D4D8C"/>
    <w:rsid w:val="009E1C20"/>
    <w:rsid w:val="009F0279"/>
    <w:rsid w:val="00A22E00"/>
    <w:rsid w:val="00AD0949"/>
    <w:rsid w:val="00AE355B"/>
    <w:rsid w:val="00B33AFC"/>
    <w:rsid w:val="00B54057"/>
    <w:rsid w:val="00B77747"/>
    <w:rsid w:val="00B77BB4"/>
    <w:rsid w:val="00BB2D03"/>
    <w:rsid w:val="00BB516F"/>
    <w:rsid w:val="00BB5413"/>
    <w:rsid w:val="00BC3B00"/>
    <w:rsid w:val="00C12EBC"/>
    <w:rsid w:val="00C25969"/>
    <w:rsid w:val="00C35DD7"/>
    <w:rsid w:val="00CB061B"/>
    <w:rsid w:val="00D25BE8"/>
    <w:rsid w:val="00D26CF1"/>
    <w:rsid w:val="00D47D9A"/>
    <w:rsid w:val="00DA3F6A"/>
    <w:rsid w:val="00E61B59"/>
    <w:rsid w:val="00EA058C"/>
    <w:rsid w:val="00EA76B5"/>
    <w:rsid w:val="00ED22ED"/>
    <w:rsid w:val="00EF5E68"/>
    <w:rsid w:val="00F25BFE"/>
    <w:rsid w:val="00F439B5"/>
    <w:rsid w:val="00F66212"/>
    <w:rsid w:val="00F707C2"/>
    <w:rsid w:val="00FD491B"/>
    <w:rsid w:val="01121891"/>
    <w:rsid w:val="01127B91"/>
    <w:rsid w:val="021A6C4F"/>
    <w:rsid w:val="028D7421"/>
    <w:rsid w:val="034F2928"/>
    <w:rsid w:val="04163446"/>
    <w:rsid w:val="069B7C33"/>
    <w:rsid w:val="07CF4502"/>
    <w:rsid w:val="09410F65"/>
    <w:rsid w:val="095A2027"/>
    <w:rsid w:val="0B6251C3"/>
    <w:rsid w:val="0C37664F"/>
    <w:rsid w:val="0D6B4803"/>
    <w:rsid w:val="0DB066B9"/>
    <w:rsid w:val="0DC3019B"/>
    <w:rsid w:val="0DEA1BCB"/>
    <w:rsid w:val="0DFF319D"/>
    <w:rsid w:val="0E651252"/>
    <w:rsid w:val="0EB36F0B"/>
    <w:rsid w:val="0EC56195"/>
    <w:rsid w:val="0F1227D3"/>
    <w:rsid w:val="0F1F755D"/>
    <w:rsid w:val="0F5512C6"/>
    <w:rsid w:val="0F615EBD"/>
    <w:rsid w:val="100D7DF3"/>
    <w:rsid w:val="12502219"/>
    <w:rsid w:val="12C86253"/>
    <w:rsid w:val="136F4921"/>
    <w:rsid w:val="148D32B1"/>
    <w:rsid w:val="164E081E"/>
    <w:rsid w:val="16A11295"/>
    <w:rsid w:val="172F68A1"/>
    <w:rsid w:val="17E458DD"/>
    <w:rsid w:val="1A09162B"/>
    <w:rsid w:val="1A277D03"/>
    <w:rsid w:val="1ABF7F3C"/>
    <w:rsid w:val="1BC54EE4"/>
    <w:rsid w:val="1C204A0A"/>
    <w:rsid w:val="1C556DAA"/>
    <w:rsid w:val="1C6C40F3"/>
    <w:rsid w:val="1FEA5A5B"/>
    <w:rsid w:val="20E93446"/>
    <w:rsid w:val="21162880"/>
    <w:rsid w:val="21B46321"/>
    <w:rsid w:val="21B87493"/>
    <w:rsid w:val="221C5C74"/>
    <w:rsid w:val="23E34C9B"/>
    <w:rsid w:val="245C2C9F"/>
    <w:rsid w:val="24876734"/>
    <w:rsid w:val="252512E3"/>
    <w:rsid w:val="25935799"/>
    <w:rsid w:val="25E42F4C"/>
    <w:rsid w:val="278A3680"/>
    <w:rsid w:val="2AA36F32"/>
    <w:rsid w:val="2AB01024"/>
    <w:rsid w:val="2B2D4A4E"/>
    <w:rsid w:val="2C491D5B"/>
    <w:rsid w:val="2C5C1A8E"/>
    <w:rsid w:val="2CD5539D"/>
    <w:rsid w:val="2D36391B"/>
    <w:rsid w:val="2E8E7EF9"/>
    <w:rsid w:val="2ED6188B"/>
    <w:rsid w:val="2EDA4EED"/>
    <w:rsid w:val="2EF35FAE"/>
    <w:rsid w:val="2F8B61E7"/>
    <w:rsid w:val="3002294D"/>
    <w:rsid w:val="30D2231F"/>
    <w:rsid w:val="32957AA8"/>
    <w:rsid w:val="3310712F"/>
    <w:rsid w:val="335E433E"/>
    <w:rsid w:val="33E34843"/>
    <w:rsid w:val="34545344"/>
    <w:rsid w:val="34B81356"/>
    <w:rsid w:val="350E3B42"/>
    <w:rsid w:val="3518676F"/>
    <w:rsid w:val="35BE7316"/>
    <w:rsid w:val="36DD1A1E"/>
    <w:rsid w:val="38242B87"/>
    <w:rsid w:val="3B126711"/>
    <w:rsid w:val="3B474125"/>
    <w:rsid w:val="3C7C664D"/>
    <w:rsid w:val="3D6F7148"/>
    <w:rsid w:val="3DA64DF2"/>
    <w:rsid w:val="3DF31B27"/>
    <w:rsid w:val="3E0934EC"/>
    <w:rsid w:val="3E187794"/>
    <w:rsid w:val="403D352D"/>
    <w:rsid w:val="40925627"/>
    <w:rsid w:val="41076015"/>
    <w:rsid w:val="410D2F00"/>
    <w:rsid w:val="42884F34"/>
    <w:rsid w:val="42DA1507"/>
    <w:rsid w:val="434150E2"/>
    <w:rsid w:val="43A538C3"/>
    <w:rsid w:val="43F62371"/>
    <w:rsid w:val="440C3942"/>
    <w:rsid w:val="45F273F0"/>
    <w:rsid w:val="467D0B27"/>
    <w:rsid w:val="46DD3374"/>
    <w:rsid w:val="47F866B8"/>
    <w:rsid w:val="4AA00180"/>
    <w:rsid w:val="4B215F25"/>
    <w:rsid w:val="4B585E9B"/>
    <w:rsid w:val="4CAE37E9"/>
    <w:rsid w:val="4CC052CA"/>
    <w:rsid w:val="4D3637DE"/>
    <w:rsid w:val="4D5048A0"/>
    <w:rsid w:val="4F7251CD"/>
    <w:rsid w:val="5052092F"/>
    <w:rsid w:val="508825A3"/>
    <w:rsid w:val="50E81293"/>
    <w:rsid w:val="52466271"/>
    <w:rsid w:val="5294522F"/>
    <w:rsid w:val="52F65EE9"/>
    <w:rsid w:val="53F32429"/>
    <w:rsid w:val="54264BC2"/>
    <w:rsid w:val="556F3065"/>
    <w:rsid w:val="55B55BE8"/>
    <w:rsid w:val="56075D18"/>
    <w:rsid w:val="568C76F0"/>
    <w:rsid w:val="57A37CC2"/>
    <w:rsid w:val="597C07CB"/>
    <w:rsid w:val="5BAA5AC3"/>
    <w:rsid w:val="5C0B2C59"/>
    <w:rsid w:val="5CA93512"/>
    <w:rsid w:val="5CBA3AE4"/>
    <w:rsid w:val="5F16521D"/>
    <w:rsid w:val="5F6661A5"/>
    <w:rsid w:val="5F950838"/>
    <w:rsid w:val="61357BDD"/>
    <w:rsid w:val="61B01959"/>
    <w:rsid w:val="625658B0"/>
    <w:rsid w:val="62B72144"/>
    <w:rsid w:val="62BC7E8A"/>
    <w:rsid w:val="653B3C30"/>
    <w:rsid w:val="657A4758"/>
    <w:rsid w:val="65E163CD"/>
    <w:rsid w:val="672E75A8"/>
    <w:rsid w:val="67B57CC9"/>
    <w:rsid w:val="67D143D7"/>
    <w:rsid w:val="69674FF3"/>
    <w:rsid w:val="6A8E035E"/>
    <w:rsid w:val="6D285B90"/>
    <w:rsid w:val="6DAF51BB"/>
    <w:rsid w:val="6E032E11"/>
    <w:rsid w:val="6EDC3D8E"/>
    <w:rsid w:val="6F975F07"/>
    <w:rsid w:val="6FF3138F"/>
    <w:rsid w:val="6FF84BF7"/>
    <w:rsid w:val="70860455"/>
    <w:rsid w:val="70B2124A"/>
    <w:rsid w:val="70E64A50"/>
    <w:rsid w:val="71241A1C"/>
    <w:rsid w:val="71265794"/>
    <w:rsid w:val="713D663A"/>
    <w:rsid w:val="716167CC"/>
    <w:rsid w:val="71775FF0"/>
    <w:rsid w:val="71F17B50"/>
    <w:rsid w:val="727F33AE"/>
    <w:rsid w:val="73223D39"/>
    <w:rsid w:val="745D771F"/>
    <w:rsid w:val="748E5B2A"/>
    <w:rsid w:val="74B55F40"/>
    <w:rsid w:val="74C01A5C"/>
    <w:rsid w:val="74E67714"/>
    <w:rsid w:val="78872FBC"/>
    <w:rsid w:val="7BA479E1"/>
    <w:rsid w:val="7C6D24C9"/>
    <w:rsid w:val="7C9712F4"/>
    <w:rsid w:val="7CCF0250"/>
    <w:rsid w:val="7CE02C9B"/>
    <w:rsid w:val="7E486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45D506"/>
  <w15:docId w15:val="{8ECA46DD-DA60-4776-B12A-D0C122280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header" w:qFormat="1"/>
    <w:lsdException w:name="footer" w:qFormat="1"/>
    <w:lsdException w:name="caption" w:semiHidden="1" w:unhideWhenUsed="1" w:qFormat="1"/>
    <w:lsdException w:name="table of authorities" w:qFormat="1"/>
    <w:lsdException w:name="Default Paragraph Font" w:semiHidden="1" w:uiPriority="1" w:unhideWhenUsed="1" w:qFormat="1"/>
    <w:lsdException w:name="Body Text" w:semiHidden="1" w:qFormat="1"/>
    <w:lsdException w:name="Body Text Indent" w:qFormat="1"/>
    <w:lsdException w:name="Subtitle" w:qFormat="1"/>
    <w:lsdException w:name="Hyperlink" w:uiPriority="99"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kinsoku w:val="0"/>
      <w:autoSpaceDE w:val="0"/>
      <w:autoSpaceDN w:val="0"/>
      <w:adjustRightInd w:val="0"/>
      <w:snapToGrid w:val="0"/>
      <w:spacing w:line="360" w:lineRule="auto"/>
      <w:ind w:firstLineChars="200" w:firstLine="420"/>
      <w:textAlignment w:val="baseline"/>
    </w:pPr>
    <w:rPr>
      <w:rFonts w:ascii="Arial" w:eastAsia="华文宋体" w:hAnsi="Arial" w:cs="Arial"/>
      <w:snapToGrid w:val="0"/>
      <w:color w:val="000000"/>
      <w:sz w:val="28"/>
      <w:szCs w:val="21"/>
      <w:lang w:eastAsia="en-US"/>
    </w:rPr>
  </w:style>
  <w:style w:type="paragraph" w:styleId="1">
    <w:name w:val="heading 1"/>
    <w:basedOn w:val="a"/>
    <w:next w:val="a0"/>
    <w:qFormat/>
    <w:pPr>
      <w:keepNext/>
      <w:tabs>
        <w:tab w:val="left" w:pos="1691"/>
      </w:tabs>
      <w:ind w:firstLineChars="0" w:firstLine="0"/>
      <w:jc w:val="center"/>
      <w:outlineLvl w:val="0"/>
    </w:pPr>
    <w:rPr>
      <w:rFonts w:eastAsia="宋体" w:cs="Times New Roman"/>
      <w:b/>
      <w:caps/>
      <w:sz w:val="32"/>
      <w:lang w:val="en-GB"/>
    </w:rPr>
  </w:style>
  <w:style w:type="paragraph" w:styleId="2">
    <w:name w:val="heading 2"/>
    <w:basedOn w:val="a"/>
    <w:next w:val="a"/>
    <w:unhideWhenUsed/>
    <w:qFormat/>
    <w:pPr>
      <w:keepNext/>
      <w:keepLines/>
      <w:ind w:firstLineChars="0" w:firstLine="0"/>
      <w:outlineLvl w:val="1"/>
    </w:pPr>
    <w:rPr>
      <w:b/>
      <w:sz w:val="3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semiHidden/>
    <w:qFormat/>
    <w:rPr>
      <w:rFonts w:eastAsia="Arial"/>
      <w:sz w:val="21"/>
    </w:rPr>
  </w:style>
  <w:style w:type="paragraph" w:styleId="a4">
    <w:name w:val="table of authorities"/>
    <w:basedOn w:val="a"/>
    <w:next w:val="a"/>
    <w:qFormat/>
    <w:pPr>
      <w:ind w:leftChars="200" w:left="420"/>
    </w:pPr>
  </w:style>
  <w:style w:type="paragraph" w:styleId="a5">
    <w:name w:val="Body Text Indent"/>
    <w:basedOn w:val="a"/>
    <w:link w:val="a6"/>
    <w:qFormat/>
    <w:pPr>
      <w:spacing w:after="120"/>
      <w:ind w:leftChars="200" w:left="420"/>
    </w:pPr>
  </w:style>
  <w:style w:type="paragraph" w:styleId="a7">
    <w:name w:val="Plain Text"/>
    <w:basedOn w:val="a"/>
    <w:link w:val="a8"/>
    <w:qFormat/>
    <w:pPr>
      <w:widowControl w:val="0"/>
      <w:kinsoku/>
      <w:autoSpaceDE/>
      <w:autoSpaceDN/>
      <w:adjustRightInd/>
      <w:snapToGrid/>
      <w:spacing w:line="240" w:lineRule="auto"/>
      <w:ind w:firstLineChars="0" w:firstLine="0"/>
      <w:jc w:val="both"/>
      <w:textAlignment w:val="auto"/>
    </w:pPr>
    <w:rPr>
      <w:rFonts w:ascii="宋体" w:eastAsia="宋体" w:hAnsi="Courier New" w:cs="Times New Roman"/>
      <w:snapToGrid/>
      <w:color w:val="auto"/>
      <w:kern w:val="2"/>
      <w:sz w:val="21"/>
      <w:lang w:val="zh-CN" w:eastAsia="zh-CN"/>
    </w:rPr>
  </w:style>
  <w:style w:type="paragraph" w:styleId="a9">
    <w:name w:val="footer"/>
    <w:basedOn w:val="a"/>
    <w:qFormat/>
    <w:pPr>
      <w:tabs>
        <w:tab w:val="center" w:pos="4153"/>
        <w:tab w:val="right" w:pos="8306"/>
      </w:tabs>
    </w:pPr>
    <w:rPr>
      <w:sz w:val="18"/>
    </w:rPr>
  </w:style>
  <w:style w:type="paragraph" w:styleId="aa">
    <w:name w:val="header"/>
    <w:basedOn w:val="a"/>
    <w:qFormat/>
    <w:pPr>
      <w:jc w:val="center"/>
    </w:pPr>
    <w:rPr>
      <w:rFonts w:ascii="Times New Roman" w:eastAsia="宋体" w:hAnsi="Times New Roman" w:cs="Times New Roman"/>
      <w:sz w:val="21"/>
      <w:lang w:val="en-GB"/>
    </w:rPr>
  </w:style>
  <w:style w:type="paragraph" w:styleId="TOC1">
    <w:name w:val="toc 1"/>
    <w:basedOn w:val="a4"/>
    <w:next w:val="a"/>
    <w:uiPriority w:val="39"/>
    <w:qFormat/>
    <w:pPr>
      <w:spacing w:line="480" w:lineRule="auto"/>
    </w:pPr>
    <w:rPr>
      <w:rFonts w:eastAsia="仿宋"/>
      <w:sz w:val="32"/>
    </w:rPr>
  </w:style>
  <w:style w:type="paragraph" w:styleId="ab">
    <w:name w:val="Subtitle"/>
    <w:basedOn w:val="a"/>
    <w:next w:val="a"/>
    <w:link w:val="ac"/>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TOC2">
    <w:name w:val="toc 2"/>
    <w:basedOn w:val="a"/>
    <w:next w:val="a"/>
    <w:autoRedefine/>
    <w:uiPriority w:val="39"/>
    <w:qFormat/>
    <w:pPr>
      <w:ind w:leftChars="200" w:left="420"/>
    </w:pPr>
  </w:style>
  <w:style w:type="table" w:styleId="ad">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1"/>
    <w:uiPriority w:val="99"/>
    <w:unhideWhenUsed/>
    <w:qFormat/>
    <w:rPr>
      <w:color w:val="0000FF" w:themeColor="hyperlink"/>
      <w:u w:val="single"/>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rPr>
      <w:rFonts w:ascii="仿宋" w:eastAsia="仿宋" w:hAnsi="仿宋" w:cs="仿宋"/>
      <w:sz w:val="20"/>
      <w:szCs w:val="20"/>
    </w:rPr>
  </w:style>
  <w:style w:type="paragraph" w:customStyle="1" w:styleId="WPSOffice1">
    <w:name w:val="WPSOffice手动目录 1"/>
    <w:qFormat/>
    <w:rPr>
      <w:rFonts w:ascii="Arial" w:eastAsia="Arial" w:hAnsi="Arial" w:cs="Arial"/>
    </w:rPr>
  </w:style>
  <w:style w:type="character" w:customStyle="1" w:styleId="font11">
    <w:name w:val="font11"/>
    <w:basedOn w:val="a1"/>
    <w:qFormat/>
    <w:rPr>
      <w:rFonts w:ascii="仿宋" w:eastAsia="仿宋" w:hAnsi="仿宋" w:cs="仿宋" w:hint="eastAsia"/>
      <w:b/>
      <w:bCs/>
      <w:color w:val="000000"/>
      <w:sz w:val="24"/>
      <w:szCs w:val="24"/>
      <w:u w:val="none"/>
    </w:rPr>
  </w:style>
  <w:style w:type="character" w:customStyle="1" w:styleId="font21">
    <w:name w:val="font21"/>
    <w:basedOn w:val="a1"/>
    <w:qFormat/>
    <w:rPr>
      <w:rFonts w:ascii="仿宋" w:eastAsia="仿宋" w:hAnsi="仿宋" w:cs="仿宋" w:hint="eastAsia"/>
      <w:color w:val="000000"/>
      <w:sz w:val="24"/>
      <w:szCs w:val="24"/>
      <w:u w:val="none"/>
    </w:rPr>
  </w:style>
  <w:style w:type="character" w:customStyle="1" w:styleId="font41">
    <w:name w:val="font41"/>
    <w:basedOn w:val="a1"/>
    <w:qFormat/>
    <w:rPr>
      <w:rFonts w:ascii="Arial" w:hAnsi="Arial" w:cs="Arial" w:hint="default"/>
      <w:color w:val="000000"/>
      <w:sz w:val="24"/>
      <w:szCs w:val="24"/>
      <w:u w:val="none"/>
    </w:rPr>
  </w:style>
  <w:style w:type="character" w:customStyle="1" w:styleId="font61">
    <w:name w:val="font61"/>
    <w:basedOn w:val="a1"/>
    <w:qFormat/>
    <w:rPr>
      <w:rFonts w:ascii="华文宋体" w:eastAsia="华文宋体" w:hAnsi="华文宋体" w:cs="华文宋体"/>
      <w:color w:val="000000"/>
      <w:sz w:val="24"/>
      <w:szCs w:val="24"/>
      <w:u w:val="none"/>
    </w:rPr>
  </w:style>
  <w:style w:type="character" w:customStyle="1" w:styleId="ac">
    <w:name w:val="副标题 字符"/>
    <w:basedOn w:val="a1"/>
    <w:link w:val="ab"/>
    <w:qFormat/>
    <w:rPr>
      <w:rFonts w:asciiTheme="minorHAnsi" w:eastAsiaTheme="minorEastAsia" w:hAnsiTheme="minorHAnsi" w:cstheme="minorBidi"/>
      <w:b/>
      <w:bCs/>
      <w:snapToGrid w:val="0"/>
      <w:color w:val="000000"/>
      <w:kern w:val="28"/>
      <w:sz w:val="32"/>
      <w:szCs w:val="32"/>
      <w:lang w:eastAsia="en-US"/>
    </w:rPr>
  </w:style>
  <w:style w:type="character" w:customStyle="1" w:styleId="a6">
    <w:name w:val="正文文本缩进 字符"/>
    <w:basedOn w:val="a1"/>
    <w:link w:val="a5"/>
    <w:qFormat/>
    <w:rPr>
      <w:rFonts w:ascii="Arial" w:eastAsia="华文宋体" w:hAnsi="Arial" w:cs="Arial"/>
      <w:snapToGrid w:val="0"/>
      <w:color w:val="000000"/>
      <w:sz w:val="28"/>
      <w:szCs w:val="21"/>
      <w:lang w:eastAsia="en-US"/>
    </w:rPr>
  </w:style>
  <w:style w:type="character" w:customStyle="1" w:styleId="a8">
    <w:name w:val="纯文本 字符"/>
    <w:basedOn w:val="a1"/>
    <w:link w:val="a7"/>
    <w:qFormat/>
    <w:rPr>
      <w:rFonts w:ascii="宋体" w:hAnsi="Courier New"/>
      <w:kern w:val="2"/>
      <w:sz w:val="21"/>
      <w:szCs w:val="21"/>
      <w:lang w:val="zh-CN" w:eastAsia="zh-CN"/>
    </w:rPr>
  </w:style>
  <w:style w:type="paragraph" w:customStyle="1" w:styleId="TOC10">
    <w:name w:val="TOC 标题1"/>
    <w:basedOn w:val="1"/>
    <w:next w:val="a"/>
    <w:uiPriority w:val="39"/>
    <w:unhideWhenUsed/>
    <w:qFormat/>
    <w:pPr>
      <w:keepLines/>
      <w:tabs>
        <w:tab w:val="clear" w:pos="1691"/>
      </w:tabs>
      <w:kinsoku/>
      <w:autoSpaceDE/>
      <w:autoSpaceDN/>
      <w:adjustRightInd/>
      <w:snapToGrid/>
      <w:spacing w:before="240" w:line="259" w:lineRule="auto"/>
      <w:jc w:val="left"/>
      <w:textAlignment w:val="auto"/>
      <w:outlineLvl w:val="9"/>
    </w:pPr>
    <w:rPr>
      <w:rFonts w:asciiTheme="majorHAnsi" w:eastAsiaTheme="majorEastAsia" w:hAnsiTheme="majorHAnsi" w:cstheme="majorBidi"/>
      <w:b w:val="0"/>
      <w:caps w:val="0"/>
      <w:snapToGrid/>
      <w:color w:val="365F91" w:themeColor="accent1" w:themeShade="BF"/>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png"/><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baidu.com/link?url=s0KR8yy_XqXxJ9PoSOmdjMB6rnSGqAxFGaAS-cF7HArQOs86UI3B4BigUQMUaVZU417CqZ0ALDQbOQ_AI0ozE6puU4Ik-tinz4nc0XyTkKGEL5Towy_8n8IR4SKjpDrc" TargetMode="External"/><Relationship Id="rId17" Type="http://schemas.openxmlformats.org/officeDocument/2006/relationships/hyperlink" Target="http://www.baidu.com/link?url=s0KR8yy_XqXxJ9PoSOmdjMB6rnSGqAxFGaAS-cF7HArQOs86UI3B4BigUQMUaVZU417CqZ0ALDQbOQ_AI0ozE6puU4Ik-tinz4nc0XyTkKGEL5Towy_8n8IR4SKjpDrc"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aidu.com/link?url=s0KR8yy_XqXxJ9PoSOmdjMB6rnSGqAxFGaAS-cF7HArQOs86UI3B4BigUQMUaVZU417CqZ0ALDQbOQ_AI0ozE6puU4Ik-tinz4nc0XyTkKGEL5Towy_8n8IR4SKjpDrc"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footer" Target="footer3.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8D2DBDAA-230A-474F-8EC6-693E88C23F7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897</Words>
  <Characters>5116</Characters>
  <Application>Microsoft Office Word</Application>
  <DocSecurity>0</DocSecurity>
  <Lines>42</Lines>
  <Paragraphs>12</Paragraphs>
  <ScaleCrop>false</ScaleCrop>
  <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医院污水处理方案</dc:title>
  <dc:creator>吴保辉</dc:creator>
  <cp:lastModifiedBy>FXX</cp:lastModifiedBy>
  <cp:revision>2</cp:revision>
  <cp:lastPrinted>2025-07-10T06:03:00Z</cp:lastPrinted>
  <dcterms:created xsi:type="dcterms:W3CDTF">2025-07-10T06:03:00Z</dcterms:created>
  <dcterms:modified xsi:type="dcterms:W3CDTF">2025-07-10T06:03:00Z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2024-06-25T13:13:09Z</vt:filetime>
  </property>
  <property fmtid="{D5CDD505-2E9C-101B-9397-08002B2CF9AE}" pid="4" name="KSOProductBuildVer">
    <vt:lpwstr>2052-12.1.0.21915</vt:lpwstr>
  </property>
  <property fmtid="{D5CDD505-2E9C-101B-9397-08002B2CF9AE}" pid="5" name="ICV">
    <vt:lpwstr>CCABD9DF58CB4DA985582D9F6B457E16_13</vt:lpwstr>
  </property>
  <property fmtid="{D5CDD505-2E9C-101B-9397-08002B2CF9AE}" pid="6" name="KSOTemplateDocerSaveRecord">
    <vt:lpwstr>eyJoZGlkIjoiYjU1MDI3YjQyMWQ4Y2NiMTVmY2E0OWRlMTNkN2I2MzIiLCJ1c2VySWQiOiI3NjE2MDM2NDUifQ==</vt:lpwstr>
  </property>
</Properties>
</file>