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中标（成交）推荐理由</w:t>
      </w:r>
    </w:p>
    <w:p>
      <w:pPr>
        <w:jc w:val="both"/>
        <w:rPr>
          <w:rFonts w:hint="eastAsia"/>
          <w:b w:val="0"/>
          <w:bCs w:val="0"/>
          <w:sz w:val="28"/>
          <w:szCs w:val="28"/>
          <w:lang w:val="en-US" w:eastAsia="zh-CN"/>
        </w:rPr>
      </w:pPr>
      <w:r>
        <w:rPr>
          <w:rFonts w:hint="eastAsia"/>
          <w:b w:val="0"/>
          <w:bCs w:val="0"/>
          <w:sz w:val="28"/>
          <w:szCs w:val="28"/>
          <w:lang w:val="en-US" w:eastAsia="zh-CN"/>
        </w:rPr>
        <w:t>项目名称：数字乳腺钼靶机</w:t>
      </w:r>
    </w:p>
    <w:p>
      <w:pPr>
        <w:jc w:val="both"/>
        <w:rPr>
          <w:rFonts w:hint="eastAsia"/>
          <w:b w:val="0"/>
          <w:bCs w:val="0"/>
          <w:sz w:val="28"/>
          <w:szCs w:val="28"/>
          <w:lang w:val="en-US" w:eastAsia="zh-CN"/>
        </w:rPr>
      </w:pPr>
      <w:r>
        <w:rPr>
          <w:rFonts w:hint="eastAsia"/>
          <w:b w:val="0"/>
          <w:bCs w:val="0"/>
          <w:sz w:val="28"/>
          <w:szCs w:val="28"/>
          <w:lang w:val="en-US" w:eastAsia="zh-CN"/>
        </w:rPr>
        <w:t>项目编号：SHXM-09-20211129-1045</w:t>
      </w:r>
    </w:p>
    <w:p>
      <w:pPr>
        <w:jc w:val="both"/>
        <w:rPr>
          <w:rFonts w:hint="eastAsia"/>
          <w:b w:val="0"/>
          <w:bCs w:val="0"/>
          <w:sz w:val="28"/>
          <w:szCs w:val="28"/>
          <w:lang w:val="en-US" w:eastAsia="zh-CN"/>
        </w:rPr>
      </w:pPr>
      <w:r>
        <w:rPr>
          <w:rFonts w:hint="eastAsia"/>
          <w:b w:val="0"/>
          <w:bCs w:val="0"/>
          <w:sz w:val="28"/>
          <w:szCs w:val="28"/>
          <w:lang w:val="en-US" w:eastAsia="zh-CN"/>
        </w:rPr>
        <w:t>中标（成交）单位：稷丰（上海）医疗科技发展有限公司</w:t>
      </w:r>
      <w:bookmarkStart w:id="0" w:name="_GoBack"/>
      <w:bookmarkEnd w:id="0"/>
    </w:p>
    <w:p>
      <w:pPr>
        <w:jc w:val="both"/>
        <w:rPr>
          <w:rFonts w:hint="eastAsia" w:eastAsiaTheme="minorEastAsia"/>
          <w:b w:val="0"/>
          <w:bCs w:val="0"/>
          <w:sz w:val="28"/>
          <w:szCs w:val="28"/>
          <w:lang w:val="en-US" w:eastAsia="zh-CN"/>
        </w:rPr>
      </w:pPr>
      <w:r>
        <w:rPr>
          <w:rFonts w:hint="eastAsia"/>
          <w:b w:val="0"/>
          <w:bCs w:val="0"/>
          <w:sz w:val="28"/>
          <w:szCs w:val="28"/>
          <w:lang w:val="en-US" w:eastAsia="zh-CN"/>
        </w:rPr>
        <w:t>中标（成交）金额：2599000元</w:t>
      </w:r>
    </w:p>
    <w:p>
      <w:pPr>
        <w:jc w:val="both"/>
        <w:rPr>
          <w:rFonts w:hint="eastAsia"/>
          <w:b w:val="0"/>
          <w:bCs w:val="0"/>
          <w:sz w:val="28"/>
          <w:szCs w:val="28"/>
          <w:lang w:val="en-US" w:eastAsia="zh-CN"/>
        </w:rPr>
      </w:pPr>
      <w:r>
        <w:rPr>
          <w:rFonts w:hint="eastAsia"/>
          <w:b w:val="0"/>
          <w:bCs w:val="0"/>
          <w:sz w:val="28"/>
          <w:szCs w:val="28"/>
          <w:lang w:val="en-US" w:eastAsia="zh-CN"/>
        </w:rPr>
        <w:t>中小企业：          否</w:t>
      </w:r>
    </w:p>
    <w:p>
      <w:pPr>
        <w:jc w:val="both"/>
        <w:rPr>
          <w:rFonts w:hint="eastAsia"/>
          <w:b w:val="0"/>
          <w:bCs w:val="0"/>
          <w:sz w:val="28"/>
          <w:szCs w:val="28"/>
          <w:lang w:val="en-US" w:eastAsia="zh-CN"/>
        </w:rPr>
      </w:pPr>
      <w:r>
        <w:rPr>
          <w:rFonts w:hint="eastAsia"/>
          <w:b w:val="0"/>
          <w:bCs w:val="0"/>
          <w:sz w:val="28"/>
          <w:szCs w:val="28"/>
          <w:lang w:val="en-US" w:eastAsia="zh-CN"/>
        </w:rPr>
        <w:t>福利性单位：        否</w:t>
      </w:r>
    </w:p>
    <w:p>
      <w:pPr>
        <w:jc w:val="both"/>
        <w:rPr>
          <w:rFonts w:hint="eastAsia"/>
          <w:b w:val="0"/>
          <w:bCs w:val="0"/>
          <w:sz w:val="28"/>
          <w:szCs w:val="28"/>
          <w:lang w:val="en-US" w:eastAsia="zh-CN"/>
        </w:rPr>
      </w:pPr>
      <w:r>
        <w:rPr>
          <w:rFonts w:hint="eastAsia"/>
          <w:b w:val="0"/>
          <w:bCs w:val="0"/>
          <w:sz w:val="28"/>
          <w:szCs w:val="28"/>
          <w:lang w:val="en-US" w:eastAsia="zh-CN"/>
        </w:rPr>
        <w:t>贫困县物业公司：    否</w:t>
      </w:r>
    </w:p>
    <w:p>
      <w:pPr>
        <w:jc w:val="both"/>
        <w:rPr>
          <w:rFonts w:hint="eastAsia"/>
          <w:b/>
          <w:bCs/>
          <w:sz w:val="28"/>
          <w:szCs w:val="28"/>
          <w:lang w:val="en-US" w:eastAsia="zh-CN"/>
        </w:rPr>
      </w:pPr>
      <w:r>
        <w:rPr>
          <w:rFonts w:hint="eastAsia"/>
          <w:b/>
          <w:bCs/>
          <w:sz w:val="28"/>
          <w:szCs w:val="28"/>
          <w:lang w:val="en-US" w:eastAsia="zh-CN"/>
        </w:rPr>
        <w:t>注：</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中标、成交供应商为中小企业的，应公告其《中小企业声明函》。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中标、成交供应商为残疾人福利性单位的，应公告其《残疾人福利性单位声明函》。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中标、成交供应商为注册地在国家级贫困县域内物业公司的，应公告注册所在县扶贫部门出具的聘用建档立卡贫困人员具体数量的证明。</w:t>
      </w:r>
    </w:p>
    <w:p>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根据《财政部令第87号》第五十七条、《财库【2014】214号》第二十五条，采购文件评审办法，推荐得分最高单位为中标（成交）单位。</w:t>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center"/>
        <w:rPr>
          <w:rFonts w:hint="eastAsia"/>
          <w:b w:val="0"/>
          <w:bCs w:val="0"/>
          <w:sz w:val="28"/>
          <w:szCs w:val="28"/>
          <w:lang w:val="en-US" w:eastAsia="zh-CN"/>
        </w:rPr>
      </w:pPr>
      <w:r>
        <w:drawing>
          <wp:inline distT="0" distB="0" distL="114300" distR="114300">
            <wp:extent cx="3703320" cy="47548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3703320" cy="475488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D6931"/>
    <w:rsid w:val="137F3C38"/>
    <w:rsid w:val="207F19AB"/>
    <w:rsid w:val="28483082"/>
    <w:rsid w:val="37194219"/>
    <w:rsid w:val="4B71446C"/>
    <w:rsid w:val="604F4E8B"/>
    <w:rsid w:val="6D8B5A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吴伟</cp:lastModifiedBy>
  <dcterms:modified xsi:type="dcterms:W3CDTF">2021-12-30T06:17:17Z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8B6E8D5629CA494FB6182A796C7C9859</vt:lpwstr>
  </property>
</Properties>
</file>