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2C3F">
      <w:pPr>
        <w:adjustRightInd w:val="0"/>
        <w:snapToGrid w:val="0"/>
        <w:spacing w:line="460" w:lineRule="exact"/>
        <w:jc w:val="center"/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8"/>
          <w:rFonts w:hint="eastAsia" w:ascii="仿宋" w:hAnsi="仿宋" w:eastAsia="宋体" w:cs="Times New Roman"/>
          <w:b/>
          <w:bCs/>
          <w:sz w:val="27"/>
          <w:szCs w:val="27"/>
          <w:shd w:val="clear" w:color="auto" w:fill="FFFFFF"/>
          <w:lang w:eastAsia="zh-CN"/>
        </w:rPr>
        <w:t>2025年奉贤区综合交通规划研究项目</w:t>
      </w:r>
      <w:r>
        <w:rPr>
          <w:rStyle w:val="8"/>
          <w:rFonts w:hint="eastAsia" w:ascii="仿宋" w:hAnsi="仿宋" w:eastAsia="宋体" w:cs="Times New Roman"/>
          <w:b/>
          <w:bCs/>
          <w:sz w:val="27"/>
          <w:szCs w:val="27"/>
          <w:shd w:val="clear" w:color="auto" w:fill="FFFFFF"/>
        </w:rPr>
        <w:t>中标（</w:t>
      </w: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成交）公</w:t>
      </w:r>
      <w:r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附件内容：</w:t>
      </w:r>
    </w:p>
    <w:p w14:paraId="31E9D2F6">
      <w:pPr>
        <w:spacing w:line="360" w:lineRule="auto"/>
        <w:rPr>
          <w:rStyle w:val="8"/>
          <w:rFonts w:cs="宋体" w:asciiTheme="minorEastAsia" w:hAnsiTheme="minorEastAsia"/>
          <w:b/>
          <w:color w:val="000000"/>
          <w:sz w:val="24"/>
          <w:szCs w:val="24"/>
        </w:rPr>
      </w:pPr>
    </w:p>
    <w:p w14:paraId="1DF64EC4">
      <w:pPr>
        <w:spacing w:line="360" w:lineRule="auto"/>
        <w:rPr>
          <w:rStyle w:val="8"/>
          <w:rFonts w:ascii="宋体" w:hAnsi="宋体" w:eastAsia="宋体" w:cs="宋体"/>
          <w:b/>
          <w:color w:val="000000"/>
          <w:sz w:val="27"/>
          <w:szCs w:val="27"/>
        </w:rPr>
      </w:pP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</w:rPr>
        <w:t>一、</w:t>
      </w: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  <w:lang w:val="en-US" w:eastAsia="zh-CN"/>
        </w:rPr>
        <w:t>中标</w:t>
      </w:r>
      <w:r>
        <w:rPr>
          <w:rStyle w:val="8"/>
          <w:rFonts w:ascii="宋体" w:hAnsi="宋体" w:eastAsia="宋体" w:cs="宋体"/>
          <w:b/>
          <w:color w:val="000000"/>
          <w:sz w:val="27"/>
          <w:szCs w:val="27"/>
        </w:rPr>
        <w:t>供应商推荐理由</w:t>
      </w: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</w:rPr>
        <w:t>、</w:t>
      </w:r>
      <w:r>
        <w:rPr>
          <w:rStyle w:val="8"/>
          <w:rFonts w:ascii="宋体" w:hAnsi="宋体" w:eastAsia="宋体" w:cs="宋体"/>
          <w:b/>
          <w:color w:val="000000"/>
          <w:sz w:val="27"/>
          <w:szCs w:val="27"/>
        </w:rPr>
        <w:t>得分</w:t>
      </w:r>
    </w:p>
    <w:p w14:paraId="00D49F97">
      <w:pPr>
        <w:adjustRightInd w:val="0"/>
        <w:snapToGrid w:val="0"/>
        <w:spacing w:line="460" w:lineRule="exact"/>
        <w:ind w:firstLine="480" w:firstLineChars="200"/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包件一：</w:t>
      </w:r>
    </w:p>
    <w:p w14:paraId="1DBF46DF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上海市上规院城市规划设计有限公司需求理解全面深入，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规划和实施方案完善、针对性强，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人员配置优越，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质量保障措施合理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评审并</w:t>
      </w:r>
      <w:r>
        <w:rPr>
          <w:rFonts w:asciiTheme="minorEastAsia" w:hAnsiTheme="minorEastAsia"/>
          <w:color w:val="333333"/>
          <w:sz w:val="24"/>
          <w:szCs w:val="24"/>
        </w:rPr>
        <w:t>打分，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上海市上规院城市规划设计有限公司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91.8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被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3C592E4B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76155F0A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包件二：</w:t>
      </w:r>
    </w:p>
    <w:p w14:paraId="3F531A83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上海交通规划设计研究院有限公司需求理解全面深入，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规划和实施方案完善、针对性强，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人员配置优越，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质量保障措施合理。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评审并</w:t>
      </w:r>
      <w:r>
        <w:rPr>
          <w:rFonts w:asciiTheme="minorEastAsia" w:hAnsiTheme="minorEastAsia"/>
          <w:color w:val="333333"/>
          <w:sz w:val="24"/>
          <w:szCs w:val="24"/>
        </w:rPr>
        <w:t>打分，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上海交通规划设计研究院有限公司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92.2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被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0F4500C9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EAB23F2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包件三：</w:t>
      </w:r>
    </w:p>
    <w:p w14:paraId="402FDB0A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安诚傲林规划设计顾问（上海）有限公司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需求理解全面深入，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规划和实施方案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完善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、针对性强，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人员配置优越，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质量保障措施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合理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评审并</w:t>
      </w:r>
      <w:r>
        <w:rPr>
          <w:rFonts w:asciiTheme="minorEastAsia" w:hAnsiTheme="minorEastAsia"/>
          <w:color w:val="333333"/>
          <w:sz w:val="24"/>
          <w:szCs w:val="24"/>
        </w:rPr>
        <w:t>打分，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安诚傲林规划设计顾问（上海）有限公司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90.4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被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1EF6778F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28C57D43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包件四：</w:t>
      </w:r>
    </w:p>
    <w:p w14:paraId="38D1A3DF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中交上海航道勘察设计研究院有限公司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需求理解全面深入，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规划和实施方案完善、针对性强，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人员配置优越，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质量保障措施合理。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评审并</w:t>
      </w:r>
      <w:r>
        <w:rPr>
          <w:rFonts w:asciiTheme="minorEastAsia" w:hAnsiTheme="minorEastAsia"/>
          <w:color w:val="333333"/>
          <w:sz w:val="24"/>
          <w:szCs w:val="24"/>
        </w:rPr>
        <w:t>打分，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中交上海航道勘察设计研究院有限公司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93.8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被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0695D5F9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23C6DD47"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包件五：</w:t>
      </w:r>
    </w:p>
    <w:p w14:paraId="1BA9CBB9">
      <w:pPr>
        <w:adjustRightInd w:val="0"/>
        <w:snapToGrid w:val="0"/>
        <w:spacing w:line="460" w:lineRule="exact"/>
        <w:ind w:firstLine="480" w:firstLineChars="200"/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同济大学建筑设计研究院（集团）有限公司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需求理解全面深入，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规划和实施方案完善、针对性强，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人员配置优越，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质量保障措施合理。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评审并</w:t>
      </w:r>
      <w:r>
        <w:rPr>
          <w:rFonts w:asciiTheme="minorEastAsia" w:hAnsiTheme="minorEastAsia"/>
          <w:color w:val="333333"/>
          <w:sz w:val="24"/>
          <w:szCs w:val="24"/>
        </w:rPr>
        <w:t>打分，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同济大学建筑设计研究院（集团）有限公司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92.86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被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285BAB6A">
      <w:pPr>
        <w:rPr>
          <w:b/>
          <w:sz w:val="24"/>
          <w:szCs w:val="24"/>
        </w:rPr>
      </w:pPr>
    </w:p>
    <w:p w14:paraId="5B6C0F30">
      <w:pP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Fonts w:hint="default"/>
          <w:b/>
          <w:bCs/>
          <w:color w:val="000000"/>
          <w:sz w:val="27"/>
          <w:szCs w:val="27"/>
          <w:lang w:val="en-US"/>
        </w:rPr>
        <w:t>包件</w:t>
      </w:r>
      <w:r>
        <w:rPr>
          <w:rFonts w:hint="eastAsia"/>
          <w:b/>
          <w:bCs/>
          <w:color w:val="000000"/>
          <w:sz w:val="27"/>
          <w:szCs w:val="27"/>
          <w:lang w:val="en-US" w:eastAsia="zh-CN"/>
        </w:rPr>
        <w:t>一、二、三</w:t>
      </w:r>
      <w:bookmarkStart w:id="0" w:name="_GoBack"/>
      <w:bookmarkEnd w:id="0"/>
      <w:r>
        <w:rPr>
          <w:rFonts w:hint="eastAsia"/>
          <w:b/>
          <w:bCs/>
          <w:color w:val="000000"/>
          <w:sz w:val="27"/>
          <w:szCs w:val="27"/>
          <w:lang w:val="en-US" w:eastAsia="zh-CN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14:paraId="3FEBE770">
      <w:pPr>
        <w:adjustRightInd w:val="0"/>
        <w:snapToGrid w:val="0"/>
        <w:spacing w:line="460" w:lineRule="exact"/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488315</wp:posOffset>
            </wp:positionV>
            <wp:extent cx="5272405" cy="5130800"/>
            <wp:effectExtent l="0" t="0" r="4445" b="12700"/>
            <wp:wrapTopAndBottom/>
            <wp:docPr id="1" name="图片 1" descr="17489387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8938709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包件一：</w:t>
      </w:r>
    </w:p>
    <w:p w14:paraId="49C3982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</w:p>
    <w:p w14:paraId="4DDCF62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5267325" cy="6943725"/>
            <wp:effectExtent l="0" t="0" r="9525" b="9525"/>
            <wp:wrapTopAndBottom/>
            <wp:docPr id="2" name="图片 2" descr="174893889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8938894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包件二：</w:t>
      </w:r>
    </w:p>
    <w:p w14:paraId="1991604E">
      <w:pPr>
        <w:adjustRightInd w:val="0"/>
        <w:snapToGrid w:val="0"/>
        <w:spacing w:line="460" w:lineRule="exact"/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0237C0BC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</w:p>
    <w:p w14:paraId="63C6E2D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</w:p>
    <w:p w14:paraId="1EA8F482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</w:p>
    <w:p w14:paraId="574E4D9A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</w:pPr>
    </w:p>
    <w:p w14:paraId="0283031B">
      <w:pPr>
        <w:adjustRightInd w:val="0"/>
        <w:snapToGrid w:val="0"/>
        <w:spacing w:line="460" w:lineRule="exact"/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590550</wp:posOffset>
            </wp:positionV>
            <wp:extent cx="5271770" cy="5516880"/>
            <wp:effectExtent l="0" t="0" r="5080" b="7620"/>
            <wp:wrapTopAndBottom/>
            <wp:docPr id="3" name="图片 3" descr="174893895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89389544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  <w:lang w:val="en-US"/>
        </w:rPr>
        <w:t>包件三：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76BC8"/>
    <w:rsid w:val="001A6010"/>
    <w:rsid w:val="001B2BA4"/>
    <w:rsid w:val="001D0619"/>
    <w:rsid w:val="001D1675"/>
    <w:rsid w:val="001F3221"/>
    <w:rsid w:val="00226818"/>
    <w:rsid w:val="00260B45"/>
    <w:rsid w:val="00261871"/>
    <w:rsid w:val="00284AD1"/>
    <w:rsid w:val="002B4B6E"/>
    <w:rsid w:val="002F32FE"/>
    <w:rsid w:val="00302236"/>
    <w:rsid w:val="0030768C"/>
    <w:rsid w:val="00363947"/>
    <w:rsid w:val="003C3771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00F96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81901"/>
    <w:rsid w:val="006A5D4F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C06B9"/>
    <w:rsid w:val="00BC09A8"/>
    <w:rsid w:val="00BF30E5"/>
    <w:rsid w:val="00C24611"/>
    <w:rsid w:val="00C3768A"/>
    <w:rsid w:val="00C76DC8"/>
    <w:rsid w:val="00C827A7"/>
    <w:rsid w:val="00CA666C"/>
    <w:rsid w:val="00CF5BCF"/>
    <w:rsid w:val="00D06DA7"/>
    <w:rsid w:val="00D072DE"/>
    <w:rsid w:val="00D409A1"/>
    <w:rsid w:val="00DA5D80"/>
    <w:rsid w:val="00E10CE3"/>
    <w:rsid w:val="00E346EE"/>
    <w:rsid w:val="00E3787D"/>
    <w:rsid w:val="00E64075"/>
    <w:rsid w:val="00EB7C3E"/>
    <w:rsid w:val="00EC0EB8"/>
    <w:rsid w:val="00EC3FE0"/>
    <w:rsid w:val="00ED4A3C"/>
    <w:rsid w:val="00EE012B"/>
    <w:rsid w:val="00EE47E9"/>
    <w:rsid w:val="00EF1AA6"/>
    <w:rsid w:val="00F21B89"/>
    <w:rsid w:val="00FC58FD"/>
    <w:rsid w:val="00FD1F12"/>
    <w:rsid w:val="133F4992"/>
    <w:rsid w:val="1F30765A"/>
    <w:rsid w:val="2A7A0622"/>
    <w:rsid w:val="31662B95"/>
    <w:rsid w:val="344E1C6F"/>
    <w:rsid w:val="351E15AE"/>
    <w:rsid w:val="39BE2212"/>
    <w:rsid w:val="4E6A2E75"/>
    <w:rsid w:val="56F76F50"/>
    <w:rsid w:val="5CBB3F18"/>
    <w:rsid w:val="609C436A"/>
    <w:rsid w:val="716424F2"/>
    <w:rsid w:val="75777625"/>
    <w:rsid w:val="782229E4"/>
    <w:rsid w:val="7FBFFE1F"/>
    <w:rsid w:val="7FFD8B0E"/>
    <w:rsid w:val="FD8B0783"/>
    <w:rsid w:val="FFCFC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TML Sample"/>
    <w:basedOn w:val="6"/>
    <w:semiHidden/>
    <w:unhideWhenUsed/>
    <w:qFormat/>
    <w:uiPriority w:val="99"/>
    <w:rPr>
      <w:rFonts w:ascii="Courier New" w:hAnsi="Courier New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662</Words>
  <Characters>677</Characters>
  <Lines>1</Lines>
  <Paragraphs>1</Paragraphs>
  <TotalTime>7</TotalTime>
  <ScaleCrop>false</ScaleCrop>
  <LinksUpToDate>false</LinksUpToDate>
  <CharactersWithSpaces>681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2025-02-11T05:14:00Z</dcterms:created>
  <dc:creator>01</dc:creator>
  <cp:lastModifiedBy>Administrator</cp:lastModifiedBy>
  <cp:lastPrinted>2025-05-13T02:56:00Z</cp:lastPrinted>
  <dcterms:modified xsi:type="dcterms:W3CDTF">2025-06-03T08:23:06Z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54C25D823F41432AF3A43E682C830BA7</vt:lpwstr>
  </property>
  <property fmtid="{D5CDD505-2E9C-101B-9397-08002B2CF9AE}" pid="4" name="KSOTemplateDocerSaveRecord">
    <vt:lpwstr>eyJoZGlkIjoiZDY4ZmEyNTMwMTM2YjE5Yjc4Zjc0YTMwYTZlZmU2MmYifQ==</vt:lpwstr>
  </property>
</Properties>
</file>